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A03989A" w14:textId="77777777" w:rsidTr="00387CD4">
        <w:trPr>
          <w:trHeight w:hRule="exact" w:val="851"/>
        </w:trPr>
        <w:tc>
          <w:tcPr>
            <w:tcW w:w="142" w:type="dxa"/>
            <w:tcBorders>
              <w:bottom w:val="single" w:sz="4" w:space="0" w:color="auto"/>
            </w:tcBorders>
          </w:tcPr>
          <w:p w14:paraId="3F20B461" w14:textId="77777777" w:rsidR="002D5AAC" w:rsidRDefault="002D5AAC" w:rsidP="00D75EC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B4C3A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5C1E1E4" w14:textId="29AB0654" w:rsidR="002D5AAC" w:rsidRDefault="00D75EC1" w:rsidP="00D75EC1">
            <w:pPr>
              <w:jc w:val="right"/>
            </w:pPr>
            <w:r w:rsidRPr="00D75EC1">
              <w:rPr>
                <w:sz w:val="40"/>
              </w:rPr>
              <w:t>ECE</w:t>
            </w:r>
            <w:r>
              <w:t>/TRANS/WP.29/GRSP/2024/15</w:t>
            </w:r>
          </w:p>
        </w:tc>
      </w:tr>
      <w:tr w:rsidR="002D5AAC" w:rsidRPr="00A83BF1" w14:paraId="7F73E5BE" w14:textId="77777777" w:rsidTr="00387CD4">
        <w:trPr>
          <w:trHeight w:hRule="exact" w:val="2835"/>
        </w:trPr>
        <w:tc>
          <w:tcPr>
            <w:tcW w:w="1280" w:type="dxa"/>
            <w:gridSpan w:val="2"/>
            <w:tcBorders>
              <w:top w:val="single" w:sz="4" w:space="0" w:color="auto"/>
              <w:bottom w:val="single" w:sz="12" w:space="0" w:color="auto"/>
            </w:tcBorders>
          </w:tcPr>
          <w:p w14:paraId="770255A9" w14:textId="77777777" w:rsidR="002D5AAC" w:rsidRDefault="002E5067" w:rsidP="00387CD4">
            <w:pPr>
              <w:spacing w:before="120"/>
              <w:jc w:val="center"/>
            </w:pPr>
            <w:r>
              <w:rPr>
                <w:noProof/>
                <w:lang w:val="fr-CH" w:eastAsia="fr-CH"/>
              </w:rPr>
              <w:drawing>
                <wp:inline distT="0" distB="0" distL="0" distR="0" wp14:anchorId="2764E8A0" wp14:editId="653D1CD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F9D2F3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79D2E91" w14:textId="77777777" w:rsidR="002D5AAC" w:rsidRDefault="00D75EC1" w:rsidP="00387CD4">
            <w:pPr>
              <w:spacing w:before="240"/>
              <w:rPr>
                <w:lang w:val="en-US"/>
              </w:rPr>
            </w:pPr>
            <w:r>
              <w:rPr>
                <w:lang w:val="en-US"/>
              </w:rPr>
              <w:t>Distr.: General</w:t>
            </w:r>
          </w:p>
          <w:p w14:paraId="50D78CFF" w14:textId="77777777" w:rsidR="00D75EC1" w:rsidRDefault="00D75EC1" w:rsidP="00D75EC1">
            <w:pPr>
              <w:spacing w:line="240" w:lineRule="exact"/>
              <w:rPr>
                <w:lang w:val="en-US"/>
              </w:rPr>
            </w:pPr>
            <w:r>
              <w:rPr>
                <w:lang w:val="en-US"/>
              </w:rPr>
              <w:t>25 March 2024</w:t>
            </w:r>
          </w:p>
          <w:p w14:paraId="68812A31" w14:textId="77777777" w:rsidR="00D75EC1" w:rsidRDefault="00D75EC1" w:rsidP="00D75EC1">
            <w:pPr>
              <w:spacing w:line="240" w:lineRule="exact"/>
              <w:rPr>
                <w:lang w:val="en-US"/>
              </w:rPr>
            </w:pPr>
            <w:r>
              <w:rPr>
                <w:lang w:val="en-US"/>
              </w:rPr>
              <w:t>Russian</w:t>
            </w:r>
          </w:p>
          <w:p w14:paraId="3C28ACA4" w14:textId="334F282B" w:rsidR="00D75EC1" w:rsidRPr="008D53B6" w:rsidRDefault="00D75EC1" w:rsidP="00D75EC1">
            <w:pPr>
              <w:spacing w:line="240" w:lineRule="exact"/>
              <w:rPr>
                <w:lang w:val="en-US"/>
              </w:rPr>
            </w:pPr>
            <w:r>
              <w:rPr>
                <w:lang w:val="en-US"/>
              </w:rPr>
              <w:t>Original: English</w:t>
            </w:r>
          </w:p>
        </w:tc>
      </w:tr>
    </w:tbl>
    <w:p w14:paraId="1C41A5E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A98094F" w14:textId="77777777" w:rsidR="00D75EC1" w:rsidRPr="00915D5E" w:rsidRDefault="00D75EC1" w:rsidP="00D75EC1">
      <w:pPr>
        <w:spacing w:before="120"/>
        <w:rPr>
          <w:sz w:val="28"/>
          <w:szCs w:val="28"/>
        </w:rPr>
      </w:pPr>
      <w:r w:rsidRPr="00915D5E">
        <w:rPr>
          <w:sz w:val="28"/>
          <w:szCs w:val="28"/>
        </w:rPr>
        <w:t>Комитет по внутреннему транспорту</w:t>
      </w:r>
    </w:p>
    <w:p w14:paraId="45A9E967" w14:textId="068D0B5B" w:rsidR="00D75EC1" w:rsidRPr="00915D5E" w:rsidRDefault="00D75EC1" w:rsidP="00D75EC1">
      <w:pPr>
        <w:spacing w:before="120"/>
        <w:rPr>
          <w:b/>
          <w:sz w:val="24"/>
          <w:szCs w:val="24"/>
        </w:rPr>
      </w:pPr>
      <w:r w:rsidRPr="00915D5E">
        <w:rPr>
          <w:b/>
          <w:bCs/>
          <w:sz w:val="24"/>
          <w:szCs w:val="24"/>
        </w:rPr>
        <w:t>Всемирный форум для согласования правил</w:t>
      </w:r>
      <w:r w:rsidRPr="00915D5E">
        <w:rPr>
          <w:b/>
          <w:bCs/>
          <w:sz w:val="24"/>
          <w:szCs w:val="24"/>
        </w:rPr>
        <w:br/>
        <w:t>в области транспортных средств</w:t>
      </w:r>
    </w:p>
    <w:p w14:paraId="226BE139" w14:textId="77777777" w:rsidR="00D75EC1" w:rsidRPr="00915D5E" w:rsidRDefault="00D75EC1" w:rsidP="00D75EC1">
      <w:pPr>
        <w:spacing w:before="120"/>
        <w:rPr>
          <w:rFonts w:asciiTheme="majorBidi" w:hAnsiTheme="majorBidi" w:cstheme="majorBidi"/>
          <w:b/>
          <w:sz w:val="28"/>
          <w:szCs w:val="28"/>
        </w:rPr>
      </w:pPr>
      <w:r w:rsidRPr="00915D5E">
        <w:rPr>
          <w:b/>
        </w:rPr>
        <w:t>Рабочая группа по пассивной безопасности</w:t>
      </w:r>
    </w:p>
    <w:p w14:paraId="1FAC0227" w14:textId="77777777" w:rsidR="00D75EC1" w:rsidRPr="00915D5E" w:rsidRDefault="00D75EC1" w:rsidP="00D75EC1">
      <w:pPr>
        <w:spacing w:before="120"/>
        <w:rPr>
          <w:rFonts w:asciiTheme="majorBidi" w:hAnsiTheme="majorBidi" w:cstheme="majorBidi"/>
          <w:b/>
        </w:rPr>
      </w:pPr>
      <w:r w:rsidRPr="00915D5E">
        <w:rPr>
          <w:rFonts w:asciiTheme="majorBidi" w:hAnsiTheme="majorBidi" w:cstheme="majorBidi"/>
          <w:b/>
        </w:rPr>
        <w:t>Семьдесят пятая сессия</w:t>
      </w:r>
    </w:p>
    <w:p w14:paraId="24DB5FB9" w14:textId="77777777" w:rsidR="00D75EC1" w:rsidRPr="00915D5E" w:rsidRDefault="00D75EC1" w:rsidP="00D75EC1">
      <w:pPr>
        <w:rPr>
          <w:rFonts w:asciiTheme="majorBidi" w:hAnsiTheme="majorBidi" w:cstheme="majorBidi"/>
        </w:rPr>
      </w:pPr>
      <w:r w:rsidRPr="00915D5E">
        <w:rPr>
          <w:rFonts w:asciiTheme="majorBidi" w:hAnsiTheme="majorBidi" w:cstheme="majorBidi"/>
        </w:rPr>
        <w:t>Женева, 27–31 мая 2024 года</w:t>
      </w:r>
    </w:p>
    <w:p w14:paraId="0EF3EF9C" w14:textId="77777777" w:rsidR="00D75EC1" w:rsidRPr="00915D5E" w:rsidRDefault="00D75EC1" w:rsidP="00D75EC1">
      <w:pPr>
        <w:rPr>
          <w:rFonts w:asciiTheme="majorBidi" w:hAnsiTheme="majorBidi" w:cstheme="majorBidi"/>
        </w:rPr>
      </w:pPr>
      <w:r w:rsidRPr="00915D5E">
        <w:rPr>
          <w:rFonts w:asciiTheme="majorBidi" w:hAnsiTheme="majorBidi" w:cstheme="majorBidi"/>
        </w:rPr>
        <w:t xml:space="preserve">Пункт 8 </w:t>
      </w:r>
      <w:r w:rsidRPr="00915D5E">
        <w:t>предварительной повестки дня</w:t>
      </w:r>
    </w:p>
    <w:p w14:paraId="3F3BFE60" w14:textId="77777777" w:rsidR="00D75EC1" w:rsidRPr="00915D5E" w:rsidRDefault="00D75EC1" w:rsidP="00D75EC1">
      <w:pPr>
        <w:rPr>
          <w:b/>
        </w:rPr>
      </w:pPr>
      <w:r w:rsidRPr="00915D5E">
        <w:rPr>
          <w:b/>
        </w:rPr>
        <w:t>Правила № 17 ООН (прочность сидений)</w:t>
      </w:r>
    </w:p>
    <w:p w14:paraId="7B9A8662" w14:textId="77777777" w:rsidR="00D75EC1" w:rsidRPr="00D75EC1" w:rsidRDefault="00D75EC1" w:rsidP="00D75EC1">
      <w:pPr>
        <w:pStyle w:val="HChG"/>
      </w:pPr>
      <w:r w:rsidRPr="00915D5E">
        <w:tab/>
      </w:r>
      <w:r w:rsidRPr="00915D5E">
        <w:tab/>
      </w:r>
      <w:bookmarkStart w:id="0" w:name="_Hlk163247926"/>
      <w:r w:rsidRPr="00D75EC1">
        <w:t xml:space="preserve">Предложение по поправкам серии 12 к Правилам № 17 ООН </w:t>
      </w:r>
      <w:bookmarkEnd w:id="0"/>
      <w:r w:rsidRPr="00D75EC1">
        <w:t>(прочность сидений)</w:t>
      </w:r>
    </w:p>
    <w:p w14:paraId="722251D0" w14:textId="15F49F5D" w:rsidR="00D75EC1" w:rsidRPr="00915D5E" w:rsidRDefault="00D75EC1" w:rsidP="00D75EC1">
      <w:pPr>
        <w:pStyle w:val="H1G"/>
        <w:rPr>
          <w:b w:val="0"/>
        </w:rPr>
      </w:pPr>
      <w:r w:rsidRPr="00915D5E">
        <w:tab/>
      </w:r>
      <w:r w:rsidRPr="00915D5E">
        <w:tab/>
        <w:t>Представлено неофициальной рабочей группой по надлежащей защите водителей и пассажиров</w:t>
      </w:r>
      <w:r w:rsidRPr="00D75EC1">
        <w:rPr>
          <w:rStyle w:val="aa"/>
          <w:b w:val="0"/>
          <w:bCs/>
          <w:sz w:val="20"/>
          <w:vertAlign w:val="baseline"/>
        </w:rPr>
        <w:footnoteReference w:customMarkFollows="1" w:id="1"/>
        <w:t>*</w:t>
      </w:r>
      <w:r w:rsidRPr="00D75EC1">
        <w:rPr>
          <w:b w:val="0"/>
          <w:bCs/>
          <w:sz w:val="20"/>
        </w:rPr>
        <w:t xml:space="preserve"> </w:t>
      </w:r>
      <w:r w:rsidRPr="00D75EC1">
        <w:rPr>
          <w:rStyle w:val="aa"/>
          <w:b w:val="0"/>
          <w:bCs/>
          <w:sz w:val="20"/>
          <w:vertAlign w:val="baseline"/>
        </w:rPr>
        <w:footnoteReference w:customMarkFollows="1" w:id="2"/>
        <w:t>**</w:t>
      </w:r>
    </w:p>
    <w:p w14:paraId="29A98E47" w14:textId="059133F2" w:rsidR="00D75EC1" w:rsidRPr="00915D5E" w:rsidRDefault="00D75EC1" w:rsidP="00D75EC1">
      <w:pPr>
        <w:pStyle w:val="SingleTxtG"/>
        <w:rPr>
          <w:spacing w:val="3"/>
        </w:rPr>
      </w:pPr>
      <w:bookmarkStart w:id="1" w:name="_Hlk46250620"/>
      <w:r>
        <w:rPr>
          <w:shd w:val="clear" w:color="auto" w:fill="FFFFFF"/>
        </w:rPr>
        <w:tab/>
      </w:r>
      <w:r w:rsidRPr="00915D5E">
        <w:rPr>
          <w:shd w:val="clear" w:color="auto" w:fill="FFFFFF"/>
        </w:rPr>
        <w:t xml:space="preserve">Воспроизведенный ниже текст был подготовлен неофициальной рабочей группой </w:t>
      </w:r>
      <w:r w:rsidRPr="00915D5E">
        <w:t>по надлежащей защите водителей и пассажиров (НРГ–НЗВП) с целью повышения обеспечиваемой подголовником степени защиты путем оптимизации процедуры испытания. Изменения к нынешнему тексту</w:t>
      </w:r>
      <w:r w:rsidRPr="00915D5E">
        <w:rPr>
          <w:shd w:val="clear" w:color="auto" w:fill="FFFFFF"/>
        </w:rPr>
        <w:t xml:space="preserve"> Правил № 17 ООН выделены жирным шрифтом в случае новых или зачеркиванием — в случае исключенных элементов.</w:t>
      </w:r>
    </w:p>
    <w:bookmarkEnd w:id="1"/>
    <w:p w14:paraId="378C2078" w14:textId="5E0CACF2" w:rsidR="00D75EC1" w:rsidRDefault="00D75EC1" w:rsidP="00D75EC1">
      <w:pPr>
        <w:pStyle w:val="SingleTxtG"/>
      </w:pPr>
      <w:r>
        <w:br w:type="page"/>
      </w:r>
    </w:p>
    <w:p w14:paraId="61F254BF" w14:textId="2FD27FB1" w:rsidR="00D75EC1" w:rsidRPr="00915D5E" w:rsidRDefault="00D75EC1" w:rsidP="00D75EC1">
      <w:pPr>
        <w:pStyle w:val="HChG"/>
        <w:rPr>
          <w:rFonts w:eastAsia="MS Mincho"/>
        </w:rPr>
      </w:pPr>
      <w:r>
        <w:rPr>
          <w:rFonts w:eastAsia="MS Mincho"/>
        </w:rPr>
        <w:lastRenderedPageBreak/>
        <w:tab/>
      </w:r>
      <w:r w:rsidRPr="00915D5E">
        <w:rPr>
          <w:rFonts w:eastAsia="MS Mincho"/>
        </w:rPr>
        <w:t>I.</w:t>
      </w:r>
      <w:r w:rsidRPr="00915D5E">
        <w:rPr>
          <w:rFonts w:eastAsia="MS Mincho"/>
        </w:rPr>
        <w:tab/>
        <w:t>Предложение</w:t>
      </w:r>
    </w:p>
    <w:p w14:paraId="28AA02EC" w14:textId="77777777" w:rsidR="00D75EC1" w:rsidRPr="00915D5E" w:rsidRDefault="00D75EC1" w:rsidP="00D75EC1">
      <w:pPr>
        <w:pStyle w:val="SingleTxtG"/>
        <w:ind w:left="1287" w:hanging="153"/>
        <w:rPr>
          <w:bCs/>
          <w:iCs/>
        </w:rPr>
      </w:pPr>
      <w:r w:rsidRPr="00915D5E">
        <w:rPr>
          <w:bCs/>
          <w:i/>
        </w:rPr>
        <w:t xml:space="preserve">Пункт 5.6.4 </w:t>
      </w:r>
      <w:r w:rsidRPr="00915D5E">
        <w:rPr>
          <w:bCs/>
          <w:iCs/>
        </w:rPr>
        <w:t>исключить.</w:t>
      </w:r>
    </w:p>
    <w:p w14:paraId="1D3EE1EA" w14:textId="77777777" w:rsidR="00D75EC1" w:rsidRPr="00915D5E" w:rsidRDefault="00D75EC1" w:rsidP="00D75EC1">
      <w:pPr>
        <w:pStyle w:val="SingleTxtG"/>
        <w:ind w:left="1287" w:hanging="153"/>
        <w:rPr>
          <w:bCs/>
        </w:rPr>
      </w:pPr>
      <w:r w:rsidRPr="00915D5E">
        <w:rPr>
          <w:bCs/>
          <w:i/>
        </w:rPr>
        <w:t>Пункты 5.6.5</w:t>
      </w:r>
      <w:r w:rsidRPr="00915D5E">
        <w:rPr>
          <w:rFonts w:asciiTheme="majorBidi" w:hAnsiTheme="majorBidi" w:cstheme="majorBidi"/>
          <w:i/>
          <w:iCs/>
        </w:rPr>
        <w:t>–</w:t>
      </w:r>
      <w:r w:rsidRPr="00915D5E">
        <w:rPr>
          <w:bCs/>
          <w:i/>
        </w:rPr>
        <w:t>5.6.7 (прежние)</w:t>
      </w:r>
      <w:r w:rsidRPr="00915D5E">
        <w:rPr>
          <w:bCs/>
          <w:iCs/>
        </w:rPr>
        <w:t xml:space="preserve"> </w:t>
      </w:r>
      <w:r w:rsidRPr="00915D5E">
        <w:rPr>
          <w:bCs/>
        </w:rPr>
        <w:t>пронумеровать как пункты 5.6.4–5.6.6.</w:t>
      </w:r>
    </w:p>
    <w:p w14:paraId="106DA11B" w14:textId="77777777" w:rsidR="00D75EC1" w:rsidRPr="00915D5E" w:rsidRDefault="00D75EC1" w:rsidP="00D75EC1">
      <w:pPr>
        <w:pStyle w:val="Para"/>
        <w:rPr>
          <w:bCs/>
          <w:lang w:val="ru-RU"/>
        </w:rPr>
      </w:pPr>
      <w:r w:rsidRPr="00915D5E">
        <w:rPr>
          <w:i/>
          <w:lang w:val="ru-RU"/>
        </w:rPr>
        <w:t xml:space="preserve">Включить новые пункты </w:t>
      </w:r>
      <w:r w:rsidRPr="00915D5E">
        <w:rPr>
          <w:bCs/>
          <w:i/>
          <w:iCs/>
          <w:lang w:val="ru-RU"/>
        </w:rPr>
        <w:t>13.15</w:t>
      </w:r>
      <w:r w:rsidRPr="00915D5E">
        <w:rPr>
          <w:rFonts w:asciiTheme="majorBidi" w:hAnsiTheme="majorBidi" w:cstheme="majorBidi"/>
          <w:i/>
          <w:iCs/>
          <w:lang w:val="ru-RU"/>
        </w:rPr>
        <w:t>–</w:t>
      </w:r>
      <w:r w:rsidRPr="00915D5E">
        <w:rPr>
          <w:bCs/>
          <w:i/>
          <w:iCs/>
          <w:lang w:val="ru-RU"/>
        </w:rPr>
        <w:t>13.15.5</w:t>
      </w:r>
      <w:r w:rsidRPr="00915D5E">
        <w:rPr>
          <w:bCs/>
          <w:lang w:val="ru-RU"/>
        </w:rPr>
        <w:t xml:space="preserve"> </w:t>
      </w:r>
      <w:r w:rsidRPr="00915D5E">
        <w:rPr>
          <w:iCs/>
          <w:lang w:val="ru-RU"/>
        </w:rPr>
        <w:t>следующего содержания</w:t>
      </w:r>
      <w:r w:rsidRPr="00915D5E">
        <w:rPr>
          <w:bCs/>
          <w:lang w:val="ru-RU"/>
        </w:rPr>
        <w:t>:</w:t>
      </w:r>
    </w:p>
    <w:p w14:paraId="58CA4D24" w14:textId="77777777" w:rsidR="00D75EC1" w:rsidRPr="00915D5E" w:rsidRDefault="00D75EC1" w:rsidP="00D75EC1">
      <w:pPr>
        <w:widowControl w:val="0"/>
        <w:spacing w:after="120"/>
        <w:ind w:left="2268" w:right="1134" w:hanging="1134"/>
        <w:jc w:val="both"/>
        <w:rPr>
          <w:b/>
          <w:bCs/>
        </w:rPr>
      </w:pPr>
      <w:r w:rsidRPr="00915D5E">
        <w:t>«</w:t>
      </w:r>
      <w:r w:rsidRPr="00915D5E">
        <w:rPr>
          <w:b/>
          <w:bCs/>
        </w:rPr>
        <w:t xml:space="preserve">13.15 </w:t>
      </w:r>
      <w:r w:rsidRPr="00915D5E">
        <w:rPr>
          <w:b/>
          <w:bCs/>
        </w:rPr>
        <w:tab/>
      </w:r>
      <w:r w:rsidRPr="00915D5E">
        <w:rPr>
          <w:b/>
          <w:bCs/>
          <w:shd w:val="clear" w:color="auto" w:fill="FFFFFF"/>
        </w:rPr>
        <w:t>Начиная с официальной даты вступления в силу поправок серии 12 ни одна из Договаривающихся сторон, применяющих настоящие Правила, не отказывает в предоставлении или признании официальных утверждений типа ООН на основании настоящих Правил с внесенными в них поправками серии 12.</w:t>
      </w:r>
    </w:p>
    <w:p w14:paraId="63FE5117" w14:textId="77777777" w:rsidR="00D75EC1" w:rsidRPr="00915D5E" w:rsidRDefault="00D75EC1" w:rsidP="00D75EC1">
      <w:pPr>
        <w:widowControl w:val="0"/>
        <w:spacing w:after="120"/>
        <w:ind w:left="2268" w:right="1134" w:hanging="1134"/>
        <w:jc w:val="both"/>
        <w:rPr>
          <w:b/>
          <w:bCs/>
        </w:rPr>
      </w:pPr>
      <w:r w:rsidRPr="00915D5E">
        <w:rPr>
          <w:b/>
          <w:bCs/>
        </w:rPr>
        <w:t>13.15.1</w:t>
      </w:r>
      <w:r w:rsidRPr="00915D5E">
        <w:rPr>
          <w:b/>
          <w:bCs/>
        </w:rPr>
        <w:tab/>
      </w:r>
      <w:r w:rsidRPr="00915D5E">
        <w:rPr>
          <w:b/>
          <w:bCs/>
          <w:shd w:val="clear" w:color="auto" w:fill="FFFFFF"/>
        </w:rPr>
        <w:t>Начиная с 1 сентября 2027 года Договаривающиеся стороны, применяющие настоящие Правила, не обязаны признавать официальные утверждения типа ООН, предоставленные впервые на основании поправок предшествующих серий 1 сентября 2027 года или после этой даты.</w:t>
      </w:r>
    </w:p>
    <w:p w14:paraId="2E79D897" w14:textId="77777777" w:rsidR="00D75EC1" w:rsidRPr="00915D5E" w:rsidRDefault="00D75EC1" w:rsidP="00D75EC1">
      <w:pPr>
        <w:widowControl w:val="0"/>
        <w:spacing w:after="120"/>
        <w:ind w:left="2268" w:right="1134" w:hanging="1134"/>
        <w:jc w:val="both"/>
        <w:rPr>
          <w:b/>
          <w:bCs/>
        </w:rPr>
      </w:pPr>
      <w:r w:rsidRPr="00915D5E">
        <w:rPr>
          <w:b/>
          <w:bCs/>
        </w:rPr>
        <w:t>13.15.2</w:t>
      </w:r>
      <w:r w:rsidRPr="00915D5E">
        <w:rPr>
          <w:b/>
          <w:bCs/>
        </w:rPr>
        <w:tab/>
      </w:r>
      <w:r w:rsidRPr="00915D5E">
        <w:rPr>
          <w:b/>
          <w:bCs/>
          <w:shd w:val="clear" w:color="auto" w:fill="FFFFFF"/>
        </w:rPr>
        <w:t>До 1 сентября 2029 года Договаривающиеся стороны, применяющие настоящие Правила, признают официальные утверждения типа ООН, предоставленные впервые на основании поправок предшествующих серий до 1 сентября 2027 года.</w:t>
      </w:r>
    </w:p>
    <w:p w14:paraId="1376EEA7" w14:textId="77777777" w:rsidR="00D75EC1" w:rsidRPr="00915D5E" w:rsidRDefault="00D75EC1" w:rsidP="00D75EC1">
      <w:pPr>
        <w:widowControl w:val="0"/>
        <w:spacing w:after="120"/>
        <w:ind w:left="2268" w:right="1134" w:hanging="1134"/>
        <w:jc w:val="both"/>
        <w:rPr>
          <w:b/>
          <w:bCs/>
        </w:rPr>
      </w:pPr>
      <w:r w:rsidRPr="00915D5E">
        <w:rPr>
          <w:b/>
          <w:bCs/>
        </w:rPr>
        <w:t>13.15.3</w:t>
      </w:r>
      <w:r w:rsidRPr="00915D5E">
        <w:rPr>
          <w:b/>
          <w:bCs/>
        </w:rPr>
        <w:tab/>
      </w:r>
      <w:r w:rsidRPr="00915D5E">
        <w:rPr>
          <w:b/>
          <w:bCs/>
          <w:shd w:val="clear" w:color="auto" w:fill="FFFFFF"/>
        </w:rPr>
        <w:t>Начиная с 1 сентября 2029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предшествующих серий к настоящим Правилам.</w:t>
      </w:r>
    </w:p>
    <w:p w14:paraId="54AE2F52" w14:textId="77777777" w:rsidR="00D75EC1" w:rsidRPr="00915D5E" w:rsidRDefault="00D75EC1" w:rsidP="00D75EC1">
      <w:pPr>
        <w:widowControl w:val="0"/>
        <w:spacing w:after="120"/>
        <w:ind w:left="2268" w:right="1134" w:hanging="1134"/>
        <w:jc w:val="both"/>
        <w:rPr>
          <w:b/>
          <w:bCs/>
        </w:rPr>
      </w:pPr>
      <w:r w:rsidRPr="00915D5E">
        <w:rPr>
          <w:b/>
          <w:bCs/>
        </w:rPr>
        <w:t>13.15.4</w:t>
      </w:r>
      <w:r w:rsidRPr="00915D5E">
        <w:rPr>
          <w:b/>
          <w:bCs/>
        </w:rPr>
        <w:tab/>
      </w:r>
      <w:r w:rsidRPr="00915D5E">
        <w:rPr>
          <w:b/>
          <w:bCs/>
          <w:shd w:val="clear" w:color="auto" w:fill="FFFFFF"/>
        </w:rPr>
        <w:t>Независимо от положений пункта 13.15.3 Договаривающиеся стороны, применяющие настоящие Правила, продолжают признавать официальные утверждения типа ООН, предоставленные на основании поправок предшествующих серий к настоящим Правилам и касающиеся транспортных средств, которые не затронуты изменениями, внесенными на основании поправок серии 12.</w:t>
      </w:r>
    </w:p>
    <w:p w14:paraId="395A2E89" w14:textId="77777777" w:rsidR="00D75EC1" w:rsidRPr="00915D5E" w:rsidRDefault="00D75EC1" w:rsidP="00D75EC1">
      <w:pPr>
        <w:widowControl w:val="0"/>
        <w:spacing w:after="120"/>
        <w:ind w:left="2268" w:right="1134" w:hanging="1134"/>
        <w:jc w:val="both"/>
      </w:pPr>
      <w:r w:rsidRPr="00915D5E">
        <w:rPr>
          <w:b/>
          <w:bCs/>
        </w:rPr>
        <w:t>13.15.5</w:t>
      </w:r>
      <w:r w:rsidRPr="00915D5E">
        <w:rPr>
          <w:b/>
          <w:bCs/>
        </w:rPr>
        <w:tab/>
        <w:t xml:space="preserve">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какой-либо </w:t>
      </w:r>
      <w:r w:rsidRPr="00915D5E">
        <w:rPr>
          <w:b/>
          <w:bCs/>
          <w:shd w:val="clear" w:color="auto" w:fill="FFFFFF"/>
        </w:rPr>
        <w:t xml:space="preserve">предшествующей </w:t>
      </w:r>
      <w:r w:rsidRPr="00915D5E">
        <w:rPr>
          <w:b/>
          <w:bCs/>
        </w:rPr>
        <w:t>серии поправок к настоящим Правилам</w:t>
      </w:r>
      <w:r w:rsidRPr="00915D5E">
        <w:t>».</w:t>
      </w:r>
    </w:p>
    <w:p w14:paraId="53B81E20" w14:textId="77777777" w:rsidR="00D75EC1" w:rsidRPr="00915D5E" w:rsidRDefault="00D75EC1" w:rsidP="00D75EC1">
      <w:pPr>
        <w:pStyle w:val="SingleTxtG"/>
        <w:ind w:left="1287" w:hanging="153"/>
        <w:rPr>
          <w:bCs/>
        </w:rPr>
      </w:pPr>
      <w:r w:rsidRPr="00915D5E">
        <w:rPr>
          <w:bCs/>
          <w:i/>
        </w:rPr>
        <w:t>Приложение 5, пункт 1</w:t>
      </w:r>
      <w:r w:rsidRPr="00915D5E">
        <w:rPr>
          <w:bCs/>
          <w:iCs/>
        </w:rPr>
        <w:t xml:space="preserve"> </w:t>
      </w:r>
      <w:r w:rsidRPr="00915D5E">
        <w:rPr>
          <w:iCs/>
        </w:rPr>
        <w:t>изменить следующим образом</w:t>
      </w:r>
      <w:r w:rsidRPr="00915D5E">
        <w:rPr>
          <w:bCs/>
        </w:rPr>
        <w:t>:</w:t>
      </w:r>
    </w:p>
    <w:p w14:paraId="5968A217" w14:textId="77777777" w:rsidR="00D75EC1" w:rsidRPr="00915D5E" w:rsidRDefault="00D75EC1" w:rsidP="00D75EC1">
      <w:pPr>
        <w:pStyle w:val="Para"/>
        <w:rPr>
          <w:bCs/>
          <w:lang w:val="ru-RU"/>
        </w:rPr>
      </w:pPr>
      <w:r w:rsidRPr="00915D5E">
        <w:rPr>
          <w:lang w:val="ru-RU"/>
        </w:rPr>
        <w:t>«</w:t>
      </w:r>
      <w:r w:rsidRPr="00915D5E">
        <w:rPr>
          <w:bCs/>
          <w:lang w:val="ru-RU"/>
        </w:rPr>
        <w:t>1.</w:t>
      </w:r>
      <w:r w:rsidRPr="00915D5E">
        <w:rPr>
          <w:bCs/>
          <w:lang w:val="ru-RU"/>
        </w:rPr>
        <w:tab/>
        <w:t xml:space="preserve">Цель </w:t>
      </w:r>
    </w:p>
    <w:p w14:paraId="1E1F3ED9" w14:textId="4EE9E4EB" w:rsidR="00D75EC1" w:rsidRPr="00915D5E" w:rsidRDefault="00D75EC1" w:rsidP="00D75EC1">
      <w:pPr>
        <w:pStyle w:val="Para"/>
        <w:ind w:firstLine="0"/>
        <w:rPr>
          <w:bCs/>
          <w:strike/>
          <w:lang w:val="ru-RU"/>
        </w:rPr>
      </w:pPr>
      <w:r w:rsidRPr="00915D5E">
        <w:rPr>
          <w:strike/>
          <w:shd w:val="clear" w:color="auto" w:fill="FFFFFF"/>
          <w:lang w:val="ru-RU"/>
        </w:rPr>
        <w:t>Подтвердить соблюдение требований в отношении смещения, содержащихся в пункте 5.6.4 настоящих Правил, в соответствии с</w:t>
      </w:r>
      <w:r>
        <w:rPr>
          <w:strike/>
          <w:shd w:val="clear" w:color="auto" w:fill="FFFFFF"/>
          <w:lang w:val="en-US"/>
        </w:rPr>
        <w:t> </w:t>
      </w:r>
      <w:r w:rsidRPr="00915D5E">
        <w:rPr>
          <w:strike/>
          <w:shd w:val="clear" w:color="auto" w:fill="FFFFFF"/>
          <w:lang w:val="ru-RU"/>
        </w:rPr>
        <w:t>пунктом 2 настоящего приложения.</w:t>
      </w:r>
    </w:p>
    <w:p w14:paraId="2FBAD34A" w14:textId="5DFD6F4B" w:rsidR="00D75EC1" w:rsidRPr="00915D5E" w:rsidRDefault="00D75EC1" w:rsidP="00D75EC1">
      <w:pPr>
        <w:pStyle w:val="Para"/>
        <w:ind w:firstLine="0"/>
        <w:rPr>
          <w:bCs/>
          <w:lang w:val="ru-RU"/>
        </w:rPr>
      </w:pPr>
      <w:r w:rsidRPr="00915D5E">
        <w:rPr>
          <w:shd w:val="clear" w:color="auto" w:fill="FFFFFF"/>
          <w:lang w:val="ru-RU"/>
        </w:rPr>
        <w:t>Подтвердить соблюдение требований в отношении смещения, содержащихся в пункте 5.7.2 настоящих Правил, в соответствии с</w:t>
      </w:r>
      <w:r>
        <w:rPr>
          <w:shd w:val="clear" w:color="auto" w:fill="FFFFFF"/>
          <w:lang w:val="en-US"/>
        </w:rPr>
        <w:t> </w:t>
      </w:r>
      <w:r w:rsidRPr="00915D5E">
        <w:rPr>
          <w:shd w:val="clear" w:color="auto" w:fill="FFFFFF"/>
          <w:lang w:val="ru-RU"/>
        </w:rPr>
        <w:t>пунктом 2 настоящего приложения.</w:t>
      </w:r>
    </w:p>
    <w:p w14:paraId="2D488A29" w14:textId="7DD51839" w:rsidR="00D75EC1" w:rsidRPr="00915D5E" w:rsidRDefault="00D75EC1" w:rsidP="00D75EC1">
      <w:pPr>
        <w:pStyle w:val="Para"/>
        <w:ind w:firstLine="0"/>
        <w:rPr>
          <w:bCs/>
          <w:lang w:val="ru-RU"/>
        </w:rPr>
      </w:pPr>
      <w:r w:rsidRPr="00915D5E">
        <w:rPr>
          <w:shd w:val="clear" w:color="auto" w:fill="FFFFFF"/>
          <w:lang w:val="ru-RU"/>
        </w:rPr>
        <w:t>Подтвердить соблюдение требований в отношении смещения, содержащихся в пункте 5.7.3 настоящих Правил, в соответствии с</w:t>
      </w:r>
      <w:r>
        <w:rPr>
          <w:shd w:val="clear" w:color="auto" w:fill="FFFFFF"/>
          <w:lang w:val="en-US"/>
        </w:rPr>
        <w:t> </w:t>
      </w:r>
      <w:r w:rsidRPr="00915D5E">
        <w:rPr>
          <w:shd w:val="clear" w:color="auto" w:fill="FFFFFF"/>
          <w:lang w:val="ru-RU"/>
        </w:rPr>
        <w:t xml:space="preserve">пунктом </w:t>
      </w:r>
      <w:r w:rsidR="00A83BF1" w:rsidRPr="00A83BF1">
        <w:rPr>
          <w:shd w:val="clear" w:color="auto" w:fill="FFFFFF"/>
          <w:lang w:val="ru-RU"/>
        </w:rPr>
        <w:t>3</w:t>
      </w:r>
      <w:r w:rsidRPr="00915D5E">
        <w:rPr>
          <w:shd w:val="clear" w:color="auto" w:fill="FFFFFF"/>
          <w:lang w:val="ru-RU"/>
        </w:rPr>
        <w:t xml:space="preserve"> настоящего приложения».</w:t>
      </w:r>
    </w:p>
    <w:p w14:paraId="52E91D49" w14:textId="77777777" w:rsidR="00D75EC1" w:rsidRPr="00915D5E" w:rsidRDefault="00D75EC1" w:rsidP="00D75EC1">
      <w:pPr>
        <w:pStyle w:val="Para"/>
        <w:rPr>
          <w:bCs/>
          <w:lang w:val="ru-RU"/>
        </w:rPr>
      </w:pPr>
      <w:r w:rsidRPr="00915D5E">
        <w:rPr>
          <w:bCs/>
          <w:i/>
          <w:lang w:val="ru-RU"/>
        </w:rPr>
        <w:t xml:space="preserve">Приложение </w:t>
      </w:r>
      <w:r w:rsidRPr="00915D5E">
        <w:rPr>
          <w:bCs/>
          <w:i/>
          <w:iCs/>
          <w:lang w:val="ru-RU"/>
        </w:rPr>
        <w:t>5, пункт 2.5</w:t>
      </w:r>
      <w:r w:rsidRPr="00915D5E">
        <w:rPr>
          <w:bCs/>
          <w:lang w:val="ru-RU"/>
        </w:rPr>
        <w:t xml:space="preserve"> </w:t>
      </w:r>
      <w:r w:rsidRPr="00915D5E">
        <w:rPr>
          <w:bCs/>
          <w:iCs/>
          <w:lang w:val="ru-RU"/>
        </w:rPr>
        <w:t>исключить</w:t>
      </w:r>
      <w:r w:rsidRPr="00915D5E">
        <w:rPr>
          <w:bCs/>
          <w:lang w:val="ru-RU"/>
        </w:rPr>
        <w:t>.</w:t>
      </w:r>
    </w:p>
    <w:p w14:paraId="541563EB" w14:textId="77777777" w:rsidR="00D75EC1" w:rsidRPr="00915D5E" w:rsidRDefault="00D75EC1" w:rsidP="00D75EC1">
      <w:pPr>
        <w:pStyle w:val="Para"/>
        <w:rPr>
          <w:bCs/>
          <w:lang w:val="ru-RU"/>
        </w:rPr>
      </w:pPr>
      <w:r w:rsidRPr="00915D5E">
        <w:rPr>
          <w:bCs/>
          <w:i/>
          <w:lang w:val="ru-RU"/>
        </w:rPr>
        <w:t xml:space="preserve">Приложение </w:t>
      </w:r>
      <w:r w:rsidRPr="00915D5E">
        <w:rPr>
          <w:bCs/>
          <w:i/>
          <w:iCs/>
          <w:lang w:val="ru-RU"/>
        </w:rPr>
        <w:t>5, пункт 2.6 (прежний)</w:t>
      </w:r>
      <w:r w:rsidRPr="00915D5E">
        <w:rPr>
          <w:bCs/>
          <w:lang w:val="ru-RU"/>
        </w:rPr>
        <w:t xml:space="preserve"> пронумеровать как пункт 2.5.</w:t>
      </w:r>
    </w:p>
    <w:p w14:paraId="53A70583" w14:textId="77777777" w:rsidR="00D75EC1" w:rsidRPr="00915D5E" w:rsidRDefault="00D75EC1" w:rsidP="00D75EC1">
      <w:pPr>
        <w:pStyle w:val="Para"/>
        <w:pageBreakBefore/>
        <w:rPr>
          <w:bCs/>
          <w:lang w:val="ru-RU"/>
        </w:rPr>
      </w:pPr>
      <w:r w:rsidRPr="00915D5E">
        <w:rPr>
          <w:bCs/>
          <w:i/>
          <w:lang w:val="ru-RU"/>
        </w:rPr>
        <w:lastRenderedPageBreak/>
        <w:t xml:space="preserve">Приложение </w:t>
      </w:r>
      <w:r w:rsidRPr="00915D5E">
        <w:rPr>
          <w:bCs/>
          <w:i/>
          <w:iCs/>
          <w:lang w:val="ru-RU"/>
        </w:rPr>
        <w:t xml:space="preserve">5, </w:t>
      </w:r>
      <w:r w:rsidRPr="00915D5E">
        <w:rPr>
          <w:i/>
          <w:lang w:val="ru-RU"/>
        </w:rPr>
        <w:t xml:space="preserve">включить новый пункт </w:t>
      </w:r>
      <w:r w:rsidRPr="00915D5E">
        <w:rPr>
          <w:bCs/>
          <w:i/>
          <w:iCs/>
          <w:lang w:val="ru-RU"/>
        </w:rPr>
        <w:t>2.6</w:t>
      </w:r>
      <w:r w:rsidRPr="00915D5E">
        <w:rPr>
          <w:bCs/>
          <w:lang w:val="ru-RU"/>
        </w:rPr>
        <w:t xml:space="preserve"> </w:t>
      </w:r>
      <w:r w:rsidRPr="00915D5E">
        <w:rPr>
          <w:iCs/>
          <w:lang w:val="ru-RU"/>
        </w:rPr>
        <w:t>следующего содержания</w:t>
      </w:r>
      <w:r w:rsidRPr="00915D5E">
        <w:rPr>
          <w:bCs/>
          <w:lang w:val="ru-RU"/>
        </w:rPr>
        <w:t>:</w:t>
      </w:r>
    </w:p>
    <w:p w14:paraId="498B55F2" w14:textId="77777777" w:rsidR="00D75EC1" w:rsidRPr="00915D5E" w:rsidRDefault="00D75EC1" w:rsidP="00D75EC1">
      <w:pPr>
        <w:pStyle w:val="Para"/>
        <w:rPr>
          <w:bCs/>
          <w:lang w:val="ru-RU"/>
        </w:rPr>
      </w:pPr>
      <w:r w:rsidRPr="00A83BF1">
        <w:rPr>
          <w:bCs/>
          <w:lang w:val="ru-RU"/>
        </w:rPr>
        <w:t>«</w:t>
      </w:r>
      <w:r w:rsidRPr="00915D5E">
        <w:rPr>
          <w:b/>
          <w:lang w:val="ru-RU"/>
        </w:rPr>
        <w:t>2.6</w:t>
      </w:r>
      <w:r w:rsidRPr="00915D5E">
        <w:rPr>
          <w:b/>
          <w:lang w:val="ru-RU"/>
        </w:rPr>
        <w:tab/>
      </w:r>
      <w:r w:rsidRPr="00915D5E">
        <w:rPr>
          <w:b/>
          <w:bCs/>
          <w:lang w:val="ru-RU"/>
        </w:rPr>
        <w:t>В дополнение к испытанию, описанному в пункте 2.4, техническая служба, ответственная за проведение испытаний, выбирает одну или несколько дополнительных точек при высоте подголовника, соответствующей самому низкому положению использования, когда ожидаемое смещение модели головы в заднем направлении</w:t>
      </w:r>
      <w:r w:rsidRPr="00915D5E">
        <w:rPr>
          <w:b/>
          <w:shd w:val="clear" w:color="auto" w:fill="FFFFFF"/>
          <w:lang w:val="ru-RU"/>
        </w:rPr>
        <w:t xml:space="preserve"> будет наибольшим. Рассматриваемая зона определяется следующим образом: над плоскостью, перпендикулярной исходной линии и расположенной на расстоянии 540 мм от точки "</w:t>
      </w:r>
      <w:r w:rsidRPr="00915D5E">
        <w:rPr>
          <w:b/>
          <w:shd w:val="clear" w:color="auto" w:fill="FFFFFF"/>
        </w:rPr>
        <w:t>R</w:t>
      </w:r>
      <w:r w:rsidRPr="00915D5E">
        <w:rPr>
          <w:b/>
          <w:shd w:val="clear" w:color="auto" w:fill="FFFFFF"/>
          <w:lang w:val="ru-RU"/>
        </w:rPr>
        <w:t>" и между двумя вертикальными продольными плоскостями, проходящими на расстоянии 85 мм с каждой стороны от исходной линии</w:t>
      </w:r>
      <w:r w:rsidRPr="00915D5E">
        <w:rPr>
          <w:bCs/>
          <w:shd w:val="clear" w:color="auto" w:fill="FFFFFF"/>
          <w:lang w:val="ru-RU"/>
        </w:rPr>
        <w:t>».</w:t>
      </w:r>
    </w:p>
    <w:p w14:paraId="016CF936" w14:textId="77777777" w:rsidR="00D75EC1" w:rsidRPr="00915D5E" w:rsidRDefault="00D75EC1" w:rsidP="00D75EC1">
      <w:pPr>
        <w:pStyle w:val="SingleTxtG"/>
        <w:ind w:left="1287" w:hanging="153"/>
        <w:rPr>
          <w:bCs/>
        </w:rPr>
      </w:pPr>
      <w:r w:rsidRPr="00915D5E">
        <w:rPr>
          <w:bCs/>
          <w:i/>
        </w:rPr>
        <w:t xml:space="preserve">Приложение 8, </w:t>
      </w:r>
      <w:r w:rsidRPr="00915D5E">
        <w:rPr>
          <w:bCs/>
          <w:i/>
          <w:iCs/>
        </w:rPr>
        <w:t xml:space="preserve">пункт </w:t>
      </w:r>
      <w:r w:rsidRPr="00915D5E">
        <w:rPr>
          <w:bCs/>
          <w:i/>
        </w:rPr>
        <w:t>1</w:t>
      </w:r>
      <w:r w:rsidRPr="00915D5E">
        <w:rPr>
          <w:bCs/>
          <w:iCs/>
        </w:rPr>
        <w:t xml:space="preserve"> </w:t>
      </w:r>
      <w:r w:rsidRPr="00915D5E">
        <w:rPr>
          <w:iCs/>
        </w:rPr>
        <w:t>изменить следующим образом</w:t>
      </w:r>
      <w:r w:rsidRPr="00915D5E">
        <w:rPr>
          <w:bCs/>
        </w:rPr>
        <w:t>:</w:t>
      </w:r>
    </w:p>
    <w:p w14:paraId="4CA14D5B" w14:textId="77777777" w:rsidR="00D75EC1" w:rsidRPr="00915D5E" w:rsidRDefault="00D75EC1" w:rsidP="00D75EC1">
      <w:pPr>
        <w:pStyle w:val="Para"/>
        <w:rPr>
          <w:bCs/>
          <w:lang w:val="ru-RU"/>
        </w:rPr>
      </w:pPr>
      <w:r w:rsidRPr="00915D5E">
        <w:rPr>
          <w:lang w:val="ru-RU"/>
        </w:rPr>
        <w:t>«</w:t>
      </w:r>
      <w:r w:rsidRPr="00915D5E">
        <w:rPr>
          <w:bCs/>
          <w:lang w:val="ru-RU"/>
        </w:rPr>
        <w:t>1.</w:t>
      </w:r>
      <w:r w:rsidRPr="00915D5E">
        <w:rPr>
          <w:bCs/>
          <w:lang w:val="ru-RU"/>
        </w:rPr>
        <w:tab/>
        <w:t>Цель</w:t>
      </w:r>
    </w:p>
    <w:p w14:paraId="63217380" w14:textId="77777777" w:rsidR="00D75EC1" w:rsidRPr="00915D5E" w:rsidRDefault="00D75EC1" w:rsidP="00D75EC1">
      <w:pPr>
        <w:pStyle w:val="Para"/>
        <w:ind w:firstLine="0"/>
        <w:rPr>
          <w:bCs/>
          <w:lang w:val="ru-RU"/>
        </w:rPr>
      </w:pPr>
      <w:r w:rsidRPr="00915D5E">
        <w:rPr>
          <w:shd w:val="clear" w:color="auto" w:fill="FFFFFF"/>
          <w:lang w:val="ru-RU"/>
        </w:rPr>
        <w:t xml:space="preserve">Цель настоящей процедуры испытания состоит в оценке любых проемов </w:t>
      </w:r>
      <w:r w:rsidRPr="00915D5E">
        <w:rPr>
          <w:strike/>
          <w:shd w:val="clear" w:color="auto" w:fill="FFFFFF"/>
          <w:lang w:val="ru-RU"/>
        </w:rPr>
        <w:t>в подголовниках, а также проемов</w:t>
      </w:r>
      <w:r w:rsidRPr="00915D5E">
        <w:rPr>
          <w:shd w:val="clear" w:color="auto" w:fill="FFFFFF"/>
          <w:lang w:val="ru-RU"/>
        </w:rPr>
        <w:t xml:space="preserve"> между низом подголовника и верхом спинки сиденья в соответствии с требованиями пункт</w:t>
      </w:r>
      <w:r w:rsidRPr="00915D5E">
        <w:rPr>
          <w:strike/>
          <w:shd w:val="clear" w:color="auto" w:fill="FFFFFF"/>
          <w:lang w:val="ru-RU"/>
        </w:rPr>
        <w:t>ов</w:t>
      </w:r>
      <w:r w:rsidRPr="00915D5E">
        <w:rPr>
          <w:b/>
          <w:bCs/>
          <w:shd w:val="clear" w:color="auto" w:fill="FFFFFF"/>
          <w:lang w:val="ru-RU"/>
        </w:rPr>
        <w:t>а</w:t>
      </w:r>
      <w:r w:rsidRPr="00915D5E">
        <w:rPr>
          <w:shd w:val="clear" w:color="auto" w:fill="FFFFFF"/>
          <w:lang w:val="ru-RU"/>
        </w:rPr>
        <w:t xml:space="preserve"> </w:t>
      </w:r>
      <w:r w:rsidRPr="00915D5E">
        <w:rPr>
          <w:strike/>
          <w:shd w:val="clear" w:color="auto" w:fill="FFFFFF"/>
          <w:lang w:val="ru-RU"/>
        </w:rPr>
        <w:t>5.6.4 и</w:t>
      </w:r>
      <w:r w:rsidRPr="00915D5E">
        <w:rPr>
          <w:shd w:val="clear" w:color="auto" w:fill="FFFFFF"/>
          <w:lang w:val="ru-RU"/>
        </w:rPr>
        <w:t xml:space="preserve"> 5.6.5 настоящих Правил.</w:t>
      </w:r>
    </w:p>
    <w:p w14:paraId="1558D9D5" w14:textId="77777777" w:rsidR="00D75EC1" w:rsidRPr="00915D5E" w:rsidRDefault="00D75EC1" w:rsidP="00D75EC1">
      <w:pPr>
        <w:pStyle w:val="Para"/>
        <w:ind w:firstLine="0"/>
        <w:rPr>
          <w:bCs/>
          <w:strike/>
          <w:lang w:val="ru-RU"/>
        </w:rPr>
      </w:pPr>
      <w:r w:rsidRPr="00915D5E">
        <w:rPr>
          <w:strike/>
          <w:shd w:val="clear" w:color="auto" w:fill="FFFFFF"/>
          <w:lang w:val="ru-RU"/>
        </w:rPr>
        <w:t>Любые проемы в подголовнике измеряются с помощью сферы с использованием процедуры, описанной в пункте 2 настоящего приложения.</w:t>
      </w:r>
    </w:p>
    <w:p w14:paraId="0CA97C2D" w14:textId="0AA4AD53" w:rsidR="00D75EC1" w:rsidRPr="00915D5E" w:rsidRDefault="00D75EC1" w:rsidP="00D75EC1">
      <w:pPr>
        <w:pStyle w:val="Para"/>
        <w:ind w:firstLine="0"/>
        <w:rPr>
          <w:bCs/>
          <w:lang w:val="ru-RU"/>
        </w:rPr>
      </w:pPr>
      <w:r w:rsidRPr="00915D5E">
        <w:rPr>
          <w:lang w:val="ru-RU"/>
        </w:rPr>
        <w:t>Проемы между низом подголовника и верхом спинки сиденья измеряют с помощью сферы с использованием процедуры, описанной ниже в</w:t>
      </w:r>
      <w:r w:rsidR="00B03DBE">
        <w:rPr>
          <w:lang w:val="en-US"/>
        </w:rPr>
        <w:t> </w:t>
      </w:r>
      <w:r w:rsidRPr="00915D5E">
        <w:rPr>
          <w:lang w:val="ru-RU"/>
        </w:rPr>
        <w:t>пунктах</w:t>
      </w:r>
      <w:r w:rsidRPr="00915D5E">
        <w:t> </w:t>
      </w:r>
      <w:r w:rsidRPr="00915D5E">
        <w:rPr>
          <w:lang w:val="ru-RU"/>
        </w:rPr>
        <w:t>2.1–2.5 настоящего приложения, или по выбору изготовителя с</w:t>
      </w:r>
      <w:r w:rsidR="00B03DBE">
        <w:rPr>
          <w:lang w:val="en-US"/>
        </w:rPr>
        <w:t> </w:t>
      </w:r>
      <w:r w:rsidRPr="00915D5E">
        <w:rPr>
          <w:lang w:val="ru-RU"/>
        </w:rPr>
        <w:t>использованием линейной процедуры измерения, описанной в пункте</w:t>
      </w:r>
      <w:r w:rsidRPr="00915D5E">
        <w:t> </w:t>
      </w:r>
      <w:r w:rsidRPr="00915D5E">
        <w:rPr>
          <w:lang w:val="ru-RU"/>
        </w:rPr>
        <w:t>3 настоящего приложения».</w:t>
      </w:r>
    </w:p>
    <w:p w14:paraId="5D0D7BE0" w14:textId="77777777" w:rsidR="00D75EC1" w:rsidRPr="00915D5E" w:rsidRDefault="00D75EC1" w:rsidP="00D75EC1">
      <w:pPr>
        <w:pStyle w:val="Para"/>
        <w:rPr>
          <w:bCs/>
          <w:lang w:val="ru-RU"/>
        </w:rPr>
      </w:pPr>
      <w:r w:rsidRPr="00915D5E">
        <w:rPr>
          <w:bCs/>
          <w:i/>
          <w:lang w:val="ru-RU"/>
        </w:rPr>
        <w:t xml:space="preserve">Приложение </w:t>
      </w:r>
      <w:r w:rsidRPr="00915D5E">
        <w:rPr>
          <w:bCs/>
          <w:i/>
          <w:iCs/>
          <w:lang w:val="ru-RU"/>
        </w:rPr>
        <w:t>8, пункт 2.5</w:t>
      </w:r>
      <w:r w:rsidRPr="00915D5E">
        <w:rPr>
          <w:bCs/>
          <w:lang w:val="ru-RU"/>
        </w:rPr>
        <w:t xml:space="preserve"> </w:t>
      </w:r>
      <w:r w:rsidRPr="00915D5E">
        <w:rPr>
          <w:iCs/>
          <w:lang w:val="ru-RU"/>
        </w:rPr>
        <w:t>изменить следующим образом</w:t>
      </w:r>
      <w:r w:rsidRPr="00915D5E">
        <w:rPr>
          <w:bCs/>
          <w:lang w:val="ru-RU"/>
        </w:rPr>
        <w:t>:</w:t>
      </w:r>
    </w:p>
    <w:p w14:paraId="69561CAF" w14:textId="77777777" w:rsidR="00D75EC1" w:rsidRPr="00915D5E" w:rsidRDefault="00D75EC1" w:rsidP="00D75EC1">
      <w:pPr>
        <w:pStyle w:val="Para"/>
        <w:rPr>
          <w:bCs/>
          <w:lang w:val="ru-RU"/>
        </w:rPr>
      </w:pPr>
      <w:r w:rsidRPr="00915D5E">
        <w:rPr>
          <w:bCs/>
          <w:lang w:val="ru-RU"/>
        </w:rPr>
        <w:t>«2.5</w:t>
      </w:r>
      <w:r w:rsidRPr="00915D5E">
        <w:rPr>
          <w:bCs/>
          <w:lang w:val="ru-RU"/>
        </w:rPr>
        <w:tab/>
      </w:r>
      <w:r w:rsidRPr="00915D5E">
        <w:rPr>
          <w:shd w:val="clear" w:color="auto" w:fill="FFFFFF"/>
          <w:lang w:val="ru-RU"/>
        </w:rPr>
        <w:t>Размер проема определяют путем измерения расстояния по прямой линии между внутренними краями двух наиболее удаленных точек контакта, как показано на рис. 8-1</w:t>
      </w:r>
      <w:r w:rsidRPr="00915D5E">
        <w:rPr>
          <w:strike/>
          <w:shd w:val="clear" w:color="auto" w:fill="FFFFFF"/>
          <w:lang w:val="ru-RU"/>
        </w:rPr>
        <w:t>, 8-2 и 8-3</w:t>
      </w:r>
      <w:r w:rsidRPr="00915D5E">
        <w:rPr>
          <w:shd w:val="clear" w:color="auto" w:fill="FFFFFF"/>
          <w:lang w:val="ru-RU"/>
        </w:rPr>
        <w:t>».</w:t>
      </w:r>
    </w:p>
    <w:p w14:paraId="27975D63" w14:textId="77777777" w:rsidR="00D75EC1" w:rsidRPr="00915D5E" w:rsidRDefault="00D75EC1" w:rsidP="00D75EC1">
      <w:pPr>
        <w:pStyle w:val="Para"/>
        <w:rPr>
          <w:bCs/>
          <w:lang w:val="ru-RU"/>
        </w:rPr>
      </w:pPr>
      <w:r w:rsidRPr="00915D5E">
        <w:rPr>
          <w:bCs/>
          <w:i/>
          <w:lang w:val="ru-RU"/>
        </w:rPr>
        <w:t xml:space="preserve">Приложение </w:t>
      </w:r>
      <w:r w:rsidRPr="00915D5E">
        <w:rPr>
          <w:bCs/>
          <w:i/>
          <w:iCs/>
          <w:lang w:val="ru-RU"/>
        </w:rPr>
        <w:t>8, пункт 2.6</w:t>
      </w:r>
      <w:r w:rsidRPr="00915D5E">
        <w:rPr>
          <w:bCs/>
          <w:lang w:val="ru-RU"/>
        </w:rPr>
        <w:t xml:space="preserve"> </w:t>
      </w:r>
      <w:r w:rsidRPr="00915D5E">
        <w:rPr>
          <w:bCs/>
          <w:iCs/>
          <w:lang w:val="ru-RU"/>
        </w:rPr>
        <w:t>исключить</w:t>
      </w:r>
      <w:r w:rsidRPr="00915D5E">
        <w:rPr>
          <w:bCs/>
          <w:lang w:val="ru-RU"/>
        </w:rPr>
        <w:t>.</w:t>
      </w:r>
    </w:p>
    <w:p w14:paraId="74E66372" w14:textId="77777777" w:rsidR="00D75EC1" w:rsidRPr="00915D5E" w:rsidRDefault="00D75EC1" w:rsidP="00D75EC1">
      <w:pPr>
        <w:pStyle w:val="Para"/>
        <w:rPr>
          <w:bCs/>
          <w:lang w:val="ru-RU"/>
        </w:rPr>
      </w:pPr>
      <w:r w:rsidRPr="00915D5E">
        <w:rPr>
          <w:bCs/>
          <w:i/>
          <w:lang w:val="ru-RU"/>
        </w:rPr>
        <w:t xml:space="preserve">Приложение </w:t>
      </w:r>
      <w:r w:rsidRPr="00915D5E">
        <w:rPr>
          <w:bCs/>
          <w:i/>
          <w:iCs/>
          <w:lang w:val="ru-RU"/>
        </w:rPr>
        <w:t>8, рис. 8-1 и рис. 8-2</w:t>
      </w:r>
      <w:r w:rsidRPr="00915D5E">
        <w:rPr>
          <w:bCs/>
          <w:lang w:val="ru-RU"/>
        </w:rPr>
        <w:t xml:space="preserve"> </w:t>
      </w:r>
      <w:r w:rsidRPr="00915D5E">
        <w:rPr>
          <w:bCs/>
          <w:iCs/>
          <w:lang w:val="ru-RU"/>
        </w:rPr>
        <w:t>исключить</w:t>
      </w:r>
      <w:r w:rsidRPr="00915D5E">
        <w:rPr>
          <w:bCs/>
          <w:lang w:val="ru-RU"/>
        </w:rPr>
        <w:t>.</w:t>
      </w:r>
    </w:p>
    <w:p w14:paraId="45820D5E" w14:textId="77777777" w:rsidR="00D75EC1" w:rsidRPr="00915D5E" w:rsidRDefault="00D75EC1" w:rsidP="00D75EC1">
      <w:pPr>
        <w:pStyle w:val="Para"/>
        <w:rPr>
          <w:bCs/>
          <w:lang w:val="ru-RU"/>
        </w:rPr>
      </w:pPr>
      <w:r w:rsidRPr="00915D5E">
        <w:rPr>
          <w:bCs/>
          <w:i/>
          <w:lang w:val="ru-RU"/>
        </w:rPr>
        <w:t xml:space="preserve">Приложение </w:t>
      </w:r>
      <w:r w:rsidRPr="00915D5E">
        <w:rPr>
          <w:bCs/>
          <w:i/>
          <w:iCs/>
          <w:lang w:val="ru-RU"/>
        </w:rPr>
        <w:t>8, рис. 8-3 (прежний)</w:t>
      </w:r>
      <w:r w:rsidRPr="00915D5E">
        <w:rPr>
          <w:bCs/>
          <w:lang w:val="ru-RU"/>
        </w:rPr>
        <w:t xml:space="preserve"> пронумеровать как рис. 8-1.</w:t>
      </w:r>
    </w:p>
    <w:p w14:paraId="294799DB" w14:textId="77777777" w:rsidR="00D75EC1" w:rsidRPr="00915D5E" w:rsidRDefault="00D75EC1" w:rsidP="00D75EC1">
      <w:pPr>
        <w:pStyle w:val="Para"/>
        <w:rPr>
          <w:bCs/>
          <w:lang w:val="ru-RU"/>
        </w:rPr>
      </w:pPr>
      <w:r w:rsidRPr="00915D5E">
        <w:rPr>
          <w:bCs/>
          <w:i/>
          <w:lang w:val="ru-RU"/>
        </w:rPr>
        <w:t xml:space="preserve">Приложение </w:t>
      </w:r>
      <w:r w:rsidRPr="00915D5E">
        <w:rPr>
          <w:bCs/>
          <w:i/>
          <w:iCs/>
          <w:lang w:val="ru-RU"/>
        </w:rPr>
        <w:t>8, пункт 3.3</w:t>
      </w:r>
      <w:r w:rsidRPr="00915D5E">
        <w:rPr>
          <w:bCs/>
          <w:lang w:val="ru-RU"/>
        </w:rPr>
        <w:t xml:space="preserve"> </w:t>
      </w:r>
      <w:r w:rsidRPr="00915D5E">
        <w:rPr>
          <w:iCs/>
          <w:lang w:val="ru-RU"/>
        </w:rPr>
        <w:t>изменить следующим образом</w:t>
      </w:r>
      <w:r w:rsidRPr="00915D5E">
        <w:rPr>
          <w:bCs/>
          <w:lang w:val="ru-RU"/>
        </w:rPr>
        <w:t>:</w:t>
      </w:r>
    </w:p>
    <w:p w14:paraId="3AE61DB5" w14:textId="620FEB62" w:rsidR="00D75EC1" w:rsidRPr="00915D5E" w:rsidRDefault="00D75EC1" w:rsidP="00D75EC1">
      <w:pPr>
        <w:pStyle w:val="Para"/>
        <w:rPr>
          <w:bCs/>
          <w:lang w:val="ru-RU"/>
        </w:rPr>
      </w:pPr>
      <w:r w:rsidRPr="00915D5E">
        <w:rPr>
          <w:bCs/>
          <w:lang w:val="ru-RU"/>
        </w:rPr>
        <w:t>«3.3</w:t>
      </w:r>
      <w:r w:rsidRPr="00915D5E">
        <w:rPr>
          <w:bCs/>
          <w:lang w:val="ru-RU"/>
        </w:rPr>
        <w:tab/>
      </w:r>
      <w:r w:rsidRPr="00915D5E">
        <w:rPr>
          <w:shd w:val="clear" w:color="auto" w:fill="FFFFFF"/>
          <w:lang w:val="ru-RU"/>
        </w:rPr>
        <w:t xml:space="preserve">Проем измеряют в продольной вертикальной плоскости через точку </w:t>
      </w:r>
      <w:r w:rsidRPr="00915D5E">
        <w:rPr>
          <w:shd w:val="clear" w:color="auto" w:fill="FFFFFF"/>
        </w:rPr>
        <w:t>R</w:t>
      </w:r>
      <w:r w:rsidRPr="00915D5E">
        <w:rPr>
          <w:shd w:val="clear" w:color="auto" w:fill="FFFFFF"/>
          <w:lang w:val="ru-RU"/>
        </w:rPr>
        <w:t xml:space="preserve"> в</w:t>
      </w:r>
      <w:r w:rsidR="00B03DBE">
        <w:rPr>
          <w:shd w:val="clear" w:color="auto" w:fill="FFFFFF"/>
          <w:lang w:val="en-US"/>
        </w:rPr>
        <w:t> </w:t>
      </w:r>
      <w:r w:rsidRPr="00915D5E">
        <w:rPr>
          <w:shd w:val="clear" w:color="auto" w:fill="FFFFFF"/>
          <w:lang w:val="ru-RU"/>
        </w:rPr>
        <w:t>качестве расстояния, перпендикулярного обеим параллельным плоскостям, как это описано ниже (см.</w:t>
      </w:r>
      <w:r w:rsidRPr="00915D5E">
        <w:rPr>
          <w:shd w:val="clear" w:color="auto" w:fill="FFFFFF"/>
        </w:rPr>
        <w:t> </w:t>
      </w:r>
      <w:r w:rsidRPr="00915D5E">
        <w:rPr>
          <w:shd w:val="clear" w:color="auto" w:fill="FFFFFF"/>
          <w:lang w:val="ru-RU"/>
        </w:rPr>
        <w:t xml:space="preserve">рис. </w:t>
      </w:r>
      <w:r w:rsidRPr="00915D5E">
        <w:rPr>
          <w:bCs/>
          <w:strike/>
          <w:lang w:val="ru-RU"/>
        </w:rPr>
        <w:t>8-4</w:t>
      </w:r>
      <w:r w:rsidRPr="00915D5E">
        <w:rPr>
          <w:bCs/>
          <w:lang w:val="ru-RU"/>
        </w:rPr>
        <w:t xml:space="preserve"> </w:t>
      </w:r>
      <w:r w:rsidRPr="00915D5E">
        <w:rPr>
          <w:b/>
          <w:lang w:val="ru-RU"/>
        </w:rPr>
        <w:t>8-2</w:t>
      </w:r>
      <w:r w:rsidRPr="00915D5E">
        <w:rPr>
          <w:shd w:val="clear" w:color="auto" w:fill="FFFFFF"/>
          <w:lang w:val="ru-RU"/>
        </w:rPr>
        <w:t>):</w:t>
      </w:r>
    </w:p>
    <w:p w14:paraId="290E769B" w14:textId="77777777" w:rsidR="00D75EC1" w:rsidRPr="00915D5E" w:rsidRDefault="00D75EC1" w:rsidP="00D75EC1">
      <w:pPr>
        <w:pStyle w:val="Para"/>
        <w:ind w:left="2835" w:hanging="567"/>
        <w:rPr>
          <w:bCs/>
          <w:lang w:val="ru-RU"/>
        </w:rPr>
      </w:pPr>
      <w:r w:rsidRPr="00915D5E">
        <w:rPr>
          <w:bCs/>
        </w:rPr>
        <w:t>a</w:t>
      </w:r>
      <w:r w:rsidRPr="00915D5E">
        <w:rPr>
          <w:bCs/>
          <w:lang w:val="ru-RU"/>
        </w:rPr>
        <w:t>)</w:t>
      </w:r>
      <w:r w:rsidRPr="00915D5E">
        <w:rPr>
          <w:bCs/>
          <w:lang w:val="ru-RU"/>
        </w:rPr>
        <w:tab/>
      </w:r>
      <w:r w:rsidRPr="00915D5E">
        <w:rPr>
          <w:shd w:val="clear" w:color="auto" w:fill="FFFFFF"/>
          <w:lang w:val="ru-RU"/>
        </w:rPr>
        <w:t>каждая плоскость должна быть перпендикулярна расчетной исходной линии туловища</w:t>
      </w:r>
      <w:r w:rsidRPr="00915D5E">
        <w:rPr>
          <w:bCs/>
          <w:lang w:val="ru-RU"/>
        </w:rPr>
        <w:t xml:space="preserve">; </w:t>
      </w:r>
    </w:p>
    <w:p w14:paraId="2AE8E796" w14:textId="77777777" w:rsidR="00D75EC1" w:rsidRPr="00915D5E" w:rsidRDefault="00D75EC1" w:rsidP="00D75EC1">
      <w:pPr>
        <w:pStyle w:val="Para"/>
        <w:ind w:left="2835" w:hanging="567"/>
        <w:rPr>
          <w:bCs/>
          <w:lang w:val="ru-RU"/>
        </w:rPr>
      </w:pPr>
      <w:r w:rsidRPr="00915D5E">
        <w:rPr>
          <w:bCs/>
        </w:rPr>
        <w:t>b</w:t>
      </w:r>
      <w:r w:rsidRPr="00915D5E">
        <w:rPr>
          <w:bCs/>
          <w:lang w:val="ru-RU"/>
        </w:rPr>
        <w:t>)</w:t>
      </w:r>
      <w:r w:rsidRPr="00915D5E">
        <w:rPr>
          <w:bCs/>
          <w:lang w:val="ru-RU"/>
        </w:rPr>
        <w:tab/>
      </w:r>
      <w:r w:rsidRPr="00915D5E">
        <w:rPr>
          <w:shd w:val="clear" w:color="auto" w:fill="FFFFFF"/>
          <w:lang w:val="ru-RU"/>
        </w:rPr>
        <w:t>одна из плоскостей должна проходить по касательной к нижнему краю подголовника</w:t>
      </w:r>
      <w:r w:rsidRPr="00915D5E">
        <w:rPr>
          <w:bCs/>
          <w:lang w:val="ru-RU"/>
        </w:rPr>
        <w:t xml:space="preserve">; </w:t>
      </w:r>
    </w:p>
    <w:p w14:paraId="44091FB6" w14:textId="77777777" w:rsidR="00D75EC1" w:rsidRPr="00915D5E" w:rsidRDefault="00D75EC1" w:rsidP="00D75EC1">
      <w:pPr>
        <w:pStyle w:val="Para"/>
        <w:ind w:left="2835" w:hanging="567"/>
        <w:rPr>
          <w:bCs/>
          <w:lang w:val="ru-RU"/>
        </w:rPr>
      </w:pPr>
      <w:r w:rsidRPr="00915D5E">
        <w:rPr>
          <w:bCs/>
        </w:rPr>
        <w:t>c</w:t>
      </w:r>
      <w:r w:rsidRPr="00915D5E">
        <w:rPr>
          <w:bCs/>
          <w:lang w:val="ru-RU"/>
        </w:rPr>
        <w:t>)</w:t>
      </w:r>
      <w:r w:rsidRPr="00915D5E">
        <w:rPr>
          <w:bCs/>
          <w:lang w:val="ru-RU"/>
        </w:rPr>
        <w:tab/>
      </w:r>
      <w:r w:rsidRPr="00915D5E">
        <w:rPr>
          <w:lang w:val="ru-RU"/>
        </w:rPr>
        <w:t>другая плоскость должна проходить по касательной к верхнему краю спинки сиденья».</w:t>
      </w:r>
    </w:p>
    <w:p w14:paraId="2D126821" w14:textId="77777777" w:rsidR="00D75EC1" w:rsidRPr="00915D5E" w:rsidRDefault="00D75EC1" w:rsidP="00D75EC1">
      <w:pPr>
        <w:pStyle w:val="Para"/>
        <w:rPr>
          <w:bCs/>
          <w:lang w:val="ru-RU"/>
        </w:rPr>
      </w:pPr>
      <w:r w:rsidRPr="00915D5E">
        <w:rPr>
          <w:bCs/>
          <w:i/>
          <w:lang w:val="ru-RU"/>
        </w:rPr>
        <w:t xml:space="preserve">Приложение </w:t>
      </w:r>
      <w:r w:rsidRPr="00915D5E">
        <w:rPr>
          <w:bCs/>
          <w:i/>
          <w:iCs/>
          <w:lang w:val="ru-RU"/>
        </w:rPr>
        <w:t>8, рис. 8-4 (прежний)</w:t>
      </w:r>
      <w:r w:rsidRPr="00915D5E">
        <w:rPr>
          <w:bCs/>
          <w:lang w:val="ru-RU"/>
        </w:rPr>
        <w:t xml:space="preserve"> </w:t>
      </w:r>
      <w:bookmarkStart w:id="2" w:name="_Hlk163249219"/>
      <w:r w:rsidRPr="00915D5E">
        <w:rPr>
          <w:bCs/>
          <w:lang w:val="ru-RU"/>
        </w:rPr>
        <w:t xml:space="preserve">пронумеровать как </w:t>
      </w:r>
      <w:bookmarkEnd w:id="2"/>
      <w:r w:rsidRPr="00915D5E">
        <w:rPr>
          <w:bCs/>
          <w:lang w:val="ru-RU"/>
        </w:rPr>
        <w:t>рис. 8-2.</w:t>
      </w:r>
    </w:p>
    <w:p w14:paraId="363179C1" w14:textId="77777777" w:rsidR="00D75EC1" w:rsidRPr="00915D5E" w:rsidRDefault="00D75EC1" w:rsidP="00D75EC1">
      <w:pPr>
        <w:pStyle w:val="HChG"/>
        <w:rPr>
          <w:rFonts w:eastAsia="MS Mincho"/>
        </w:rPr>
      </w:pPr>
      <w:r w:rsidRPr="00915D5E">
        <w:rPr>
          <w:rFonts w:eastAsia="MS Mincho"/>
        </w:rPr>
        <w:tab/>
        <w:t>II.</w:t>
      </w:r>
      <w:r w:rsidRPr="00915D5E">
        <w:rPr>
          <w:rFonts w:eastAsia="MS Mincho"/>
        </w:rPr>
        <w:tab/>
        <w:t>Обоснование</w:t>
      </w:r>
    </w:p>
    <w:p w14:paraId="2318AAB2" w14:textId="283C7C5C" w:rsidR="00D75EC1" w:rsidRPr="00915D5E" w:rsidRDefault="00D75EC1" w:rsidP="00D75EC1">
      <w:pPr>
        <w:pStyle w:val="SingleTxtG"/>
        <w:numPr>
          <w:ilvl w:val="0"/>
          <w:numId w:val="23"/>
        </w:numPr>
        <w:tabs>
          <w:tab w:val="clear" w:pos="1701"/>
          <w:tab w:val="clear" w:pos="2268"/>
          <w:tab w:val="clear" w:pos="2835"/>
        </w:tabs>
      </w:pPr>
      <w:r w:rsidRPr="00915D5E">
        <w:rPr>
          <w:shd w:val="clear" w:color="auto" w:fill="FFFFFF"/>
        </w:rPr>
        <w:t>Испытание на смещение модели головы разработано для того, чтобы ограни</w:t>
      </w:r>
      <w:r w:rsidR="00A83BF1">
        <w:rPr>
          <w:shd w:val="clear" w:color="auto" w:fill="FFFFFF"/>
        </w:rPr>
        <w:t>чи</w:t>
      </w:r>
      <w:r w:rsidRPr="00915D5E">
        <w:rPr>
          <w:shd w:val="clear" w:color="auto" w:fill="FFFFFF"/>
        </w:rPr>
        <w:t xml:space="preserve">ть перемещение головы назад по отношению к позвоночнику (туловищу) с целью предотвращения или уменьшения тяжести, например, </w:t>
      </w:r>
      <w:r w:rsidRPr="00915D5E">
        <w:rPr>
          <w:shd w:val="clear" w:color="auto" w:fill="FFFFFF"/>
        </w:rPr>
        <w:lastRenderedPageBreak/>
        <w:t>хлыстовых травм. Поэтому максимальное смещение модели головы относительно туловища ограничено 102 мм.</w:t>
      </w:r>
    </w:p>
    <w:p w14:paraId="04593061" w14:textId="77777777" w:rsidR="00D75EC1" w:rsidRPr="00915D5E" w:rsidRDefault="00D75EC1" w:rsidP="00D75EC1">
      <w:pPr>
        <w:pStyle w:val="SingleTxtG"/>
        <w:numPr>
          <w:ilvl w:val="0"/>
          <w:numId w:val="23"/>
        </w:numPr>
        <w:tabs>
          <w:tab w:val="clear" w:pos="1701"/>
          <w:tab w:val="clear" w:pos="2268"/>
          <w:tab w:val="clear" w:pos="2835"/>
        </w:tabs>
      </w:pPr>
      <w:r w:rsidRPr="00915D5E">
        <w:rPr>
          <w:shd w:val="clear" w:color="auto" w:fill="FFFFFF"/>
        </w:rPr>
        <w:t>Проблема с нынешней процедурой заключается не в самом требовании, как оно определено в пункте 5.7, а в порядке подтверждения соответствия этому требованию при проведении процедуры испытания по приложению 5. Согласно нынешней процедуре испытания, смещение модели головы проверяется только на расстоянии 65 мм от (фактического) верха подголовника и внутри проема, если последний находится на фактической высоте более 60 мм. Как предусмотрено самими положениями, смещение модели головы на различных высотах и внутри проемов должно оставаться фиксированным. В реальной жизни конструкцией некоторых подголовников предусмотрен проем шириной до 60 мм, что в случае испытания привело бы к смещению более чем на 102 мм. Нынешней же процедурой испытания, определенной в приложении 5, этот случай проверкой не охватывается.</w:t>
      </w:r>
    </w:p>
    <w:p w14:paraId="6CA1B82D" w14:textId="337BA8AB" w:rsidR="00D75EC1" w:rsidRPr="00915D5E" w:rsidRDefault="00D75EC1" w:rsidP="00D75EC1">
      <w:pPr>
        <w:pStyle w:val="SingleTxtG"/>
        <w:numPr>
          <w:ilvl w:val="0"/>
          <w:numId w:val="23"/>
        </w:numPr>
        <w:tabs>
          <w:tab w:val="clear" w:pos="1701"/>
          <w:tab w:val="clear" w:pos="2268"/>
          <w:tab w:val="clear" w:pos="2835"/>
        </w:tabs>
      </w:pPr>
      <w:r w:rsidRPr="00915D5E">
        <w:rPr>
          <w:shd w:val="clear" w:color="auto" w:fill="FFFFFF"/>
        </w:rPr>
        <w:t>Другими конструкциям</w:t>
      </w:r>
      <w:r w:rsidR="00A83BF1">
        <w:rPr>
          <w:shd w:val="clear" w:color="auto" w:fill="FFFFFF"/>
        </w:rPr>
        <w:t>и</w:t>
      </w:r>
      <w:r w:rsidRPr="00915D5E">
        <w:rPr>
          <w:shd w:val="clear" w:color="auto" w:fill="FFFFFF"/>
        </w:rPr>
        <w:t xml:space="preserve"> подголовника предусматривается, например, наличие в верхней его части каркасной трубки, пространство под которой заполнено лишь пористым материалом (обеспечивая, таким образом, лишь ограниченную защиту). Поскольку это пространство не определено как проем, согласно нынешней процедуре испытания по приложению 5 оно не подлежит проверке.</w:t>
      </w:r>
    </w:p>
    <w:p w14:paraId="1323865E" w14:textId="77777777" w:rsidR="00D75EC1" w:rsidRPr="00915D5E" w:rsidRDefault="00D75EC1" w:rsidP="00D75EC1">
      <w:pPr>
        <w:pStyle w:val="SingleTxtG"/>
        <w:numPr>
          <w:ilvl w:val="0"/>
          <w:numId w:val="23"/>
        </w:numPr>
        <w:tabs>
          <w:tab w:val="clear" w:pos="1701"/>
          <w:tab w:val="clear" w:pos="2268"/>
          <w:tab w:val="clear" w:pos="2835"/>
        </w:tabs>
      </w:pPr>
      <w:r w:rsidRPr="00915D5E">
        <w:rPr>
          <w:shd w:val="clear" w:color="auto" w:fill="FFFFFF"/>
        </w:rPr>
        <w:t>См. также документ GRSP-74-08, представленный на сессии Рабочей группы по пассивной безопасности в декабре 2023 года.</w:t>
      </w:r>
    </w:p>
    <w:p w14:paraId="54E68CE7" w14:textId="77777777" w:rsidR="00D75EC1" w:rsidRPr="00915D5E" w:rsidRDefault="00D75EC1" w:rsidP="00D75EC1">
      <w:pPr>
        <w:pStyle w:val="SingleTxtG"/>
        <w:numPr>
          <w:ilvl w:val="0"/>
          <w:numId w:val="23"/>
        </w:numPr>
        <w:tabs>
          <w:tab w:val="clear" w:pos="1701"/>
          <w:tab w:val="clear" w:pos="2268"/>
          <w:tab w:val="clear" w:pos="2835"/>
        </w:tabs>
        <w:ind w:right="1138"/>
      </w:pPr>
      <w:r w:rsidRPr="00915D5E">
        <w:rPr>
          <w:shd w:val="clear" w:color="auto" w:fill="FFFFFF"/>
        </w:rPr>
        <w:t>Настоящее предложение направлено на то, чтобы сохранить требования на прежнем уровне, но с таким расчетом, чтобы подголовник обеспечивал защиту по всей высоте, независимо от его конструкции и наличия проемов шириной меньше, больше или равной 60 мм. С этой целью техническая служба может выбрать одно или несколько дополнительных мест для проверки смещения модели головы.</w:t>
      </w:r>
    </w:p>
    <w:p w14:paraId="2BB86212" w14:textId="77777777" w:rsidR="00D75EC1" w:rsidRPr="00915D5E" w:rsidRDefault="00D75EC1" w:rsidP="00D75EC1">
      <w:pPr>
        <w:pStyle w:val="SingleTxtG"/>
        <w:numPr>
          <w:ilvl w:val="0"/>
          <w:numId w:val="23"/>
        </w:numPr>
        <w:tabs>
          <w:tab w:val="clear" w:pos="1701"/>
          <w:tab w:val="clear" w:pos="2268"/>
          <w:tab w:val="clear" w:pos="2835"/>
        </w:tabs>
        <w:ind w:right="1138"/>
        <w:rPr>
          <w:shd w:val="clear" w:color="auto" w:fill="FFFFFF"/>
        </w:rPr>
      </w:pPr>
      <w:r w:rsidRPr="00915D5E">
        <w:rPr>
          <w:shd w:val="clear" w:color="auto" w:fill="FFFFFF"/>
        </w:rPr>
        <w:t>Предполагается, что водитель или пассажир отрегулирует подголовник на нужную высоту. Поэтому в случае регулируемого подголовника проверке подлежат дополнительные точки, расположенные выше отметки 540 мм, при высоте подголовника, соответствующей самому низкому положению использования.</w:t>
      </w:r>
    </w:p>
    <w:p w14:paraId="2753A6E8" w14:textId="41433965" w:rsidR="00E12C5F" w:rsidRPr="008D53B6" w:rsidRDefault="00D75EC1" w:rsidP="00D75EC1">
      <w:pPr>
        <w:spacing w:before="240"/>
        <w:jc w:val="center"/>
      </w:pPr>
      <w:r w:rsidRPr="00915D5E">
        <w:rPr>
          <w:u w:val="single"/>
        </w:rPr>
        <w:tab/>
      </w:r>
      <w:r w:rsidRPr="00915D5E">
        <w:rPr>
          <w:u w:val="single"/>
        </w:rPr>
        <w:tab/>
      </w:r>
      <w:r w:rsidRPr="00915D5E">
        <w:rPr>
          <w:u w:val="single"/>
        </w:rPr>
        <w:tab/>
      </w:r>
    </w:p>
    <w:sectPr w:rsidR="00E12C5F" w:rsidRPr="008D53B6" w:rsidSect="00D75EC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C972" w14:textId="77777777" w:rsidR="003F08EE" w:rsidRPr="00A312BC" w:rsidRDefault="003F08EE" w:rsidP="00A312BC"/>
  </w:endnote>
  <w:endnote w:type="continuationSeparator" w:id="0">
    <w:p w14:paraId="1971A41E" w14:textId="77777777" w:rsidR="003F08EE" w:rsidRPr="00A312BC" w:rsidRDefault="003F08E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0656" w14:textId="231A6385" w:rsidR="00D75EC1" w:rsidRPr="00D75EC1" w:rsidRDefault="00D75EC1">
    <w:pPr>
      <w:pStyle w:val="a8"/>
    </w:pPr>
    <w:r w:rsidRPr="00D75EC1">
      <w:rPr>
        <w:b/>
        <w:sz w:val="18"/>
      </w:rPr>
      <w:fldChar w:fldCharType="begin"/>
    </w:r>
    <w:r w:rsidRPr="00D75EC1">
      <w:rPr>
        <w:b/>
        <w:sz w:val="18"/>
      </w:rPr>
      <w:instrText xml:space="preserve"> PAGE  \* MERGEFORMAT </w:instrText>
    </w:r>
    <w:r w:rsidRPr="00D75EC1">
      <w:rPr>
        <w:b/>
        <w:sz w:val="18"/>
      </w:rPr>
      <w:fldChar w:fldCharType="separate"/>
    </w:r>
    <w:r w:rsidRPr="00D75EC1">
      <w:rPr>
        <w:b/>
        <w:noProof/>
        <w:sz w:val="18"/>
      </w:rPr>
      <w:t>2</w:t>
    </w:r>
    <w:r w:rsidRPr="00D75EC1">
      <w:rPr>
        <w:b/>
        <w:sz w:val="18"/>
      </w:rPr>
      <w:fldChar w:fldCharType="end"/>
    </w:r>
    <w:r>
      <w:rPr>
        <w:b/>
        <w:sz w:val="18"/>
      </w:rPr>
      <w:tab/>
    </w:r>
    <w:r>
      <w:t>GE.24-05643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C5E8" w14:textId="6DA0AE93" w:rsidR="00D75EC1" w:rsidRPr="00D75EC1" w:rsidRDefault="00D75EC1" w:rsidP="00D75EC1">
    <w:pPr>
      <w:pStyle w:val="a8"/>
      <w:tabs>
        <w:tab w:val="clear" w:pos="9639"/>
        <w:tab w:val="right" w:pos="9638"/>
      </w:tabs>
      <w:rPr>
        <w:b/>
        <w:sz w:val="18"/>
      </w:rPr>
    </w:pPr>
    <w:r>
      <w:t>GE.24-05643</w:t>
    </w:r>
    <w:r>
      <w:tab/>
    </w:r>
    <w:r w:rsidRPr="00D75EC1">
      <w:rPr>
        <w:b/>
        <w:sz w:val="18"/>
      </w:rPr>
      <w:fldChar w:fldCharType="begin"/>
    </w:r>
    <w:r w:rsidRPr="00D75EC1">
      <w:rPr>
        <w:b/>
        <w:sz w:val="18"/>
      </w:rPr>
      <w:instrText xml:space="preserve"> PAGE  \* MERGEFORMAT </w:instrText>
    </w:r>
    <w:r w:rsidRPr="00D75EC1">
      <w:rPr>
        <w:b/>
        <w:sz w:val="18"/>
      </w:rPr>
      <w:fldChar w:fldCharType="separate"/>
    </w:r>
    <w:r w:rsidRPr="00D75EC1">
      <w:rPr>
        <w:b/>
        <w:noProof/>
        <w:sz w:val="18"/>
      </w:rPr>
      <w:t>3</w:t>
    </w:r>
    <w:r w:rsidRPr="00D75E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A24" w14:textId="1D2395F1" w:rsidR="00042B72" w:rsidRPr="00D75EC1" w:rsidRDefault="00D75EC1" w:rsidP="00D75EC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A1E920F" wp14:editId="417460C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24-05643  (R)</w:t>
    </w:r>
    <w:r>
      <w:rPr>
        <w:noProof/>
      </w:rPr>
      <w:drawing>
        <wp:anchor distT="0" distB="0" distL="114300" distR="114300" simplePos="0" relativeHeight="251659264" behindDoc="0" locked="0" layoutInCell="1" allowOverlap="1" wp14:anchorId="03E7A8C0" wp14:editId="5FB14E94">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110424  1</w:t>
    </w:r>
    <w:r w:rsidR="00807667">
      <w:t>2</w:t>
    </w:r>
    <w:r>
      <w:rPr>
        <w:lang w:val="en-US"/>
      </w:rPr>
      <w:t>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22D9" w14:textId="77777777" w:rsidR="003F08EE" w:rsidRPr="001075E9" w:rsidRDefault="003F08EE" w:rsidP="001075E9">
      <w:pPr>
        <w:tabs>
          <w:tab w:val="right" w:pos="2155"/>
        </w:tabs>
        <w:spacing w:after="80" w:line="240" w:lineRule="auto"/>
        <w:ind w:left="680"/>
        <w:rPr>
          <w:u w:val="single"/>
        </w:rPr>
      </w:pPr>
      <w:r>
        <w:rPr>
          <w:u w:val="single"/>
        </w:rPr>
        <w:tab/>
      </w:r>
    </w:p>
  </w:footnote>
  <w:footnote w:type="continuationSeparator" w:id="0">
    <w:p w14:paraId="566081EE" w14:textId="77777777" w:rsidR="003F08EE" w:rsidRDefault="003F08EE" w:rsidP="00407B78">
      <w:pPr>
        <w:tabs>
          <w:tab w:val="right" w:pos="2155"/>
        </w:tabs>
        <w:spacing w:after="80"/>
        <w:ind w:left="680"/>
        <w:rPr>
          <w:u w:val="single"/>
        </w:rPr>
      </w:pPr>
      <w:r>
        <w:rPr>
          <w:u w:val="single"/>
        </w:rPr>
        <w:tab/>
      </w:r>
    </w:p>
  </w:footnote>
  <w:footnote w:id="1">
    <w:p w14:paraId="6428A0E2" w14:textId="264F8260" w:rsidR="00D75EC1" w:rsidRPr="00D75EC1" w:rsidRDefault="00D75EC1">
      <w:pPr>
        <w:pStyle w:val="ad"/>
        <w:rPr>
          <w:sz w:val="20"/>
        </w:rPr>
      </w:pPr>
      <w:r>
        <w:tab/>
      </w:r>
      <w:r w:rsidRPr="00D75EC1">
        <w:rPr>
          <w:rStyle w:val="aa"/>
          <w:sz w:val="20"/>
          <w:vertAlign w:val="baseline"/>
        </w:rPr>
        <w:t>*</w:t>
      </w:r>
      <w:r w:rsidRPr="00D75EC1">
        <w:rPr>
          <w:rStyle w:val="aa"/>
          <w:vertAlign w:val="baseline"/>
        </w:rPr>
        <w:tab/>
      </w:r>
      <w:r w:rsidRPr="00D75EC1">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3B405772" w14:textId="4AC76831" w:rsidR="00D75EC1" w:rsidRPr="00A83BF1" w:rsidRDefault="00D75EC1">
      <w:pPr>
        <w:pStyle w:val="ad"/>
        <w:rPr>
          <w:sz w:val="20"/>
        </w:rPr>
      </w:pPr>
      <w:r>
        <w:tab/>
      </w:r>
      <w:r w:rsidRPr="00D75EC1">
        <w:rPr>
          <w:rStyle w:val="aa"/>
          <w:sz w:val="20"/>
          <w:vertAlign w:val="baseline"/>
        </w:rPr>
        <w:t>**</w:t>
      </w:r>
      <w:r w:rsidRPr="00D75EC1">
        <w:rPr>
          <w:rStyle w:val="aa"/>
          <w:vertAlign w:val="baseline"/>
        </w:rPr>
        <w:tab/>
      </w:r>
      <w:r w:rsidRPr="004F2FF4">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Pr="004F2FF4">
        <w:rPr>
          <w:lang w:val="fr-CH"/>
        </w:rPr>
        <w:t> </w:t>
      </w:r>
      <w:r w:rsidRPr="004F2FF4">
        <w:t>20.5), Всемирный форум будет разрабатывать, согласовывать и обновлять правила ООН в целях улучшения характеристик транспортных средств. Настоящий</w:t>
      </w:r>
      <w:r w:rsidRPr="005B1A7B">
        <w:t xml:space="preserve"> </w:t>
      </w:r>
      <w:r w:rsidRPr="004F2FF4">
        <w:t>документ</w:t>
      </w:r>
      <w:r w:rsidRPr="005B1A7B">
        <w:t xml:space="preserve"> </w:t>
      </w:r>
      <w:r w:rsidRPr="004F2FF4">
        <w:t>представлен</w:t>
      </w:r>
      <w:r w:rsidRPr="005B1A7B">
        <w:t xml:space="preserve"> </w:t>
      </w:r>
      <w:r w:rsidRPr="004F2FF4">
        <w:t>в</w:t>
      </w:r>
      <w:r w:rsidRPr="005B1A7B">
        <w:t xml:space="preserve"> </w:t>
      </w:r>
      <w:r w:rsidRPr="004F2FF4">
        <w:t>соответствии</w:t>
      </w:r>
      <w:r w:rsidRPr="005B1A7B">
        <w:t xml:space="preserve"> </w:t>
      </w:r>
      <w:r w:rsidRPr="004F2FF4">
        <w:t>с</w:t>
      </w:r>
      <w:r w:rsidRPr="005B1A7B">
        <w:t xml:space="preserve"> </w:t>
      </w:r>
      <w:r w:rsidRPr="004F2FF4">
        <w:t>этим</w:t>
      </w:r>
      <w:r w:rsidRPr="005B1A7B">
        <w:t xml:space="preserve"> </w:t>
      </w:r>
      <w:r w:rsidRPr="004F2FF4">
        <w:t>мандатом</w:t>
      </w:r>
      <w:r w:rsidRPr="00854C2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E5F" w14:textId="57C1B080" w:rsidR="00D75EC1" w:rsidRPr="00D75EC1" w:rsidRDefault="006313C8">
    <w:pPr>
      <w:pStyle w:val="a5"/>
    </w:pPr>
    <w:r>
      <w:fldChar w:fldCharType="begin"/>
    </w:r>
    <w:r>
      <w:instrText xml:space="preserve"> TITLE  \* MERGEFORMAT </w:instrText>
    </w:r>
    <w:r>
      <w:fldChar w:fldCharType="separate"/>
    </w:r>
    <w:r>
      <w:t>ECE/TRANS/WP.29/GRSP/2024/15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9069" w14:textId="70094F95" w:rsidR="00D75EC1" w:rsidRPr="00D75EC1" w:rsidRDefault="006313C8" w:rsidP="00D75EC1">
    <w:pPr>
      <w:pStyle w:val="a5"/>
      <w:jc w:val="right"/>
    </w:pPr>
    <w:r>
      <w:fldChar w:fldCharType="begin"/>
    </w:r>
    <w:r>
      <w:instrText xml:space="preserve"> TITLE  \* MERGEFORMAT </w:instrText>
    </w:r>
    <w:r>
      <w:fldChar w:fldCharType="separate"/>
    </w:r>
    <w:r>
      <w:t>ECE/TRANS/WP.29/GRSP/2024/15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D6190"/>
    <w:multiLevelType w:val="multilevel"/>
    <w:tmpl w:val="B78AE2E8"/>
    <w:lvl w:ilvl="0">
      <w:numFmt w:val="decimal"/>
      <w:lvlText w:val="%1."/>
      <w:lvlJc w:val="left"/>
      <w:pPr>
        <w:ind w:left="1129" w:hanging="484"/>
      </w:pPr>
      <w:rPr>
        <w:rFonts w:hint="default"/>
      </w:rPr>
    </w:lvl>
    <w:lvl w:ilvl="1">
      <w:start w:val="1"/>
      <w:numFmt w:val="decimal"/>
      <w:isLgl/>
      <w:lvlText w:val="%1.%2."/>
      <w:lvlJc w:val="left"/>
      <w:pPr>
        <w:ind w:left="2274" w:hanging="1140"/>
      </w:pPr>
      <w:rPr>
        <w:rFonts w:hint="default"/>
      </w:rPr>
    </w:lvl>
    <w:lvl w:ilvl="2">
      <w:start w:val="1"/>
      <w:numFmt w:val="decimal"/>
      <w:isLgl/>
      <w:lvlText w:val="%1.%2.%3."/>
      <w:lvlJc w:val="left"/>
      <w:pPr>
        <w:ind w:left="2763" w:hanging="1140"/>
      </w:pPr>
      <w:rPr>
        <w:rFonts w:hint="default"/>
      </w:rPr>
    </w:lvl>
    <w:lvl w:ilvl="3">
      <w:start w:val="1"/>
      <w:numFmt w:val="decimal"/>
      <w:isLgl/>
      <w:lvlText w:val="%1.%2.%3.%4."/>
      <w:lvlJc w:val="left"/>
      <w:pPr>
        <w:ind w:left="3252" w:hanging="1140"/>
      </w:pPr>
      <w:rPr>
        <w:rFonts w:hint="default"/>
      </w:rPr>
    </w:lvl>
    <w:lvl w:ilvl="4">
      <w:start w:val="1"/>
      <w:numFmt w:val="decimal"/>
      <w:isLgl/>
      <w:lvlText w:val="%1.%2.%3.%4.%5."/>
      <w:lvlJc w:val="left"/>
      <w:pPr>
        <w:ind w:left="3741" w:hanging="1140"/>
      </w:pPr>
      <w:rPr>
        <w:rFonts w:hint="default"/>
      </w:rPr>
    </w:lvl>
    <w:lvl w:ilvl="5">
      <w:start w:val="1"/>
      <w:numFmt w:val="decimal"/>
      <w:isLgl/>
      <w:lvlText w:val="%1.%2.%3.%4.%5.%6."/>
      <w:lvlJc w:val="left"/>
      <w:pPr>
        <w:ind w:left="4230" w:hanging="1140"/>
      </w:pPr>
      <w:rPr>
        <w:rFonts w:hint="default"/>
      </w:rPr>
    </w:lvl>
    <w:lvl w:ilvl="6">
      <w:start w:val="1"/>
      <w:numFmt w:val="decimal"/>
      <w:isLgl/>
      <w:lvlText w:val="%1.%2.%3.%4.%5.%6.%7."/>
      <w:lvlJc w:val="left"/>
      <w:pPr>
        <w:ind w:left="4719" w:hanging="1140"/>
      </w:pPr>
      <w:rPr>
        <w:rFonts w:hint="default"/>
      </w:rPr>
    </w:lvl>
    <w:lvl w:ilvl="7">
      <w:start w:val="1"/>
      <w:numFmt w:val="decimal"/>
      <w:isLgl/>
      <w:lvlText w:val="%1.%2.%3.%4.%5.%6.%7.%8."/>
      <w:lvlJc w:val="left"/>
      <w:pPr>
        <w:ind w:left="5508" w:hanging="1440"/>
      </w:pPr>
      <w:rPr>
        <w:rFonts w:hint="default"/>
      </w:rPr>
    </w:lvl>
    <w:lvl w:ilvl="8">
      <w:start w:val="1"/>
      <w:numFmt w:val="decimal"/>
      <w:isLgl/>
      <w:lvlText w:val="%1.%2.%3.%4.%5.%6.%7.%8.%9."/>
      <w:lvlJc w:val="left"/>
      <w:pPr>
        <w:ind w:left="5997" w:hanging="1440"/>
      </w:pPr>
      <w:rPr>
        <w:rFonts w:hint="default"/>
      </w:rPr>
    </w:lvl>
  </w:abstractNum>
  <w:abstractNum w:abstractNumId="11"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3"/>
  </w:num>
  <w:num w:numId="3" w16cid:durableId="1816291531">
    <w:abstractNumId w:val="12"/>
  </w:num>
  <w:num w:numId="4" w16cid:durableId="1492480875">
    <w:abstractNumId w:val="19"/>
  </w:num>
  <w:num w:numId="5" w16cid:durableId="1298685170">
    <w:abstractNumId w:val="1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4"/>
  </w:num>
  <w:num w:numId="18" w16cid:durableId="961153681">
    <w:abstractNumId w:val="16"/>
  </w:num>
  <w:num w:numId="19" w16cid:durableId="1272468768">
    <w:abstractNumId w:val="17"/>
  </w:num>
  <w:num w:numId="20" w16cid:durableId="807743971">
    <w:abstractNumId w:val="14"/>
  </w:num>
  <w:num w:numId="21" w16cid:durableId="1591162185">
    <w:abstractNumId w:val="16"/>
  </w:num>
  <w:num w:numId="22" w16cid:durableId="138420027">
    <w:abstractNumId w:val="10"/>
  </w:num>
  <w:num w:numId="23" w16cid:durableId="208005550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E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08EE"/>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13C8"/>
    <w:rsid w:val="006345DB"/>
    <w:rsid w:val="00640F49"/>
    <w:rsid w:val="00680D03"/>
    <w:rsid w:val="00681A10"/>
    <w:rsid w:val="006A1ED8"/>
    <w:rsid w:val="006C2031"/>
    <w:rsid w:val="006D461A"/>
    <w:rsid w:val="006F35EE"/>
    <w:rsid w:val="007021FF"/>
    <w:rsid w:val="00712895"/>
    <w:rsid w:val="007271EE"/>
    <w:rsid w:val="00734ACB"/>
    <w:rsid w:val="00757357"/>
    <w:rsid w:val="00792497"/>
    <w:rsid w:val="00806737"/>
    <w:rsid w:val="0080766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3BF1"/>
    <w:rsid w:val="00A84021"/>
    <w:rsid w:val="00A84D35"/>
    <w:rsid w:val="00A917B3"/>
    <w:rsid w:val="00AB4B51"/>
    <w:rsid w:val="00B03DBE"/>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75EC1"/>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7FB48"/>
  <w15:docId w15:val="{B82704E2-1CFA-43F4-BF91-5A1458DC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D75EC1"/>
    <w:rPr>
      <w:b/>
      <w:sz w:val="28"/>
      <w:lang w:val="ru-RU" w:eastAsia="ru-RU"/>
    </w:rPr>
  </w:style>
  <w:style w:type="character" w:customStyle="1" w:styleId="SingleTxtGChar">
    <w:name w:val="_ Single Txt_G Char"/>
    <w:link w:val="SingleTxtG"/>
    <w:qFormat/>
    <w:locked/>
    <w:rsid w:val="00D75EC1"/>
    <w:rPr>
      <w:lang w:val="ru-RU" w:eastAsia="en-US"/>
    </w:rPr>
  </w:style>
  <w:style w:type="paragraph" w:customStyle="1" w:styleId="Para">
    <w:name w:val="Para"/>
    <w:basedOn w:val="a"/>
    <w:qFormat/>
    <w:rsid w:val="00D75EC1"/>
    <w:pPr>
      <w:suppressAutoHyphens w:val="0"/>
      <w:spacing w:after="120"/>
      <w:ind w:left="2268" w:right="1134" w:hanging="1134"/>
      <w:jc w:val="both"/>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7A83C-5BA0-4678-A73E-1BAE189A0698}"/>
</file>

<file path=customXml/itemProps2.xml><?xml version="1.0" encoding="utf-8"?>
<ds:datastoreItem xmlns:ds="http://schemas.openxmlformats.org/officeDocument/2006/customXml" ds:itemID="{0E25FD09-8479-4B9C-AE86-C29B68B8592D}"/>
</file>

<file path=docProps/app.xml><?xml version="1.0" encoding="utf-8"?>
<Properties xmlns="http://schemas.openxmlformats.org/officeDocument/2006/extended-properties" xmlns:vt="http://schemas.openxmlformats.org/officeDocument/2006/docPropsVTypes">
  <Template>ECE.dotm</Template>
  <TotalTime>1</TotalTime>
  <Pages>4</Pages>
  <Words>1032</Words>
  <Characters>6854</Characters>
  <Application>Microsoft Office Word</Application>
  <DocSecurity>0</DocSecurity>
  <Lines>159</Lines>
  <Paragraphs>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ECE/TRANS/WP.29/GRSP/2024/15</vt:lpstr>
      <vt:lpstr>A/</vt:lpstr>
      <vt:lpstr>A/</vt:lpstr>
    </vt:vector>
  </TitlesOfParts>
  <Company>DCM</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ECE/TRANS/WP.29/GRSP/2024/15</dc:title>
  <dc:subject/>
  <dc:creator>Ioulia Sergueevna GOUSSAROVA</dc:creator>
  <cp:keywords/>
  <cp:lastModifiedBy>Ioulia Goussarova</cp:lastModifiedBy>
  <cp:revision>3</cp:revision>
  <cp:lastPrinted>2024-04-11T17:11:00Z</cp:lastPrinted>
  <dcterms:created xsi:type="dcterms:W3CDTF">2024-04-11T17:10:00Z</dcterms:created>
  <dcterms:modified xsi:type="dcterms:W3CDTF">2024-04-11T17:11:00Z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