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E75116" w14:paraId="07E1605D" w14:textId="77777777" w:rsidTr="00C97039">
        <w:trPr>
          <w:trHeight w:hRule="exact" w:val="851"/>
        </w:trPr>
        <w:tc>
          <w:tcPr>
            <w:tcW w:w="1276" w:type="dxa"/>
            <w:tcBorders>
              <w:bottom w:val="single" w:sz="4" w:space="0" w:color="auto"/>
            </w:tcBorders>
          </w:tcPr>
          <w:p w14:paraId="32B6FAA3" w14:textId="77777777" w:rsidR="00F35BAF" w:rsidRPr="00E75116" w:rsidRDefault="00F35BAF" w:rsidP="005629E7">
            <w:pPr>
              <w:rPr>
                <w:lang w:val="fr-FR"/>
              </w:rPr>
            </w:pPr>
          </w:p>
        </w:tc>
        <w:tc>
          <w:tcPr>
            <w:tcW w:w="2268" w:type="dxa"/>
            <w:tcBorders>
              <w:bottom w:val="single" w:sz="4" w:space="0" w:color="auto"/>
            </w:tcBorders>
            <w:vAlign w:val="bottom"/>
          </w:tcPr>
          <w:p w14:paraId="30BA0D11" w14:textId="77777777" w:rsidR="00F35BAF" w:rsidRPr="00E75116" w:rsidRDefault="00F35BAF" w:rsidP="00C97039">
            <w:pPr>
              <w:spacing w:after="80" w:line="300" w:lineRule="exact"/>
              <w:rPr>
                <w:sz w:val="28"/>
                <w:lang w:val="fr-FR"/>
              </w:rPr>
            </w:pPr>
            <w:r w:rsidRPr="00E75116">
              <w:rPr>
                <w:sz w:val="28"/>
                <w:lang w:val="fr-FR"/>
              </w:rPr>
              <w:t>Nations Unies</w:t>
            </w:r>
          </w:p>
        </w:tc>
        <w:tc>
          <w:tcPr>
            <w:tcW w:w="6095" w:type="dxa"/>
            <w:gridSpan w:val="2"/>
            <w:tcBorders>
              <w:bottom w:val="single" w:sz="4" w:space="0" w:color="auto"/>
            </w:tcBorders>
            <w:vAlign w:val="bottom"/>
          </w:tcPr>
          <w:p w14:paraId="6C941473" w14:textId="37AEB8C4" w:rsidR="00F35BAF" w:rsidRPr="00E75116" w:rsidRDefault="005629E7" w:rsidP="005629E7">
            <w:pPr>
              <w:jc w:val="right"/>
              <w:rPr>
                <w:lang w:val="fr-FR"/>
              </w:rPr>
            </w:pPr>
            <w:r w:rsidRPr="00E75116">
              <w:rPr>
                <w:sz w:val="40"/>
                <w:lang w:val="fr-FR"/>
              </w:rPr>
              <w:t>ECE</w:t>
            </w:r>
            <w:r w:rsidRPr="00E75116">
              <w:rPr>
                <w:lang w:val="fr-FR"/>
              </w:rPr>
              <w:t>/TRANS/WP</w:t>
            </w:r>
            <w:r w:rsidR="006C6F5F" w:rsidRPr="00E75116">
              <w:rPr>
                <w:lang w:val="fr-FR"/>
              </w:rPr>
              <w:t>.</w:t>
            </w:r>
            <w:r w:rsidRPr="00E75116">
              <w:rPr>
                <w:lang w:val="fr-FR"/>
              </w:rPr>
              <w:t>29/GRSP/2024/15</w:t>
            </w:r>
          </w:p>
        </w:tc>
      </w:tr>
      <w:tr w:rsidR="00F35BAF" w:rsidRPr="00E75116" w14:paraId="64F5121A" w14:textId="77777777" w:rsidTr="00C97039">
        <w:trPr>
          <w:trHeight w:hRule="exact" w:val="2835"/>
        </w:trPr>
        <w:tc>
          <w:tcPr>
            <w:tcW w:w="1276" w:type="dxa"/>
            <w:tcBorders>
              <w:top w:val="single" w:sz="4" w:space="0" w:color="auto"/>
              <w:bottom w:val="single" w:sz="12" w:space="0" w:color="auto"/>
            </w:tcBorders>
          </w:tcPr>
          <w:p w14:paraId="6C3A8881" w14:textId="77777777" w:rsidR="00F35BAF" w:rsidRPr="00E75116" w:rsidRDefault="00F35BAF" w:rsidP="00C97039">
            <w:pPr>
              <w:spacing w:before="120"/>
              <w:jc w:val="center"/>
              <w:rPr>
                <w:lang w:val="fr-FR"/>
              </w:rPr>
            </w:pPr>
            <w:r w:rsidRPr="00E75116">
              <w:rPr>
                <w:noProof/>
                <w:lang w:val="fr-FR" w:eastAsia="fr-CH"/>
              </w:rPr>
              <w:drawing>
                <wp:inline distT="0" distB="0" distL="0" distR="0" wp14:anchorId="2C07E785" wp14:editId="4649AF6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C93A9F6" w14:textId="77777777" w:rsidR="00F35BAF" w:rsidRPr="00E75116" w:rsidRDefault="00F35BAF" w:rsidP="00C97039">
            <w:pPr>
              <w:spacing w:before="120" w:line="420" w:lineRule="exact"/>
              <w:rPr>
                <w:b/>
                <w:sz w:val="40"/>
                <w:szCs w:val="40"/>
                <w:lang w:val="fr-FR"/>
              </w:rPr>
            </w:pPr>
            <w:r w:rsidRPr="00E75116">
              <w:rPr>
                <w:b/>
                <w:sz w:val="40"/>
                <w:szCs w:val="40"/>
                <w:lang w:val="fr-FR"/>
              </w:rPr>
              <w:t>Conseil économique et social</w:t>
            </w:r>
          </w:p>
        </w:tc>
        <w:tc>
          <w:tcPr>
            <w:tcW w:w="2835" w:type="dxa"/>
            <w:tcBorders>
              <w:top w:val="single" w:sz="4" w:space="0" w:color="auto"/>
              <w:bottom w:val="single" w:sz="12" w:space="0" w:color="auto"/>
            </w:tcBorders>
          </w:tcPr>
          <w:p w14:paraId="1CFA0C51" w14:textId="3CA23C01" w:rsidR="00F35BAF" w:rsidRPr="00E75116" w:rsidRDefault="005629E7" w:rsidP="00C97039">
            <w:pPr>
              <w:spacing w:before="240"/>
              <w:rPr>
                <w:lang w:val="fr-FR"/>
              </w:rPr>
            </w:pPr>
            <w:r w:rsidRPr="00E75116">
              <w:rPr>
                <w:lang w:val="fr-FR"/>
              </w:rPr>
              <w:t>Distr</w:t>
            </w:r>
            <w:r w:rsidR="006C6F5F" w:rsidRPr="00E75116">
              <w:rPr>
                <w:lang w:val="fr-FR"/>
              </w:rPr>
              <w:t>.</w:t>
            </w:r>
            <w:r w:rsidRPr="00E75116">
              <w:rPr>
                <w:lang w:val="fr-FR"/>
              </w:rPr>
              <w:t xml:space="preserve"> générale</w:t>
            </w:r>
          </w:p>
          <w:p w14:paraId="002BE2EC" w14:textId="77777777" w:rsidR="005629E7" w:rsidRPr="00E75116" w:rsidRDefault="005629E7" w:rsidP="005629E7">
            <w:pPr>
              <w:spacing w:line="240" w:lineRule="exact"/>
              <w:rPr>
                <w:lang w:val="fr-FR"/>
              </w:rPr>
            </w:pPr>
            <w:r w:rsidRPr="00E75116">
              <w:rPr>
                <w:lang w:val="fr-FR"/>
              </w:rPr>
              <w:t>25 mars 2024</w:t>
            </w:r>
          </w:p>
          <w:p w14:paraId="122FB5C9" w14:textId="77777777" w:rsidR="005629E7" w:rsidRPr="00E75116" w:rsidRDefault="005629E7" w:rsidP="005629E7">
            <w:pPr>
              <w:spacing w:line="240" w:lineRule="exact"/>
              <w:rPr>
                <w:lang w:val="fr-FR"/>
              </w:rPr>
            </w:pPr>
            <w:r w:rsidRPr="00E75116">
              <w:rPr>
                <w:lang w:val="fr-FR"/>
              </w:rPr>
              <w:t>Français</w:t>
            </w:r>
          </w:p>
          <w:p w14:paraId="67EC07D3" w14:textId="6D6F5BB7" w:rsidR="005629E7" w:rsidRPr="00E75116" w:rsidRDefault="005629E7" w:rsidP="005629E7">
            <w:pPr>
              <w:spacing w:line="240" w:lineRule="exact"/>
              <w:rPr>
                <w:lang w:val="fr-FR"/>
              </w:rPr>
            </w:pPr>
            <w:r w:rsidRPr="00E75116">
              <w:rPr>
                <w:lang w:val="fr-FR"/>
              </w:rPr>
              <w:t>Original</w:t>
            </w:r>
            <w:r w:rsidR="0097124D" w:rsidRPr="00E75116">
              <w:rPr>
                <w:lang w:val="fr-FR"/>
              </w:rPr>
              <w:t> :</w:t>
            </w:r>
            <w:r w:rsidRPr="00E75116">
              <w:rPr>
                <w:lang w:val="fr-FR"/>
              </w:rPr>
              <w:t xml:space="preserve"> anglais</w:t>
            </w:r>
          </w:p>
        </w:tc>
      </w:tr>
    </w:tbl>
    <w:p w14:paraId="28C4513A" w14:textId="2ED59C30" w:rsidR="007F20FA" w:rsidRPr="00E75116" w:rsidRDefault="007F20FA" w:rsidP="007F20FA">
      <w:pPr>
        <w:spacing w:before="120"/>
        <w:rPr>
          <w:b/>
          <w:sz w:val="28"/>
          <w:szCs w:val="28"/>
          <w:lang w:val="fr-FR"/>
        </w:rPr>
      </w:pPr>
      <w:r w:rsidRPr="00E75116">
        <w:rPr>
          <w:b/>
          <w:sz w:val="28"/>
          <w:szCs w:val="28"/>
          <w:lang w:val="fr-FR"/>
        </w:rPr>
        <w:t>Commission économique pour l</w:t>
      </w:r>
      <w:r w:rsidR="0097124D" w:rsidRPr="00E75116">
        <w:rPr>
          <w:b/>
          <w:sz w:val="28"/>
          <w:szCs w:val="28"/>
          <w:lang w:val="fr-FR"/>
        </w:rPr>
        <w:t>’</w:t>
      </w:r>
      <w:r w:rsidRPr="00E75116">
        <w:rPr>
          <w:b/>
          <w:sz w:val="28"/>
          <w:szCs w:val="28"/>
          <w:lang w:val="fr-FR"/>
        </w:rPr>
        <w:t>Europe</w:t>
      </w:r>
    </w:p>
    <w:p w14:paraId="0E6CF97C" w14:textId="77777777" w:rsidR="007F20FA" w:rsidRPr="00E75116" w:rsidRDefault="007F20FA" w:rsidP="007F20FA">
      <w:pPr>
        <w:spacing w:before="120"/>
        <w:rPr>
          <w:sz w:val="28"/>
          <w:szCs w:val="28"/>
          <w:lang w:val="fr-FR"/>
        </w:rPr>
      </w:pPr>
      <w:r w:rsidRPr="00E75116">
        <w:rPr>
          <w:sz w:val="28"/>
          <w:szCs w:val="28"/>
          <w:lang w:val="fr-FR"/>
        </w:rPr>
        <w:t>Comité des transports intérieurs</w:t>
      </w:r>
    </w:p>
    <w:p w14:paraId="294C13A6" w14:textId="4843F7B5" w:rsidR="005629E7" w:rsidRPr="00E75116" w:rsidRDefault="005629E7" w:rsidP="004846BA">
      <w:pPr>
        <w:spacing w:before="120" w:after="120"/>
        <w:ind w:right="4251"/>
        <w:rPr>
          <w:b/>
          <w:bCs/>
          <w:sz w:val="24"/>
          <w:szCs w:val="24"/>
          <w:lang w:val="fr-FR"/>
        </w:rPr>
      </w:pPr>
      <w:r w:rsidRPr="00E75116">
        <w:rPr>
          <w:b/>
          <w:bCs/>
          <w:sz w:val="24"/>
          <w:szCs w:val="24"/>
          <w:lang w:val="fr-FR"/>
        </w:rPr>
        <w:t>Forum mondial de l</w:t>
      </w:r>
      <w:r w:rsidR="0097124D" w:rsidRPr="00E75116">
        <w:rPr>
          <w:b/>
          <w:bCs/>
          <w:sz w:val="24"/>
          <w:szCs w:val="24"/>
          <w:lang w:val="fr-FR"/>
        </w:rPr>
        <w:t>’</w:t>
      </w:r>
      <w:r w:rsidRPr="00E75116">
        <w:rPr>
          <w:b/>
          <w:bCs/>
          <w:sz w:val="24"/>
          <w:szCs w:val="24"/>
          <w:lang w:val="fr-FR"/>
        </w:rPr>
        <w:t>harmonisation des Règlements concernant les véhicules</w:t>
      </w:r>
    </w:p>
    <w:p w14:paraId="669AA1BE" w14:textId="77777777" w:rsidR="005629E7" w:rsidRPr="00E75116" w:rsidRDefault="005629E7" w:rsidP="004846BA">
      <w:pPr>
        <w:spacing w:after="120"/>
        <w:rPr>
          <w:b/>
          <w:bCs/>
          <w:lang w:val="fr-FR"/>
        </w:rPr>
      </w:pPr>
      <w:r w:rsidRPr="00E75116">
        <w:rPr>
          <w:b/>
          <w:bCs/>
          <w:lang w:val="fr-FR"/>
        </w:rPr>
        <w:t>Groupe de travail de la sécurité passive</w:t>
      </w:r>
    </w:p>
    <w:p w14:paraId="553BD914" w14:textId="77777777" w:rsidR="005629E7" w:rsidRPr="00E75116" w:rsidRDefault="005629E7" w:rsidP="005629E7">
      <w:pPr>
        <w:rPr>
          <w:rFonts w:asciiTheme="majorBidi" w:hAnsiTheme="majorBidi" w:cstheme="majorBidi"/>
          <w:b/>
          <w:lang w:val="fr-FR"/>
        </w:rPr>
      </w:pPr>
      <w:r w:rsidRPr="00E75116">
        <w:rPr>
          <w:b/>
          <w:bCs/>
          <w:lang w:val="fr-FR"/>
        </w:rPr>
        <w:t>Soixante-quinzième session</w:t>
      </w:r>
    </w:p>
    <w:p w14:paraId="7403B30C" w14:textId="77777777" w:rsidR="005629E7" w:rsidRPr="00E75116" w:rsidRDefault="005629E7" w:rsidP="005629E7">
      <w:pPr>
        <w:rPr>
          <w:rFonts w:asciiTheme="majorBidi" w:hAnsiTheme="majorBidi" w:cstheme="majorBidi"/>
          <w:lang w:val="fr-FR"/>
        </w:rPr>
      </w:pPr>
      <w:r w:rsidRPr="00E75116">
        <w:rPr>
          <w:lang w:val="fr-FR"/>
        </w:rPr>
        <w:t>Genève, 27-31 mai 2024</w:t>
      </w:r>
    </w:p>
    <w:p w14:paraId="4CF8CAF2" w14:textId="1B5CBCA2" w:rsidR="005629E7" w:rsidRPr="00E75116" w:rsidRDefault="005629E7" w:rsidP="005629E7">
      <w:pPr>
        <w:rPr>
          <w:bCs/>
          <w:lang w:val="fr-FR"/>
        </w:rPr>
      </w:pPr>
      <w:r w:rsidRPr="00E75116">
        <w:rPr>
          <w:lang w:val="fr-FR"/>
        </w:rPr>
        <w:t>Point 8 de l</w:t>
      </w:r>
      <w:r w:rsidR="0097124D" w:rsidRPr="00E75116">
        <w:rPr>
          <w:lang w:val="fr-FR"/>
        </w:rPr>
        <w:t>’</w:t>
      </w:r>
      <w:r w:rsidRPr="00E75116">
        <w:rPr>
          <w:lang w:val="fr-FR"/>
        </w:rPr>
        <w:t>ordre du jour provisoire</w:t>
      </w:r>
    </w:p>
    <w:p w14:paraId="7F8E7BDA" w14:textId="4916C5D3" w:rsidR="005629E7" w:rsidRPr="00E75116" w:rsidRDefault="005629E7" w:rsidP="005629E7">
      <w:pPr>
        <w:rPr>
          <w:bCs/>
          <w:lang w:val="fr-FR"/>
        </w:rPr>
      </w:pPr>
      <w:r w:rsidRPr="00E75116">
        <w:rPr>
          <w:b/>
          <w:bCs/>
          <w:lang w:val="fr-FR"/>
        </w:rPr>
        <w:t xml:space="preserve">Règlement ONU </w:t>
      </w:r>
      <w:r w:rsidR="0097124D" w:rsidRPr="00E75116">
        <w:rPr>
          <w:b/>
          <w:bCs/>
          <w:lang w:val="fr-FR"/>
        </w:rPr>
        <w:t>n</w:t>
      </w:r>
      <w:r w:rsidR="0097124D" w:rsidRPr="00E75116">
        <w:rPr>
          <w:b/>
          <w:bCs/>
          <w:vertAlign w:val="superscript"/>
          <w:lang w:val="fr-FR"/>
        </w:rPr>
        <w:t>o</w:t>
      </w:r>
      <w:r w:rsidRPr="00E75116">
        <w:rPr>
          <w:b/>
          <w:bCs/>
          <w:lang w:val="fr-FR"/>
        </w:rPr>
        <w:t> 17 (Résistance mécanique des sièges)</w:t>
      </w:r>
    </w:p>
    <w:p w14:paraId="18326783" w14:textId="71CB92D0" w:rsidR="005629E7" w:rsidRPr="00E75116" w:rsidRDefault="005629E7" w:rsidP="004846BA">
      <w:pPr>
        <w:pStyle w:val="HChG"/>
        <w:rPr>
          <w:lang w:val="fr-FR"/>
        </w:rPr>
      </w:pPr>
      <w:r w:rsidRPr="00E75116">
        <w:rPr>
          <w:lang w:val="fr-FR"/>
        </w:rPr>
        <w:tab/>
      </w:r>
      <w:r w:rsidRPr="00E75116">
        <w:rPr>
          <w:lang w:val="fr-FR"/>
        </w:rPr>
        <w:tab/>
        <w:t xml:space="preserve">Proposition de </w:t>
      </w:r>
      <w:r w:rsidR="00FB6201" w:rsidRPr="00E75116">
        <w:rPr>
          <w:lang w:val="fr-FR"/>
        </w:rPr>
        <w:t>série </w:t>
      </w:r>
      <w:r w:rsidRPr="00E75116">
        <w:rPr>
          <w:lang w:val="fr-FR"/>
        </w:rPr>
        <w:t>12 d</w:t>
      </w:r>
      <w:r w:rsidR="0097124D" w:rsidRPr="00E75116">
        <w:rPr>
          <w:lang w:val="fr-FR"/>
        </w:rPr>
        <w:t>’</w:t>
      </w:r>
      <w:r w:rsidRPr="00E75116">
        <w:rPr>
          <w:lang w:val="fr-FR"/>
        </w:rPr>
        <w:t>amendements au</w:t>
      </w:r>
      <w:r w:rsidR="00321CCC" w:rsidRPr="00E75116">
        <w:rPr>
          <w:lang w:val="fr-FR"/>
        </w:rPr>
        <w:t> </w:t>
      </w:r>
      <w:r w:rsidRPr="00E75116">
        <w:rPr>
          <w:lang w:val="fr-FR"/>
        </w:rPr>
        <w:t>Règlement</w:t>
      </w:r>
      <w:r w:rsidR="00321CCC" w:rsidRPr="00E75116">
        <w:rPr>
          <w:lang w:val="fr-FR"/>
        </w:rPr>
        <w:t> </w:t>
      </w:r>
      <w:r w:rsidRPr="00E75116">
        <w:rPr>
          <w:lang w:val="fr-FR"/>
        </w:rPr>
        <w:t>ONU</w:t>
      </w:r>
      <w:r w:rsidR="00321CCC" w:rsidRPr="00E75116">
        <w:rPr>
          <w:lang w:val="fr-FR"/>
        </w:rPr>
        <w:t> </w:t>
      </w:r>
      <w:r w:rsidR="0097124D" w:rsidRPr="00E75116">
        <w:rPr>
          <w:lang w:val="fr-FR"/>
        </w:rPr>
        <w:t>n</w:t>
      </w:r>
      <w:r w:rsidR="0097124D" w:rsidRPr="00E75116">
        <w:rPr>
          <w:vertAlign w:val="superscript"/>
          <w:lang w:val="fr-FR"/>
        </w:rPr>
        <w:t>o</w:t>
      </w:r>
      <w:r w:rsidRPr="00E75116">
        <w:rPr>
          <w:lang w:val="fr-FR"/>
        </w:rPr>
        <w:t> 17 (Résistance mécanique des sièges)</w:t>
      </w:r>
    </w:p>
    <w:p w14:paraId="60B9D63E" w14:textId="78EDF419" w:rsidR="005629E7" w:rsidRPr="00E75116" w:rsidRDefault="005629E7" w:rsidP="004D4071">
      <w:pPr>
        <w:pStyle w:val="H1G"/>
        <w:rPr>
          <w:lang w:val="fr-FR"/>
        </w:rPr>
      </w:pPr>
      <w:r w:rsidRPr="00E75116">
        <w:rPr>
          <w:lang w:val="fr-FR"/>
        </w:rPr>
        <w:tab/>
      </w:r>
      <w:r w:rsidRPr="00E75116">
        <w:rPr>
          <w:lang w:val="fr-FR"/>
        </w:rPr>
        <w:tab/>
        <w:t>Communication du groupe de travail informel de la protection équitable des occupants du véhicule</w:t>
      </w:r>
      <w:r w:rsidRPr="00E75116">
        <w:rPr>
          <w:rStyle w:val="H23G"/>
          <w:b w:val="0"/>
          <w:bCs/>
          <w:position w:val="2"/>
          <w:sz w:val="20"/>
          <w:lang w:val="fr-FR"/>
        </w:rPr>
        <w:footnoteReference w:customMarkFollows="1" w:id="2"/>
        <w:t>*</w:t>
      </w:r>
      <w:r w:rsidRPr="00E75116">
        <w:rPr>
          <w:b w:val="0"/>
          <w:bCs/>
          <w:position w:val="8"/>
          <w:sz w:val="20"/>
          <w:lang w:val="fr-FR"/>
        </w:rPr>
        <w:t>,</w:t>
      </w:r>
      <w:r w:rsidR="004D4071" w:rsidRPr="00E75116">
        <w:rPr>
          <w:b w:val="0"/>
          <w:bCs/>
          <w:position w:val="8"/>
          <w:sz w:val="20"/>
          <w:lang w:val="fr-FR"/>
        </w:rPr>
        <w:t xml:space="preserve"> </w:t>
      </w:r>
      <w:r w:rsidRPr="00E75116">
        <w:rPr>
          <w:rStyle w:val="H23G"/>
          <w:b w:val="0"/>
          <w:bCs/>
          <w:position w:val="2"/>
          <w:sz w:val="20"/>
          <w:lang w:val="fr-FR"/>
        </w:rPr>
        <w:footnoteReference w:customMarkFollows="1" w:id="3"/>
        <w:t>**</w:t>
      </w:r>
    </w:p>
    <w:p w14:paraId="545CF791" w14:textId="062452ED" w:rsidR="005629E7" w:rsidRPr="00E75116" w:rsidRDefault="005629E7" w:rsidP="004D4071">
      <w:pPr>
        <w:pStyle w:val="SingleTxtG"/>
        <w:ind w:firstLine="567"/>
        <w:rPr>
          <w:bCs/>
          <w:color w:val="000000" w:themeColor="text1"/>
          <w:lang w:val="fr-FR"/>
        </w:rPr>
      </w:pPr>
      <w:bookmarkStart w:id="0" w:name="_Hlk46250620"/>
      <w:r w:rsidRPr="00E75116">
        <w:rPr>
          <w:lang w:val="fr-FR"/>
        </w:rPr>
        <w:t>Le texte ci-après, établi par le groupe de travail informel de la protection équitable des occupants du véhicule, vise à améliorer la protection offerte par les appuie-tête en optimisant la procédure d</w:t>
      </w:r>
      <w:r w:rsidR="0097124D" w:rsidRPr="00E75116">
        <w:rPr>
          <w:lang w:val="fr-FR"/>
        </w:rPr>
        <w:t>’</w:t>
      </w:r>
      <w:r w:rsidRPr="00E75116">
        <w:rPr>
          <w:lang w:val="fr-FR"/>
        </w:rPr>
        <w:t>essai</w:t>
      </w:r>
      <w:r w:rsidR="006C6F5F" w:rsidRPr="00E75116">
        <w:rPr>
          <w:lang w:val="fr-FR"/>
        </w:rPr>
        <w:t>.</w:t>
      </w:r>
      <w:r w:rsidRPr="00E75116">
        <w:rPr>
          <w:lang w:val="fr-FR"/>
        </w:rPr>
        <w:t xml:space="preserve"> Les modifications qu</w:t>
      </w:r>
      <w:r w:rsidR="0097124D" w:rsidRPr="00E75116">
        <w:rPr>
          <w:lang w:val="fr-FR"/>
        </w:rPr>
        <w:t>’</w:t>
      </w:r>
      <w:r w:rsidRPr="00E75116">
        <w:rPr>
          <w:lang w:val="fr-FR"/>
        </w:rPr>
        <w:t>il est proposé d</w:t>
      </w:r>
      <w:r w:rsidR="0097124D" w:rsidRPr="00E75116">
        <w:rPr>
          <w:lang w:val="fr-FR"/>
        </w:rPr>
        <w:t>’</w:t>
      </w:r>
      <w:r w:rsidRPr="00E75116">
        <w:rPr>
          <w:lang w:val="fr-FR"/>
        </w:rPr>
        <w:t xml:space="preserve">apporter au texte actuel du Règlement ONU </w:t>
      </w:r>
      <w:r w:rsidR="0097124D" w:rsidRPr="00E75116">
        <w:rPr>
          <w:lang w:val="fr-FR"/>
        </w:rPr>
        <w:t>n</w:t>
      </w:r>
      <w:r w:rsidR="0097124D" w:rsidRPr="00E75116">
        <w:rPr>
          <w:vertAlign w:val="superscript"/>
          <w:lang w:val="fr-FR"/>
        </w:rPr>
        <w:t>o</w:t>
      </w:r>
      <w:r w:rsidRPr="00E75116">
        <w:rPr>
          <w:lang w:val="fr-FR"/>
        </w:rPr>
        <w:t> 17 figurent en caractères gras pour les ajouts et biffés pour les suppressions</w:t>
      </w:r>
      <w:r w:rsidR="006C6F5F" w:rsidRPr="00E75116">
        <w:rPr>
          <w:lang w:val="fr-FR"/>
        </w:rPr>
        <w:t>.</w:t>
      </w:r>
      <w:bookmarkEnd w:id="0"/>
    </w:p>
    <w:p w14:paraId="647DD042" w14:textId="77777777" w:rsidR="004D4071" w:rsidRPr="00E75116" w:rsidRDefault="004D4071" w:rsidP="004D4071">
      <w:pPr>
        <w:pStyle w:val="SingleTxtG"/>
        <w:rPr>
          <w:lang w:val="fr-FR"/>
        </w:rPr>
      </w:pPr>
    </w:p>
    <w:p w14:paraId="0D9256DC" w14:textId="00C5C630" w:rsidR="005B12EC" w:rsidRPr="00E75116" w:rsidRDefault="005B12EC">
      <w:pPr>
        <w:suppressAutoHyphens w:val="0"/>
        <w:kinsoku/>
        <w:overflowPunct/>
        <w:autoSpaceDE/>
        <w:autoSpaceDN/>
        <w:adjustRightInd/>
        <w:snapToGrid/>
        <w:spacing w:after="200" w:line="276" w:lineRule="auto"/>
        <w:rPr>
          <w:lang w:val="fr-FR"/>
        </w:rPr>
      </w:pPr>
      <w:r w:rsidRPr="00E75116">
        <w:rPr>
          <w:lang w:val="fr-FR"/>
        </w:rPr>
        <w:br w:type="page"/>
      </w:r>
    </w:p>
    <w:p w14:paraId="421AFFF4" w14:textId="7376764D" w:rsidR="005629E7" w:rsidRPr="00E75116" w:rsidRDefault="00AE0408" w:rsidP="004D4071">
      <w:pPr>
        <w:pStyle w:val="HChG"/>
        <w:rPr>
          <w:lang w:val="fr-FR"/>
        </w:rPr>
      </w:pPr>
      <w:r w:rsidRPr="00E75116">
        <w:rPr>
          <w:lang w:val="fr-FR"/>
        </w:rPr>
        <w:lastRenderedPageBreak/>
        <w:tab/>
      </w:r>
      <w:r w:rsidR="005629E7" w:rsidRPr="00E75116">
        <w:rPr>
          <w:lang w:val="fr-FR"/>
        </w:rPr>
        <w:t>I</w:t>
      </w:r>
      <w:r w:rsidR="006C6F5F" w:rsidRPr="00E75116">
        <w:rPr>
          <w:lang w:val="fr-FR"/>
        </w:rPr>
        <w:t>.</w:t>
      </w:r>
      <w:r w:rsidR="005629E7" w:rsidRPr="00E75116">
        <w:rPr>
          <w:lang w:val="fr-FR"/>
        </w:rPr>
        <w:tab/>
        <w:t>Proposition</w:t>
      </w:r>
    </w:p>
    <w:p w14:paraId="20D9F8CD" w14:textId="66968711" w:rsidR="005629E7" w:rsidRPr="00E75116" w:rsidRDefault="005629E7" w:rsidP="00A400C2">
      <w:pPr>
        <w:pStyle w:val="SingleTxtG"/>
        <w:rPr>
          <w:bCs/>
          <w:lang w:val="fr-FR"/>
        </w:rPr>
      </w:pPr>
      <w:r w:rsidRPr="00E75116">
        <w:rPr>
          <w:i/>
          <w:iCs/>
          <w:lang w:val="fr-FR"/>
        </w:rPr>
        <w:t>Paragraphe 5</w:t>
      </w:r>
      <w:r w:rsidR="006C6F5F" w:rsidRPr="00E75116">
        <w:rPr>
          <w:i/>
          <w:iCs/>
          <w:lang w:val="fr-FR"/>
        </w:rPr>
        <w:t>.</w:t>
      </w:r>
      <w:r w:rsidRPr="00E75116">
        <w:rPr>
          <w:i/>
          <w:iCs/>
          <w:lang w:val="fr-FR"/>
        </w:rPr>
        <w:t>6</w:t>
      </w:r>
      <w:r w:rsidR="006C6F5F" w:rsidRPr="00E75116">
        <w:rPr>
          <w:i/>
          <w:iCs/>
          <w:lang w:val="fr-FR"/>
        </w:rPr>
        <w:t>.</w:t>
      </w:r>
      <w:r w:rsidRPr="00E75116">
        <w:rPr>
          <w:i/>
          <w:iCs/>
          <w:lang w:val="fr-FR"/>
        </w:rPr>
        <w:t>4</w:t>
      </w:r>
      <w:r w:rsidRPr="00E75116">
        <w:rPr>
          <w:lang w:val="fr-FR"/>
        </w:rPr>
        <w:t>, supprimer</w:t>
      </w:r>
      <w:r w:rsidR="006C6F5F" w:rsidRPr="00E75116">
        <w:rPr>
          <w:lang w:val="fr-FR"/>
        </w:rPr>
        <w:t>.</w:t>
      </w:r>
    </w:p>
    <w:p w14:paraId="652A9D0C" w14:textId="2D2D21B6" w:rsidR="005629E7" w:rsidRPr="00E75116" w:rsidRDefault="005629E7" w:rsidP="00A400C2">
      <w:pPr>
        <w:pStyle w:val="SingleTxtG"/>
        <w:rPr>
          <w:bCs/>
          <w:lang w:val="fr-FR"/>
        </w:rPr>
      </w:pPr>
      <w:r w:rsidRPr="00E75116">
        <w:rPr>
          <w:i/>
          <w:iCs/>
          <w:lang w:val="fr-FR"/>
        </w:rPr>
        <w:t>Les paragraphe</w:t>
      </w:r>
      <w:r w:rsidR="00E75116">
        <w:rPr>
          <w:i/>
          <w:iCs/>
          <w:lang w:val="fr-FR"/>
        </w:rPr>
        <w:t>s</w:t>
      </w:r>
      <w:r w:rsidRPr="00E75116">
        <w:rPr>
          <w:i/>
          <w:iCs/>
          <w:lang w:val="fr-FR"/>
        </w:rPr>
        <w:t xml:space="preserve"> 5</w:t>
      </w:r>
      <w:r w:rsidR="006C6F5F" w:rsidRPr="00E75116">
        <w:rPr>
          <w:i/>
          <w:iCs/>
          <w:lang w:val="fr-FR"/>
        </w:rPr>
        <w:t>.</w:t>
      </w:r>
      <w:r w:rsidRPr="00E75116">
        <w:rPr>
          <w:i/>
          <w:iCs/>
          <w:lang w:val="fr-FR"/>
        </w:rPr>
        <w:t>6</w:t>
      </w:r>
      <w:r w:rsidR="006C6F5F" w:rsidRPr="00E75116">
        <w:rPr>
          <w:i/>
          <w:iCs/>
          <w:lang w:val="fr-FR"/>
        </w:rPr>
        <w:t>.</w:t>
      </w:r>
      <w:r w:rsidRPr="00E75116">
        <w:rPr>
          <w:i/>
          <w:iCs/>
          <w:lang w:val="fr-FR"/>
        </w:rPr>
        <w:t>5 à 5</w:t>
      </w:r>
      <w:r w:rsidR="006C6F5F" w:rsidRPr="00E75116">
        <w:rPr>
          <w:i/>
          <w:iCs/>
          <w:lang w:val="fr-FR"/>
        </w:rPr>
        <w:t>.</w:t>
      </w:r>
      <w:r w:rsidRPr="00E75116">
        <w:rPr>
          <w:i/>
          <w:iCs/>
          <w:lang w:val="fr-FR"/>
        </w:rPr>
        <w:t>6</w:t>
      </w:r>
      <w:r w:rsidR="006C6F5F" w:rsidRPr="00E75116">
        <w:rPr>
          <w:i/>
          <w:iCs/>
          <w:lang w:val="fr-FR"/>
        </w:rPr>
        <w:t>.</w:t>
      </w:r>
      <w:r w:rsidRPr="00E75116">
        <w:rPr>
          <w:i/>
          <w:iCs/>
          <w:lang w:val="fr-FR"/>
        </w:rPr>
        <w:t xml:space="preserve">7 </w:t>
      </w:r>
      <w:r w:rsidRPr="00E75116">
        <w:rPr>
          <w:lang w:val="fr-FR"/>
        </w:rPr>
        <w:t>deviennent les paragraphes 5</w:t>
      </w:r>
      <w:r w:rsidR="006C6F5F" w:rsidRPr="00E75116">
        <w:rPr>
          <w:lang w:val="fr-FR"/>
        </w:rPr>
        <w:t>.</w:t>
      </w:r>
      <w:r w:rsidRPr="00E75116">
        <w:rPr>
          <w:lang w:val="fr-FR"/>
        </w:rPr>
        <w:t>6</w:t>
      </w:r>
      <w:r w:rsidR="006C6F5F" w:rsidRPr="00E75116">
        <w:rPr>
          <w:lang w:val="fr-FR"/>
        </w:rPr>
        <w:t>.</w:t>
      </w:r>
      <w:r w:rsidRPr="00E75116">
        <w:rPr>
          <w:lang w:val="fr-FR"/>
        </w:rPr>
        <w:t>4 à 5</w:t>
      </w:r>
      <w:r w:rsidR="006C6F5F" w:rsidRPr="00E75116">
        <w:rPr>
          <w:lang w:val="fr-FR"/>
        </w:rPr>
        <w:t>.</w:t>
      </w:r>
      <w:r w:rsidRPr="00E75116">
        <w:rPr>
          <w:lang w:val="fr-FR"/>
        </w:rPr>
        <w:t>6</w:t>
      </w:r>
      <w:r w:rsidR="006C6F5F" w:rsidRPr="00E75116">
        <w:rPr>
          <w:lang w:val="fr-FR"/>
        </w:rPr>
        <w:t>.</w:t>
      </w:r>
      <w:r w:rsidRPr="00E75116">
        <w:rPr>
          <w:lang w:val="fr-FR"/>
        </w:rPr>
        <w:t>6</w:t>
      </w:r>
      <w:r w:rsidR="006C6F5F" w:rsidRPr="00E75116">
        <w:rPr>
          <w:lang w:val="fr-FR"/>
        </w:rPr>
        <w:t>.</w:t>
      </w:r>
    </w:p>
    <w:p w14:paraId="2ED7C7A0" w14:textId="43ED4F29" w:rsidR="005629E7" w:rsidRPr="00E75116" w:rsidRDefault="005629E7" w:rsidP="00A400C2">
      <w:pPr>
        <w:pStyle w:val="SingleTxtG"/>
        <w:rPr>
          <w:bCs/>
          <w:lang w:val="fr-FR"/>
        </w:rPr>
      </w:pPr>
      <w:r w:rsidRPr="00E75116">
        <w:rPr>
          <w:i/>
          <w:iCs/>
          <w:lang w:val="fr-FR"/>
        </w:rPr>
        <w:t>Ajouter les nouveaux paragraphe</w:t>
      </w:r>
      <w:r w:rsidR="008D33F0">
        <w:rPr>
          <w:i/>
          <w:iCs/>
          <w:lang w:val="fr-FR"/>
        </w:rPr>
        <w:t>s</w:t>
      </w:r>
      <w:r w:rsidRPr="00E75116">
        <w:rPr>
          <w:i/>
          <w:iCs/>
          <w:lang w:val="fr-FR"/>
        </w:rPr>
        <w:t xml:space="preserve"> 13</w:t>
      </w:r>
      <w:r w:rsidR="006C6F5F" w:rsidRPr="00E75116">
        <w:rPr>
          <w:i/>
          <w:iCs/>
          <w:lang w:val="fr-FR"/>
        </w:rPr>
        <w:t>.</w:t>
      </w:r>
      <w:r w:rsidRPr="00E75116">
        <w:rPr>
          <w:i/>
          <w:iCs/>
          <w:lang w:val="fr-FR"/>
        </w:rPr>
        <w:t>15 à 13</w:t>
      </w:r>
      <w:r w:rsidR="006C6F5F" w:rsidRPr="00E75116">
        <w:rPr>
          <w:i/>
          <w:iCs/>
          <w:lang w:val="fr-FR"/>
        </w:rPr>
        <w:t>.</w:t>
      </w:r>
      <w:r w:rsidRPr="00E75116">
        <w:rPr>
          <w:i/>
          <w:iCs/>
          <w:lang w:val="fr-FR"/>
        </w:rPr>
        <w:t>15</w:t>
      </w:r>
      <w:r w:rsidR="006C6F5F" w:rsidRPr="00E75116">
        <w:rPr>
          <w:i/>
          <w:iCs/>
          <w:lang w:val="fr-FR"/>
        </w:rPr>
        <w:t>.</w:t>
      </w:r>
      <w:r w:rsidRPr="00E75116">
        <w:rPr>
          <w:i/>
          <w:iCs/>
          <w:lang w:val="fr-FR"/>
        </w:rPr>
        <w:t>5</w:t>
      </w:r>
      <w:r w:rsidRPr="00E75116">
        <w:rPr>
          <w:lang w:val="fr-FR"/>
        </w:rPr>
        <w:t>, libellés comme suit</w:t>
      </w:r>
      <w:r w:rsidR="0097124D" w:rsidRPr="00E75116">
        <w:rPr>
          <w:lang w:val="fr-FR"/>
        </w:rPr>
        <w:t> :</w:t>
      </w:r>
    </w:p>
    <w:p w14:paraId="27121F0A" w14:textId="22AA3319" w:rsidR="005629E7" w:rsidRPr="00E75116" w:rsidRDefault="009E4480" w:rsidP="008129CD">
      <w:pPr>
        <w:widowControl w:val="0"/>
        <w:kinsoku/>
        <w:overflowPunct/>
        <w:autoSpaceDE/>
        <w:autoSpaceDN/>
        <w:adjustRightInd/>
        <w:snapToGrid/>
        <w:spacing w:after="120"/>
        <w:ind w:left="2268" w:right="1134" w:hanging="1134"/>
        <w:jc w:val="both"/>
        <w:rPr>
          <w:b/>
          <w:bCs/>
          <w:lang w:val="fr-FR"/>
        </w:rPr>
      </w:pPr>
      <w:r w:rsidRPr="00E75116">
        <w:rPr>
          <w:b/>
          <w:bCs/>
          <w:lang w:val="fr-FR"/>
        </w:rPr>
        <w:t>« </w:t>
      </w:r>
      <w:r w:rsidR="005629E7" w:rsidRPr="00E75116">
        <w:rPr>
          <w:b/>
          <w:bCs/>
          <w:lang w:val="fr-FR"/>
        </w:rPr>
        <w:t>13</w:t>
      </w:r>
      <w:r w:rsidR="006C6F5F" w:rsidRPr="00E75116">
        <w:rPr>
          <w:b/>
          <w:bCs/>
          <w:lang w:val="fr-FR"/>
        </w:rPr>
        <w:t>.</w:t>
      </w:r>
      <w:r w:rsidR="005629E7" w:rsidRPr="00E75116">
        <w:rPr>
          <w:b/>
          <w:bCs/>
          <w:lang w:val="fr-FR"/>
        </w:rPr>
        <w:t>15</w:t>
      </w:r>
      <w:r w:rsidR="005629E7" w:rsidRPr="00E75116">
        <w:rPr>
          <w:lang w:val="fr-FR"/>
        </w:rPr>
        <w:tab/>
      </w:r>
      <w:r w:rsidR="005629E7" w:rsidRPr="00E75116">
        <w:rPr>
          <w:b/>
          <w:bCs/>
          <w:lang w:val="fr-FR"/>
        </w:rPr>
        <w:t>À compter de la date officielle d</w:t>
      </w:r>
      <w:r w:rsidR="0097124D" w:rsidRPr="00E75116">
        <w:rPr>
          <w:b/>
          <w:bCs/>
          <w:lang w:val="fr-FR"/>
        </w:rPr>
        <w:t>’</w:t>
      </w:r>
      <w:r w:rsidR="005629E7" w:rsidRPr="00E75116">
        <w:rPr>
          <w:b/>
          <w:bCs/>
          <w:lang w:val="fr-FR"/>
        </w:rPr>
        <w:t xml:space="preserve">entrée en vigueur de la </w:t>
      </w:r>
      <w:r w:rsidR="00FB6201" w:rsidRPr="00E75116">
        <w:rPr>
          <w:b/>
          <w:bCs/>
          <w:lang w:val="fr-FR"/>
        </w:rPr>
        <w:t>série </w:t>
      </w:r>
      <w:r w:rsidR="005629E7" w:rsidRPr="00E75116">
        <w:rPr>
          <w:b/>
          <w:bCs/>
          <w:lang w:val="fr-FR"/>
        </w:rPr>
        <w:t>12 d</w:t>
      </w:r>
      <w:r w:rsidR="0097124D" w:rsidRPr="00E75116">
        <w:rPr>
          <w:b/>
          <w:bCs/>
          <w:lang w:val="fr-FR"/>
        </w:rPr>
        <w:t>’</w:t>
      </w:r>
      <w:r w:rsidR="005629E7" w:rsidRPr="00E75116">
        <w:rPr>
          <w:b/>
          <w:bCs/>
          <w:lang w:val="fr-FR"/>
        </w:rPr>
        <w:t>amendements, aucune Partie contractante appliquant le présent Règlement ne pourra refuser d</w:t>
      </w:r>
      <w:r w:rsidR="0097124D" w:rsidRPr="00E75116">
        <w:rPr>
          <w:b/>
          <w:bCs/>
          <w:lang w:val="fr-FR"/>
        </w:rPr>
        <w:t>’</w:t>
      </w:r>
      <w:r w:rsidR="005629E7" w:rsidRPr="00E75116">
        <w:rPr>
          <w:b/>
          <w:bCs/>
          <w:lang w:val="fr-FR"/>
        </w:rPr>
        <w:t>accorder ou d</w:t>
      </w:r>
      <w:r w:rsidR="0097124D" w:rsidRPr="00E75116">
        <w:rPr>
          <w:b/>
          <w:bCs/>
          <w:lang w:val="fr-FR"/>
        </w:rPr>
        <w:t>’</w:t>
      </w:r>
      <w:r w:rsidR="005629E7" w:rsidRPr="00E75116">
        <w:rPr>
          <w:b/>
          <w:bCs/>
          <w:lang w:val="fr-FR"/>
        </w:rPr>
        <w:t xml:space="preserve">accepter une homologation de type ONU en vertu dudit Règlement tel que modifié par la </w:t>
      </w:r>
      <w:r w:rsidR="00FB6201" w:rsidRPr="00E75116">
        <w:rPr>
          <w:b/>
          <w:bCs/>
          <w:lang w:val="fr-FR"/>
        </w:rPr>
        <w:t>série </w:t>
      </w:r>
      <w:r w:rsidR="005629E7" w:rsidRPr="00E75116">
        <w:rPr>
          <w:b/>
          <w:bCs/>
          <w:lang w:val="fr-FR"/>
        </w:rPr>
        <w:t>12 d</w:t>
      </w:r>
      <w:r w:rsidR="0097124D" w:rsidRPr="00E75116">
        <w:rPr>
          <w:b/>
          <w:bCs/>
          <w:lang w:val="fr-FR"/>
        </w:rPr>
        <w:t>’</w:t>
      </w:r>
      <w:r w:rsidR="005629E7" w:rsidRPr="00E75116">
        <w:rPr>
          <w:b/>
          <w:bCs/>
          <w:lang w:val="fr-FR"/>
        </w:rPr>
        <w:t>amendements</w:t>
      </w:r>
      <w:r w:rsidR="006C6F5F" w:rsidRPr="00E75116">
        <w:rPr>
          <w:b/>
          <w:bCs/>
          <w:lang w:val="fr-FR"/>
        </w:rPr>
        <w:t>.</w:t>
      </w:r>
    </w:p>
    <w:p w14:paraId="7D3D9B45" w14:textId="0476EA3F" w:rsidR="005629E7" w:rsidRPr="00E75116" w:rsidRDefault="005629E7" w:rsidP="008129CD">
      <w:pPr>
        <w:widowControl w:val="0"/>
        <w:kinsoku/>
        <w:overflowPunct/>
        <w:autoSpaceDE/>
        <w:autoSpaceDN/>
        <w:adjustRightInd/>
        <w:snapToGrid/>
        <w:spacing w:after="120"/>
        <w:ind w:left="2268" w:right="1134" w:hanging="1134"/>
        <w:jc w:val="both"/>
        <w:rPr>
          <w:b/>
          <w:bCs/>
          <w:lang w:val="fr-FR"/>
        </w:rPr>
      </w:pPr>
      <w:r w:rsidRPr="00E75116">
        <w:rPr>
          <w:rFonts w:eastAsia="Times New Roman"/>
          <w:b/>
          <w:bCs/>
          <w:lang w:val="fr-FR"/>
        </w:rPr>
        <w:t>13</w:t>
      </w:r>
      <w:r w:rsidR="006C6F5F" w:rsidRPr="00E75116">
        <w:rPr>
          <w:b/>
          <w:bCs/>
          <w:lang w:val="fr-FR"/>
        </w:rPr>
        <w:t>.</w:t>
      </w:r>
      <w:r w:rsidRPr="00E75116">
        <w:rPr>
          <w:b/>
          <w:bCs/>
          <w:lang w:val="fr-FR"/>
        </w:rPr>
        <w:t>15</w:t>
      </w:r>
      <w:r w:rsidR="006C6F5F" w:rsidRPr="00E75116">
        <w:rPr>
          <w:b/>
          <w:bCs/>
          <w:lang w:val="fr-FR"/>
        </w:rPr>
        <w:t>.</w:t>
      </w:r>
      <w:r w:rsidRPr="00E75116">
        <w:rPr>
          <w:b/>
          <w:bCs/>
          <w:lang w:val="fr-FR"/>
        </w:rPr>
        <w:t>1</w:t>
      </w:r>
      <w:r w:rsidRPr="00E75116">
        <w:rPr>
          <w:lang w:val="fr-FR"/>
        </w:rPr>
        <w:tab/>
      </w:r>
      <w:r w:rsidRPr="00E75116">
        <w:rPr>
          <w:b/>
          <w:bCs/>
          <w:lang w:val="fr-FR"/>
        </w:rPr>
        <w:t xml:space="preserve">À compter du </w:t>
      </w:r>
      <w:r w:rsidR="0097124D" w:rsidRPr="00E75116">
        <w:rPr>
          <w:b/>
          <w:bCs/>
          <w:lang w:val="fr-FR"/>
        </w:rPr>
        <w:t>1</w:t>
      </w:r>
      <w:r w:rsidR="0097124D" w:rsidRPr="00E75116">
        <w:rPr>
          <w:b/>
          <w:bCs/>
          <w:vertAlign w:val="superscript"/>
          <w:lang w:val="fr-FR"/>
        </w:rPr>
        <w:t>er</w:t>
      </w:r>
      <w:r w:rsidRPr="00E75116">
        <w:rPr>
          <w:b/>
          <w:bCs/>
          <w:lang w:val="fr-FR"/>
        </w:rPr>
        <w:t xml:space="preserve"> septembre 202</w:t>
      </w:r>
      <w:r w:rsidR="006D79B3" w:rsidRPr="00E75116">
        <w:rPr>
          <w:b/>
          <w:bCs/>
          <w:lang w:val="fr-FR"/>
        </w:rPr>
        <w:t>7</w:t>
      </w:r>
      <w:r w:rsidRPr="00E75116">
        <w:rPr>
          <w:b/>
          <w:bCs/>
          <w:lang w:val="fr-FR"/>
        </w:rPr>
        <w:t>, les Parties contractantes appliquant le présent Règlement  ne seront plus tenues d</w:t>
      </w:r>
      <w:r w:rsidR="0097124D" w:rsidRPr="00E75116">
        <w:rPr>
          <w:b/>
          <w:bCs/>
          <w:lang w:val="fr-FR"/>
        </w:rPr>
        <w:t>’</w:t>
      </w:r>
      <w:r w:rsidRPr="00E75116">
        <w:rPr>
          <w:b/>
          <w:bCs/>
          <w:lang w:val="fr-FR"/>
        </w:rPr>
        <w:t>accepter les homologations de type ONU établies conformément aux précédentes séries d</w:t>
      </w:r>
      <w:r w:rsidR="0097124D" w:rsidRPr="00E75116">
        <w:rPr>
          <w:b/>
          <w:bCs/>
          <w:lang w:val="fr-FR"/>
        </w:rPr>
        <w:t>’</w:t>
      </w:r>
      <w:r w:rsidRPr="00E75116">
        <w:rPr>
          <w:b/>
          <w:bCs/>
          <w:lang w:val="fr-FR"/>
        </w:rPr>
        <w:t xml:space="preserve">amendements, délivrées pour la première fois le </w:t>
      </w:r>
      <w:r w:rsidR="0097124D" w:rsidRPr="00E75116">
        <w:rPr>
          <w:b/>
          <w:bCs/>
          <w:lang w:val="fr-FR"/>
        </w:rPr>
        <w:t>1</w:t>
      </w:r>
      <w:r w:rsidR="0097124D" w:rsidRPr="00E75116">
        <w:rPr>
          <w:b/>
          <w:bCs/>
          <w:vertAlign w:val="superscript"/>
          <w:lang w:val="fr-FR"/>
        </w:rPr>
        <w:t>er</w:t>
      </w:r>
      <w:r w:rsidRPr="00E75116">
        <w:rPr>
          <w:b/>
          <w:bCs/>
          <w:lang w:val="fr-FR"/>
        </w:rPr>
        <w:t xml:space="preserve"> septembre 2027 ou ultérieurement</w:t>
      </w:r>
      <w:r w:rsidR="006C6F5F" w:rsidRPr="00E75116">
        <w:rPr>
          <w:b/>
          <w:bCs/>
          <w:lang w:val="fr-FR"/>
        </w:rPr>
        <w:t>.</w:t>
      </w:r>
    </w:p>
    <w:p w14:paraId="3F7AA1B3" w14:textId="4E52DC41" w:rsidR="005629E7" w:rsidRPr="00E75116" w:rsidRDefault="005629E7" w:rsidP="008129CD">
      <w:pPr>
        <w:widowControl w:val="0"/>
        <w:kinsoku/>
        <w:overflowPunct/>
        <w:autoSpaceDE/>
        <w:autoSpaceDN/>
        <w:adjustRightInd/>
        <w:snapToGrid/>
        <w:spacing w:after="120"/>
        <w:ind w:left="2268" w:right="1134" w:hanging="1134"/>
        <w:jc w:val="both"/>
        <w:rPr>
          <w:b/>
          <w:bCs/>
          <w:lang w:val="fr-FR"/>
        </w:rPr>
      </w:pPr>
      <w:r w:rsidRPr="00E75116">
        <w:rPr>
          <w:b/>
          <w:bCs/>
          <w:lang w:val="fr-FR"/>
        </w:rPr>
        <w:t>13</w:t>
      </w:r>
      <w:r w:rsidR="006C6F5F" w:rsidRPr="00E75116">
        <w:rPr>
          <w:b/>
          <w:bCs/>
          <w:lang w:val="fr-FR"/>
        </w:rPr>
        <w:t>.</w:t>
      </w:r>
      <w:r w:rsidRPr="00E75116">
        <w:rPr>
          <w:b/>
          <w:bCs/>
          <w:lang w:val="fr-FR"/>
        </w:rPr>
        <w:t>15</w:t>
      </w:r>
      <w:r w:rsidR="006C6F5F" w:rsidRPr="00E75116">
        <w:rPr>
          <w:b/>
          <w:bCs/>
          <w:lang w:val="fr-FR"/>
        </w:rPr>
        <w:t>.</w:t>
      </w:r>
      <w:r w:rsidRPr="00E75116">
        <w:rPr>
          <w:b/>
          <w:bCs/>
          <w:lang w:val="fr-FR"/>
        </w:rPr>
        <w:t>2</w:t>
      </w:r>
      <w:r w:rsidRPr="00E75116">
        <w:rPr>
          <w:lang w:val="fr-FR"/>
        </w:rPr>
        <w:tab/>
      </w:r>
      <w:r w:rsidRPr="00E75116">
        <w:rPr>
          <w:b/>
          <w:bCs/>
          <w:lang w:val="fr-FR"/>
        </w:rPr>
        <w:t>Jusqu</w:t>
      </w:r>
      <w:r w:rsidR="0097124D" w:rsidRPr="00E75116">
        <w:rPr>
          <w:b/>
          <w:bCs/>
          <w:lang w:val="fr-FR"/>
        </w:rPr>
        <w:t>’</w:t>
      </w:r>
      <w:r w:rsidRPr="00E75116">
        <w:rPr>
          <w:b/>
          <w:bCs/>
          <w:lang w:val="fr-FR"/>
        </w:rPr>
        <w:t xml:space="preserve">au </w:t>
      </w:r>
      <w:r w:rsidR="0097124D" w:rsidRPr="00E75116">
        <w:rPr>
          <w:b/>
          <w:bCs/>
          <w:lang w:val="fr-FR"/>
        </w:rPr>
        <w:t>1</w:t>
      </w:r>
      <w:r w:rsidR="0097124D" w:rsidRPr="00E75116">
        <w:rPr>
          <w:b/>
          <w:bCs/>
          <w:vertAlign w:val="superscript"/>
          <w:lang w:val="fr-FR"/>
        </w:rPr>
        <w:t>er</w:t>
      </w:r>
      <w:r w:rsidRPr="00E75116">
        <w:rPr>
          <w:b/>
          <w:bCs/>
          <w:lang w:val="fr-FR"/>
        </w:rPr>
        <w:t> septembre 2029, les Parties contractantes appliquant le présent Règlement seront tenues d</w:t>
      </w:r>
      <w:r w:rsidR="0097124D" w:rsidRPr="00E75116">
        <w:rPr>
          <w:b/>
          <w:bCs/>
          <w:lang w:val="fr-FR"/>
        </w:rPr>
        <w:t>’</w:t>
      </w:r>
      <w:r w:rsidRPr="00E75116">
        <w:rPr>
          <w:b/>
          <w:bCs/>
          <w:lang w:val="fr-FR"/>
        </w:rPr>
        <w:t>accepter les homologations de type ONU établies conformément aux précédentes séries d</w:t>
      </w:r>
      <w:r w:rsidR="0097124D" w:rsidRPr="00E75116">
        <w:rPr>
          <w:b/>
          <w:bCs/>
          <w:lang w:val="fr-FR"/>
        </w:rPr>
        <w:t>’</w:t>
      </w:r>
      <w:r w:rsidRPr="00E75116">
        <w:rPr>
          <w:b/>
          <w:bCs/>
          <w:lang w:val="fr-FR"/>
        </w:rPr>
        <w:t xml:space="preserve">amendements, délivrées pour la première fois avant le </w:t>
      </w:r>
      <w:r w:rsidR="0097124D" w:rsidRPr="00E75116">
        <w:rPr>
          <w:b/>
          <w:bCs/>
          <w:lang w:val="fr-FR"/>
        </w:rPr>
        <w:t>1</w:t>
      </w:r>
      <w:r w:rsidR="0097124D" w:rsidRPr="00E75116">
        <w:rPr>
          <w:b/>
          <w:bCs/>
          <w:vertAlign w:val="superscript"/>
          <w:lang w:val="fr-FR"/>
        </w:rPr>
        <w:t>er</w:t>
      </w:r>
      <w:r w:rsidRPr="00E75116">
        <w:rPr>
          <w:b/>
          <w:bCs/>
          <w:lang w:val="fr-FR"/>
        </w:rPr>
        <w:t> septembre 202</w:t>
      </w:r>
      <w:r w:rsidR="00241E72" w:rsidRPr="00E75116">
        <w:rPr>
          <w:b/>
          <w:bCs/>
          <w:lang w:val="fr-FR"/>
        </w:rPr>
        <w:t>7</w:t>
      </w:r>
      <w:r w:rsidR="006C6F5F" w:rsidRPr="00E75116">
        <w:rPr>
          <w:b/>
          <w:bCs/>
          <w:lang w:val="fr-FR"/>
        </w:rPr>
        <w:t>.</w:t>
      </w:r>
    </w:p>
    <w:p w14:paraId="5E9A1EC7" w14:textId="03CD6EC4" w:rsidR="005629E7" w:rsidRPr="00E75116" w:rsidRDefault="005629E7" w:rsidP="008129CD">
      <w:pPr>
        <w:widowControl w:val="0"/>
        <w:kinsoku/>
        <w:overflowPunct/>
        <w:autoSpaceDE/>
        <w:autoSpaceDN/>
        <w:adjustRightInd/>
        <w:snapToGrid/>
        <w:spacing w:after="120"/>
        <w:ind w:left="2268" w:right="1134" w:hanging="1134"/>
        <w:jc w:val="both"/>
        <w:rPr>
          <w:b/>
          <w:bCs/>
          <w:lang w:val="fr-FR"/>
        </w:rPr>
      </w:pPr>
      <w:r w:rsidRPr="00E75116">
        <w:rPr>
          <w:rFonts w:eastAsia="Times New Roman"/>
          <w:b/>
          <w:bCs/>
          <w:lang w:val="fr-FR"/>
        </w:rPr>
        <w:t>13</w:t>
      </w:r>
      <w:r w:rsidR="006C6F5F" w:rsidRPr="00E75116">
        <w:rPr>
          <w:b/>
          <w:bCs/>
          <w:lang w:val="fr-FR"/>
        </w:rPr>
        <w:t>.</w:t>
      </w:r>
      <w:r w:rsidRPr="00E75116">
        <w:rPr>
          <w:b/>
          <w:bCs/>
          <w:lang w:val="fr-FR"/>
        </w:rPr>
        <w:t>15</w:t>
      </w:r>
      <w:r w:rsidR="006C6F5F" w:rsidRPr="00E75116">
        <w:rPr>
          <w:b/>
          <w:bCs/>
          <w:lang w:val="fr-FR"/>
        </w:rPr>
        <w:t>.</w:t>
      </w:r>
      <w:r w:rsidRPr="00E75116">
        <w:rPr>
          <w:b/>
          <w:bCs/>
          <w:lang w:val="fr-FR"/>
        </w:rPr>
        <w:t>3</w:t>
      </w:r>
      <w:r w:rsidRPr="00E75116">
        <w:rPr>
          <w:lang w:val="fr-FR"/>
        </w:rPr>
        <w:tab/>
      </w:r>
      <w:r w:rsidRPr="00E75116">
        <w:rPr>
          <w:b/>
          <w:bCs/>
          <w:lang w:val="fr-FR"/>
        </w:rPr>
        <w:t xml:space="preserve">À compter du </w:t>
      </w:r>
      <w:r w:rsidR="0097124D" w:rsidRPr="00E75116">
        <w:rPr>
          <w:b/>
          <w:bCs/>
          <w:lang w:val="fr-FR"/>
        </w:rPr>
        <w:t>1</w:t>
      </w:r>
      <w:r w:rsidR="0097124D" w:rsidRPr="00E75116">
        <w:rPr>
          <w:b/>
          <w:bCs/>
          <w:vertAlign w:val="superscript"/>
          <w:lang w:val="fr-FR"/>
        </w:rPr>
        <w:t>er</w:t>
      </w:r>
      <w:r w:rsidRPr="00E75116">
        <w:rPr>
          <w:b/>
          <w:bCs/>
          <w:lang w:val="fr-FR"/>
        </w:rPr>
        <w:t xml:space="preserve"> septembre 2029, les Parties contractantes appliquant le présent Règlement ne seront plus tenues d</w:t>
      </w:r>
      <w:r w:rsidR="0097124D" w:rsidRPr="00E75116">
        <w:rPr>
          <w:b/>
          <w:bCs/>
          <w:lang w:val="fr-FR"/>
        </w:rPr>
        <w:t>’</w:t>
      </w:r>
      <w:r w:rsidRPr="00E75116">
        <w:rPr>
          <w:b/>
          <w:bCs/>
          <w:lang w:val="fr-FR"/>
        </w:rPr>
        <w:t>accepter les homologations de type délivrées en vertu des précédentes séries d</w:t>
      </w:r>
      <w:r w:rsidR="0097124D" w:rsidRPr="00E75116">
        <w:rPr>
          <w:b/>
          <w:bCs/>
          <w:lang w:val="fr-FR"/>
        </w:rPr>
        <w:t>’</w:t>
      </w:r>
      <w:r w:rsidRPr="00E75116">
        <w:rPr>
          <w:b/>
          <w:bCs/>
          <w:lang w:val="fr-FR"/>
        </w:rPr>
        <w:t>amendements audit Règlement</w:t>
      </w:r>
      <w:r w:rsidR="006C6F5F" w:rsidRPr="00E75116">
        <w:rPr>
          <w:b/>
          <w:bCs/>
          <w:lang w:val="fr-FR"/>
        </w:rPr>
        <w:t>.</w:t>
      </w:r>
    </w:p>
    <w:p w14:paraId="599B8E76" w14:textId="1C18BDDE" w:rsidR="005629E7" w:rsidRPr="00E75116" w:rsidRDefault="005629E7" w:rsidP="008129CD">
      <w:pPr>
        <w:widowControl w:val="0"/>
        <w:kinsoku/>
        <w:overflowPunct/>
        <w:autoSpaceDE/>
        <w:autoSpaceDN/>
        <w:adjustRightInd/>
        <w:snapToGrid/>
        <w:spacing w:after="120"/>
        <w:ind w:left="2268" w:right="1134" w:hanging="1134"/>
        <w:jc w:val="both"/>
        <w:rPr>
          <w:b/>
          <w:bCs/>
          <w:lang w:val="fr-FR"/>
        </w:rPr>
      </w:pPr>
      <w:r w:rsidRPr="00E75116">
        <w:rPr>
          <w:b/>
          <w:bCs/>
          <w:lang w:val="fr-FR"/>
        </w:rPr>
        <w:t>13</w:t>
      </w:r>
      <w:r w:rsidR="006C6F5F" w:rsidRPr="00E75116">
        <w:rPr>
          <w:b/>
          <w:bCs/>
          <w:lang w:val="fr-FR"/>
        </w:rPr>
        <w:t>.</w:t>
      </w:r>
      <w:r w:rsidRPr="00E75116">
        <w:rPr>
          <w:b/>
          <w:bCs/>
          <w:lang w:val="fr-FR"/>
        </w:rPr>
        <w:t>15</w:t>
      </w:r>
      <w:r w:rsidR="006C6F5F" w:rsidRPr="00E75116">
        <w:rPr>
          <w:b/>
          <w:bCs/>
          <w:lang w:val="fr-FR"/>
        </w:rPr>
        <w:t>.</w:t>
      </w:r>
      <w:r w:rsidRPr="00E75116">
        <w:rPr>
          <w:b/>
          <w:bCs/>
          <w:lang w:val="fr-FR"/>
        </w:rPr>
        <w:t>4</w:t>
      </w:r>
      <w:r w:rsidRPr="00E75116">
        <w:rPr>
          <w:lang w:val="fr-FR"/>
        </w:rPr>
        <w:tab/>
      </w:r>
      <w:r w:rsidRPr="00E75116">
        <w:rPr>
          <w:b/>
          <w:bCs/>
          <w:lang w:val="fr-FR"/>
        </w:rPr>
        <w:t>Nonobstant les dispositions du paragraphe 13</w:t>
      </w:r>
      <w:r w:rsidR="006C6F5F" w:rsidRPr="00E75116">
        <w:rPr>
          <w:b/>
          <w:bCs/>
          <w:lang w:val="fr-FR"/>
        </w:rPr>
        <w:t>.</w:t>
      </w:r>
      <w:r w:rsidRPr="00E75116">
        <w:rPr>
          <w:b/>
          <w:bCs/>
          <w:lang w:val="fr-FR"/>
        </w:rPr>
        <w:t>15</w:t>
      </w:r>
      <w:r w:rsidR="006C6F5F" w:rsidRPr="00E75116">
        <w:rPr>
          <w:b/>
          <w:bCs/>
          <w:lang w:val="fr-FR"/>
        </w:rPr>
        <w:t>.</w:t>
      </w:r>
      <w:r w:rsidRPr="00E75116">
        <w:rPr>
          <w:b/>
          <w:bCs/>
          <w:lang w:val="fr-FR"/>
        </w:rPr>
        <w:t>3, les Parties contractantes appliquant le présent Règlement continueront de reconnaître les homologations de type ONU délivrées en vertu des précédentes séries d</w:t>
      </w:r>
      <w:r w:rsidR="0097124D" w:rsidRPr="00E75116">
        <w:rPr>
          <w:b/>
          <w:bCs/>
          <w:lang w:val="fr-FR"/>
        </w:rPr>
        <w:t>’</w:t>
      </w:r>
      <w:r w:rsidRPr="00E75116">
        <w:rPr>
          <w:b/>
          <w:bCs/>
          <w:lang w:val="fr-FR"/>
        </w:rPr>
        <w:t xml:space="preserve">amendements audit Règlement ONU pour les véhicules non concernés par les modifications apportées par la </w:t>
      </w:r>
      <w:r w:rsidR="00FB6201" w:rsidRPr="00E75116">
        <w:rPr>
          <w:b/>
          <w:bCs/>
          <w:lang w:val="fr-FR"/>
        </w:rPr>
        <w:t>série </w:t>
      </w:r>
      <w:r w:rsidRPr="00E75116">
        <w:rPr>
          <w:b/>
          <w:bCs/>
          <w:lang w:val="fr-FR"/>
        </w:rPr>
        <w:t>12 d</w:t>
      </w:r>
      <w:r w:rsidR="0097124D" w:rsidRPr="00E75116">
        <w:rPr>
          <w:b/>
          <w:bCs/>
          <w:lang w:val="fr-FR"/>
        </w:rPr>
        <w:t>’</w:t>
      </w:r>
      <w:r w:rsidRPr="00E75116">
        <w:rPr>
          <w:b/>
          <w:bCs/>
          <w:lang w:val="fr-FR"/>
        </w:rPr>
        <w:t>amendements</w:t>
      </w:r>
      <w:r w:rsidR="006C6F5F" w:rsidRPr="00E75116">
        <w:rPr>
          <w:b/>
          <w:bCs/>
          <w:lang w:val="fr-FR"/>
        </w:rPr>
        <w:t>.</w:t>
      </w:r>
    </w:p>
    <w:p w14:paraId="3FB51A5C" w14:textId="3B37AAE4" w:rsidR="005629E7" w:rsidRPr="00E75116" w:rsidRDefault="005629E7" w:rsidP="008129CD">
      <w:pPr>
        <w:widowControl w:val="0"/>
        <w:kinsoku/>
        <w:overflowPunct/>
        <w:autoSpaceDE/>
        <w:autoSpaceDN/>
        <w:adjustRightInd/>
        <w:snapToGrid/>
        <w:spacing w:after="120"/>
        <w:ind w:left="2268" w:right="1134" w:hanging="1134"/>
        <w:jc w:val="both"/>
        <w:rPr>
          <w:b/>
          <w:bCs/>
          <w:lang w:val="fr-FR"/>
        </w:rPr>
      </w:pPr>
      <w:r w:rsidRPr="00E75116">
        <w:rPr>
          <w:rFonts w:eastAsia="Times New Roman"/>
          <w:b/>
          <w:bCs/>
          <w:lang w:val="fr-FR"/>
        </w:rPr>
        <w:t>13</w:t>
      </w:r>
      <w:r w:rsidR="006C6F5F" w:rsidRPr="00E75116">
        <w:rPr>
          <w:b/>
          <w:bCs/>
          <w:lang w:val="fr-FR"/>
        </w:rPr>
        <w:t>.</w:t>
      </w:r>
      <w:r w:rsidRPr="00E75116">
        <w:rPr>
          <w:b/>
          <w:bCs/>
          <w:lang w:val="fr-FR"/>
        </w:rPr>
        <w:t>15</w:t>
      </w:r>
      <w:r w:rsidR="006C6F5F" w:rsidRPr="00E75116">
        <w:rPr>
          <w:b/>
          <w:bCs/>
          <w:lang w:val="fr-FR"/>
        </w:rPr>
        <w:t>.</w:t>
      </w:r>
      <w:r w:rsidRPr="00E75116">
        <w:rPr>
          <w:b/>
          <w:bCs/>
          <w:lang w:val="fr-FR"/>
        </w:rPr>
        <w:t>5</w:t>
      </w:r>
      <w:r w:rsidRPr="00E75116">
        <w:rPr>
          <w:lang w:val="fr-FR"/>
        </w:rPr>
        <w:tab/>
      </w:r>
      <w:r w:rsidRPr="00E75116">
        <w:rPr>
          <w:b/>
          <w:bCs/>
          <w:lang w:val="fr-FR"/>
        </w:rPr>
        <w:t>Les Parties contractantes appliquant le présent Règlement ne pourront refuser d</w:t>
      </w:r>
      <w:r w:rsidR="0097124D" w:rsidRPr="00E75116">
        <w:rPr>
          <w:b/>
          <w:bCs/>
          <w:lang w:val="fr-FR"/>
        </w:rPr>
        <w:t>’</w:t>
      </w:r>
      <w:r w:rsidRPr="00E75116">
        <w:rPr>
          <w:b/>
          <w:bCs/>
          <w:lang w:val="fr-FR"/>
        </w:rPr>
        <w:t>accorder des homologations de type ONU en vertu de l</w:t>
      </w:r>
      <w:r w:rsidR="0097124D" w:rsidRPr="00E75116">
        <w:rPr>
          <w:b/>
          <w:bCs/>
          <w:lang w:val="fr-FR"/>
        </w:rPr>
        <w:t>’</w:t>
      </w:r>
      <w:r w:rsidRPr="00E75116">
        <w:rPr>
          <w:b/>
          <w:bCs/>
          <w:lang w:val="fr-FR"/>
        </w:rPr>
        <w:t>une quelconque des précédentes séries d</w:t>
      </w:r>
      <w:r w:rsidR="0097124D" w:rsidRPr="00E75116">
        <w:rPr>
          <w:b/>
          <w:bCs/>
          <w:lang w:val="fr-FR"/>
        </w:rPr>
        <w:t>’</w:t>
      </w:r>
      <w:r w:rsidRPr="00E75116">
        <w:rPr>
          <w:b/>
          <w:bCs/>
          <w:lang w:val="fr-FR"/>
        </w:rPr>
        <w:t>amendements audit Règlement, ou d</w:t>
      </w:r>
      <w:r w:rsidR="0097124D" w:rsidRPr="00E75116">
        <w:rPr>
          <w:b/>
          <w:bCs/>
          <w:lang w:val="fr-FR"/>
        </w:rPr>
        <w:t>’</w:t>
      </w:r>
      <w:r w:rsidRPr="00E75116">
        <w:rPr>
          <w:b/>
          <w:bCs/>
          <w:lang w:val="fr-FR"/>
        </w:rPr>
        <w:t>accorder des extensions pour les homologations en question</w:t>
      </w:r>
      <w:r w:rsidR="006C6F5F" w:rsidRPr="00E75116">
        <w:rPr>
          <w:b/>
          <w:bCs/>
          <w:lang w:val="fr-FR"/>
        </w:rPr>
        <w:t>.</w:t>
      </w:r>
      <w:r w:rsidR="009E4480" w:rsidRPr="00E75116">
        <w:rPr>
          <w:lang w:val="fr-FR"/>
        </w:rPr>
        <w:t> »</w:t>
      </w:r>
      <w:r w:rsidR="006C6F5F" w:rsidRPr="00E75116">
        <w:rPr>
          <w:lang w:val="fr-FR"/>
        </w:rPr>
        <w:t>.</w:t>
      </w:r>
    </w:p>
    <w:p w14:paraId="21C11EEE" w14:textId="0258B116" w:rsidR="005629E7" w:rsidRPr="00E75116" w:rsidRDefault="005629E7" w:rsidP="009E4480">
      <w:pPr>
        <w:pStyle w:val="SingleTxtG"/>
        <w:rPr>
          <w:bCs/>
          <w:lang w:val="fr-FR"/>
        </w:rPr>
      </w:pPr>
      <w:r w:rsidRPr="00E75116">
        <w:rPr>
          <w:i/>
          <w:iCs/>
          <w:lang w:val="fr-FR"/>
        </w:rPr>
        <w:t>Annexe 5, paragraphe 1</w:t>
      </w:r>
      <w:r w:rsidRPr="00E75116">
        <w:rPr>
          <w:lang w:val="fr-FR"/>
        </w:rPr>
        <w:t>, lire</w:t>
      </w:r>
      <w:r w:rsidR="0097124D" w:rsidRPr="00E75116">
        <w:rPr>
          <w:lang w:val="fr-FR"/>
        </w:rPr>
        <w:t> :</w:t>
      </w:r>
    </w:p>
    <w:p w14:paraId="49F56C76" w14:textId="64766F5E" w:rsidR="0097124D" w:rsidRPr="00E75116" w:rsidRDefault="00D72B51" w:rsidP="008D09BF">
      <w:pPr>
        <w:pStyle w:val="Para"/>
        <w:rPr>
          <w:lang w:val="fr-FR"/>
        </w:rPr>
      </w:pPr>
      <w:r w:rsidRPr="00E75116">
        <w:rPr>
          <w:lang w:val="fr-FR"/>
        </w:rPr>
        <w:t>« </w:t>
      </w:r>
      <w:r w:rsidR="005629E7" w:rsidRPr="00E75116">
        <w:rPr>
          <w:lang w:val="fr-FR"/>
        </w:rPr>
        <w:t>1</w:t>
      </w:r>
      <w:r w:rsidR="006C6F5F" w:rsidRPr="00E75116">
        <w:rPr>
          <w:lang w:val="fr-FR"/>
        </w:rPr>
        <w:t>.</w:t>
      </w:r>
      <w:r w:rsidR="005629E7" w:rsidRPr="00E75116">
        <w:rPr>
          <w:lang w:val="fr-FR"/>
        </w:rPr>
        <w:tab/>
        <w:t>Objet</w:t>
      </w:r>
    </w:p>
    <w:p w14:paraId="02FF239E" w14:textId="5BF507AA" w:rsidR="0097124D" w:rsidRPr="00E75116" w:rsidRDefault="005629E7" w:rsidP="00C24DA1">
      <w:pPr>
        <w:pStyle w:val="Para"/>
        <w:ind w:firstLine="0"/>
        <w:rPr>
          <w:lang w:val="fr-FR"/>
        </w:rPr>
      </w:pPr>
      <w:r w:rsidRPr="00E75116">
        <w:rPr>
          <w:bCs/>
          <w:strike/>
          <w:lang w:val="fr-FR"/>
        </w:rPr>
        <w:t>Démontrer</w:t>
      </w:r>
      <w:r w:rsidRPr="00E75116">
        <w:rPr>
          <w:strike/>
          <w:lang w:val="fr-FR"/>
        </w:rPr>
        <w:t xml:space="preserve"> la conformité avec les prescriptions du paragraphe 5</w:t>
      </w:r>
      <w:r w:rsidR="006C6F5F" w:rsidRPr="00E75116">
        <w:rPr>
          <w:strike/>
          <w:lang w:val="fr-FR"/>
        </w:rPr>
        <w:t>.</w:t>
      </w:r>
      <w:r w:rsidRPr="00E75116">
        <w:rPr>
          <w:strike/>
          <w:lang w:val="fr-FR"/>
        </w:rPr>
        <w:t>6</w:t>
      </w:r>
      <w:r w:rsidR="006C6F5F" w:rsidRPr="00E75116">
        <w:rPr>
          <w:strike/>
          <w:lang w:val="fr-FR"/>
        </w:rPr>
        <w:t>.</w:t>
      </w:r>
      <w:r w:rsidRPr="00E75116">
        <w:rPr>
          <w:strike/>
          <w:lang w:val="fr-FR"/>
        </w:rPr>
        <w:t>4 du présent Règlement relatives au déplacement conformément au paragraphe 2 de la présente annexe</w:t>
      </w:r>
      <w:r w:rsidR="006C6F5F" w:rsidRPr="00E75116">
        <w:rPr>
          <w:strike/>
          <w:lang w:val="fr-FR"/>
        </w:rPr>
        <w:t>.</w:t>
      </w:r>
    </w:p>
    <w:p w14:paraId="79F24878" w14:textId="24CFF213" w:rsidR="0097124D" w:rsidRPr="00E75116" w:rsidRDefault="005629E7" w:rsidP="00C24DA1">
      <w:pPr>
        <w:pStyle w:val="Para"/>
        <w:ind w:firstLine="0"/>
        <w:rPr>
          <w:lang w:val="fr-FR"/>
        </w:rPr>
      </w:pPr>
      <w:r w:rsidRPr="00E75116">
        <w:rPr>
          <w:bCs/>
          <w:lang w:val="fr-FR"/>
        </w:rPr>
        <w:t>Démontrer</w:t>
      </w:r>
      <w:r w:rsidRPr="00E75116">
        <w:rPr>
          <w:lang w:val="fr-FR"/>
        </w:rPr>
        <w:t xml:space="preserve"> la conformité avec les prescriptions du paragraphe 5</w:t>
      </w:r>
      <w:r w:rsidR="006C6F5F" w:rsidRPr="00E75116">
        <w:rPr>
          <w:lang w:val="fr-FR"/>
        </w:rPr>
        <w:t>.</w:t>
      </w:r>
      <w:r w:rsidRPr="00E75116">
        <w:rPr>
          <w:lang w:val="fr-FR"/>
        </w:rPr>
        <w:t>7</w:t>
      </w:r>
      <w:r w:rsidR="006C6F5F" w:rsidRPr="00E75116">
        <w:rPr>
          <w:lang w:val="fr-FR"/>
        </w:rPr>
        <w:t>.</w:t>
      </w:r>
      <w:r w:rsidRPr="00E75116">
        <w:rPr>
          <w:lang w:val="fr-FR"/>
        </w:rPr>
        <w:t>2 du présent Règlement relatives au déplacement conformément au paragraphe</w:t>
      </w:r>
      <w:r w:rsidR="00735D76" w:rsidRPr="00E75116">
        <w:rPr>
          <w:lang w:val="fr-FR"/>
        </w:rPr>
        <w:t> </w:t>
      </w:r>
      <w:r w:rsidRPr="00E75116">
        <w:rPr>
          <w:lang w:val="fr-FR"/>
        </w:rPr>
        <w:t>2 de la présente annexe</w:t>
      </w:r>
      <w:r w:rsidR="006C6F5F" w:rsidRPr="00E75116">
        <w:rPr>
          <w:lang w:val="fr-FR"/>
        </w:rPr>
        <w:t>.</w:t>
      </w:r>
    </w:p>
    <w:p w14:paraId="477125FF" w14:textId="1E449A87" w:rsidR="005629E7" w:rsidRPr="00E75116" w:rsidRDefault="005629E7" w:rsidP="00C24DA1">
      <w:pPr>
        <w:pStyle w:val="Para"/>
        <w:ind w:firstLine="0"/>
        <w:rPr>
          <w:b/>
          <w:lang w:val="fr-FR"/>
        </w:rPr>
      </w:pPr>
      <w:r w:rsidRPr="00E75116">
        <w:rPr>
          <w:bCs/>
          <w:lang w:val="fr-FR"/>
        </w:rPr>
        <w:t>Démontrer</w:t>
      </w:r>
      <w:r w:rsidRPr="00E75116">
        <w:rPr>
          <w:lang w:val="fr-FR"/>
        </w:rPr>
        <w:t xml:space="preserve"> la conformité avec les prescriptions du paragraphe 5</w:t>
      </w:r>
      <w:r w:rsidR="006C6F5F" w:rsidRPr="00E75116">
        <w:rPr>
          <w:lang w:val="fr-FR"/>
        </w:rPr>
        <w:t>.</w:t>
      </w:r>
      <w:r w:rsidRPr="00E75116">
        <w:rPr>
          <w:lang w:val="fr-FR"/>
        </w:rPr>
        <w:t>7</w:t>
      </w:r>
      <w:r w:rsidR="006C6F5F" w:rsidRPr="00E75116">
        <w:rPr>
          <w:lang w:val="fr-FR"/>
        </w:rPr>
        <w:t>.</w:t>
      </w:r>
      <w:r w:rsidRPr="00E75116">
        <w:rPr>
          <w:lang w:val="fr-FR"/>
        </w:rPr>
        <w:t>3 du présent Règlement relatives à la résistance conformément au paragraphe</w:t>
      </w:r>
      <w:r w:rsidR="00735D76" w:rsidRPr="00E75116">
        <w:rPr>
          <w:lang w:val="fr-FR"/>
        </w:rPr>
        <w:t> </w:t>
      </w:r>
      <w:r w:rsidRPr="00E75116">
        <w:rPr>
          <w:lang w:val="fr-FR"/>
        </w:rPr>
        <w:t>3 de la présente annexe</w:t>
      </w:r>
      <w:r w:rsidR="006C6F5F" w:rsidRPr="00E75116">
        <w:rPr>
          <w:lang w:val="fr-FR"/>
        </w:rPr>
        <w:t>.</w:t>
      </w:r>
      <w:r w:rsidR="00D72B51" w:rsidRPr="00E75116">
        <w:rPr>
          <w:lang w:val="fr-FR"/>
        </w:rPr>
        <w:t> »</w:t>
      </w:r>
      <w:r w:rsidR="006C6F5F" w:rsidRPr="00E75116">
        <w:rPr>
          <w:lang w:val="fr-FR"/>
        </w:rPr>
        <w:t>.</w:t>
      </w:r>
    </w:p>
    <w:p w14:paraId="5ACB8EF6" w14:textId="004D4638" w:rsidR="005629E7" w:rsidRPr="00E75116" w:rsidRDefault="005629E7" w:rsidP="001D3D78">
      <w:pPr>
        <w:pStyle w:val="SingleTxtG"/>
        <w:rPr>
          <w:bCs/>
          <w:lang w:val="fr-FR"/>
        </w:rPr>
      </w:pPr>
      <w:r w:rsidRPr="00E75116">
        <w:rPr>
          <w:i/>
          <w:iCs/>
          <w:lang w:val="fr-FR"/>
        </w:rPr>
        <w:t>Annexe 5, paragraphe 2</w:t>
      </w:r>
      <w:r w:rsidR="006C6F5F" w:rsidRPr="00E75116">
        <w:rPr>
          <w:i/>
          <w:iCs/>
          <w:lang w:val="fr-FR"/>
        </w:rPr>
        <w:t>.</w:t>
      </w:r>
      <w:r w:rsidRPr="00E75116">
        <w:rPr>
          <w:i/>
          <w:iCs/>
          <w:lang w:val="fr-FR"/>
        </w:rPr>
        <w:t>5</w:t>
      </w:r>
      <w:r w:rsidRPr="00E75116">
        <w:rPr>
          <w:lang w:val="fr-FR"/>
        </w:rPr>
        <w:t>, supprimer</w:t>
      </w:r>
      <w:r w:rsidR="006C6F5F" w:rsidRPr="00E75116">
        <w:rPr>
          <w:lang w:val="fr-FR"/>
        </w:rPr>
        <w:t>.</w:t>
      </w:r>
    </w:p>
    <w:p w14:paraId="6DD47E13" w14:textId="372FF2E8" w:rsidR="0097124D" w:rsidRPr="00E75116" w:rsidRDefault="005629E7" w:rsidP="001D3D78">
      <w:pPr>
        <w:pStyle w:val="SingleTxtG"/>
        <w:rPr>
          <w:lang w:val="fr-FR"/>
        </w:rPr>
      </w:pPr>
      <w:r w:rsidRPr="00E75116">
        <w:rPr>
          <w:i/>
          <w:iCs/>
          <w:lang w:val="fr-FR"/>
        </w:rPr>
        <w:t>Annexe 5, le paragraphe 2</w:t>
      </w:r>
      <w:r w:rsidR="006C6F5F" w:rsidRPr="00E75116">
        <w:rPr>
          <w:i/>
          <w:iCs/>
          <w:lang w:val="fr-FR"/>
        </w:rPr>
        <w:t>.</w:t>
      </w:r>
      <w:r w:rsidRPr="00E75116">
        <w:rPr>
          <w:i/>
          <w:iCs/>
          <w:lang w:val="fr-FR"/>
        </w:rPr>
        <w:t>6</w:t>
      </w:r>
      <w:r w:rsidRPr="00E75116">
        <w:rPr>
          <w:lang w:val="fr-FR"/>
        </w:rPr>
        <w:t xml:space="preserve"> devient le paragraphe 2</w:t>
      </w:r>
      <w:r w:rsidR="006C6F5F" w:rsidRPr="00E75116">
        <w:rPr>
          <w:lang w:val="fr-FR"/>
        </w:rPr>
        <w:t>.</w:t>
      </w:r>
      <w:r w:rsidRPr="00E75116">
        <w:rPr>
          <w:lang w:val="fr-FR"/>
        </w:rPr>
        <w:t>5</w:t>
      </w:r>
      <w:r w:rsidR="006C6F5F" w:rsidRPr="00E75116">
        <w:rPr>
          <w:lang w:val="fr-FR"/>
        </w:rPr>
        <w:t>.</w:t>
      </w:r>
    </w:p>
    <w:p w14:paraId="63BCBBFB" w14:textId="2FDDAF75" w:rsidR="005629E7" w:rsidRPr="00E75116" w:rsidRDefault="005629E7" w:rsidP="001D3D78">
      <w:pPr>
        <w:pStyle w:val="SingleTxtG"/>
        <w:rPr>
          <w:bCs/>
          <w:lang w:val="fr-FR"/>
        </w:rPr>
      </w:pPr>
      <w:r w:rsidRPr="00E75116">
        <w:rPr>
          <w:i/>
          <w:iCs/>
          <w:lang w:val="fr-FR"/>
        </w:rPr>
        <w:t>Annexe 5, ajouter le nouveau paragraphe 2</w:t>
      </w:r>
      <w:r w:rsidR="006C6F5F" w:rsidRPr="00E75116">
        <w:rPr>
          <w:i/>
          <w:iCs/>
          <w:lang w:val="fr-FR"/>
        </w:rPr>
        <w:t>.</w:t>
      </w:r>
      <w:r w:rsidRPr="00E75116">
        <w:rPr>
          <w:i/>
          <w:iCs/>
          <w:lang w:val="fr-FR"/>
        </w:rPr>
        <w:t>6</w:t>
      </w:r>
      <w:r w:rsidRPr="00E75116">
        <w:rPr>
          <w:lang w:val="fr-FR"/>
        </w:rPr>
        <w:t>, libellé comme suit</w:t>
      </w:r>
      <w:r w:rsidR="0097124D" w:rsidRPr="00E75116">
        <w:rPr>
          <w:lang w:val="fr-FR"/>
        </w:rPr>
        <w:t> :</w:t>
      </w:r>
    </w:p>
    <w:p w14:paraId="5A84777B" w14:textId="50503892" w:rsidR="005629E7" w:rsidRPr="00E75116" w:rsidRDefault="00D72B51" w:rsidP="00DB1D20">
      <w:pPr>
        <w:widowControl w:val="0"/>
        <w:kinsoku/>
        <w:overflowPunct/>
        <w:autoSpaceDE/>
        <w:autoSpaceDN/>
        <w:adjustRightInd/>
        <w:snapToGrid/>
        <w:spacing w:after="120"/>
        <w:ind w:left="2268" w:right="1134" w:hanging="1134"/>
        <w:jc w:val="both"/>
        <w:rPr>
          <w:b/>
          <w:lang w:val="fr-FR"/>
        </w:rPr>
      </w:pPr>
      <w:r w:rsidRPr="00E75116">
        <w:rPr>
          <w:b/>
          <w:bCs/>
          <w:lang w:val="fr-FR"/>
        </w:rPr>
        <w:t>« </w:t>
      </w:r>
      <w:r w:rsidR="005629E7" w:rsidRPr="00E75116">
        <w:rPr>
          <w:b/>
          <w:bCs/>
          <w:lang w:val="fr-FR"/>
        </w:rPr>
        <w:t>2</w:t>
      </w:r>
      <w:r w:rsidR="006C6F5F" w:rsidRPr="00E75116">
        <w:rPr>
          <w:b/>
          <w:bCs/>
          <w:lang w:val="fr-FR"/>
        </w:rPr>
        <w:t>.</w:t>
      </w:r>
      <w:r w:rsidR="005629E7" w:rsidRPr="00E75116">
        <w:rPr>
          <w:b/>
          <w:bCs/>
          <w:lang w:val="fr-FR"/>
        </w:rPr>
        <w:t>6</w:t>
      </w:r>
      <w:r w:rsidR="005629E7" w:rsidRPr="00E75116">
        <w:rPr>
          <w:lang w:val="fr-FR"/>
        </w:rPr>
        <w:tab/>
      </w:r>
      <w:r w:rsidR="005629E7" w:rsidRPr="00E75116">
        <w:rPr>
          <w:b/>
          <w:bCs/>
          <w:lang w:val="fr-FR"/>
        </w:rPr>
        <w:t>Outre l</w:t>
      </w:r>
      <w:r w:rsidR="0097124D" w:rsidRPr="00E75116">
        <w:rPr>
          <w:b/>
          <w:bCs/>
          <w:lang w:val="fr-FR"/>
        </w:rPr>
        <w:t>’</w:t>
      </w:r>
      <w:r w:rsidR="005629E7" w:rsidRPr="00E75116">
        <w:rPr>
          <w:b/>
          <w:bCs/>
          <w:lang w:val="fr-FR"/>
        </w:rPr>
        <w:t>essai décrit au paragraphe 2</w:t>
      </w:r>
      <w:r w:rsidR="006C6F5F" w:rsidRPr="00E75116">
        <w:rPr>
          <w:b/>
          <w:bCs/>
          <w:lang w:val="fr-FR"/>
        </w:rPr>
        <w:t>.</w:t>
      </w:r>
      <w:r w:rsidR="005629E7" w:rsidRPr="00E75116">
        <w:rPr>
          <w:b/>
          <w:bCs/>
          <w:lang w:val="fr-FR"/>
        </w:rPr>
        <w:t>4, le service technique chargé des essais doit choisir un ou plusieurs points supplémentaires, l</w:t>
      </w:r>
      <w:r w:rsidR="0097124D" w:rsidRPr="00E75116">
        <w:rPr>
          <w:b/>
          <w:bCs/>
          <w:lang w:val="fr-FR"/>
        </w:rPr>
        <w:t>’</w:t>
      </w:r>
      <w:r w:rsidR="005629E7" w:rsidRPr="00E75116">
        <w:rPr>
          <w:b/>
          <w:bCs/>
          <w:lang w:val="fr-FR"/>
        </w:rPr>
        <w:t>appuie-tête étant placé dans la position d</w:t>
      </w:r>
      <w:r w:rsidR="0097124D" w:rsidRPr="00E75116">
        <w:rPr>
          <w:b/>
          <w:bCs/>
          <w:lang w:val="fr-FR"/>
        </w:rPr>
        <w:t>’</w:t>
      </w:r>
      <w:r w:rsidR="005629E7" w:rsidRPr="00E75116">
        <w:rPr>
          <w:b/>
          <w:bCs/>
          <w:lang w:val="fr-FR"/>
        </w:rPr>
        <w:t>utilisation la plus basse, où le déplacement vers l</w:t>
      </w:r>
      <w:r w:rsidR="0097124D" w:rsidRPr="00E75116">
        <w:rPr>
          <w:b/>
          <w:bCs/>
          <w:lang w:val="fr-FR"/>
        </w:rPr>
        <w:t>’</w:t>
      </w:r>
      <w:r w:rsidR="005629E7" w:rsidRPr="00E75116">
        <w:rPr>
          <w:b/>
          <w:bCs/>
          <w:lang w:val="fr-FR"/>
        </w:rPr>
        <w:t>arrière de la tête d</w:t>
      </w:r>
      <w:r w:rsidR="0097124D" w:rsidRPr="00E75116">
        <w:rPr>
          <w:b/>
          <w:bCs/>
          <w:lang w:val="fr-FR"/>
        </w:rPr>
        <w:t>’</w:t>
      </w:r>
      <w:r w:rsidR="005629E7" w:rsidRPr="00E75116">
        <w:rPr>
          <w:b/>
          <w:bCs/>
          <w:lang w:val="fr-FR"/>
        </w:rPr>
        <w:t>essai devrait être le plus important</w:t>
      </w:r>
      <w:r w:rsidR="006C6F5F" w:rsidRPr="00E75116">
        <w:rPr>
          <w:b/>
          <w:bCs/>
          <w:lang w:val="fr-FR"/>
        </w:rPr>
        <w:t>.</w:t>
      </w:r>
      <w:r w:rsidR="005629E7" w:rsidRPr="00E75116">
        <w:rPr>
          <w:lang w:val="fr-FR"/>
        </w:rPr>
        <w:t xml:space="preserve"> </w:t>
      </w:r>
      <w:r w:rsidR="005629E7" w:rsidRPr="00E75116">
        <w:rPr>
          <w:b/>
          <w:bCs/>
          <w:lang w:val="fr-FR"/>
        </w:rPr>
        <w:t xml:space="preserve">La zone à </w:t>
      </w:r>
      <w:r w:rsidR="005629E7" w:rsidRPr="00E75116">
        <w:rPr>
          <w:b/>
          <w:bCs/>
          <w:lang w:val="fr-FR"/>
        </w:rPr>
        <w:lastRenderedPageBreak/>
        <w:t>considérer est située au-dessus du plan perpendiculaire à la ligne de référence, à 540</w:t>
      </w:r>
      <w:r w:rsidR="006D3D6E" w:rsidRPr="00E75116">
        <w:rPr>
          <w:b/>
          <w:bCs/>
          <w:lang w:val="fr-FR"/>
        </w:rPr>
        <w:t> </w:t>
      </w:r>
      <w:r w:rsidR="005629E7" w:rsidRPr="00E75116">
        <w:rPr>
          <w:b/>
          <w:bCs/>
          <w:lang w:val="fr-FR"/>
        </w:rPr>
        <w:t>mm du point</w:t>
      </w:r>
      <w:r w:rsidR="006D3D6E" w:rsidRPr="00E75116">
        <w:rPr>
          <w:b/>
          <w:bCs/>
          <w:lang w:val="fr-FR"/>
        </w:rPr>
        <w:t> </w:t>
      </w:r>
      <w:r w:rsidR="005629E7" w:rsidRPr="00E75116">
        <w:rPr>
          <w:b/>
          <w:bCs/>
          <w:lang w:val="fr-FR"/>
        </w:rPr>
        <w:t>R et entre deux plans verticaux longitudinaux passant à 85</w:t>
      </w:r>
      <w:r w:rsidR="006D3D6E" w:rsidRPr="00E75116">
        <w:rPr>
          <w:b/>
          <w:bCs/>
          <w:lang w:val="fr-FR"/>
        </w:rPr>
        <w:t> </w:t>
      </w:r>
      <w:r w:rsidR="005629E7" w:rsidRPr="00E75116">
        <w:rPr>
          <w:b/>
          <w:bCs/>
          <w:lang w:val="fr-FR"/>
        </w:rPr>
        <w:t>mm de part et d</w:t>
      </w:r>
      <w:r w:rsidR="0097124D" w:rsidRPr="00E75116">
        <w:rPr>
          <w:b/>
          <w:bCs/>
          <w:lang w:val="fr-FR"/>
        </w:rPr>
        <w:t>’</w:t>
      </w:r>
      <w:r w:rsidR="005629E7" w:rsidRPr="00E75116">
        <w:rPr>
          <w:b/>
          <w:bCs/>
          <w:lang w:val="fr-FR"/>
        </w:rPr>
        <w:t>autre de la ligne de référence</w:t>
      </w:r>
      <w:r w:rsidR="006C6F5F" w:rsidRPr="00E75116">
        <w:rPr>
          <w:b/>
          <w:bCs/>
          <w:lang w:val="fr-FR"/>
        </w:rPr>
        <w:t>.</w:t>
      </w:r>
      <w:r w:rsidRPr="00E75116">
        <w:rPr>
          <w:lang w:val="fr-FR"/>
        </w:rPr>
        <w:t> »</w:t>
      </w:r>
      <w:r w:rsidR="006C6F5F" w:rsidRPr="00E75116">
        <w:rPr>
          <w:lang w:val="fr-FR"/>
        </w:rPr>
        <w:t>.</w:t>
      </w:r>
    </w:p>
    <w:p w14:paraId="26E887B8" w14:textId="343730A3" w:rsidR="005629E7" w:rsidRPr="00E75116" w:rsidRDefault="005629E7" w:rsidP="00D72B51">
      <w:pPr>
        <w:pStyle w:val="SingleTxtG"/>
        <w:rPr>
          <w:bCs/>
          <w:lang w:val="fr-FR"/>
        </w:rPr>
      </w:pPr>
      <w:r w:rsidRPr="00E75116">
        <w:rPr>
          <w:i/>
          <w:iCs/>
          <w:lang w:val="fr-FR"/>
        </w:rPr>
        <w:t>Annexe 8, paragraphe 1</w:t>
      </w:r>
      <w:r w:rsidRPr="00E75116">
        <w:rPr>
          <w:lang w:val="fr-FR"/>
        </w:rPr>
        <w:t>, lire</w:t>
      </w:r>
      <w:r w:rsidR="0097124D" w:rsidRPr="00E75116">
        <w:rPr>
          <w:lang w:val="fr-FR"/>
        </w:rPr>
        <w:t> :</w:t>
      </w:r>
    </w:p>
    <w:p w14:paraId="64C04770" w14:textId="5996DC90" w:rsidR="0097124D" w:rsidRPr="00E75116" w:rsidRDefault="00D72B51" w:rsidP="00946785">
      <w:pPr>
        <w:pStyle w:val="Para"/>
        <w:rPr>
          <w:lang w:val="fr-FR"/>
        </w:rPr>
      </w:pPr>
      <w:r w:rsidRPr="00E75116">
        <w:rPr>
          <w:lang w:val="fr-FR"/>
        </w:rPr>
        <w:t>« </w:t>
      </w:r>
      <w:r w:rsidR="005629E7" w:rsidRPr="00E75116">
        <w:rPr>
          <w:lang w:val="fr-FR"/>
        </w:rPr>
        <w:t>1</w:t>
      </w:r>
      <w:r w:rsidR="006C6F5F" w:rsidRPr="00E75116">
        <w:rPr>
          <w:lang w:val="fr-FR"/>
        </w:rPr>
        <w:t>.</w:t>
      </w:r>
      <w:r w:rsidR="005629E7" w:rsidRPr="00E75116">
        <w:rPr>
          <w:lang w:val="fr-FR"/>
        </w:rPr>
        <w:tab/>
        <w:t>Objet</w:t>
      </w:r>
      <w:r w:rsidR="00946785" w:rsidRPr="00E75116">
        <w:rPr>
          <w:lang w:val="fr-FR"/>
        </w:rPr>
        <w:br/>
      </w:r>
      <w:r w:rsidR="005629E7" w:rsidRPr="00E75116">
        <w:rPr>
          <w:lang w:val="fr-FR"/>
        </w:rPr>
        <w:t>Cette procédure d</w:t>
      </w:r>
      <w:r w:rsidR="0097124D" w:rsidRPr="00E75116">
        <w:rPr>
          <w:lang w:val="fr-FR"/>
        </w:rPr>
        <w:t>’</w:t>
      </w:r>
      <w:r w:rsidR="005629E7" w:rsidRPr="00E75116">
        <w:rPr>
          <w:lang w:val="fr-FR"/>
        </w:rPr>
        <w:t>essai a pour objet d</w:t>
      </w:r>
      <w:r w:rsidR="0097124D" w:rsidRPr="00E75116">
        <w:rPr>
          <w:lang w:val="fr-FR"/>
        </w:rPr>
        <w:t>’</w:t>
      </w:r>
      <w:r w:rsidR="005629E7" w:rsidRPr="00E75116">
        <w:rPr>
          <w:lang w:val="fr-FR"/>
        </w:rPr>
        <w:t xml:space="preserve">évaluer les discontinuités </w:t>
      </w:r>
      <w:r w:rsidR="005629E7" w:rsidRPr="00E75116">
        <w:rPr>
          <w:strike/>
          <w:lang w:val="fr-FR"/>
        </w:rPr>
        <w:t>à l</w:t>
      </w:r>
      <w:r w:rsidR="0097124D" w:rsidRPr="00E75116">
        <w:rPr>
          <w:strike/>
          <w:lang w:val="fr-FR"/>
        </w:rPr>
        <w:t>’</w:t>
      </w:r>
      <w:r w:rsidR="005629E7" w:rsidRPr="00E75116">
        <w:rPr>
          <w:strike/>
          <w:lang w:val="fr-FR"/>
        </w:rPr>
        <w:t xml:space="preserve">intérieur des appuie-tête ainsi que les discontinuités </w:t>
      </w:r>
      <w:r w:rsidR="005629E7" w:rsidRPr="00E75116">
        <w:rPr>
          <w:lang w:val="fr-FR"/>
        </w:rPr>
        <w:t>entre le bas de l</w:t>
      </w:r>
      <w:r w:rsidR="0097124D" w:rsidRPr="00E75116">
        <w:rPr>
          <w:lang w:val="fr-FR"/>
        </w:rPr>
        <w:t>’</w:t>
      </w:r>
      <w:r w:rsidR="005629E7" w:rsidRPr="00E75116">
        <w:rPr>
          <w:lang w:val="fr-FR"/>
        </w:rPr>
        <w:t xml:space="preserve">appuie-tête et le sommet du dossier du siège, conformément aux prescriptions </w:t>
      </w:r>
      <w:r w:rsidR="005629E7" w:rsidRPr="00E75116">
        <w:rPr>
          <w:strike/>
          <w:lang w:val="fr-FR"/>
        </w:rPr>
        <w:t xml:space="preserve">des </w:t>
      </w:r>
      <w:r w:rsidR="005629E7" w:rsidRPr="00E75116">
        <w:rPr>
          <w:b/>
          <w:bCs/>
          <w:lang w:val="fr-FR"/>
        </w:rPr>
        <w:t xml:space="preserve">du </w:t>
      </w:r>
      <w:r w:rsidR="005629E7" w:rsidRPr="00E75116">
        <w:rPr>
          <w:lang w:val="fr-FR"/>
        </w:rPr>
        <w:t>paragraphe</w:t>
      </w:r>
      <w:r w:rsidR="005629E7" w:rsidRPr="00E75116">
        <w:rPr>
          <w:strike/>
          <w:lang w:val="fr-FR"/>
        </w:rPr>
        <w:t>s 5</w:t>
      </w:r>
      <w:r w:rsidR="006C6F5F" w:rsidRPr="00E75116">
        <w:rPr>
          <w:strike/>
          <w:lang w:val="fr-FR"/>
        </w:rPr>
        <w:t>.</w:t>
      </w:r>
      <w:r w:rsidR="005629E7" w:rsidRPr="00E75116">
        <w:rPr>
          <w:strike/>
          <w:lang w:val="fr-FR"/>
        </w:rPr>
        <w:t>6</w:t>
      </w:r>
      <w:r w:rsidR="006C6F5F" w:rsidRPr="00E75116">
        <w:rPr>
          <w:strike/>
          <w:lang w:val="fr-FR"/>
        </w:rPr>
        <w:t>.</w:t>
      </w:r>
      <w:r w:rsidR="005629E7" w:rsidRPr="00E75116">
        <w:rPr>
          <w:strike/>
          <w:lang w:val="fr-FR"/>
        </w:rPr>
        <w:t>4 et</w:t>
      </w:r>
      <w:r w:rsidR="005629E7" w:rsidRPr="00E75116">
        <w:rPr>
          <w:lang w:val="fr-FR"/>
        </w:rPr>
        <w:t xml:space="preserve"> 5</w:t>
      </w:r>
      <w:r w:rsidR="006C6F5F" w:rsidRPr="00E75116">
        <w:rPr>
          <w:lang w:val="fr-FR"/>
        </w:rPr>
        <w:t>.</w:t>
      </w:r>
      <w:r w:rsidR="005629E7" w:rsidRPr="00E75116">
        <w:rPr>
          <w:lang w:val="fr-FR"/>
        </w:rPr>
        <w:t>6</w:t>
      </w:r>
      <w:r w:rsidR="006C6F5F" w:rsidRPr="00E75116">
        <w:rPr>
          <w:lang w:val="fr-FR"/>
        </w:rPr>
        <w:t>.</w:t>
      </w:r>
      <w:r w:rsidR="005629E7" w:rsidRPr="00E75116">
        <w:rPr>
          <w:lang w:val="fr-FR"/>
        </w:rPr>
        <w:t>5 du présent Règlement</w:t>
      </w:r>
      <w:r w:rsidR="006C6F5F" w:rsidRPr="00E75116">
        <w:rPr>
          <w:lang w:val="fr-FR"/>
        </w:rPr>
        <w:t>.</w:t>
      </w:r>
    </w:p>
    <w:p w14:paraId="0A7E91AD" w14:textId="7281B0E7" w:rsidR="0097124D" w:rsidRPr="00E75116" w:rsidRDefault="005629E7" w:rsidP="00242A36">
      <w:pPr>
        <w:pStyle w:val="Para"/>
        <w:ind w:firstLine="0"/>
        <w:rPr>
          <w:lang w:val="fr-FR"/>
        </w:rPr>
      </w:pPr>
      <w:r w:rsidRPr="00E75116">
        <w:rPr>
          <w:strike/>
          <w:lang w:val="fr-FR"/>
        </w:rPr>
        <w:t>Les discontinuités à l</w:t>
      </w:r>
      <w:r w:rsidR="0097124D" w:rsidRPr="00E75116">
        <w:rPr>
          <w:strike/>
          <w:lang w:val="fr-FR"/>
        </w:rPr>
        <w:t>’</w:t>
      </w:r>
      <w:r w:rsidRPr="00E75116">
        <w:rPr>
          <w:strike/>
          <w:lang w:val="fr-FR"/>
        </w:rPr>
        <w:t>intérieur des appuie-tête sont mesurées au moyen d</w:t>
      </w:r>
      <w:r w:rsidR="0097124D" w:rsidRPr="00E75116">
        <w:rPr>
          <w:strike/>
          <w:lang w:val="fr-FR"/>
        </w:rPr>
        <w:t>’</w:t>
      </w:r>
      <w:r w:rsidRPr="00E75116">
        <w:rPr>
          <w:strike/>
          <w:lang w:val="fr-FR"/>
        </w:rPr>
        <w:t>une sphère conformément à la procédure décrite au paragraphe 2 de la présente annexe</w:t>
      </w:r>
      <w:r w:rsidR="006C6F5F" w:rsidRPr="00E75116">
        <w:rPr>
          <w:strike/>
          <w:lang w:val="fr-FR"/>
        </w:rPr>
        <w:t>.</w:t>
      </w:r>
    </w:p>
    <w:p w14:paraId="2801B5C3" w14:textId="35B24414" w:rsidR="005629E7" w:rsidRPr="00E75116" w:rsidRDefault="005629E7" w:rsidP="00242A36">
      <w:pPr>
        <w:pStyle w:val="Para"/>
        <w:ind w:firstLine="0"/>
        <w:rPr>
          <w:bCs/>
          <w:lang w:val="fr-FR"/>
        </w:rPr>
      </w:pPr>
      <w:r w:rsidRPr="00E75116">
        <w:rPr>
          <w:lang w:val="fr-FR"/>
        </w:rPr>
        <w:t>Les discontinuités entre le bas de l</w:t>
      </w:r>
      <w:r w:rsidR="0097124D" w:rsidRPr="00E75116">
        <w:rPr>
          <w:lang w:val="fr-FR"/>
        </w:rPr>
        <w:t>’</w:t>
      </w:r>
      <w:r w:rsidRPr="00E75116">
        <w:rPr>
          <w:lang w:val="fr-FR"/>
        </w:rPr>
        <w:t>appuie-tête et le sommet du dossier du siège sont mesurées soit au moyen d</w:t>
      </w:r>
      <w:r w:rsidR="0097124D" w:rsidRPr="00E75116">
        <w:rPr>
          <w:lang w:val="fr-FR"/>
        </w:rPr>
        <w:t>’</w:t>
      </w:r>
      <w:r w:rsidRPr="00E75116">
        <w:rPr>
          <w:lang w:val="fr-FR"/>
        </w:rPr>
        <w:t>une sphère conformément à la procédure décrite aux paragraphes</w:t>
      </w:r>
      <w:r w:rsidR="00300A79" w:rsidRPr="00E75116">
        <w:rPr>
          <w:lang w:val="fr-FR"/>
        </w:rPr>
        <w:t> </w:t>
      </w:r>
      <w:r w:rsidRPr="00E75116">
        <w:rPr>
          <w:lang w:val="fr-FR"/>
        </w:rPr>
        <w:t>2</w:t>
      </w:r>
      <w:r w:rsidR="006C6F5F" w:rsidRPr="00E75116">
        <w:rPr>
          <w:lang w:val="fr-FR"/>
        </w:rPr>
        <w:t>.</w:t>
      </w:r>
      <w:r w:rsidRPr="00E75116">
        <w:rPr>
          <w:lang w:val="fr-FR"/>
        </w:rPr>
        <w:t>1 à 2</w:t>
      </w:r>
      <w:r w:rsidR="006C6F5F" w:rsidRPr="00E75116">
        <w:rPr>
          <w:lang w:val="fr-FR"/>
        </w:rPr>
        <w:t>.</w:t>
      </w:r>
      <w:r w:rsidRPr="00E75116">
        <w:rPr>
          <w:lang w:val="fr-FR"/>
        </w:rPr>
        <w:t>5 de la présente annexe soit, au gré du constructeur, en utilisant la procédure linéaire décrite au paragraphe</w:t>
      </w:r>
      <w:r w:rsidR="00E354FD" w:rsidRPr="00E75116">
        <w:rPr>
          <w:lang w:val="fr-FR"/>
        </w:rPr>
        <w:t> </w:t>
      </w:r>
      <w:r w:rsidRPr="00E75116">
        <w:rPr>
          <w:lang w:val="fr-FR"/>
        </w:rPr>
        <w:t>3 de la présente annexe</w:t>
      </w:r>
      <w:r w:rsidR="006C6F5F" w:rsidRPr="00E75116">
        <w:rPr>
          <w:lang w:val="fr-FR"/>
        </w:rPr>
        <w:t>.</w:t>
      </w:r>
      <w:r w:rsidR="00F24CDA" w:rsidRPr="00E75116">
        <w:rPr>
          <w:lang w:val="fr-FR"/>
        </w:rPr>
        <w:t> »</w:t>
      </w:r>
      <w:r w:rsidR="006C6F5F" w:rsidRPr="00E75116">
        <w:rPr>
          <w:lang w:val="fr-FR"/>
        </w:rPr>
        <w:t>.</w:t>
      </w:r>
    </w:p>
    <w:p w14:paraId="64A6C2D1" w14:textId="4B8D3279" w:rsidR="005629E7" w:rsidRPr="00E75116" w:rsidRDefault="005629E7" w:rsidP="00F24CDA">
      <w:pPr>
        <w:pStyle w:val="SingleTxtG"/>
        <w:rPr>
          <w:bCs/>
          <w:lang w:val="fr-FR"/>
        </w:rPr>
      </w:pPr>
      <w:r w:rsidRPr="00E75116">
        <w:rPr>
          <w:i/>
          <w:iCs/>
          <w:lang w:val="fr-FR"/>
        </w:rPr>
        <w:t>Annexe 8, paragraphe 2</w:t>
      </w:r>
      <w:r w:rsidR="006C6F5F" w:rsidRPr="00E75116">
        <w:rPr>
          <w:i/>
          <w:iCs/>
          <w:lang w:val="fr-FR"/>
        </w:rPr>
        <w:t>.</w:t>
      </w:r>
      <w:r w:rsidRPr="00E75116">
        <w:rPr>
          <w:i/>
          <w:iCs/>
          <w:lang w:val="fr-FR"/>
        </w:rPr>
        <w:t>5</w:t>
      </w:r>
      <w:r w:rsidRPr="00E75116">
        <w:rPr>
          <w:lang w:val="fr-FR"/>
        </w:rPr>
        <w:t>, lire</w:t>
      </w:r>
      <w:r w:rsidR="0097124D" w:rsidRPr="00E75116">
        <w:rPr>
          <w:lang w:val="fr-FR"/>
        </w:rPr>
        <w:t> :</w:t>
      </w:r>
    </w:p>
    <w:p w14:paraId="25B1FA02" w14:textId="646FFDD6" w:rsidR="0097124D" w:rsidRPr="00E75116" w:rsidRDefault="00443B00" w:rsidP="00443B00">
      <w:pPr>
        <w:pStyle w:val="Para"/>
        <w:rPr>
          <w:lang w:val="fr-FR"/>
        </w:rPr>
      </w:pPr>
      <w:r w:rsidRPr="00E75116">
        <w:rPr>
          <w:lang w:val="fr-FR"/>
        </w:rPr>
        <w:t>« </w:t>
      </w:r>
      <w:r w:rsidR="005629E7" w:rsidRPr="00E75116">
        <w:rPr>
          <w:lang w:val="fr-FR"/>
        </w:rPr>
        <w:t>2</w:t>
      </w:r>
      <w:r w:rsidR="006C6F5F" w:rsidRPr="00E75116">
        <w:rPr>
          <w:lang w:val="fr-FR"/>
        </w:rPr>
        <w:t>.</w:t>
      </w:r>
      <w:r w:rsidR="005629E7" w:rsidRPr="00E75116">
        <w:rPr>
          <w:lang w:val="fr-FR"/>
        </w:rPr>
        <w:t>5</w:t>
      </w:r>
      <w:r w:rsidR="005629E7" w:rsidRPr="00E75116">
        <w:rPr>
          <w:lang w:val="fr-FR"/>
        </w:rPr>
        <w:tab/>
        <w:t xml:space="preserve">Déterminer la dimension de la discontinuité en mesurant la distance rectiligne entre les bords intérieurs des deux points de contact les plus éloignés, comme décrit </w:t>
      </w:r>
      <w:r w:rsidR="005629E7" w:rsidRPr="00E75116">
        <w:rPr>
          <w:strike/>
          <w:lang w:val="fr-FR"/>
        </w:rPr>
        <w:t xml:space="preserve">aux </w:t>
      </w:r>
      <w:r w:rsidR="005629E7" w:rsidRPr="00E75116">
        <w:rPr>
          <w:b/>
          <w:bCs/>
          <w:lang w:val="fr-FR"/>
        </w:rPr>
        <w:t xml:space="preserve">à la </w:t>
      </w:r>
      <w:r w:rsidR="005629E7" w:rsidRPr="00E75116">
        <w:rPr>
          <w:lang w:val="fr-FR"/>
        </w:rPr>
        <w:t>figure</w:t>
      </w:r>
      <w:r w:rsidR="005629E7" w:rsidRPr="00E75116">
        <w:rPr>
          <w:strike/>
          <w:lang w:val="fr-FR"/>
        </w:rPr>
        <w:t>s</w:t>
      </w:r>
      <w:r w:rsidR="005629E7" w:rsidRPr="00E75116">
        <w:rPr>
          <w:lang w:val="fr-FR"/>
        </w:rPr>
        <w:t xml:space="preserve"> 8-1</w:t>
      </w:r>
      <w:r w:rsidR="005629E7" w:rsidRPr="00E75116">
        <w:rPr>
          <w:strike/>
          <w:lang w:val="fr-FR"/>
        </w:rPr>
        <w:t>, 8-2 et 8-3</w:t>
      </w:r>
      <w:r w:rsidR="006C6F5F" w:rsidRPr="00E75116">
        <w:rPr>
          <w:lang w:val="fr-FR"/>
        </w:rPr>
        <w:t>.</w:t>
      </w:r>
      <w:r w:rsidR="00A41D7D">
        <w:rPr>
          <w:lang w:val="fr-FR"/>
        </w:rPr>
        <w:t> ».</w:t>
      </w:r>
    </w:p>
    <w:p w14:paraId="70072517" w14:textId="60564BF4" w:rsidR="005629E7" w:rsidRPr="00E75116" w:rsidRDefault="005629E7" w:rsidP="00F24CDA">
      <w:pPr>
        <w:pStyle w:val="SingleTxtG"/>
        <w:rPr>
          <w:bCs/>
          <w:lang w:val="fr-FR"/>
        </w:rPr>
      </w:pPr>
      <w:r w:rsidRPr="00E75116">
        <w:rPr>
          <w:i/>
          <w:iCs/>
          <w:lang w:val="fr-FR"/>
        </w:rPr>
        <w:t>Annexe 8, paragraphe 2</w:t>
      </w:r>
      <w:r w:rsidR="006C6F5F" w:rsidRPr="00E75116">
        <w:rPr>
          <w:i/>
          <w:iCs/>
          <w:lang w:val="fr-FR"/>
        </w:rPr>
        <w:t>.</w:t>
      </w:r>
      <w:r w:rsidRPr="00E75116">
        <w:rPr>
          <w:i/>
          <w:iCs/>
          <w:lang w:val="fr-FR"/>
        </w:rPr>
        <w:t>6</w:t>
      </w:r>
      <w:r w:rsidRPr="00E75116">
        <w:rPr>
          <w:lang w:val="fr-FR"/>
        </w:rPr>
        <w:t>, supprimer</w:t>
      </w:r>
      <w:r w:rsidR="006C6F5F" w:rsidRPr="00E75116">
        <w:rPr>
          <w:lang w:val="fr-FR"/>
        </w:rPr>
        <w:t>.</w:t>
      </w:r>
    </w:p>
    <w:p w14:paraId="5D26D060" w14:textId="20CEDB45" w:rsidR="005629E7" w:rsidRPr="00E75116" w:rsidRDefault="005629E7" w:rsidP="00F24CDA">
      <w:pPr>
        <w:pStyle w:val="SingleTxtG"/>
        <w:rPr>
          <w:bCs/>
          <w:lang w:val="fr-FR"/>
        </w:rPr>
      </w:pPr>
      <w:r w:rsidRPr="00E75116">
        <w:rPr>
          <w:i/>
          <w:iCs/>
          <w:lang w:val="fr-FR"/>
        </w:rPr>
        <w:t>Annexe 8, figures 8-1 et 8-2</w:t>
      </w:r>
      <w:r w:rsidRPr="00E75116">
        <w:rPr>
          <w:lang w:val="fr-FR"/>
        </w:rPr>
        <w:t>, supprimer</w:t>
      </w:r>
      <w:r w:rsidR="006C6F5F" w:rsidRPr="00E75116">
        <w:rPr>
          <w:lang w:val="fr-FR"/>
        </w:rPr>
        <w:t>.</w:t>
      </w:r>
    </w:p>
    <w:p w14:paraId="3514D7CE" w14:textId="409612D2" w:rsidR="005629E7" w:rsidRPr="00E75116" w:rsidRDefault="005629E7" w:rsidP="00F24CDA">
      <w:pPr>
        <w:pStyle w:val="SingleTxtG"/>
        <w:rPr>
          <w:bCs/>
          <w:lang w:val="fr-FR"/>
        </w:rPr>
      </w:pPr>
      <w:r w:rsidRPr="00E75116">
        <w:rPr>
          <w:i/>
          <w:iCs/>
          <w:lang w:val="fr-FR"/>
        </w:rPr>
        <w:t>Annexe 8, la figure 8-3</w:t>
      </w:r>
      <w:r w:rsidRPr="00E75116">
        <w:rPr>
          <w:lang w:val="fr-FR"/>
        </w:rPr>
        <w:t xml:space="preserve"> devient la figure 8-1</w:t>
      </w:r>
      <w:r w:rsidR="006C6F5F" w:rsidRPr="00E75116">
        <w:rPr>
          <w:lang w:val="fr-FR"/>
        </w:rPr>
        <w:t>.</w:t>
      </w:r>
    </w:p>
    <w:p w14:paraId="7BA7C702" w14:textId="7A6D9293" w:rsidR="005629E7" w:rsidRPr="00E75116" w:rsidRDefault="005629E7" w:rsidP="00F24CDA">
      <w:pPr>
        <w:pStyle w:val="SingleTxtG"/>
        <w:rPr>
          <w:bCs/>
          <w:lang w:val="fr-FR"/>
        </w:rPr>
      </w:pPr>
      <w:r w:rsidRPr="00E75116">
        <w:rPr>
          <w:i/>
          <w:iCs/>
          <w:lang w:val="fr-FR"/>
        </w:rPr>
        <w:t>Annexe 8, paragraphe 3</w:t>
      </w:r>
      <w:r w:rsidR="006C6F5F" w:rsidRPr="00E75116">
        <w:rPr>
          <w:i/>
          <w:iCs/>
          <w:lang w:val="fr-FR"/>
        </w:rPr>
        <w:t>.</w:t>
      </w:r>
      <w:r w:rsidRPr="00E75116">
        <w:rPr>
          <w:i/>
          <w:iCs/>
          <w:lang w:val="fr-FR"/>
        </w:rPr>
        <w:t>3</w:t>
      </w:r>
      <w:r w:rsidRPr="00E75116">
        <w:rPr>
          <w:lang w:val="fr-FR"/>
        </w:rPr>
        <w:t>, lire</w:t>
      </w:r>
      <w:r w:rsidR="0097124D" w:rsidRPr="00E75116">
        <w:rPr>
          <w:lang w:val="fr-FR"/>
        </w:rPr>
        <w:t> :</w:t>
      </w:r>
    </w:p>
    <w:p w14:paraId="3D9DFDEF" w14:textId="6ED5D4B4" w:rsidR="0097124D" w:rsidRPr="00E75116" w:rsidRDefault="00443B00" w:rsidP="00443B00">
      <w:pPr>
        <w:pStyle w:val="Para"/>
        <w:rPr>
          <w:lang w:val="fr-FR"/>
        </w:rPr>
      </w:pPr>
      <w:r w:rsidRPr="00E75116">
        <w:rPr>
          <w:lang w:val="fr-FR"/>
        </w:rPr>
        <w:t>« </w:t>
      </w:r>
      <w:r w:rsidR="005629E7" w:rsidRPr="00E75116">
        <w:rPr>
          <w:lang w:val="fr-FR"/>
        </w:rPr>
        <w:t>3</w:t>
      </w:r>
      <w:r w:rsidR="006C6F5F" w:rsidRPr="00E75116">
        <w:rPr>
          <w:lang w:val="fr-FR"/>
        </w:rPr>
        <w:t>.</w:t>
      </w:r>
      <w:r w:rsidR="005629E7" w:rsidRPr="00E75116">
        <w:rPr>
          <w:lang w:val="fr-FR"/>
        </w:rPr>
        <w:t>3</w:t>
      </w:r>
      <w:r w:rsidR="005629E7" w:rsidRPr="00E75116">
        <w:rPr>
          <w:lang w:val="fr-FR"/>
        </w:rPr>
        <w:tab/>
      </w:r>
      <w:r w:rsidR="005629E7" w:rsidRPr="00E75116">
        <w:rPr>
          <w:spacing w:val="-2"/>
          <w:lang w:val="fr-FR"/>
        </w:rPr>
        <w:t>La discontinuité entre le bas de l</w:t>
      </w:r>
      <w:r w:rsidR="0097124D" w:rsidRPr="00E75116">
        <w:rPr>
          <w:spacing w:val="-2"/>
          <w:lang w:val="fr-FR"/>
        </w:rPr>
        <w:t>’</w:t>
      </w:r>
      <w:r w:rsidR="005629E7" w:rsidRPr="00E75116">
        <w:rPr>
          <w:spacing w:val="-2"/>
          <w:lang w:val="fr-FR"/>
        </w:rPr>
        <w:t>appuie-tête et le sommet du dossier du siège est mesurée, dans le plan vertical longitudinal passant par le point R, comme étant la distance entre les deux plans parallèles définis ci-après (voir fig</w:t>
      </w:r>
      <w:r w:rsidR="006C6F5F" w:rsidRPr="00E75116">
        <w:rPr>
          <w:spacing w:val="-2"/>
          <w:lang w:val="fr-FR"/>
        </w:rPr>
        <w:t>.</w:t>
      </w:r>
      <w:r w:rsidR="005629E7" w:rsidRPr="00E75116">
        <w:rPr>
          <w:spacing w:val="-2"/>
          <w:lang w:val="fr-FR"/>
        </w:rPr>
        <w:t> </w:t>
      </w:r>
      <w:r w:rsidR="005629E7" w:rsidRPr="00E75116">
        <w:rPr>
          <w:strike/>
          <w:spacing w:val="-2"/>
          <w:lang w:val="fr-FR"/>
        </w:rPr>
        <w:t>8-4</w:t>
      </w:r>
      <w:r w:rsidR="005629E7" w:rsidRPr="00E75116">
        <w:rPr>
          <w:b/>
          <w:bCs/>
          <w:spacing w:val="-2"/>
          <w:lang w:val="fr-FR"/>
        </w:rPr>
        <w:t>8-2</w:t>
      </w:r>
      <w:r w:rsidR="005629E7" w:rsidRPr="00E75116">
        <w:rPr>
          <w:spacing w:val="-2"/>
          <w:lang w:val="fr-FR"/>
        </w:rPr>
        <w:t>)</w:t>
      </w:r>
      <w:r w:rsidR="0097124D" w:rsidRPr="00E75116">
        <w:rPr>
          <w:spacing w:val="-2"/>
          <w:lang w:val="fr-FR"/>
        </w:rPr>
        <w:t> :</w:t>
      </w:r>
    </w:p>
    <w:p w14:paraId="04FD05C7" w14:textId="65B1360F" w:rsidR="0097124D" w:rsidRPr="00E75116" w:rsidRDefault="005629E7" w:rsidP="00AC3947">
      <w:pPr>
        <w:pStyle w:val="Para"/>
        <w:ind w:firstLine="0"/>
        <w:rPr>
          <w:lang w:val="fr-FR"/>
        </w:rPr>
      </w:pPr>
      <w:r w:rsidRPr="00E75116">
        <w:rPr>
          <w:lang w:val="fr-FR"/>
        </w:rPr>
        <w:t>a)</w:t>
      </w:r>
      <w:r w:rsidRPr="00E75116">
        <w:rPr>
          <w:lang w:val="fr-FR"/>
        </w:rPr>
        <w:tab/>
        <w:t>Les deux plans sont perpendiculaires à la ligne de torse prévue</w:t>
      </w:r>
      <w:r w:rsidR="0097124D" w:rsidRPr="00E75116">
        <w:rPr>
          <w:lang w:val="fr-FR"/>
        </w:rPr>
        <w:t> ;</w:t>
      </w:r>
    </w:p>
    <w:p w14:paraId="69DA127F" w14:textId="2989C729" w:rsidR="0097124D" w:rsidRPr="00E75116" w:rsidRDefault="005629E7" w:rsidP="00AC3947">
      <w:pPr>
        <w:pStyle w:val="Para"/>
        <w:ind w:firstLine="0"/>
        <w:rPr>
          <w:lang w:val="fr-FR"/>
        </w:rPr>
      </w:pPr>
      <w:r w:rsidRPr="00E75116">
        <w:rPr>
          <w:lang w:val="fr-FR"/>
        </w:rPr>
        <w:t>b)</w:t>
      </w:r>
      <w:r w:rsidRPr="00E75116">
        <w:rPr>
          <w:lang w:val="fr-FR"/>
        </w:rPr>
        <w:tab/>
        <w:t>L</w:t>
      </w:r>
      <w:r w:rsidR="0097124D" w:rsidRPr="00E75116">
        <w:rPr>
          <w:lang w:val="fr-FR"/>
        </w:rPr>
        <w:t>’</w:t>
      </w:r>
      <w:r w:rsidRPr="00E75116">
        <w:rPr>
          <w:lang w:val="fr-FR"/>
        </w:rPr>
        <w:t>un des plans est tangent au bas de l</w:t>
      </w:r>
      <w:r w:rsidR="0097124D" w:rsidRPr="00E75116">
        <w:rPr>
          <w:lang w:val="fr-FR"/>
        </w:rPr>
        <w:t>’</w:t>
      </w:r>
      <w:r w:rsidRPr="00E75116">
        <w:rPr>
          <w:lang w:val="fr-FR"/>
        </w:rPr>
        <w:t>appuie-tête</w:t>
      </w:r>
      <w:r w:rsidR="0097124D" w:rsidRPr="00E75116">
        <w:rPr>
          <w:lang w:val="fr-FR"/>
        </w:rPr>
        <w:t> ;</w:t>
      </w:r>
    </w:p>
    <w:p w14:paraId="2CBDD657" w14:textId="069780BD" w:rsidR="005629E7" w:rsidRPr="00E75116" w:rsidRDefault="005629E7" w:rsidP="00AC3947">
      <w:pPr>
        <w:pStyle w:val="Para"/>
        <w:ind w:firstLine="0"/>
        <w:rPr>
          <w:bCs/>
          <w:lang w:val="fr-FR"/>
        </w:rPr>
      </w:pPr>
      <w:r w:rsidRPr="00E75116">
        <w:rPr>
          <w:lang w:val="fr-FR"/>
        </w:rPr>
        <w:t>c)</w:t>
      </w:r>
      <w:r w:rsidRPr="00E75116">
        <w:rPr>
          <w:lang w:val="fr-FR"/>
        </w:rPr>
        <w:tab/>
        <w:t>L</w:t>
      </w:r>
      <w:r w:rsidR="0097124D" w:rsidRPr="00E75116">
        <w:rPr>
          <w:lang w:val="fr-FR"/>
        </w:rPr>
        <w:t>’</w:t>
      </w:r>
      <w:r w:rsidRPr="00E75116">
        <w:rPr>
          <w:lang w:val="fr-FR"/>
        </w:rPr>
        <w:t>autre plan est tangent au sommet du dossier du siège</w:t>
      </w:r>
      <w:r w:rsidR="006C6F5F" w:rsidRPr="00E75116">
        <w:rPr>
          <w:lang w:val="fr-FR"/>
        </w:rPr>
        <w:t>.</w:t>
      </w:r>
      <w:r w:rsidR="00443B00" w:rsidRPr="00E75116">
        <w:rPr>
          <w:lang w:val="fr-FR"/>
        </w:rPr>
        <w:t> »</w:t>
      </w:r>
      <w:r w:rsidR="006C6F5F" w:rsidRPr="00E75116">
        <w:rPr>
          <w:lang w:val="fr-FR"/>
        </w:rPr>
        <w:t>.</w:t>
      </w:r>
    </w:p>
    <w:p w14:paraId="09D48713" w14:textId="13AA5CE9" w:rsidR="005629E7" w:rsidRPr="00E75116" w:rsidRDefault="005629E7" w:rsidP="0079297E">
      <w:pPr>
        <w:pStyle w:val="SingleTxtG"/>
        <w:rPr>
          <w:bCs/>
          <w:lang w:val="fr-FR"/>
        </w:rPr>
      </w:pPr>
      <w:r w:rsidRPr="00E75116">
        <w:rPr>
          <w:i/>
          <w:iCs/>
          <w:lang w:val="fr-FR"/>
        </w:rPr>
        <w:t>Annexe 8, la figure 8-4</w:t>
      </w:r>
      <w:r w:rsidRPr="00E75116">
        <w:rPr>
          <w:lang w:val="fr-FR"/>
        </w:rPr>
        <w:t xml:space="preserve"> devient la figure 8-2</w:t>
      </w:r>
      <w:r w:rsidR="006C6F5F" w:rsidRPr="00E75116">
        <w:rPr>
          <w:lang w:val="fr-FR"/>
        </w:rPr>
        <w:t>.</w:t>
      </w:r>
    </w:p>
    <w:p w14:paraId="394E919C" w14:textId="697A022C" w:rsidR="005629E7" w:rsidRPr="00E75116" w:rsidRDefault="0079297E" w:rsidP="003C0839">
      <w:pPr>
        <w:pStyle w:val="HChG"/>
        <w:spacing w:before="340" w:after="220"/>
        <w:rPr>
          <w:rFonts w:eastAsia="MS Mincho"/>
          <w:color w:val="000000"/>
          <w:szCs w:val="28"/>
          <w:lang w:val="fr-FR"/>
        </w:rPr>
      </w:pPr>
      <w:r w:rsidRPr="00E75116">
        <w:rPr>
          <w:lang w:val="fr-FR"/>
        </w:rPr>
        <w:tab/>
      </w:r>
      <w:r w:rsidR="005629E7" w:rsidRPr="00E75116">
        <w:rPr>
          <w:lang w:val="fr-FR"/>
        </w:rPr>
        <w:t>II</w:t>
      </w:r>
      <w:r w:rsidR="006C6F5F" w:rsidRPr="00E75116">
        <w:rPr>
          <w:lang w:val="fr-FR"/>
        </w:rPr>
        <w:t>.</w:t>
      </w:r>
      <w:r w:rsidR="005629E7" w:rsidRPr="00E75116">
        <w:rPr>
          <w:lang w:val="fr-FR"/>
        </w:rPr>
        <w:tab/>
        <w:t>Justification</w:t>
      </w:r>
    </w:p>
    <w:p w14:paraId="56EE4179" w14:textId="7FAE7569" w:rsidR="0097124D" w:rsidRPr="00E75116" w:rsidRDefault="006F61C4" w:rsidP="003C0839">
      <w:pPr>
        <w:pStyle w:val="SingleTxtG"/>
        <w:kinsoku/>
        <w:overflowPunct/>
        <w:autoSpaceDE/>
        <w:autoSpaceDN/>
        <w:adjustRightInd/>
        <w:snapToGrid/>
        <w:spacing w:after="100"/>
        <w:ind w:left="1710" w:hanging="576"/>
        <w:rPr>
          <w:lang w:val="fr-FR"/>
        </w:rPr>
      </w:pPr>
      <w:r w:rsidRPr="00E75116">
        <w:rPr>
          <w:lang w:val="fr-FR"/>
        </w:rPr>
        <w:t>1</w:t>
      </w:r>
      <w:r w:rsidR="006C6F5F" w:rsidRPr="00E75116">
        <w:rPr>
          <w:lang w:val="fr-FR"/>
        </w:rPr>
        <w:t>.</w:t>
      </w:r>
      <w:r w:rsidRPr="00E75116">
        <w:rPr>
          <w:lang w:val="fr-FR"/>
        </w:rPr>
        <w:tab/>
      </w:r>
      <w:r w:rsidR="005629E7" w:rsidRPr="00E75116">
        <w:rPr>
          <w:lang w:val="fr-FR"/>
        </w:rPr>
        <w:t>L</w:t>
      </w:r>
      <w:r w:rsidR="0097124D" w:rsidRPr="00E75116">
        <w:rPr>
          <w:lang w:val="fr-FR"/>
        </w:rPr>
        <w:t>’</w:t>
      </w:r>
      <w:r w:rsidR="005629E7" w:rsidRPr="00E75116">
        <w:rPr>
          <w:lang w:val="fr-FR"/>
        </w:rPr>
        <w:t>essai de déplacement de la tête d</w:t>
      </w:r>
      <w:r w:rsidR="0097124D" w:rsidRPr="00E75116">
        <w:rPr>
          <w:lang w:val="fr-FR"/>
        </w:rPr>
        <w:t>’</w:t>
      </w:r>
      <w:r w:rsidR="005629E7" w:rsidRPr="00E75116">
        <w:rPr>
          <w:lang w:val="fr-FR"/>
        </w:rPr>
        <w:t>essai a été mis au point pour limiter le déplacement vers l</w:t>
      </w:r>
      <w:r w:rsidR="0097124D" w:rsidRPr="00E75116">
        <w:rPr>
          <w:lang w:val="fr-FR"/>
        </w:rPr>
        <w:t>’</w:t>
      </w:r>
      <w:r w:rsidR="005629E7" w:rsidRPr="00E75116">
        <w:rPr>
          <w:lang w:val="fr-FR"/>
        </w:rPr>
        <w:t>arrière de la tête par rapport à la colonne vertébrale (au torse) afin de prévenir les blessures, par exemple les blessures à la nuque par coup de fouet, ou d</w:t>
      </w:r>
      <w:r w:rsidR="0097124D" w:rsidRPr="00E75116">
        <w:rPr>
          <w:lang w:val="fr-FR"/>
        </w:rPr>
        <w:t>’</w:t>
      </w:r>
      <w:r w:rsidR="005629E7" w:rsidRPr="00E75116">
        <w:rPr>
          <w:lang w:val="fr-FR"/>
        </w:rPr>
        <w:t>en réduire la gravité</w:t>
      </w:r>
      <w:r w:rsidR="006C6F5F" w:rsidRPr="00E75116">
        <w:rPr>
          <w:lang w:val="fr-FR"/>
        </w:rPr>
        <w:t>.</w:t>
      </w:r>
      <w:r w:rsidR="005629E7" w:rsidRPr="00E75116">
        <w:rPr>
          <w:lang w:val="fr-FR"/>
        </w:rPr>
        <w:t xml:space="preserve"> C</w:t>
      </w:r>
      <w:r w:rsidR="0097124D" w:rsidRPr="00E75116">
        <w:rPr>
          <w:lang w:val="fr-FR"/>
        </w:rPr>
        <w:t>’</w:t>
      </w:r>
      <w:r w:rsidR="005629E7" w:rsidRPr="00E75116">
        <w:rPr>
          <w:lang w:val="fr-FR"/>
        </w:rPr>
        <w:t>est pourquoi le déplacement maximal de la tête d</w:t>
      </w:r>
      <w:r w:rsidR="0097124D" w:rsidRPr="00E75116">
        <w:rPr>
          <w:lang w:val="fr-FR"/>
        </w:rPr>
        <w:t>’</w:t>
      </w:r>
      <w:r w:rsidR="005629E7" w:rsidRPr="00E75116">
        <w:rPr>
          <w:lang w:val="fr-FR"/>
        </w:rPr>
        <w:t>essai par rapport au torse est limité à 102</w:t>
      </w:r>
      <w:r w:rsidR="003C0839" w:rsidRPr="00E75116">
        <w:rPr>
          <w:lang w:val="fr-FR"/>
        </w:rPr>
        <w:t> </w:t>
      </w:r>
      <w:r w:rsidR="005629E7" w:rsidRPr="00E75116">
        <w:rPr>
          <w:lang w:val="fr-FR"/>
        </w:rPr>
        <w:t>mm</w:t>
      </w:r>
      <w:r w:rsidR="006C6F5F" w:rsidRPr="00E75116">
        <w:rPr>
          <w:lang w:val="fr-FR"/>
        </w:rPr>
        <w:t>.</w:t>
      </w:r>
    </w:p>
    <w:p w14:paraId="20225EEC" w14:textId="5E1042B2" w:rsidR="0097124D" w:rsidRPr="00E75116" w:rsidRDefault="006F61C4" w:rsidP="003C0839">
      <w:pPr>
        <w:pStyle w:val="SingleTxtG"/>
        <w:kinsoku/>
        <w:overflowPunct/>
        <w:autoSpaceDE/>
        <w:autoSpaceDN/>
        <w:adjustRightInd/>
        <w:snapToGrid/>
        <w:spacing w:after="100"/>
        <w:ind w:left="1710" w:hanging="576"/>
        <w:rPr>
          <w:lang w:val="fr-FR"/>
        </w:rPr>
      </w:pPr>
      <w:r w:rsidRPr="00E75116">
        <w:rPr>
          <w:lang w:val="fr-FR"/>
        </w:rPr>
        <w:t>2</w:t>
      </w:r>
      <w:r w:rsidR="006C6F5F" w:rsidRPr="00E75116">
        <w:rPr>
          <w:lang w:val="fr-FR"/>
        </w:rPr>
        <w:t>.</w:t>
      </w:r>
      <w:r w:rsidRPr="00E75116">
        <w:rPr>
          <w:lang w:val="fr-FR"/>
        </w:rPr>
        <w:tab/>
      </w:r>
      <w:r w:rsidR="005629E7" w:rsidRPr="00E75116">
        <w:rPr>
          <w:lang w:val="fr-FR"/>
        </w:rPr>
        <w:t>Le problème que pose la procédure actuelle n</w:t>
      </w:r>
      <w:r w:rsidR="0097124D" w:rsidRPr="00E75116">
        <w:rPr>
          <w:lang w:val="fr-FR"/>
        </w:rPr>
        <w:t>’</w:t>
      </w:r>
      <w:r w:rsidR="005629E7" w:rsidRPr="00E75116">
        <w:rPr>
          <w:lang w:val="fr-FR"/>
        </w:rPr>
        <w:t>est pas lié à la prescription définie au paragraphe</w:t>
      </w:r>
      <w:r w:rsidR="00D5077E" w:rsidRPr="00E75116">
        <w:rPr>
          <w:lang w:val="fr-FR"/>
        </w:rPr>
        <w:t> </w:t>
      </w:r>
      <w:r w:rsidR="005629E7" w:rsidRPr="00E75116">
        <w:rPr>
          <w:lang w:val="fr-FR"/>
        </w:rPr>
        <w:t>5</w:t>
      </w:r>
      <w:r w:rsidR="006C6F5F" w:rsidRPr="00E75116">
        <w:rPr>
          <w:lang w:val="fr-FR"/>
        </w:rPr>
        <w:t>.</w:t>
      </w:r>
      <w:r w:rsidR="005629E7" w:rsidRPr="00E75116">
        <w:rPr>
          <w:lang w:val="fr-FR"/>
        </w:rPr>
        <w:t>7 en tant que telle, mais à la manière dont la conformité avec cette prescription est démontrée en suivant la procédure d</w:t>
      </w:r>
      <w:r w:rsidR="0097124D" w:rsidRPr="00E75116">
        <w:rPr>
          <w:lang w:val="fr-FR"/>
        </w:rPr>
        <w:t>’</w:t>
      </w:r>
      <w:r w:rsidR="005629E7" w:rsidRPr="00E75116">
        <w:rPr>
          <w:lang w:val="fr-FR"/>
        </w:rPr>
        <w:t>essai de l</w:t>
      </w:r>
      <w:r w:rsidR="0097124D" w:rsidRPr="00E75116">
        <w:rPr>
          <w:lang w:val="fr-FR"/>
        </w:rPr>
        <w:t>’</w:t>
      </w:r>
      <w:r w:rsidR="005629E7" w:rsidRPr="00E75116">
        <w:rPr>
          <w:lang w:val="fr-FR"/>
        </w:rPr>
        <w:t>annexe</w:t>
      </w:r>
      <w:r w:rsidR="00797D9D" w:rsidRPr="00E75116">
        <w:rPr>
          <w:lang w:val="fr-FR"/>
        </w:rPr>
        <w:t> </w:t>
      </w:r>
      <w:r w:rsidR="005629E7" w:rsidRPr="00E75116">
        <w:rPr>
          <w:lang w:val="fr-FR"/>
        </w:rPr>
        <w:t>5</w:t>
      </w:r>
      <w:r w:rsidR="006C6F5F" w:rsidRPr="00E75116">
        <w:rPr>
          <w:lang w:val="fr-FR"/>
        </w:rPr>
        <w:t>.</w:t>
      </w:r>
      <w:r w:rsidR="005629E7" w:rsidRPr="00E75116">
        <w:rPr>
          <w:lang w:val="fr-FR"/>
        </w:rPr>
        <w:t xml:space="preserve"> La procédure d</w:t>
      </w:r>
      <w:r w:rsidR="0097124D" w:rsidRPr="00E75116">
        <w:rPr>
          <w:lang w:val="fr-FR"/>
        </w:rPr>
        <w:t>’</w:t>
      </w:r>
      <w:r w:rsidR="005629E7" w:rsidRPr="00E75116">
        <w:rPr>
          <w:lang w:val="fr-FR"/>
        </w:rPr>
        <w:t>essai actuelle vise uniquement à vérifier le déplacement de la tête d</w:t>
      </w:r>
      <w:r w:rsidR="0097124D" w:rsidRPr="00E75116">
        <w:rPr>
          <w:lang w:val="fr-FR"/>
        </w:rPr>
        <w:t>’</w:t>
      </w:r>
      <w:r w:rsidR="005629E7" w:rsidRPr="00E75116">
        <w:rPr>
          <w:lang w:val="fr-FR"/>
        </w:rPr>
        <w:t>essai à 65</w:t>
      </w:r>
      <w:r w:rsidR="003C0839" w:rsidRPr="00E75116">
        <w:rPr>
          <w:lang w:val="fr-FR"/>
        </w:rPr>
        <w:t> mm</w:t>
      </w:r>
      <w:r w:rsidR="005629E7" w:rsidRPr="00E75116">
        <w:rPr>
          <w:lang w:val="fr-FR"/>
        </w:rPr>
        <w:t xml:space="preserve"> du sommet (effectif) de l</w:t>
      </w:r>
      <w:r w:rsidR="0097124D" w:rsidRPr="00E75116">
        <w:rPr>
          <w:lang w:val="fr-FR"/>
        </w:rPr>
        <w:t>’</w:t>
      </w:r>
      <w:r w:rsidR="005629E7" w:rsidRPr="00E75116">
        <w:rPr>
          <w:lang w:val="fr-FR"/>
        </w:rPr>
        <w:t>appuie-tête et à l</w:t>
      </w:r>
      <w:r w:rsidR="0097124D" w:rsidRPr="00E75116">
        <w:rPr>
          <w:lang w:val="fr-FR"/>
        </w:rPr>
        <w:t>’</w:t>
      </w:r>
      <w:r w:rsidR="005629E7" w:rsidRPr="00E75116">
        <w:rPr>
          <w:lang w:val="fr-FR"/>
        </w:rPr>
        <w:t>intérieur d</w:t>
      </w:r>
      <w:r w:rsidR="0097124D" w:rsidRPr="00E75116">
        <w:rPr>
          <w:lang w:val="fr-FR"/>
        </w:rPr>
        <w:t>’</w:t>
      </w:r>
      <w:r w:rsidR="005629E7" w:rsidRPr="00E75116">
        <w:rPr>
          <w:lang w:val="fr-FR"/>
        </w:rPr>
        <w:t>une discontinuité, si cette dernière a une hauteur effective supérieure à 60</w:t>
      </w:r>
      <w:r w:rsidR="003C0839" w:rsidRPr="00E75116">
        <w:rPr>
          <w:lang w:val="fr-FR"/>
        </w:rPr>
        <w:t> mm</w:t>
      </w:r>
      <w:r w:rsidR="006C6F5F" w:rsidRPr="00E75116">
        <w:rPr>
          <w:lang w:val="fr-FR"/>
        </w:rPr>
        <w:t>.</w:t>
      </w:r>
      <w:r w:rsidR="005629E7" w:rsidRPr="00E75116">
        <w:rPr>
          <w:lang w:val="fr-FR"/>
        </w:rPr>
        <w:t xml:space="preserve"> Les dispositions à proprement parler indiquent que le déplacement de la tête d</w:t>
      </w:r>
      <w:r w:rsidR="0097124D" w:rsidRPr="00E75116">
        <w:rPr>
          <w:lang w:val="fr-FR"/>
        </w:rPr>
        <w:t>’</w:t>
      </w:r>
      <w:r w:rsidR="005629E7" w:rsidRPr="00E75116">
        <w:rPr>
          <w:lang w:val="fr-FR"/>
        </w:rPr>
        <w:t>essai doit être mesuré à différentes hauteurs et à l</w:t>
      </w:r>
      <w:r w:rsidR="0097124D" w:rsidRPr="00E75116">
        <w:rPr>
          <w:lang w:val="fr-FR"/>
        </w:rPr>
        <w:t>’</w:t>
      </w:r>
      <w:r w:rsidR="005629E7" w:rsidRPr="00E75116">
        <w:rPr>
          <w:lang w:val="fr-FR"/>
        </w:rPr>
        <w:t>intérieur des discontinuités</w:t>
      </w:r>
      <w:r w:rsidR="006C6F5F" w:rsidRPr="00E75116">
        <w:rPr>
          <w:lang w:val="fr-FR"/>
        </w:rPr>
        <w:t>.</w:t>
      </w:r>
      <w:r w:rsidR="005629E7" w:rsidRPr="00E75116">
        <w:rPr>
          <w:lang w:val="fr-FR"/>
        </w:rPr>
        <w:t xml:space="preserve"> Dans la réalité, certains modèles d</w:t>
      </w:r>
      <w:r w:rsidR="0097124D" w:rsidRPr="00E75116">
        <w:rPr>
          <w:lang w:val="fr-FR"/>
        </w:rPr>
        <w:t>’</w:t>
      </w:r>
      <w:r w:rsidR="005629E7" w:rsidRPr="00E75116">
        <w:rPr>
          <w:lang w:val="fr-FR"/>
        </w:rPr>
        <w:t>appuie</w:t>
      </w:r>
      <w:r w:rsidR="00797D9D" w:rsidRPr="00E75116">
        <w:rPr>
          <w:lang w:val="fr-FR"/>
        </w:rPr>
        <w:noBreakHyphen/>
      </w:r>
      <w:r w:rsidR="005629E7" w:rsidRPr="00E75116">
        <w:rPr>
          <w:lang w:val="fr-FR"/>
        </w:rPr>
        <w:t>tête présentent une discontinuité d</w:t>
      </w:r>
      <w:r w:rsidR="0097124D" w:rsidRPr="00E75116">
        <w:rPr>
          <w:lang w:val="fr-FR"/>
        </w:rPr>
        <w:t>’</w:t>
      </w:r>
      <w:r w:rsidR="005629E7" w:rsidRPr="00E75116">
        <w:rPr>
          <w:lang w:val="fr-FR"/>
        </w:rPr>
        <w:t>une taille inférieure ou égale à 60</w:t>
      </w:r>
      <w:r w:rsidR="003C0839" w:rsidRPr="00E75116">
        <w:rPr>
          <w:lang w:val="fr-FR"/>
        </w:rPr>
        <w:t> mm</w:t>
      </w:r>
      <w:r w:rsidR="005629E7" w:rsidRPr="00E75116">
        <w:rPr>
          <w:lang w:val="fr-FR"/>
        </w:rPr>
        <w:t xml:space="preserve"> qui, lors d</w:t>
      </w:r>
      <w:r w:rsidR="0097124D" w:rsidRPr="00E75116">
        <w:rPr>
          <w:lang w:val="fr-FR"/>
        </w:rPr>
        <w:t>’</w:t>
      </w:r>
      <w:r w:rsidR="005629E7" w:rsidRPr="00E75116">
        <w:rPr>
          <w:lang w:val="fr-FR"/>
        </w:rPr>
        <w:t>un essai, entraînerait un déplacement de plus de 102</w:t>
      </w:r>
      <w:r w:rsidR="003C0839" w:rsidRPr="00E75116">
        <w:rPr>
          <w:lang w:val="fr-FR"/>
        </w:rPr>
        <w:t> mm</w:t>
      </w:r>
      <w:r w:rsidR="006C6F5F" w:rsidRPr="00E75116">
        <w:rPr>
          <w:lang w:val="fr-FR"/>
        </w:rPr>
        <w:t>.</w:t>
      </w:r>
      <w:r w:rsidR="005629E7" w:rsidRPr="00E75116">
        <w:rPr>
          <w:lang w:val="fr-FR"/>
        </w:rPr>
        <w:t xml:space="preserve"> Ce cas de figure n</w:t>
      </w:r>
      <w:r w:rsidR="0097124D" w:rsidRPr="00E75116">
        <w:rPr>
          <w:lang w:val="fr-FR"/>
        </w:rPr>
        <w:t>’</w:t>
      </w:r>
      <w:r w:rsidR="005629E7" w:rsidRPr="00E75116">
        <w:rPr>
          <w:lang w:val="fr-FR"/>
        </w:rPr>
        <w:t>est pas prévu dans la procédure actuellement définie à l</w:t>
      </w:r>
      <w:r w:rsidR="0097124D" w:rsidRPr="00E75116">
        <w:rPr>
          <w:lang w:val="fr-FR"/>
        </w:rPr>
        <w:t>’</w:t>
      </w:r>
      <w:r w:rsidR="005629E7" w:rsidRPr="00E75116">
        <w:rPr>
          <w:lang w:val="fr-FR"/>
        </w:rPr>
        <w:t>annexe</w:t>
      </w:r>
      <w:r w:rsidR="00797D9D" w:rsidRPr="00E75116">
        <w:rPr>
          <w:lang w:val="fr-FR"/>
        </w:rPr>
        <w:t> </w:t>
      </w:r>
      <w:r w:rsidR="005629E7" w:rsidRPr="00E75116">
        <w:rPr>
          <w:lang w:val="fr-FR"/>
        </w:rPr>
        <w:t>5</w:t>
      </w:r>
      <w:r w:rsidR="006C6F5F" w:rsidRPr="00E75116">
        <w:rPr>
          <w:lang w:val="fr-FR"/>
        </w:rPr>
        <w:t>.</w:t>
      </w:r>
    </w:p>
    <w:p w14:paraId="2DF8D8E2" w14:textId="7078CA46" w:rsidR="005629E7" w:rsidRPr="00E75116" w:rsidRDefault="006F61C4" w:rsidP="00DD3254">
      <w:pPr>
        <w:pStyle w:val="SingleTxtG"/>
        <w:kinsoku/>
        <w:overflowPunct/>
        <w:autoSpaceDE/>
        <w:autoSpaceDN/>
        <w:adjustRightInd/>
        <w:snapToGrid/>
        <w:ind w:left="1710" w:hanging="576"/>
        <w:rPr>
          <w:lang w:val="fr-FR"/>
        </w:rPr>
      </w:pPr>
      <w:r w:rsidRPr="00E75116">
        <w:rPr>
          <w:lang w:val="fr-FR"/>
        </w:rPr>
        <w:lastRenderedPageBreak/>
        <w:t>3</w:t>
      </w:r>
      <w:r w:rsidR="006C6F5F" w:rsidRPr="00E75116">
        <w:rPr>
          <w:lang w:val="fr-FR"/>
        </w:rPr>
        <w:t>.</w:t>
      </w:r>
      <w:r w:rsidRPr="00E75116">
        <w:rPr>
          <w:lang w:val="fr-FR"/>
        </w:rPr>
        <w:tab/>
      </w:r>
      <w:r w:rsidR="005629E7" w:rsidRPr="00E75116">
        <w:rPr>
          <w:lang w:val="fr-FR"/>
        </w:rPr>
        <w:t>Dans d</w:t>
      </w:r>
      <w:r w:rsidR="0097124D" w:rsidRPr="00E75116">
        <w:rPr>
          <w:lang w:val="fr-FR"/>
        </w:rPr>
        <w:t>’</w:t>
      </w:r>
      <w:r w:rsidR="005629E7" w:rsidRPr="00E75116">
        <w:rPr>
          <w:lang w:val="fr-FR"/>
        </w:rPr>
        <w:t>autres cas, le sommet effectif de l</w:t>
      </w:r>
      <w:r w:rsidR="0097124D" w:rsidRPr="00E75116">
        <w:rPr>
          <w:lang w:val="fr-FR"/>
        </w:rPr>
        <w:t>’</w:t>
      </w:r>
      <w:r w:rsidR="005629E7" w:rsidRPr="00E75116">
        <w:rPr>
          <w:lang w:val="fr-FR"/>
        </w:rPr>
        <w:t>appuie-tête est constitué par un cadre tubulaire, et la zone située sous le tube supérieur n</w:t>
      </w:r>
      <w:r w:rsidR="0097124D" w:rsidRPr="00E75116">
        <w:rPr>
          <w:lang w:val="fr-FR"/>
        </w:rPr>
        <w:t>’</w:t>
      </w:r>
      <w:r w:rsidR="005629E7" w:rsidRPr="00E75116">
        <w:rPr>
          <w:lang w:val="fr-FR"/>
        </w:rPr>
        <w:t>est recouverte que de mousse (n</w:t>
      </w:r>
      <w:r w:rsidR="0097124D" w:rsidRPr="00E75116">
        <w:rPr>
          <w:lang w:val="fr-FR"/>
        </w:rPr>
        <w:t>’</w:t>
      </w:r>
      <w:r w:rsidR="005629E7" w:rsidRPr="00E75116">
        <w:rPr>
          <w:lang w:val="fr-FR"/>
        </w:rPr>
        <w:t>offrant qu</w:t>
      </w:r>
      <w:r w:rsidR="0097124D" w:rsidRPr="00E75116">
        <w:rPr>
          <w:lang w:val="fr-FR"/>
        </w:rPr>
        <w:t>’</w:t>
      </w:r>
      <w:r w:rsidR="005629E7" w:rsidRPr="00E75116">
        <w:rPr>
          <w:lang w:val="fr-FR"/>
        </w:rPr>
        <w:t>une protection limitée)</w:t>
      </w:r>
      <w:r w:rsidR="006C6F5F" w:rsidRPr="00E75116">
        <w:rPr>
          <w:lang w:val="fr-FR"/>
        </w:rPr>
        <w:t>.</w:t>
      </w:r>
      <w:r w:rsidR="005629E7" w:rsidRPr="00E75116">
        <w:rPr>
          <w:lang w:val="fr-FR"/>
        </w:rPr>
        <w:t xml:space="preserve"> Comme cette configuration n</w:t>
      </w:r>
      <w:r w:rsidR="0097124D" w:rsidRPr="00E75116">
        <w:rPr>
          <w:lang w:val="fr-FR"/>
        </w:rPr>
        <w:t>’</w:t>
      </w:r>
      <w:r w:rsidR="005629E7" w:rsidRPr="00E75116">
        <w:rPr>
          <w:lang w:val="fr-FR"/>
        </w:rPr>
        <w:t>est pas considérée comme constituant une discontinuité, elle ne fait pas l</w:t>
      </w:r>
      <w:r w:rsidR="0097124D" w:rsidRPr="00E75116">
        <w:rPr>
          <w:lang w:val="fr-FR"/>
        </w:rPr>
        <w:t>’</w:t>
      </w:r>
      <w:r w:rsidR="005629E7" w:rsidRPr="00E75116">
        <w:rPr>
          <w:lang w:val="fr-FR"/>
        </w:rPr>
        <w:t>objet des essais prévus par l</w:t>
      </w:r>
      <w:r w:rsidR="0097124D" w:rsidRPr="00E75116">
        <w:rPr>
          <w:lang w:val="fr-FR"/>
        </w:rPr>
        <w:t>’</w:t>
      </w:r>
      <w:r w:rsidR="005629E7" w:rsidRPr="00E75116">
        <w:rPr>
          <w:lang w:val="fr-FR"/>
        </w:rPr>
        <w:t>annexe</w:t>
      </w:r>
      <w:r w:rsidR="00797D9D" w:rsidRPr="00E75116">
        <w:rPr>
          <w:lang w:val="fr-FR"/>
        </w:rPr>
        <w:t> </w:t>
      </w:r>
      <w:r w:rsidR="005629E7" w:rsidRPr="00E75116">
        <w:rPr>
          <w:lang w:val="fr-FR"/>
        </w:rPr>
        <w:t>5</w:t>
      </w:r>
      <w:r w:rsidR="006C6F5F" w:rsidRPr="00E75116">
        <w:rPr>
          <w:lang w:val="fr-FR"/>
        </w:rPr>
        <w:t>.</w:t>
      </w:r>
    </w:p>
    <w:p w14:paraId="3EA5247A" w14:textId="3F07781E" w:rsidR="005629E7" w:rsidRPr="00E75116" w:rsidRDefault="006F61C4" w:rsidP="00DD3254">
      <w:pPr>
        <w:pStyle w:val="SingleTxtG"/>
        <w:kinsoku/>
        <w:overflowPunct/>
        <w:autoSpaceDE/>
        <w:autoSpaceDN/>
        <w:adjustRightInd/>
        <w:snapToGrid/>
        <w:ind w:left="1710" w:hanging="576"/>
        <w:rPr>
          <w:lang w:val="fr-FR"/>
        </w:rPr>
      </w:pPr>
      <w:r w:rsidRPr="00E75116">
        <w:rPr>
          <w:lang w:val="fr-FR"/>
        </w:rPr>
        <w:t>4</w:t>
      </w:r>
      <w:r w:rsidR="006C6F5F" w:rsidRPr="00E75116">
        <w:rPr>
          <w:lang w:val="fr-FR"/>
        </w:rPr>
        <w:t>.</w:t>
      </w:r>
      <w:r w:rsidRPr="00E75116">
        <w:rPr>
          <w:lang w:val="fr-FR"/>
        </w:rPr>
        <w:tab/>
      </w:r>
      <w:r w:rsidR="005629E7" w:rsidRPr="00E75116">
        <w:rPr>
          <w:lang w:val="fr-FR"/>
        </w:rPr>
        <w:t>À ce sujet, on peut également consulter le document informel GRSP-74-08, présenté à la session de décembre 2023 du Groupe de travail de la sécurité passive</w:t>
      </w:r>
      <w:r w:rsidR="006C6F5F" w:rsidRPr="00E75116">
        <w:rPr>
          <w:lang w:val="fr-FR"/>
        </w:rPr>
        <w:t>.</w:t>
      </w:r>
    </w:p>
    <w:p w14:paraId="62BEB538" w14:textId="732E2F08" w:rsidR="0097124D" w:rsidRPr="00E75116" w:rsidRDefault="006F61C4" w:rsidP="00DD3254">
      <w:pPr>
        <w:pStyle w:val="SingleTxtG"/>
        <w:kinsoku/>
        <w:overflowPunct/>
        <w:autoSpaceDE/>
        <w:autoSpaceDN/>
        <w:adjustRightInd/>
        <w:snapToGrid/>
        <w:ind w:left="1710" w:hanging="576"/>
        <w:rPr>
          <w:lang w:val="fr-FR"/>
        </w:rPr>
      </w:pPr>
      <w:r w:rsidRPr="00E75116">
        <w:rPr>
          <w:lang w:val="fr-FR"/>
        </w:rPr>
        <w:t>5</w:t>
      </w:r>
      <w:r w:rsidR="006C6F5F" w:rsidRPr="00E75116">
        <w:rPr>
          <w:lang w:val="fr-FR"/>
        </w:rPr>
        <w:t>.</w:t>
      </w:r>
      <w:r w:rsidRPr="00E75116">
        <w:rPr>
          <w:lang w:val="fr-FR"/>
        </w:rPr>
        <w:tab/>
      </w:r>
      <w:r w:rsidR="005629E7" w:rsidRPr="00E75116">
        <w:rPr>
          <w:lang w:val="fr-FR"/>
        </w:rPr>
        <w:t>La présente proposition vise à conserver le même niveau d</w:t>
      </w:r>
      <w:r w:rsidR="0097124D" w:rsidRPr="00E75116">
        <w:rPr>
          <w:lang w:val="fr-FR"/>
        </w:rPr>
        <w:t>’</w:t>
      </w:r>
      <w:r w:rsidR="005629E7" w:rsidRPr="00E75116">
        <w:rPr>
          <w:lang w:val="fr-FR"/>
        </w:rPr>
        <w:t>exigence, mais en s</w:t>
      </w:r>
      <w:r w:rsidR="0097124D" w:rsidRPr="00E75116">
        <w:rPr>
          <w:lang w:val="fr-FR"/>
        </w:rPr>
        <w:t>’</w:t>
      </w:r>
      <w:r w:rsidR="005629E7" w:rsidRPr="00E75116">
        <w:rPr>
          <w:lang w:val="fr-FR"/>
        </w:rPr>
        <w:t>assurant que l</w:t>
      </w:r>
      <w:r w:rsidR="0097124D" w:rsidRPr="00E75116">
        <w:rPr>
          <w:lang w:val="fr-FR"/>
        </w:rPr>
        <w:t>’</w:t>
      </w:r>
      <w:r w:rsidR="005629E7" w:rsidRPr="00E75116">
        <w:rPr>
          <w:lang w:val="fr-FR"/>
        </w:rPr>
        <w:t>appuie-tête offre une protection sur toute sa hauteur, quelle que soit sa conception et indépendamment de l</w:t>
      </w:r>
      <w:r w:rsidR="0097124D" w:rsidRPr="00E75116">
        <w:rPr>
          <w:lang w:val="fr-FR"/>
        </w:rPr>
        <w:t>’</w:t>
      </w:r>
      <w:r w:rsidR="005629E7" w:rsidRPr="00E75116">
        <w:rPr>
          <w:lang w:val="fr-FR"/>
        </w:rPr>
        <w:t>existence ou non de discontinuités d</w:t>
      </w:r>
      <w:r w:rsidR="0097124D" w:rsidRPr="00E75116">
        <w:rPr>
          <w:lang w:val="fr-FR"/>
        </w:rPr>
        <w:t>’</w:t>
      </w:r>
      <w:r w:rsidR="005629E7" w:rsidRPr="00E75116">
        <w:rPr>
          <w:lang w:val="fr-FR"/>
        </w:rPr>
        <w:t>une taille inférieure, supérieure ou égale à 60</w:t>
      </w:r>
      <w:r w:rsidR="003C0839" w:rsidRPr="00E75116">
        <w:rPr>
          <w:lang w:val="fr-FR"/>
        </w:rPr>
        <w:t> mm</w:t>
      </w:r>
      <w:r w:rsidR="006C6F5F" w:rsidRPr="00E75116">
        <w:rPr>
          <w:lang w:val="fr-FR"/>
        </w:rPr>
        <w:t>.</w:t>
      </w:r>
      <w:r w:rsidR="005629E7" w:rsidRPr="00E75116">
        <w:rPr>
          <w:lang w:val="fr-FR"/>
        </w:rPr>
        <w:t xml:space="preserve"> Pour ce faire, le service technique est libre de sélectionner un ou plusieurs points supplémentaires pour la vérification du déplacement de la tête d</w:t>
      </w:r>
      <w:r w:rsidR="0097124D" w:rsidRPr="00E75116">
        <w:rPr>
          <w:lang w:val="fr-FR"/>
        </w:rPr>
        <w:t>’</w:t>
      </w:r>
      <w:r w:rsidR="005629E7" w:rsidRPr="00E75116">
        <w:rPr>
          <w:lang w:val="fr-FR"/>
        </w:rPr>
        <w:t>essai</w:t>
      </w:r>
      <w:r w:rsidR="006C6F5F" w:rsidRPr="00E75116">
        <w:rPr>
          <w:lang w:val="fr-FR"/>
        </w:rPr>
        <w:t>.</w:t>
      </w:r>
    </w:p>
    <w:p w14:paraId="240B0C1E" w14:textId="4D68F135" w:rsidR="00F9573C" w:rsidRPr="00E75116" w:rsidRDefault="006F61C4" w:rsidP="00DD3254">
      <w:pPr>
        <w:pStyle w:val="SingleTxtG"/>
        <w:kinsoku/>
        <w:overflowPunct/>
        <w:autoSpaceDE/>
        <w:autoSpaceDN/>
        <w:adjustRightInd/>
        <w:snapToGrid/>
        <w:ind w:left="1710" w:hanging="576"/>
        <w:rPr>
          <w:lang w:val="fr-FR"/>
        </w:rPr>
      </w:pPr>
      <w:r w:rsidRPr="00E75116">
        <w:rPr>
          <w:lang w:val="fr-FR"/>
        </w:rPr>
        <w:t>6</w:t>
      </w:r>
      <w:r w:rsidR="006C6F5F" w:rsidRPr="00E75116">
        <w:rPr>
          <w:lang w:val="fr-FR"/>
        </w:rPr>
        <w:t>.</w:t>
      </w:r>
      <w:r w:rsidRPr="00E75116">
        <w:rPr>
          <w:lang w:val="fr-FR"/>
        </w:rPr>
        <w:tab/>
      </w:r>
      <w:r w:rsidR="005629E7" w:rsidRPr="00E75116">
        <w:rPr>
          <w:lang w:val="fr-FR"/>
        </w:rPr>
        <w:t>On suppose que l</w:t>
      </w:r>
      <w:r w:rsidR="0097124D" w:rsidRPr="00E75116">
        <w:rPr>
          <w:lang w:val="fr-FR"/>
        </w:rPr>
        <w:t>’</w:t>
      </w:r>
      <w:r w:rsidR="005629E7" w:rsidRPr="00E75116">
        <w:rPr>
          <w:lang w:val="fr-FR"/>
        </w:rPr>
        <w:t>occupant règle l</w:t>
      </w:r>
      <w:r w:rsidR="0097124D" w:rsidRPr="00E75116">
        <w:rPr>
          <w:lang w:val="fr-FR"/>
        </w:rPr>
        <w:t>’</w:t>
      </w:r>
      <w:r w:rsidR="005629E7" w:rsidRPr="00E75116">
        <w:rPr>
          <w:lang w:val="fr-FR"/>
        </w:rPr>
        <w:t>appuie-tête à la bonne hauteur</w:t>
      </w:r>
      <w:r w:rsidR="006C6F5F" w:rsidRPr="00E75116">
        <w:rPr>
          <w:lang w:val="fr-FR"/>
        </w:rPr>
        <w:t>.</w:t>
      </w:r>
      <w:r w:rsidR="005629E7" w:rsidRPr="00E75116">
        <w:rPr>
          <w:lang w:val="fr-FR"/>
        </w:rPr>
        <w:t xml:space="preserve"> Par conséquent, dans le cas d</w:t>
      </w:r>
      <w:r w:rsidR="0097124D" w:rsidRPr="00E75116">
        <w:rPr>
          <w:lang w:val="fr-FR"/>
        </w:rPr>
        <w:t>’</w:t>
      </w:r>
      <w:r w:rsidR="005629E7" w:rsidRPr="00E75116">
        <w:rPr>
          <w:lang w:val="fr-FR"/>
        </w:rPr>
        <w:t>un appuie-tête réglable, les positions supplémentaires au-dessus de 540</w:t>
      </w:r>
      <w:r w:rsidR="003C0839" w:rsidRPr="00E75116">
        <w:rPr>
          <w:lang w:val="fr-FR"/>
        </w:rPr>
        <w:t> mm</w:t>
      </w:r>
      <w:r w:rsidR="005629E7" w:rsidRPr="00E75116">
        <w:rPr>
          <w:lang w:val="fr-FR"/>
        </w:rPr>
        <w:t xml:space="preserve"> sont vérifiées avec l</w:t>
      </w:r>
      <w:r w:rsidR="0097124D" w:rsidRPr="00E75116">
        <w:rPr>
          <w:lang w:val="fr-FR"/>
        </w:rPr>
        <w:t>’</w:t>
      </w:r>
      <w:r w:rsidR="005629E7" w:rsidRPr="00E75116">
        <w:rPr>
          <w:lang w:val="fr-FR"/>
        </w:rPr>
        <w:t>appuie-tête dans sa position d</w:t>
      </w:r>
      <w:r w:rsidR="0097124D" w:rsidRPr="00E75116">
        <w:rPr>
          <w:lang w:val="fr-FR"/>
        </w:rPr>
        <w:t>’</w:t>
      </w:r>
      <w:r w:rsidR="005629E7" w:rsidRPr="00E75116">
        <w:rPr>
          <w:lang w:val="fr-FR"/>
        </w:rPr>
        <w:t>utilisation la plus basse</w:t>
      </w:r>
      <w:r w:rsidR="006C6F5F" w:rsidRPr="00E75116">
        <w:rPr>
          <w:lang w:val="fr-FR"/>
        </w:rPr>
        <w:t>.</w:t>
      </w:r>
    </w:p>
    <w:p w14:paraId="47C5C910" w14:textId="629CDD2B" w:rsidR="005629E7" w:rsidRPr="00E75116" w:rsidRDefault="005629E7" w:rsidP="005629E7">
      <w:pPr>
        <w:pStyle w:val="SingleTxtG"/>
        <w:spacing w:before="240" w:after="0"/>
        <w:jc w:val="center"/>
        <w:rPr>
          <w:u w:val="single"/>
          <w:lang w:val="fr-FR"/>
        </w:rPr>
      </w:pPr>
      <w:r w:rsidRPr="00E75116">
        <w:rPr>
          <w:u w:val="single"/>
          <w:lang w:val="fr-FR"/>
        </w:rPr>
        <w:tab/>
      </w:r>
      <w:r w:rsidRPr="00E75116">
        <w:rPr>
          <w:u w:val="single"/>
          <w:lang w:val="fr-FR"/>
        </w:rPr>
        <w:tab/>
      </w:r>
      <w:r w:rsidRPr="00E75116">
        <w:rPr>
          <w:u w:val="single"/>
          <w:lang w:val="fr-FR"/>
        </w:rPr>
        <w:tab/>
      </w:r>
      <w:r w:rsidRPr="00E75116">
        <w:rPr>
          <w:u w:val="single"/>
          <w:lang w:val="fr-FR"/>
        </w:rPr>
        <w:tab/>
      </w:r>
    </w:p>
    <w:sectPr w:rsidR="005629E7" w:rsidRPr="00E75116" w:rsidSect="00311749">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0897E" w14:textId="77777777" w:rsidR="00311749" w:rsidRDefault="00311749" w:rsidP="00F95C08">
      <w:pPr>
        <w:spacing w:line="240" w:lineRule="auto"/>
      </w:pPr>
    </w:p>
  </w:endnote>
  <w:endnote w:type="continuationSeparator" w:id="0">
    <w:p w14:paraId="0148BC9B" w14:textId="77777777" w:rsidR="00311749" w:rsidRPr="00AC3823" w:rsidRDefault="00311749" w:rsidP="00AC3823">
      <w:pPr>
        <w:pStyle w:val="Footer"/>
      </w:pPr>
    </w:p>
  </w:endnote>
  <w:endnote w:type="continuationNotice" w:id="1">
    <w:p w14:paraId="4783EC37" w14:textId="77777777" w:rsidR="00311749" w:rsidRDefault="003117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EA85A" w14:textId="5E78257D" w:rsidR="005629E7" w:rsidRPr="005629E7" w:rsidRDefault="005629E7" w:rsidP="005629E7">
    <w:pPr>
      <w:pStyle w:val="Footer"/>
      <w:tabs>
        <w:tab w:val="right" w:pos="9638"/>
      </w:tabs>
    </w:pPr>
    <w:r w:rsidRPr="005629E7">
      <w:rPr>
        <w:b/>
        <w:sz w:val="18"/>
      </w:rPr>
      <w:fldChar w:fldCharType="begin"/>
    </w:r>
    <w:r w:rsidRPr="005629E7">
      <w:rPr>
        <w:b/>
        <w:sz w:val="18"/>
      </w:rPr>
      <w:instrText xml:space="preserve"> PAGE  \* MERGEFORMAT </w:instrText>
    </w:r>
    <w:r w:rsidRPr="005629E7">
      <w:rPr>
        <w:b/>
        <w:sz w:val="18"/>
      </w:rPr>
      <w:fldChar w:fldCharType="separate"/>
    </w:r>
    <w:r w:rsidRPr="005629E7">
      <w:rPr>
        <w:b/>
        <w:noProof/>
        <w:sz w:val="18"/>
      </w:rPr>
      <w:t>2</w:t>
    </w:r>
    <w:r w:rsidRPr="005629E7">
      <w:rPr>
        <w:b/>
        <w:sz w:val="18"/>
      </w:rPr>
      <w:fldChar w:fldCharType="end"/>
    </w:r>
    <w:r>
      <w:rPr>
        <w:b/>
        <w:sz w:val="18"/>
      </w:rPr>
      <w:tab/>
    </w:r>
    <w:r>
      <w:t>GE.24-05643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94E75" w14:textId="7F782721" w:rsidR="005629E7" w:rsidRPr="005629E7" w:rsidRDefault="005629E7" w:rsidP="005629E7">
    <w:pPr>
      <w:pStyle w:val="Footer"/>
      <w:tabs>
        <w:tab w:val="right" w:pos="9638"/>
      </w:tabs>
      <w:rPr>
        <w:b/>
        <w:sz w:val="18"/>
      </w:rPr>
    </w:pPr>
    <w:r>
      <w:t>GE.24-05643</w:t>
    </w:r>
    <w:r>
      <w:tab/>
    </w:r>
    <w:r w:rsidRPr="005629E7">
      <w:rPr>
        <w:b/>
        <w:sz w:val="18"/>
      </w:rPr>
      <w:fldChar w:fldCharType="begin"/>
    </w:r>
    <w:r w:rsidRPr="005629E7">
      <w:rPr>
        <w:b/>
        <w:sz w:val="18"/>
      </w:rPr>
      <w:instrText xml:space="preserve"> PAGE  \* MERGEFORMAT </w:instrText>
    </w:r>
    <w:r w:rsidRPr="005629E7">
      <w:rPr>
        <w:b/>
        <w:sz w:val="18"/>
      </w:rPr>
      <w:fldChar w:fldCharType="separate"/>
    </w:r>
    <w:r w:rsidRPr="005629E7">
      <w:rPr>
        <w:b/>
        <w:noProof/>
        <w:sz w:val="18"/>
      </w:rPr>
      <w:t>3</w:t>
    </w:r>
    <w:r w:rsidRPr="005629E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6A776" w14:textId="087AE069" w:rsidR="007F20FA" w:rsidRPr="005629E7" w:rsidRDefault="005629E7" w:rsidP="005629E7">
    <w:pPr>
      <w:pStyle w:val="Footer"/>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764C3A22" wp14:editId="323C5396">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24-05643  (F)</w:t>
    </w:r>
    <w:r>
      <w:rPr>
        <w:noProof/>
        <w:sz w:val="20"/>
      </w:rPr>
      <w:drawing>
        <wp:anchor distT="0" distB="0" distL="114300" distR="114300" simplePos="0" relativeHeight="251660288" behindDoc="0" locked="0" layoutInCell="1" allowOverlap="1" wp14:anchorId="66C6A773" wp14:editId="74A5BB33">
          <wp:simplePos x="0" y="0"/>
          <wp:positionH relativeFrom="margin">
            <wp:posOffset>5489575</wp:posOffset>
          </wp:positionH>
          <wp:positionV relativeFrom="margin">
            <wp:posOffset>8891905</wp:posOffset>
          </wp:positionV>
          <wp:extent cx="628650" cy="628650"/>
          <wp:effectExtent l="0" t="0" r="0" b="0"/>
          <wp:wrapNone/>
          <wp:docPr id="1334172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080424    080424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DFECE" w14:textId="77777777" w:rsidR="00311749" w:rsidRPr="00AC3823" w:rsidRDefault="00311749" w:rsidP="00AC3823">
      <w:pPr>
        <w:pStyle w:val="Footer"/>
        <w:tabs>
          <w:tab w:val="right" w:pos="2155"/>
        </w:tabs>
        <w:spacing w:after="80" w:line="240" w:lineRule="atLeast"/>
        <w:ind w:left="680"/>
        <w:rPr>
          <w:u w:val="single"/>
        </w:rPr>
      </w:pPr>
      <w:r>
        <w:rPr>
          <w:u w:val="single"/>
        </w:rPr>
        <w:tab/>
      </w:r>
    </w:p>
  </w:footnote>
  <w:footnote w:type="continuationSeparator" w:id="0">
    <w:p w14:paraId="0DF647F1" w14:textId="77777777" w:rsidR="00311749" w:rsidRPr="00AC3823" w:rsidRDefault="00311749" w:rsidP="00AC3823">
      <w:pPr>
        <w:pStyle w:val="Footer"/>
        <w:tabs>
          <w:tab w:val="right" w:pos="2155"/>
        </w:tabs>
        <w:spacing w:after="80" w:line="240" w:lineRule="atLeast"/>
        <w:ind w:left="680"/>
        <w:rPr>
          <w:u w:val="single"/>
        </w:rPr>
      </w:pPr>
      <w:r>
        <w:rPr>
          <w:u w:val="single"/>
        </w:rPr>
        <w:tab/>
      </w:r>
    </w:p>
  </w:footnote>
  <w:footnote w:type="continuationNotice" w:id="1">
    <w:p w14:paraId="7E0599C9" w14:textId="77777777" w:rsidR="00311749" w:rsidRPr="00AC3823" w:rsidRDefault="00311749">
      <w:pPr>
        <w:spacing w:line="240" w:lineRule="auto"/>
        <w:rPr>
          <w:sz w:val="2"/>
          <w:szCs w:val="2"/>
        </w:rPr>
      </w:pPr>
    </w:p>
  </w:footnote>
  <w:footnote w:id="2">
    <w:p w14:paraId="73E28448" w14:textId="77777777" w:rsidR="005629E7" w:rsidRPr="005725BA" w:rsidRDefault="005629E7" w:rsidP="005629E7">
      <w:pPr>
        <w:pStyle w:val="FootnoteText"/>
        <w:rPr>
          <w:szCs w:val="18"/>
          <w:lang w:val="fr-FR"/>
        </w:rPr>
      </w:pPr>
      <w:r>
        <w:rPr>
          <w:lang w:val="fr-FR"/>
        </w:rPr>
        <w:tab/>
      </w:r>
      <w:r w:rsidRPr="004D4071">
        <w:rPr>
          <w:sz w:val="20"/>
          <w:lang w:val="fr-FR"/>
        </w:rPr>
        <w:t>*</w:t>
      </w:r>
      <w:r>
        <w:rPr>
          <w:lang w:val="fr-FR"/>
        </w:rPr>
        <w:tab/>
        <w:t>Il a été convenu que le présent document serait publié après la date normale de publication en raison de circonstances indépendantes de la volonté du soumetteur.</w:t>
      </w:r>
    </w:p>
  </w:footnote>
  <w:footnote w:id="3">
    <w:p w14:paraId="2D2E5695" w14:textId="10208ADE" w:rsidR="005629E7" w:rsidRPr="005725BA" w:rsidRDefault="005629E7" w:rsidP="005629E7">
      <w:pPr>
        <w:pStyle w:val="FootnoteText"/>
        <w:rPr>
          <w:lang w:val="fr-FR"/>
        </w:rPr>
      </w:pPr>
      <w:r>
        <w:rPr>
          <w:lang w:val="fr-FR"/>
        </w:rPr>
        <w:tab/>
      </w:r>
      <w:r w:rsidRPr="004D4071">
        <w:rPr>
          <w:sz w:val="20"/>
          <w:lang w:val="fr-FR"/>
        </w:rPr>
        <w:t>**</w:t>
      </w:r>
      <w:r>
        <w:rPr>
          <w:lang w:val="fr-FR"/>
        </w:rPr>
        <w:tab/>
        <w:t>Conformément au programme de travail du Comité des transports intérieurs pour 2024 tel qu</w:t>
      </w:r>
      <w:r w:rsidR="004D4071">
        <w:rPr>
          <w:lang w:val="fr-FR"/>
        </w:rPr>
        <w:t>’</w:t>
      </w:r>
      <w:r>
        <w:rPr>
          <w:lang w:val="fr-FR"/>
        </w:rPr>
        <w:t>il figure dans le projet de budget-programme pour 2024 (</w:t>
      </w:r>
      <w:hyperlink r:id="rId1" w:history="1">
        <w:r w:rsidRPr="00E778A2">
          <w:rPr>
            <w:rStyle w:val="Hyperlink"/>
            <w:lang w:val="fr-FR"/>
          </w:rPr>
          <w:t>A/7</w:t>
        </w:r>
        <w:r w:rsidRPr="00E778A2">
          <w:rPr>
            <w:rStyle w:val="Hyperlink"/>
            <w:lang w:val="fr-FR"/>
          </w:rPr>
          <w:t>8</w:t>
        </w:r>
        <w:r w:rsidRPr="00E778A2">
          <w:rPr>
            <w:rStyle w:val="Hyperlink"/>
            <w:lang w:val="fr-FR"/>
          </w:rPr>
          <w:t>/6 (Sect. 20)</w:t>
        </w:r>
      </w:hyperlink>
      <w:r>
        <w:rPr>
          <w:lang w:val="fr-FR"/>
        </w:rPr>
        <w:t>, tableau 20.5), le Forum mondial a pour mission d</w:t>
      </w:r>
      <w:r w:rsidR="004D4071">
        <w:rPr>
          <w:lang w:val="fr-FR"/>
        </w:rPr>
        <w:t>’</w:t>
      </w:r>
      <w:r>
        <w:rPr>
          <w:lang w:val="fr-FR"/>
        </w:rPr>
        <w:t>élaborer, d</w:t>
      </w:r>
      <w:r w:rsidR="004D4071">
        <w:rPr>
          <w:lang w:val="fr-FR"/>
        </w:rPr>
        <w:t>’</w:t>
      </w:r>
      <w:r>
        <w:rPr>
          <w:lang w:val="fr-FR"/>
        </w:rPr>
        <w:t>harmoniser et de mettre à jour les Règlements ONU en vue d</w:t>
      </w:r>
      <w:r w:rsidR="004D4071">
        <w:rPr>
          <w:lang w:val="fr-FR"/>
        </w:rPr>
        <w:t>’</w:t>
      </w:r>
      <w:r>
        <w:rPr>
          <w:lang w:val="fr-FR"/>
        </w:rPr>
        <w:t>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04EFE" w14:textId="44EAB9E7" w:rsidR="005629E7" w:rsidRPr="005629E7" w:rsidRDefault="005629E7">
    <w:pPr>
      <w:pStyle w:val="Header"/>
    </w:pPr>
    <w:fldSimple w:instr=" TITLE  \* MERGEFORMAT ">
      <w:r w:rsidR="006D0D34">
        <w:t>ECE/TRANS/WP.29/GRSP/2024/15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0DF7" w14:textId="75D855CD" w:rsidR="005629E7" w:rsidRPr="005629E7" w:rsidRDefault="005629E7" w:rsidP="005629E7">
    <w:pPr>
      <w:pStyle w:val="Header"/>
      <w:jc w:val="right"/>
    </w:pPr>
    <w:fldSimple w:instr=" TITLE  \* MERGEFORMAT ">
      <w:r w:rsidR="006D0D34">
        <w:t>ECE/TRANS/WP.29/GRSP/2024/15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44002159">
    <w:abstractNumId w:val="12"/>
  </w:num>
  <w:num w:numId="2" w16cid:durableId="1698116655">
    <w:abstractNumId w:val="11"/>
  </w:num>
  <w:num w:numId="3" w16cid:durableId="1701128867">
    <w:abstractNumId w:val="10"/>
  </w:num>
  <w:num w:numId="4" w16cid:durableId="341660919">
    <w:abstractNumId w:val="8"/>
  </w:num>
  <w:num w:numId="5" w16cid:durableId="968972727">
    <w:abstractNumId w:val="3"/>
  </w:num>
  <w:num w:numId="6" w16cid:durableId="1618178579">
    <w:abstractNumId w:val="2"/>
  </w:num>
  <w:num w:numId="7" w16cid:durableId="207183194">
    <w:abstractNumId w:val="1"/>
  </w:num>
  <w:num w:numId="8" w16cid:durableId="853962005">
    <w:abstractNumId w:val="0"/>
  </w:num>
  <w:num w:numId="9" w16cid:durableId="484930531">
    <w:abstractNumId w:val="9"/>
  </w:num>
  <w:num w:numId="10" w16cid:durableId="129441601">
    <w:abstractNumId w:val="7"/>
  </w:num>
  <w:num w:numId="11" w16cid:durableId="881358163">
    <w:abstractNumId w:val="6"/>
  </w:num>
  <w:num w:numId="12" w16cid:durableId="1267470787">
    <w:abstractNumId w:val="5"/>
  </w:num>
  <w:num w:numId="13" w16cid:durableId="1123885892">
    <w:abstractNumId w:val="4"/>
  </w:num>
  <w:num w:numId="14" w16cid:durableId="1118917729">
    <w:abstractNumId w:val="12"/>
  </w:num>
  <w:num w:numId="15" w16cid:durableId="683434751">
    <w:abstractNumId w:val="11"/>
  </w:num>
  <w:num w:numId="16" w16cid:durableId="1358433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CA"/>
    <w:rsid w:val="00017F94"/>
    <w:rsid w:val="00023842"/>
    <w:rsid w:val="0003318D"/>
    <w:rsid w:val="000334F9"/>
    <w:rsid w:val="00045FEB"/>
    <w:rsid w:val="000623E1"/>
    <w:rsid w:val="0007796D"/>
    <w:rsid w:val="000B7790"/>
    <w:rsid w:val="000E1A19"/>
    <w:rsid w:val="00111F2F"/>
    <w:rsid w:val="0014365E"/>
    <w:rsid w:val="00143C66"/>
    <w:rsid w:val="00176178"/>
    <w:rsid w:val="001D3D78"/>
    <w:rsid w:val="001F525A"/>
    <w:rsid w:val="00201148"/>
    <w:rsid w:val="00223272"/>
    <w:rsid w:val="00241E72"/>
    <w:rsid w:val="00242A36"/>
    <w:rsid w:val="0024779E"/>
    <w:rsid w:val="00257168"/>
    <w:rsid w:val="002744B8"/>
    <w:rsid w:val="002832AC"/>
    <w:rsid w:val="002D7C93"/>
    <w:rsid w:val="00300A79"/>
    <w:rsid w:val="00305801"/>
    <w:rsid w:val="00311749"/>
    <w:rsid w:val="00321CCC"/>
    <w:rsid w:val="003916DE"/>
    <w:rsid w:val="003C0839"/>
    <w:rsid w:val="00402E71"/>
    <w:rsid w:val="00421996"/>
    <w:rsid w:val="00441C3B"/>
    <w:rsid w:val="00443B00"/>
    <w:rsid w:val="00446FE5"/>
    <w:rsid w:val="00452396"/>
    <w:rsid w:val="00477EB2"/>
    <w:rsid w:val="004837D8"/>
    <w:rsid w:val="004846BA"/>
    <w:rsid w:val="004D4071"/>
    <w:rsid w:val="004E2EED"/>
    <w:rsid w:val="004E468C"/>
    <w:rsid w:val="005505B7"/>
    <w:rsid w:val="005629E7"/>
    <w:rsid w:val="00573BE5"/>
    <w:rsid w:val="00586ED3"/>
    <w:rsid w:val="00596AA9"/>
    <w:rsid w:val="005B12EC"/>
    <w:rsid w:val="00602110"/>
    <w:rsid w:val="006B1B45"/>
    <w:rsid w:val="006C6F5F"/>
    <w:rsid w:val="006D0D34"/>
    <w:rsid w:val="006D3D6E"/>
    <w:rsid w:val="006D79B3"/>
    <w:rsid w:val="006F61C4"/>
    <w:rsid w:val="0071601D"/>
    <w:rsid w:val="00735D76"/>
    <w:rsid w:val="0079297E"/>
    <w:rsid w:val="00797D9D"/>
    <w:rsid w:val="007A0BAE"/>
    <w:rsid w:val="007A62E6"/>
    <w:rsid w:val="007F20FA"/>
    <w:rsid w:val="0080684C"/>
    <w:rsid w:val="008129CD"/>
    <w:rsid w:val="00871C75"/>
    <w:rsid w:val="008776DC"/>
    <w:rsid w:val="008D09BF"/>
    <w:rsid w:val="008D33F0"/>
    <w:rsid w:val="008D5EF9"/>
    <w:rsid w:val="009130A3"/>
    <w:rsid w:val="009446C0"/>
    <w:rsid w:val="00946785"/>
    <w:rsid w:val="009705C8"/>
    <w:rsid w:val="0097124D"/>
    <w:rsid w:val="009C09C6"/>
    <w:rsid w:val="009C1CF4"/>
    <w:rsid w:val="009E4480"/>
    <w:rsid w:val="009F6B74"/>
    <w:rsid w:val="00A3029F"/>
    <w:rsid w:val="00A30353"/>
    <w:rsid w:val="00A400C2"/>
    <w:rsid w:val="00A41D7D"/>
    <w:rsid w:val="00A559D2"/>
    <w:rsid w:val="00AC3823"/>
    <w:rsid w:val="00AC3947"/>
    <w:rsid w:val="00AE0408"/>
    <w:rsid w:val="00AE323C"/>
    <w:rsid w:val="00AF0CB5"/>
    <w:rsid w:val="00B00181"/>
    <w:rsid w:val="00B00B0D"/>
    <w:rsid w:val="00B10930"/>
    <w:rsid w:val="00B45F2E"/>
    <w:rsid w:val="00B765F7"/>
    <w:rsid w:val="00B77993"/>
    <w:rsid w:val="00BA0CA9"/>
    <w:rsid w:val="00C02897"/>
    <w:rsid w:val="00C24DA1"/>
    <w:rsid w:val="00C936DF"/>
    <w:rsid w:val="00C97039"/>
    <w:rsid w:val="00D3439C"/>
    <w:rsid w:val="00D5077E"/>
    <w:rsid w:val="00D72B51"/>
    <w:rsid w:val="00D7622E"/>
    <w:rsid w:val="00D964CA"/>
    <w:rsid w:val="00DB1831"/>
    <w:rsid w:val="00DB1D20"/>
    <w:rsid w:val="00DD3254"/>
    <w:rsid w:val="00DD3BFD"/>
    <w:rsid w:val="00DF6678"/>
    <w:rsid w:val="00E0299A"/>
    <w:rsid w:val="00E354FD"/>
    <w:rsid w:val="00E73B31"/>
    <w:rsid w:val="00E75116"/>
    <w:rsid w:val="00E778A2"/>
    <w:rsid w:val="00E85C74"/>
    <w:rsid w:val="00EA6547"/>
    <w:rsid w:val="00ED7237"/>
    <w:rsid w:val="00EF2E22"/>
    <w:rsid w:val="00F24CDA"/>
    <w:rsid w:val="00F35BAF"/>
    <w:rsid w:val="00F660DF"/>
    <w:rsid w:val="00F94664"/>
    <w:rsid w:val="00F9573C"/>
    <w:rsid w:val="00F95C08"/>
    <w:rsid w:val="00FB620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13EE2"/>
  <w15:docId w15:val="{97B547C2-005C-490A-9D70-F868DE98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paragraph" w:customStyle="1" w:styleId="Para">
    <w:name w:val="Para"/>
    <w:basedOn w:val="Normal"/>
    <w:qFormat/>
    <w:rsid w:val="008D09BF"/>
    <w:pPr>
      <w:suppressAutoHyphens w:val="0"/>
      <w:kinsoku/>
      <w:overflowPunct/>
      <w:autoSpaceDE/>
      <w:autoSpaceDN/>
      <w:adjustRightInd/>
      <w:snapToGrid/>
      <w:spacing w:after="120"/>
      <w:ind w:left="2268" w:right="1134" w:hanging="1134"/>
      <w:jc w:val="both"/>
    </w:pPr>
    <w:rPr>
      <w:rFonts w:eastAsia="Times New Roman"/>
      <w:lang w:val="en-GB"/>
    </w:rPr>
  </w:style>
  <w:style w:type="character" w:customStyle="1" w:styleId="SingleTxtGChar">
    <w:name w:val="_ Single Txt_G Char"/>
    <w:link w:val="SingleTxtG"/>
    <w:qFormat/>
    <w:locked/>
    <w:rsid w:val="00DD3254"/>
    <w:rPr>
      <w:rFonts w:ascii="Times New Roman" w:eastAsiaTheme="minorHAnsi" w:hAnsi="Times New Roman" w:cs="Times New Roman"/>
      <w:sz w:val="20"/>
      <w:szCs w:val="20"/>
      <w:lang w:eastAsia="en-US"/>
    </w:rPr>
  </w:style>
  <w:style w:type="character" w:styleId="UnresolvedMention">
    <w:name w:val="Unresolved Mention"/>
    <w:basedOn w:val="DefaultParagraphFont"/>
    <w:uiPriority w:val="99"/>
    <w:semiHidden/>
    <w:unhideWhenUsed/>
    <w:rsid w:val="00E7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undocs.org/fr/A/78/6(Sect.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366DE-2E69-413D-8F0B-EC1617D76B94}"/>
</file>

<file path=customXml/itemProps2.xml><?xml version="1.0" encoding="utf-8"?>
<ds:datastoreItem xmlns:ds="http://schemas.openxmlformats.org/officeDocument/2006/customXml" ds:itemID="{AEAA65D7-C916-4B3B-B94E-880E5716F440}"/>
</file>

<file path=docProps/app.xml><?xml version="1.0" encoding="utf-8"?>
<Properties xmlns="http://schemas.openxmlformats.org/officeDocument/2006/extended-properties" xmlns:vt="http://schemas.openxmlformats.org/officeDocument/2006/docPropsVTypes">
  <Template>ECE_TRANS.dotm</Template>
  <TotalTime>20</TotalTime>
  <Pages>4</Pages>
  <Words>1297</Words>
  <Characters>7075</Characters>
  <Application>Microsoft Office Word</Application>
  <DocSecurity>0</DocSecurity>
  <Lines>147</Lines>
  <Paragraphs>69</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ECE/TRANS/WP.29/GRSP/2024/15</dc:title>
  <dc:subject/>
  <dc:creator>Luisa PENA-MONTERO</dc:creator>
  <cp:keywords/>
  <cp:lastModifiedBy>Luisa PENA-MONTERO</cp:lastModifiedBy>
  <cp:revision>52</cp:revision>
  <cp:lastPrinted>2024-04-08T14:36:00Z</cp:lastPrinted>
  <dcterms:created xsi:type="dcterms:W3CDTF">2024-04-08T14:11:00Z</dcterms:created>
  <dcterms:modified xsi:type="dcterms:W3CDTF">2024-04-08T14:36:00Z</dcterms:modified>
</cp:coreProperties>
</file>