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F2EEB" w14:paraId="4EF0EA6E" w14:textId="77777777" w:rsidTr="00B20551">
        <w:trPr>
          <w:cantSplit/>
          <w:trHeight w:hRule="exact" w:val="851"/>
        </w:trPr>
        <w:tc>
          <w:tcPr>
            <w:tcW w:w="1276" w:type="dxa"/>
            <w:tcBorders>
              <w:bottom w:val="single" w:sz="4" w:space="0" w:color="auto"/>
            </w:tcBorders>
            <w:vAlign w:val="bottom"/>
          </w:tcPr>
          <w:p w14:paraId="7F2AD21F" w14:textId="77777777" w:rsidR="009E6CB7" w:rsidRPr="00805FD9" w:rsidRDefault="009E6CB7" w:rsidP="00B20551">
            <w:pPr>
              <w:spacing w:after="80"/>
            </w:pPr>
          </w:p>
        </w:tc>
        <w:tc>
          <w:tcPr>
            <w:tcW w:w="2268" w:type="dxa"/>
            <w:tcBorders>
              <w:bottom w:val="single" w:sz="4" w:space="0" w:color="auto"/>
            </w:tcBorders>
            <w:vAlign w:val="bottom"/>
          </w:tcPr>
          <w:p w14:paraId="28CBF0AA" w14:textId="77777777" w:rsidR="009E6CB7" w:rsidRPr="00805FD9" w:rsidRDefault="009E6CB7" w:rsidP="00B20551">
            <w:pPr>
              <w:spacing w:after="80" w:line="300" w:lineRule="exact"/>
              <w:rPr>
                <w:b/>
                <w:sz w:val="24"/>
                <w:szCs w:val="24"/>
              </w:rPr>
            </w:pPr>
            <w:r w:rsidRPr="00805FD9">
              <w:rPr>
                <w:sz w:val="28"/>
                <w:szCs w:val="28"/>
              </w:rPr>
              <w:t>United Nations</w:t>
            </w:r>
          </w:p>
        </w:tc>
        <w:tc>
          <w:tcPr>
            <w:tcW w:w="6095" w:type="dxa"/>
            <w:gridSpan w:val="2"/>
            <w:tcBorders>
              <w:bottom w:val="single" w:sz="4" w:space="0" w:color="auto"/>
            </w:tcBorders>
            <w:vAlign w:val="bottom"/>
          </w:tcPr>
          <w:p w14:paraId="32DC77E9" w14:textId="464F3309" w:rsidR="009E6CB7" w:rsidRPr="007F2EEB" w:rsidRDefault="009E372B" w:rsidP="009E372B">
            <w:pPr>
              <w:jc w:val="right"/>
            </w:pPr>
            <w:r w:rsidRPr="007F2EEB">
              <w:rPr>
                <w:sz w:val="40"/>
              </w:rPr>
              <w:t>ECE</w:t>
            </w:r>
            <w:r w:rsidRPr="007F2EEB">
              <w:t>/TRANS/WP.29/GRS</w:t>
            </w:r>
            <w:r w:rsidR="00404A56">
              <w:t>P</w:t>
            </w:r>
            <w:r w:rsidRPr="007F2EEB">
              <w:t>/202</w:t>
            </w:r>
            <w:r w:rsidR="003E52EC" w:rsidRPr="007F2EEB">
              <w:t>4</w:t>
            </w:r>
            <w:r w:rsidRPr="007F2EEB">
              <w:t>/</w:t>
            </w:r>
            <w:r w:rsidR="00DC2FFE">
              <w:t>15</w:t>
            </w:r>
          </w:p>
        </w:tc>
      </w:tr>
      <w:tr w:rsidR="009E6CB7" w:rsidRPr="00805FD9" w14:paraId="10D3603F" w14:textId="77777777" w:rsidTr="00B20551">
        <w:trPr>
          <w:cantSplit/>
          <w:trHeight w:hRule="exact" w:val="2835"/>
        </w:trPr>
        <w:tc>
          <w:tcPr>
            <w:tcW w:w="1276" w:type="dxa"/>
            <w:tcBorders>
              <w:top w:val="single" w:sz="4" w:space="0" w:color="auto"/>
              <w:bottom w:val="single" w:sz="12" w:space="0" w:color="auto"/>
            </w:tcBorders>
          </w:tcPr>
          <w:p w14:paraId="0B5E4E10" w14:textId="77777777" w:rsidR="009E6CB7" w:rsidRPr="00805FD9" w:rsidRDefault="00686A48" w:rsidP="00B20551">
            <w:pPr>
              <w:spacing w:before="120"/>
            </w:pPr>
            <w:r w:rsidRPr="00805FD9">
              <w:rPr>
                <w:noProof/>
                <w:lang w:eastAsia="fr-CH"/>
              </w:rPr>
              <w:drawing>
                <wp:inline distT="0" distB="0" distL="0" distR="0" wp14:anchorId="229B8FB2" wp14:editId="44E46A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E575F5" w14:textId="77777777" w:rsidR="009E6CB7" w:rsidRPr="00805FD9" w:rsidRDefault="009E6CB7" w:rsidP="00B20551">
            <w:pPr>
              <w:spacing w:before="120" w:line="420" w:lineRule="exact"/>
              <w:rPr>
                <w:sz w:val="40"/>
                <w:szCs w:val="40"/>
              </w:rPr>
            </w:pPr>
            <w:r w:rsidRPr="00805FD9">
              <w:rPr>
                <w:b/>
                <w:sz w:val="40"/>
                <w:szCs w:val="40"/>
              </w:rPr>
              <w:t>Economic and Social Council</w:t>
            </w:r>
          </w:p>
        </w:tc>
        <w:tc>
          <w:tcPr>
            <w:tcW w:w="2835" w:type="dxa"/>
            <w:tcBorders>
              <w:top w:val="single" w:sz="4" w:space="0" w:color="auto"/>
              <w:bottom w:val="single" w:sz="12" w:space="0" w:color="auto"/>
            </w:tcBorders>
          </w:tcPr>
          <w:p w14:paraId="24845838" w14:textId="77777777" w:rsidR="009E6CB7" w:rsidRPr="00805FD9" w:rsidRDefault="009E372B" w:rsidP="009E372B">
            <w:pPr>
              <w:spacing w:before="240" w:line="240" w:lineRule="exact"/>
            </w:pPr>
            <w:r w:rsidRPr="00805FD9">
              <w:t>Distr.: General</w:t>
            </w:r>
          </w:p>
          <w:p w14:paraId="42220881" w14:textId="21543F80" w:rsidR="009E372B" w:rsidRPr="00805FD9" w:rsidRDefault="007D21A3" w:rsidP="009E372B">
            <w:pPr>
              <w:spacing w:line="240" w:lineRule="exact"/>
            </w:pPr>
            <w:r>
              <w:t>25 March</w:t>
            </w:r>
            <w:r w:rsidR="009E372B" w:rsidRPr="00805FD9">
              <w:t xml:space="preserve"> 202</w:t>
            </w:r>
            <w:r w:rsidR="003E52EC">
              <w:t>4</w:t>
            </w:r>
          </w:p>
          <w:p w14:paraId="3EDFE4FF" w14:textId="77777777" w:rsidR="009E372B" w:rsidRPr="00805FD9" w:rsidRDefault="009E372B" w:rsidP="009E372B">
            <w:pPr>
              <w:spacing w:line="240" w:lineRule="exact"/>
            </w:pPr>
          </w:p>
          <w:p w14:paraId="6CEB100B" w14:textId="2E60EBD2" w:rsidR="009E372B" w:rsidRPr="00805FD9" w:rsidRDefault="009E372B" w:rsidP="009E372B">
            <w:pPr>
              <w:spacing w:line="240" w:lineRule="exact"/>
            </w:pPr>
            <w:r w:rsidRPr="00805FD9">
              <w:t>Original: English</w:t>
            </w:r>
          </w:p>
        </w:tc>
      </w:tr>
    </w:tbl>
    <w:p w14:paraId="3C3D00E9" w14:textId="77777777" w:rsidR="009E372B" w:rsidRPr="00805FD9" w:rsidRDefault="009E372B" w:rsidP="00A36AC2">
      <w:pPr>
        <w:spacing w:before="120"/>
        <w:rPr>
          <w:b/>
          <w:sz w:val="28"/>
          <w:szCs w:val="28"/>
        </w:rPr>
      </w:pPr>
      <w:r w:rsidRPr="00805FD9">
        <w:rPr>
          <w:b/>
          <w:sz w:val="28"/>
          <w:szCs w:val="28"/>
        </w:rPr>
        <w:t>Economic Commission for Europe</w:t>
      </w:r>
    </w:p>
    <w:p w14:paraId="0B58ABC3" w14:textId="77777777" w:rsidR="009E372B" w:rsidRPr="00805FD9" w:rsidRDefault="009E372B" w:rsidP="00A36AC2">
      <w:pPr>
        <w:spacing w:before="120"/>
        <w:rPr>
          <w:sz w:val="28"/>
          <w:szCs w:val="28"/>
        </w:rPr>
      </w:pPr>
      <w:r w:rsidRPr="00805FD9">
        <w:rPr>
          <w:sz w:val="28"/>
          <w:szCs w:val="28"/>
        </w:rPr>
        <w:t>Inland Transport Committee</w:t>
      </w:r>
    </w:p>
    <w:p w14:paraId="7211BD18" w14:textId="77777777" w:rsidR="008152CC" w:rsidRPr="000357FD" w:rsidRDefault="008152CC" w:rsidP="008152CC">
      <w:pPr>
        <w:spacing w:before="120"/>
        <w:rPr>
          <w:b/>
          <w:sz w:val="24"/>
          <w:szCs w:val="24"/>
        </w:rPr>
      </w:pPr>
      <w:r w:rsidRPr="000357FD">
        <w:rPr>
          <w:b/>
          <w:sz w:val="24"/>
          <w:szCs w:val="24"/>
        </w:rPr>
        <w:t>World Forum for Harmonization of Vehicle Regulations</w:t>
      </w:r>
    </w:p>
    <w:p w14:paraId="2D903170" w14:textId="4C6CF173" w:rsidR="008152CC" w:rsidRPr="000357FD" w:rsidRDefault="00404A56" w:rsidP="008152CC">
      <w:pPr>
        <w:spacing w:before="120"/>
        <w:rPr>
          <w:b/>
        </w:rPr>
      </w:pPr>
      <w:r w:rsidRPr="000357FD">
        <w:rPr>
          <w:b/>
        </w:rPr>
        <w:t xml:space="preserve">Working Party on </w:t>
      </w:r>
      <w:r>
        <w:rPr>
          <w:b/>
        </w:rPr>
        <w:t>Passive</w:t>
      </w:r>
      <w:r w:rsidRPr="000357FD">
        <w:rPr>
          <w:b/>
        </w:rPr>
        <w:t xml:space="preserve"> Safety</w:t>
      </w:r>
    </w:p>
    <w:p w14:paraId="6A02225C" w14:textId="77777777" w:rsidR="00404A56" w:rsidRPr="002D39C0" w:rsidRDefault="00404A56" w:rsidP="00404A56">
      <w:pPr>
        <w:spacing w:before="120"/>
        <w:rPr>
          <w:rFonts w:asciiTheme="majorBidi" w:hAnsiTheme="majorBidi" w:cstheme="majorBidi"/>
          <w:b/>
        </w:rPr>
      </w:pPr>
      <w:r w:rsidRPr="002D39C0">
        <w:rPr>
          <w:rFonts w:asciiTheme="majorBidi" w:hAnsiTheme="majorBidi" w:cstheme="majorBidi"/>
          <w:b/>
        </w:rPr>
        <w:t>Seventy-</w:t>
      </w:r>
      <w:r>
        <w:rPr>
          <w:rFonts w:asciiTheme="majorBidi" w:hAnsiTheme="majorBidi" w:cstheme="majorBidi"/>
          <w:b/>
        </w:rPr>
        <w:t>fifth</w:t>
      </w:r>
      <w:r w:rsidRPr="002D39C0">
        <w:rPr>
          <w:rFonts w:asciiTheme="majorBidi" w:hAnsiTheme="majorBidi" w:cstheme="majorBidi"/>
          <w:b/>
        </w:rPr>
        <w:t xml:space="preserve"> session</w:t>
      </w:r>
    </w:p>
    <w:p w14:paraId="6EED202D" w14:textId="77777777" w:rsidR="00404A56" w:rsidRPr="002D39C0" w:rsidRDefault="00404A56" w:rsidP="00404A56">
      <w:pPr>
        <w:rPr>
          <w:rFonts w:asciiTheme="majorBidi" w:hAnsiTheme="majorBidi" w:cstheme="majorBidi"/>
        </w:rPr>
      </w:pPr>
      <w:r w:rsidRPr="002D39C0">
        <w:rPr>
          <w:rFonts w:asciiTheme="majorBidi" w:hAnsiTheme="majorBidi" w:cstheme="majorBidi"/>
        </w:rPr>
        <w:t xml:space="preserve">Geneva, </w:t>
      </w:r>
      <w:r>
        <w:rPr>
          <w:rFonts w:asciiTheme="majorBidi" w:hAnsiTheme="majorBidi" w:cstheme="majorBidi"/>
        </w:rPr>
        <w:t>27</w:t>
      </w:r>
      <w:r w:rsidRPr="002D39C0">
        <w:rPr>
          <w:rFonts w:asciiTheme="majorBidi" w:hAnsiTheme="majorBidi" w:cstheme="majorBidi"/>
        </w:rPr>
        <w:t>–</w:t>
      </w:r>
      <w:r>
        <w:rPr>
          <w:rFonts w:asciiTheme="majorBidi" w:hAnsiTheme="majorBidi" w:cstheme="majorBidi"/>
        </w:rPr>
        <w:t>31</w:t>
      </w:r>
      <w:r w:rsidRPr="002D39C0">
        <w:rPr>
          <w:rFonts w:asciiTheme="majorBidi" w:hAnsiTheme="majorBidi" w:cstheme="majorBidi"/>
        </w:rPr>
        <w:t xml:space="preserve"> May 202</w:t>
      </w:r>
      <w:r>
        <w:rPr>
          <w:rFonts w:asciiTheme="majorBidi" w:hAnsiTheme="majorBidi" w:cstheme="majorBidi"/>
        </w:rPr>
        <w:t>4</w:t>
      </w:r>
    </w:p>
    <w:p w14:paraId="19F848C0" w14:textId="193A15E1" w:rsidR="00404A56" w:rsidRDefault="00404A56" w:rsidP="00404A56">
      <w:pPr>
        <w:rPr>
          <w:bCs/>
        </w:rPr>
      </w:pPr>
      <w:r w:rsidRPr="002D39C0">
        <w:rPr>
          <w:rFonts w:asciiTheme="majorBidi" w:hAnsiTheme="majorBidi" w:cstheme="majorBidi"/>
        </w:rPr>
        <w:t xml:space="preserve">Item </w:t>
      </w:r>
      <w:r w:rsidR="004B3495">
        <w:rPr>
          <w:rFonts w:asciiTheme="majorBidi" w:hAnsiTheme="majorBidi" w:cstheme="majorBidi"/>
        </w:rPr>
        <w:t>8</w:t>
      </w:r>
      <w:r w:rsidRPr="002D39C0">
        <w:rPr>
          <w:rFonts w:asciiTheme="majorBidi" w:hAnsiTheme="majorBidi" w:cstheme="majorBidi"/>
        </w:rPr>
        <w:t xml:space="preserve"> of the provisional agenda</w:t>
      </w:r>
    </w:p>
    <w:p w14:paraId="08734047" w14:textId="18154ACC" w:rsidR="00C71584" w:rsidRPr="00805FD9" w:rsidRDefault="00B56FA3" w:rsidP="00983DA7">
      <w:pPr>
        <w:rPr>
          <w:bCs/>
        </w:rPr>
      </w:pPr>
      <w:r>
        <w:rPr>
          <w:b/>
        </w:rPr>
        <w:t>UN Regulation No. 17 (Strength of seats)</w:t>
      </w:r>
    </w:p>
    <w:p w14:paraId="3D0F7798" w14:textId="15FE3566" w:rsidR="009E372B" w:rsidRPr="00805FD9" w:rsidRDefault="009E372B" w:rsidP="00983DA7">
      <w:pPr>
        <w:pStyle w:val="HChG"/>
        <w:jc w:val="both"/>
      </w:pPr>
      <w:r w:rsidRPr="00805FD9">
        <w:tab/>
      </w:r>
      <w:r w:rsidRPr="00805FD9">
        <w:tab/>
      </w:r>
      <w:r w:rsidR="00C71584" w:rsidRPr="00FE2BBC">
        <w:t>Proposal for</w:t>
      </w:r>
      <w:r w:rsidR="00C71584">
        <w:t xml:space="preserve"> </w:t>
      </w:r>
      <w:r w:rsidR="009432AA">
        <w:t>1</w:t>
      </w:r>
      <w:r w:rsidR="00FB4272">
        <w:t>2</w:t>
      </w:r>
      <w:r w:rsidR="00CC3AE1">
        <w:t xml:space="preserve"> </w:t>
      </w:r>
      <w:r w:rsidR="00E073C5">
        <w:t xml:space="preserve">Series of Amendments </w:t>
      </w:r>
      <w:r w:rsidR="00CC3AE1">
        <w:t xml:space="preserve">to </w:t>
      </w:r>
      <w:r w:rsidR="00C71584">
        <w:t>UN</w:t>
      </w:r>
      <w:r w:rsidR="00364335">
        <w:t xml:space="preserve"> </w:t>
      </w:r>
      <w:r w:rsidR="00C71584">
        <w:t xml:space="preserve">Regulation No. </w:t>
      </w:r>
      <w:r w:rsidR="00E073C5">
        <w:t>1</w:t>
      </w:r>
      <w:r w:rsidR="00FB4272">
        <w:t>7</w:t>
      </w:r>
      <w:r w:rsidR="00C71584">
        <w:t xml:space="preserve"> (</w:t>
      </w:r>
      <w:r w:rsidR="00C83DD6">
        <w:t>Strength of seats</w:t>
      </w:r>
      <w:r w:rsidR="00C71584">
        <w:t>)</w:t>
      </w:r>
    </w:p>
    <w:p w14:paraId="156BD757" w14:textId="2C9F129E" w:rsidR="009E372B" w:rsidRPr="00805FD9" w:rsidRDefault="009E372B" w:rsidP="00BD2840">
      <w:pPr>
        <w:pStyle w:val="H1G"/>
        <w:rPr>
          <w:b w:val="0"/>
        </w:rPr>
      </w:pPr>
      <w:r w:rsidRPr="00805FD9">
        <w:tab/>
      </w:r>
      <w:r w:rsidRPr="00805FD9">
        <w:tab/>
      </w:r>
      <w:r w:rsidRPr="00805FD9">
        <w:rPr>
          <w:rFonts w:eastAsia="MS Mincho"/>
          <w:lang w:eastAsia="en-US"/>
        </w:rPr>
        <w:t xml:space="preserve">Submitted by </w:t>
      </w:r>
      <w:r w:rsidR="00BD2840">
        <w:t xml:space="preserve">the </w:t>
      </w:r>
      <w:r w:rsidR="003254B7" w:rsidRPr="00805FD9">
        <w:rPr>
          <w:rFonts w:eastAsia="MS Mincho"/>
          <w:lang w:eastAsia="en-US"/>
        </w:rPr>
        <w:t xml:space="preserve">Submitted by </w:t>
      </w:r>
      <w:r w:rsidR="003254B7">
        <w:t>the Informal Working Group on Equitable Occupant Protection</w:t>
      </w:r>
      <w:r w:rsidR="003254B7" w:rsidRPr="00805FD9">
        <w:t xml:space="preserve"> </w:t>
      </w:r>
      <w:r w:rsidR="00EE2AAD" w:rsidRPr="00D65C73">
        <w:rPr>
          <w:rStyle w:val="FootnoteReference"/>
          <w:sz w:val="20"/>
          <w:szCs w:val="24"/>
        </w:rPr>
        <w:footnoteReference w:customMarkFollows="1" w:id="2"/>
        <w:t>*</w:t>
      </w:r>
      <w:r w:rsidR="00EE2AAD" w:rsidRPr="00D65C73">
        <w:rPr>
          <w:sz w:val="20"/>
          <w:szCs w:val="24"/>
          <w:vertAlign w:val="superscript"/>
        </w:rPr>
        <w:t xml:space="preserve">, </w:t>
      </w:r>
      <w:r w:rsidR="00EE2AAD" w:rsidRPr="00D65C73">
        <w:rPr>
          <w:rStyle w:val="FootnoteReference"/>
          <w:sz w:val="20"/>
          <w:szCs w:val="24"/>
        </w:rPr>
        <w:footnoteReference w:customMarkFollows="1" w:id="3"/>
        <w:t>**</w:t>
      </w:r>
    </w:p>
    <w:p w14:paraId="2E1C86C5" w14:textId="6427A11A" w:rsidR="00436287" w:rsidRPr="0016160F" w:rsidRDefault="0011684F" w:rsidP="0098757E">
      <w:pPr>
        <w:pStyle w:val="SingleTxtG"/>
        <w:ind w:firstLine="567"/>
        <w:jc w:val="left"/>
        <w:rPr>
          <w:bCs/>
          <w:color w:val="000000" w:themeColor="text1"/>
        </w:rPr>
      </w:pPr>
      <w:bookmarkStart w:id="0" w:name="_Hlk46250620"/>
      <w:r w:rsidRPr="00E2323D">
        <w:rPr>
          <w:color w:val="000000" w:themeColor="text1"/>
        </w:rPr>
        <w:t xml:space="preserve">The text reproduced below was prepared by </w:t>
      </w:r>
      <w:r>
        <w:rPr>
          <w:color w:val="000000" w:themeColor="text1"/>
        </w:rPr>
        <w:t>the Informal Working Group on Equitable Occupant Protection (IWG-</w:t>
      </w:r>
      <w:proofErr w:type="spellStart"/>
      <w:r>
        <w:rPr>
          <w:color w:val="000000" w:themeColor="text1"/>
        </w:rPr>
        <w:t>EqOP</w:t>
      </w:r>
      <w:proofErr w:type="spellEnd"/>
      <w:r>
        <w:rPr>
          <w:color w:val="000000" w:themeColor="text1"/>
        </w:rPr>
        <w:t>),</w:t>
      </w:r>
      <w:r w:rsidRPr="00C71584">
        <w:t xml:space="preserve"> </w:t>
      </w:r>
      <w:r w:rsidRPr="00F0147E">
        <w:t xml:space="preserve">in </w:t>
      </w:r>
      <w:r>
        <w:t>order to improve the protection of the head restraint by optimising the test procedure</w:t>
      </w:r>
      <w:r w:rsidR="00CC3AE1">
        <w:t>.</w:t>
      </w:r>
      <w:bookmarkEnd w:id="0"/>
      <w:r>
        <w:t xml:space="preserve"> </w:t>
      </w:r>
      <w:r w:rsidR="00436287">
        <w:t>The modifications to the current text of UN Regulation No.</w:t>
      </w:r>
      <w:r w:rsidR="002000AB">
        <w:t> </w:t>
      </w:r>
      <w:r w:rsidR="00121080">
        <w:t>17</w:t>
      </w:r>
      <w:r w:rsidR="00436287">
        <w:t xml:space="preserve"> are marked in bold for new and strikethrough for deleted characters.</w:t>
      </w:r>
    </w:p>
    <w:p w14:paraId="6530E544" w14:textId="176AED7D" w:rsidR="009E372B" w:rsidRPr="0011684F" w:rsidRDefault="009E372B" w:rsidP="0011684F">
      <w:pPr>
        <w:pStyle w:val="SingleTxtG"/>
        <w:ind w:firstLine="567"/>
        <w:rPr>
          <w:bCs/>
          <w:color w:val="000000" w:themeColor="text1"/>
        </w:rPr>
      </w:pPr>
    </w:p>
    <w:p w14:paraId="1FD8588B" w14:textId="77777777" w:rsidR="009E372B" w:rsidRPr="00805FD9" w:rsidRDefault="009E372B" w:rsidP="009E372B">
      <w:pPr>
        <w:pStyle w:val="HChG"/>
        <w:tabs>
          <w:tab w:val="left" w:pos="8505"/>
        </w:tabs>
        <w:spacing w:before="0" w:after="0" w:line="240" w:lineRule="auto"/>
        <w:ind w:firstLine="425"/>
        <w:jc w:val="lowKashida"/>
        <w:rPr>
          <w:rFonts w:asciiTheme="majorBidi" w:hAnsiTheme="majorBidi" w:cstheme="majorBidi"/>
        </w:rPr>
      </w:pPr>
      <w:r w:rsidRPr="00805FD9">
        <w:rPr>
          <w:rFonts w:asciiTheme="majorBidi" w:hAnsiTheme="majorBidi" w:cstheme="majorBidi"/>
        </w:rPr>
        <w:br w:type="page"/>
      </w:r>
    </w:p>
    <w:p w14:paraId="0F07271B" w14:textId="23557028" w:rsidR="009E372B" w:rsidRDefault="009E372B" w:rsidP="001F2BEB">
      <w:pPr>
        <w:suppressAutoHyphens w:val="0"/>
        <w:spacing w:after="360" w:line="240" w:lineRule="auto"/>
        <w:rPr>
          <w:rFonts w:eastAsia="MS Mincho"/>
          <w:b/>
          <w:color w:val="000000"/>
          <w:sz w:val="28"/>
          <w:szCs w:val="28"/>
        </w:rPr>
      </w:pPr>
      <w:r w:rsidRPr="00805FD9">
        <w:rPr>
          <w:rFonts w:eastAsia="MS Mincho"/>
          <w:b/>
          <w:color w:val="000000"/>
          <w:sz w:val="28"/>
          <w:szCs w:val="28"/>
        </w:rPr>
        <w:lastRenderedPageBreak/>
        <w:tab/>
        <w:t>I.</w:t>
      </w:r>
      <w:r w:rsidRPr="00805FD9">
        <w:rPr>
          <w:rFonts w:eastAsia="MS Mincho"/>
          <w:b/>
          <w:color w:val="000000"/>
          <w:sz w:val="28"/>
          <w:szCs w:val="28"/>
        </w:rPr>
        <w:tab/>
        <w:t>Proposal</w:t>
      </w:r>
      <w:r w:rsidRPr="00805FD9">
        <w:rPr>
          <w:rFonts w:eastAsia="MS Mincho"/>
          <w:b/>
          <w:color w:val="000000"/>
          <w:sz w:val="28"/>
          <w:szCs w:val="28"/>
        </w:rPr>
        <w:tab/>
      </w:r>
    </w:p>
    <w:p w14:paraId="13CC3E78" w14:textId="03B7C198" w:rsidR="001F2BEB" w:rsidRDefault="00A973A8" w:rsidP="001F2BEB">
      <w:pPr>
        <w:pStyle w:val="SingleTxtG"/>
        <w:ind w:left="1287" w:hanging="153"/>
        <w:rPr>
          <w:bCs/>
          <w:iCs/>
        </w:rPr>
      </w:pPr>
      <w:r>
        <w:rPr>
          <w:bCs/>
          <w:i/>
        </w:rPr>
        <w:t>P</w:t>
      </w:r>
      <w:r w:rsidR="001F2BEB" w:rsidRPr="0094021F">
        <w:rPr>
          <w:bCs/>
          <w:i/>
        </w:rPr>
        <w:t>aragraph</w:t>
      </w:r>
      <w:r w:rsidR="001F2BEB">
        <w:rPr>
          <w:bCs/>
          <w:i/>
        </w:rPr>
        <w:t>s</w:t>
      </w:r>
      <w:r w:rsidR="001F2BEB" w:rsidRPr="0094021F">
        <w:rPr>
          <w:bCs/>
          <w:i/>
        </w:rPr>
        <w:t xml:space="preserve"> </w:t>
      </w:r>
      <w:r w:rsidR="001F2BEB">
        <w:rPr>
          <w:bCs/>
          <w:i/>
        </w:rPr>
        <w:t xml:space="preserve">5.6.4., </w:t>
      </w:r>
      <w:r w:rsidR="001F2BEB" w:rsidRPr="005A1B4B">
        <w:rPr>
          <w:bCs/>
          <w:iCs/>
        </w:rPr>
        <w:t>shall be deleted</w:t>
      </w:r>
    </w:p>
    <w:p w14:paraId="3B8A8CC1" w14:textId="7E4A748E" w:rsidR="00CF5A34" w:rsidRPr="005B45A4" w:rsidRDefault="00CF5A34" w:rsidP="001F2BEB">
      <w:pPr>
        <w:pStyle w:val="SingleTxtG"/>
        <w:ind w:left="1287" w:hanging="153"/>
        <w:rPr>
          <w:bCs/>
        </w:rPr>
      </w:pPr>
      <w:r w:rsidRPr="00CF5A34">
        <w:rPr>
          <w:bCs/>
          <w:i/>
        </w:rPr>
        <w:t>Paragraphs 5.6.</w:t>
      </w:r>
      <w:r>
        <w:rPr>
          <w:bCs/>
          <w:i/>
        </w:rPr>
        <w:t>5</w:t>
      </w:r>
      <w:r w:rsidR="007D21A3">
        <w:rPr>
          <w:bCs/>
          <w:i/>
        </w:rPr>
        <w:t>.</w:t>
      </w:r>
      <w:r w:rsidRPr="00CF5A34">
        <w:rPr>
          <w:bCs/>
          <w:i/>
        </w:rPr>
        <w:t xml:space="preserve"> to 5.6.7.(former)</w:t>
      </w:r>
      <w:r>
        <w:rPr>
          <w:bCs/>
          <w:iCs/>
        </w:rPr>
        <w:t xml:space="preserve">, renumber as paragraphs </w:t>
      </w:r>
      <w:r w:rsidRPr="00CF5A34">
        <w:rPr>
          <w:bCs/>
          <w:i/>
        </w:rPr>
        <w:t>5.6.4</w:t>
      </w:r>
      <w:r w:rsidR="007D21A3">
        <w:rPr>
          <w:bCs/>
          <w:i/>
        </w:rPr>
        <w:t>.</w:t>
      </w:r>
      <w:r w:rsidRPr="00CF5A34">
        <w:rPr>
          <w:bCs/>
          <w:i/>
        </w:rPr>
        <w:t xml:space="preserve"> to 5.6.</w:t>
      </w:r>
      <w:r>
        <w:rPr>
          <w:bCs/>
          <w:i/>
        </w:rPr>
        <w:t>6</w:t>
      </w:r>
      <w:r w:rsidRPr="00CF5A34">
        <w:rPr>
          <w:bCs/>
          <w:i/>
        </w:rPr>
        <w:t>.</w:t>
      </w:r>
    </w:p>
    <w:p w14:paraId="2FBB9D6F" w14:textId="77777777" w:rsidR="001F2BEB" w:rsidRPr="00217771" w:rsidRDefault="001F2BEB" w:rsidP="001F2BEB">
      <w:pPr>
        <w:pStyle w:val="Para"/>
        <w:rPr>
          <w:bCs/>
        </w:rPr>
      </w:pPr>
      <w:r w:rsidRPr="00217771">
        <w:rPr>
          <w:bCs/>
          <w:i/>
          <w:iCs/>
        </w:rPr>
        <w:t>Insert new paragraphs 13.1</w:t>
      </w:r>
      <w:r>
        <w:rPr>
          <w:bCs/>
          <w:i/>
          <w:iCs/>
        </w:rPr>
        <w:t>5</w:t>
      </w:r>
      <w:r w:rsidRPr="00217771">
        <w:rPr>
          <w:bCs/>
          <w:i/>
          <w:iCs/>
        </w:rPr>
        <w:t>. to 13.1</w:t>
      </w:r>
      <w:r>
        <w:rPr>
          <w:bCs/>
          <w:i/>
          <w:iCs/>
        </w:rPr>
        <w:t>5</w:t>
      </w:r>
      <w:r w:rsidRPr="00217771">
        <w:rPr>
          <w:bCs/>
          <w:i/>
          <w:iCs/>
        </w:rPr>
        <w:t>.5.,</w:t>
      </w:r>
      <w:r w:rsidRPr="00217771">
        <w:rPr>
          <w:bCs/>
        </w:rPr>
        <w:t xml:space="preserve"> to read:</w:t>
      </w:r>
    </w:p>
    <w:p w14:paraId="4B938A2F" w14:textId="30873631" w:rsidR="001F2BEB" w:rsidRPr="000E7927" w:rsidRDefault="007B0A7B" w:rsidP="001F2BEB">
      <w:pPr>
        <w:widowControl w:val="0"/>
        <w:spacing w:after="120"/>
        <w:ind w:left="2268" w:right="1134" w:hanging="1134"/>
        <w:jc w:val="both"/>
        <w:rPr>
          <w:b/>
          <w:bCs/>
          <w:lang w:eastAsia="en-US"/>
        </w:rPr>
      </w:pPr>
      <w:r>
        <w:rPr>
          <w:b/>
          <w:bCs/>
          <w:lang w:eastAsia="en-US"/>
        </w:rPr>
        <w:t>"</w:t>
      </w:r>
      <w:r w:rsidR="001F2BEB" w:rsidRPr="000E7927">
        <w:rPr>
          <w:b/>
          <w:bCs/>
          <w:lang w:eastAsia="en-US"/>
        </w:rPr>
        <w:t>13.1</w:t>
      </w:r>
      <w:r w:rsidR="001F2BEB">
        <w:rPr>
          <w:b/>
          <w:bCs/>
          <w:lang w:eastAsia="en-US"/>
        </w:rPr>
        <w:t>5</w:t>
      </w:r>
      <w:r w:rsidR="001F2BEB" w:rsidRPr="000E7927">
        <w:rPr>
          <w:b/>
          <w:bCs/>
          <w:lang w:eastAsia="en-US"/>
        </w:rPr>
        <w:t xml:space="preserve">. </w:t>
      </w:r>
      <w:r w:rsidR="001F2BEB" w:rsidRPr="000E7927">
        <w:rPr>
          <w:b/>
          <w:bCs/>
          <w:lang w:eastAsia="en-US"/>
        </w:rPr>
        <w:tab/>
        <w:t>As from the official date of entry into force of the 1</w:t>
      </w:r>
      <w:r w:rsidR="001F2BEB">
        <w:rPr>
          <w:b/>
          <w:bCs/>
          <w:lang w:eastAsia="en-US"/>
        </w:rPr>
        <w:t>2</w:t>
      </w:r>
      <w:r w:rsidR="001F2BEB" w:rsidRPr="000E7927">
        <w:rPr>
          <w:b/>
          <w:bCs/>
          <w:lang w:eastAsia="en-US"/>
        </w:rPr>
        <w:t xml:space="preserve"> series of amendments, no Contracting Party applying this Regulation shall refuse to grant or refuse to accept UN type approvals under this Regulation as amended by the 1</w:t>
      </w:r>
      <w:r w:rsidR="001F2BEB">
        <w:rPr>
          <w:b/>
          <w:bCs/>
          <w:lang w:eastAsia="en-US"/>
        </w:rPr>
        <w:t>2</w:t>
      </w:r>
      <w:r w:rsidR="001F2BEB" w:rsidRPr="000E7927">
        <w:rPr>
          <w:b/>
          <w:bCs/>
          <w:lang w:eastAsia="en-US"/>
        </w:rPr>
        <w:t xml:space="preserve"> series of amendments.</w:t>
      </w:r>
    </w:p>
    <w:p w14:paraId="76290543" w14:textId="77777777" w:rsidR="001F2BEB" w:rsidRPr="000E7927" w:rsidRDefault="001F2BEB" w:rsidP="001F2BEB">
      <w:pPr>
        <w:widowControl w:val="0"/>
        <w:spacing w:after="120"/>
        <w:ind w:left="2268" w:right="1134" w:hanging="1134"/>
        <w:jc w:val="both"/>
        <w:rPr>
          <w:b/>
          <w:bCs/>
          <w:lang w:eastAsia="en-US"/>
        </w:rPr>
      </w:pPr>
      <w:r w:rsidRPr="000E7927">
        <w:rPr>
          <w:b/>
          <w:bCs/>
          <w:lang w:eastAsia="en-US"/>
        </w:rPr>
        <w:t>13.1</w:t>
      </w:r>
      <w:r>
        <w:rPr>
          <w:b/>
          <w:bCs/>
          <w:lang w:eastAsia="en-US"/>
        </w:rPr>
        <w:t>5</w:t>
      </w:r>
      <w:r w:rsidRPr="000E7927">
        <w:rPr>
          <w:b/>
          <w:bCs/>
          <w:lang w:eastAsia="en-US"/>
        </w:rPr>
        <w:t>.1.</w:t>
      </w:r>
      <w:r w:rsidRPr="000E7927">
        <w:rPr>
          <w:b/>
          <w:bCs/>
          <w:lang w:eastAsia="en-US"/>
        </w:rPr>
        <w:tab/>
        <w:t>As from 1 September 202</w:t>
      </w:r>
      <w:r>
        <w:rPr>
          <w:b/>
          <w:bCs/>
          <w:lang w:eastAsia="en-US"/>
        </w:rPr>
        <w:t>7</w:t>
      </w:r>
      <w:r w:rsidRPr="000E7927">
        <w:rPr>
          <w:b/>
          <w:bCs/>
          <w:lang w:eastAsia="en-US"/>
        </w:rPr>
        <w:t>, Contracting Parties applying this Regulation shall not be obliged to accept UN type approvals to the preceding series of amendments that were first issued on or after 1 September 202</w:t>
      </w:r>
      <w:r>
        <w:rPr>
          <w:b/>
          <w:bCs/>
          <w:lang w:eastAsia="en-US"/>
        </w:rPr>
        <w:t>7</w:t>
      </w:r>
      <w:r w:rsidRPr="000E7927">
        <w:rPr>
          <w:b/>
          <w:bCs/>
          <w:lang w:eastAsia="en-US"/>
        </w:rPr>
        <w:t>.</w:t>
      </w:r>
    </w:p>
    <w:p w14:paraId="1EBBD387" w14:textId="77777777" w:rsidR="001F2BEB" w:rsidRPr="000E7927" w:rsidRDefault="001F2BEB" w:rsidP="001F2BEB">
      <w:pPr>
        <w:widowControl w:val="0"/>
        <w:spacing w:after="120"/>
        <w:ind w:left="2268" w:right="1134" w:hanging="1134"/>
        <w:jc w:val="both"/>
        <w:rPr>
          <w:b/>
          <w:bCs/>
          <w:lang w:eastAsia="en-US"/>
        </w:rPr>
      </w:pPr>
      <w:r w:rsidRPr="000E7927">
        <w:rPr>
          <w:b/>
          <w:bCs/>
          <w:lang w:eastAsia="en-US"/>
        </w:rPr>
        <w:t>13.1</w:t>
      </w:r>
      <w:r>
        <w:rPr>
          <w:b/>
          <w:bCs/>
          <w:lang w:eastAsia="en-US"/>
        </w:rPr>
        <w:t>5</w:t>
      </w:r>
      <w:r w:rsidRPr="000E7927">
        <w:rPr>
          <w:b/>
          <w:bCs/>
          <w:lang w:eastAsia="en-US"/>
        </w:rPr>
        <w:t>.2.</w:t>
      </w:r>
      <w:r w:rsidRPr="000E7927">
        <w:rPr>
          <w:b/>
          <w:bCs/>
          <w:lang w:eastAsia="en-US"/>
        </w:rPr>
        <w:tab/>
        <w:t>Until 1 September 202</w:t>
      </w:r>
      <w:r>
        <w:rPr>
          <w:b/>
          <w:bCs/>
          <w:lang w:eastAsia="en-US"/>
        </w:rPr>
        <w:t>9</w:t>
      </w:r>
      <w:r w:rsidRPr="000E7927">
        <w:rPr>
          <w:b/>
          <w:bCs/>
          <w:lang w:eastAsia="en-US"/>
        </w:rPr>
        <w:t>, Contracting Parties applying this Regulation shall accept UN type approvals to the preceding series of amendments that were first issued before 1 September 202</w:t>
      </w:r>
      <w:r>
        <w:rPr>
          <w:b/>
          <w:bCs/>
          <w:lang w:eastAsia="en-US"/>
        </w:rPr>
        <w:t>7</w:t>
      </w:r>
      <w:r w:rsidRPr="000E7927">
        <w:rPr>
          <w:b/>
          <w:bCs/>
          <w:lang w:eastAsia="en-US"/>
        </w:rPr>
        <w:t>.</w:t>
      </w:r>
    </w:p>
    <w:p w14:paraId="26AEA302" w14:textId="77777777" w:rsidR="001F2BEB" w:rsidRPr="000E7927" w:rsidRDefault="001F2BEB" w:rsidP="001F2BEB">
      <w:pPr>
        <w:widowControl w:val="0"/>
        <w:spacing w:after="120"/>
        <w:ind w:left="2268" w:right="1134" w:hanging="1134"/>
        <w:jc w:val="both"/>
        <w:rPr>
          <w:b/>
          <w:bCs/>
          <w:lang w:eastAsia="en-US"/>
        </w:rPr>
      </w:pPr>
      <w:r w:rsidRPr="000E7927">
        <w:rPr>
          <w:b/>
          <w:bCs/>
          <w:lang w:eastAsia="en-US"/>
        </w:rPr>
        <w:t>13.1</w:t>
      </w:r>
      <w:r>
        <w:rPr>
          <w:b/>
          <w:bCs/>
          <w:lang w:eastAsia="en-US"/>
        </w:rPr>
        <w:t>5</w:t>
      </w:r>
      <w:r w:rsidRPr="000E7927">
        <w:rPr>
          <w:b/>
          <w:bCs/>
          <w:lang w:eastAsia="en-US"/>
        </w:rPr>
        <w:t>.3.</w:t>
      </w:r>
      <w:r w:rsidRPr="000E7927">
        <w:rPr>
          <w:b/>
          <w:bCs/>
          <w:lang w:eastAsia="en-US"/>
        </w:rPr>
        <w:tab/>
        <w:t>As from 1 September 202</w:t>
      </w:r>
      <w:r>
        <w:rPr>
          <w:b/>
          <w:bCs/>
          <w:lang w:eastAsia="en-US"/>
        </w:rPr>
        <w:t>9</w:t>
      </w:r>
      <w:r w:rsidRPr="000E7927">
        <w:rPr>
          <w:b/>
          <w:bCs/>
          <w:lang w:eastAsia="en-US"/>
        </w:rPr>
        <w:t>, Contracting Parties applying this Regulation shall not be obliged to accept type approvals issued to the preceding series of amendments to this Regulation.</w:t>
      </w:r>
    </w:p>
    <w:p w14:paraId="14B049B6" w14:textId="77777777" w:rsidR="001F2BEB" w:rsidRPr="000E7927" w:rsidRDefault="001F2BEB" w:rsidP="001F2BEB">
      <w:pPr>
        <w:widowControl w:val="0"/>
        <w:spacing w:after="120"/>
        <w:ind w:left="2268" w:right="1134" w:hanging="1134"/>
        <w:jc w:val="both"/>
        <w:rPr>
          <w:b/>
          <w:bCs/>
          <w:lang w:eastAsia="en-US"/>
        </w:rPr>
      </w:pPr>
      <w:r w:rsidRPr="000E7927">
        <w:rPr>
          <w:b/>
          <w:bCs/>
          <w:lang w:eastAsia="en-US"/>
        </w:rPr>
        <w:t>13.1</w:t>
      </w:r>
      <w:r>
        <w:rPr>
          <w:b/>
          <w:bCs/>
          <w:lang w:eastAsia="en-US"/>
        </w:rPr>
        <w:t>5</w:t>
      </w:r>
      <w:r w:rsidRPr="000E7927">
        <w:rPr>
          <w:b/>
          <w:bCs/>
          <w:lang w:eastAsia="en-US"/>
        </w:rPr>
        <w:t>.4.</w:t>
      </w:r>
      <w:r w:rsidRPr="000E7927">
        <w:rPr>
          <w:b/>
          <w:bCs/>
          <w:lang w:eastAsia="en-US"/>
        </w:rPr>
        <w:tab/>
        <w:t>Notwithstanding paragraph 13.1</w:t>
      </w:r>
      <w:r>
        <w:rPr>
          <w:b/>
          <w:bCs/>
          <w:lang w:eastAsia="en-US"/>
        </w:rPr>
        <w:t>5</w:t>
      </w:r>
      <w:r w:rsidRPr="000E7927">
        <w:rPr>
          <w:b/>
          <w:bCs/>
          <w:lang w:eastAsia="en-US"/>
        </w:rPr>
        <w:t>.3., Contracting Parties applying the Regulation shall continue to accept UN type approvals to the preceding series of amendments to the Regulation, for vehicles which are not affected by the changes introduced by the 1</w:t>
      </w:r>
      <w:r>
        <w:rPr>
          <w:b/>
          <w:bCs/>
          <w:lang w:eastAsia="en-US"/>
        </w:rPr>
        <w:t>2</w:t>
      </w:r>
      <w:r w:rsidRPr="000E7927">
        <w:rPr>
          <w:b/>
          <w:bCs/>
          <w:lang w:eastAsia="en-US"/>
        </w:rPr>
        <w:t xml:space="preserve"> series of amendments.</w:t>
      </w:r>
    </w:p>
    <w:p w14:paraId="4A08979E" w14:textId="255034B4" w:rsidR="001F2BEB" w:rsidRDefault="001F2BEB" w:rsidP="001F2BEB">
      <w:pPr>
        <w:widowControl w:val="0"/>
        <w:spacing w:after="120"/>
        <w:ind w:left="2268" w:right="1134" w:hanging="1134"/>
        <w:jc w:val="both"/>
        <w:rPr>
          <w:b/>
          <w:bCs/>
          <w:lang w:eastAsia="en-US"/>
        </w:rPr>
      </w:pPr>
      <w:r w:rsidRPr="000E7927">
        <w:rPr>
          <w:b/>
          <w:bCs/>
          <w:lang w:eastAsia="en-US"/>
        </w:rPr>
        <w:t>13.1</w:t>
      </w:r>
      <w:r>
        <w:rPr>
          <w:b/>
          <w:bCs/>
          <w:lang w:eastAsia="en-US"/>
        </w:rPr>
        <w:t>5</w:t>
      </w:r>
      <w:r w:rsidRPr="000E7927">
        <w:rPr>
          <w:b/>
          <w:bCs/>
          <w:lang w:eastAsia="en-US"/>
        </w:rPr>
        <w:t>.5.</w:t>
      </w:r>
      <w:r w:rsidRPr="000E7927">
        <w:rPr>
          <w:b/>
          <w:bCs/>
          <w:lang w:eastAsia="en-US"/>
        </w:rPr>
        <w:tab/>
        <w:t>Contracting Parties applying this Regulation shall not refuse to grant UN type approvals according to any preceding series of amendments to this Regulation or extensions thereof.</w:t>
      </w:r>
      <w:r w:rsidR="007B0A7B">
        <w:rPr>
          <w:b/>
          <w:bCs/>
          <w:lang w:eastAsia="en-US"/>
        </w:rPr>
        <w:t>"</w:t>
      </w:r>
    </w:p>
    <w:p w14:paraId="073C51B4" w14:textId="77777777" w:rsidR="001F2BEB" w:rsidRPr="005B45A4" w:rsidRDefault="001F2BEB" w:rsidP="001F2BEB">
      <w:pPr>
        <w:pStyle w:val="SingleTxtG"/>
        <w:ind w:left="1287" w:hanging="153"/>
        <w:rPr>
          <w:bCs/>
        </w:rPr>
      </w:pPr>
      <w:r>
        <w:rPr>
          <w:bCs/>
          <w:i/>
        </w:rPr>
        <w:t xml:space="preserve">Annex 5, </w:t>
      </w:r>
      <w:r w:rsidRPr="0094021F">
        <w:rPr>
          <w:bCs/>
          <w:i/>
        </w:rPr>
        <w:t xml:space="preserve">paragraph </w:t>
      </w:r>
      <w:r>
        <w:rPr>
          <w:bCs/>
          <w:i/>
        </w:rPr>
        <w:t>1</w:t>
      </w:r>
      <w:r w:rsidRPr="0094021F">
        <w:rPr>
          <w:bCs/>
          <w:i/>
        </w:rPr>
        <w:t>.,</w:t>
      </w:r>
      <w:r>
        <w:rPr>
          <w:bCs/>
          <w:iCs/>
        </w:rPr>
        <w:t xml:space="preserve"> amend to read</w:t>
      </w:r>
      <w:r w:rsidRPr="005B45A4">
        <w:rPr>
          <w:bCs/>
        </w:rPr>
        <w:t>:</w:t>
      </w:r>
    </w:p>
    <w:p w14:paraId="3017184B" w14:textId="2E0E7D32" w:rsidR="001F2BEB" w:rsidRPr="005F694D" w:rsidRDefault="007B0A7B" w:rsidP="001F2BEB">
      <w:pPr>
        <w:pStyle w:val="Para"/>
        <w:rPr>
          <w:bCs/>
        </w:rPr>
      </w:pPr>
      <w:r>
        <w:t>"</w:t>
      </w:r>
      <w:r w:rsidR="001F2BEB">
        <w:rPr>
          <w:bCs/>
        </w:rPr>
        <w:t>1</w:t>
      </w:r>
      <w:r w:rsidR="001F2BEB" w:rsidRPr="0094021F">
        <w:rPr>
          <w:bCs/>
        </w:rPr>
        <w:t>.</w:t>
      </w:r>
      <w:r w:rsidR="001F2BEB" w:rsidRPr="0094021F">
        <w:rPr>
          <w:bCs/>
        </w:rPr>
        <w:tab/>
      </w:r>
      <w:r w:rsidR="001F2BEB" w:rsidRPr="005F694D">
        <w:rPr>
          <w:bCs/>
        </w:rPr>
        <w:t xml:space="preserve">Purpose </w:t>
      </w:r>
    </w:p>
    <w:p w14:paraId="010BCE0A" w14:textId="77777777" w:rsidR="001F2BEB" w:rsidRPr="005F694D" w:rsidRDefault="001F2BEB" w:rsidP="001F2BEB">
      <w:pPr>
        <w:pStyle w:val="Para"/>
        <w:ind w:firstLine="0"/>
        <w:rPr>
          <w:bCs/>
        </w:rPr>
      </w:pPr>
      <w:r w:rsidRPr="008E5216">
        <w:rPr>
          <w:bCs/>
          <w:strike/>
        </w:rPr>
        <w:t>To demonstrate compliance with the displacement requirements of paragraph 5.6.4. of this Regulation with paragraph 2. of this Annex</w:t>
      </w:r>
      <w:r w:rsidRPr="005F694D">
        <w:rPr>
          <w:bCs/>
        </w:rPr>
        <w:t xml:space="preserve">. </w:t>
      </w:r>
    </w:p>
    <w:p w14:paraId="3CEC127A" w14:textId="77777777" w:rsidR="001F2BEB" w:rsidRPr="005F694D" w:rsidRDefault="001F2BEB" w:rsidP="001F2BEB">
      <w:pPr>
        <w:pStyle w:val="Para"/>
        <w:ind w:firstLine="0"/>
        <w:rPr>
          <w:bCs/>
        </w:rPr>
      </w:pPr>
      <w:r w:rsidRPr="005F694D">
        <w:rPr>
          <w:bCs/>
        </w:rPr>
        <w:t xml:space="preserve">Demonstrate compliance with the displacement requirements of paragraph 5.7.2. of this Regulation with paragraph 2. of this Annex. </w:t>
      </w:r>
    </w:p>
    <w:p w14:paraId="478D98AE" w14:textId="142D206B" w:rsidR="001F2BEB" w:rsidRDefault="001F2BEB" w:rsidP="001F2BEB">
      <w:pPr>
        <w:pStyle w:val="Para"/>
        <w:ind w:firstLine="0"/>
        <w:rPr>
          <w:b/>
        </w:rPr>
      </w:pPr>
      <w:r w:rsidRPr="005F694D">
        <w:rPr>
          <w:bCs/>
        </w:rPr>
        <w:t>Demonstrate compliance with the strength requirements of paragraph 5.7.3. of this Regulation with paragraph 3. of this Annex.</w:t>
      </w:r>
      <w:r w:rsidR="007B0A7B">
        <w:rPr>
          <w:b/>
        </w:rPr>
        <w:t>"</w:t>
      </w:r>
    </w:p>
    <w:p w14:paraId="1E271FA8" w14:textId="5AE331A8" w:rsidR="001F2BEB" w:rsidRPr="0094021F" w:rsidRDefault="001F2BEB" w:rsidP="001F2BEB">
      <w:pPr>
        <w:pStyle w:val="Para"/>
        <w:rPr>
          <w:bCs/>
        </w:rPr>
      </w:pPr>
      <w:r>
        <w:rPr>
          <w:bCs/>
          <w:i/>
          <w:iCs/>
        </w:rPr>
        <w:t xml:space="preserve">Annex 5, </w:t>
      </w:r>
      <w:r w:rsidR="00701340">
        <w:rPr>
          <w:bCs/>
          <w:i/>
          <w:iCs/>
        </w:rPr>
        <w:t>p</w:t>
      </w:r>
      <w:r w:rsidRPr="0094021F">
        <w:rPr>
          <w:bCs/>
          <w:i/>
          <w:iCs/>
        </w:rPr>
        <w:t xml:space="preserve">aragraphs </w:t>
      </w:r>
      <w:r>
        <w:rPr>
          <w:bCs/>
          <w:i/>
          <w:iCs/>
        </w:rPr>
        <w:t>2.5</w:t>
      </w:r>
      <w:r w:rsidRPr="0094021F">
        <w:rPr>
          <w:bCs/>
          <w:i/>
          <w:iCs/>
        </w:rPr>
        <w:t>.</w:t>
      </w:r>
      <w:r>
        <w:rPr>
          <w:bCs/>
          <w:i/>
          <w:iCs/>
        </w:rPr>
        <w:t>,</w:t>
      </w:r>
      <w:r w:rsidRPr="008E5216">
        <w:rPr>
          <w:bCs/>
        </w:rPr>
        <w:t xml:space="preserve"> </w:t>
      </w:r>
      <w:r>
        <w:rPr>
          <w:bCs/>
        </w:rPr>
        <w:t>shall be deleted</w:t>
      </w:r>
    </w:p>
    <w:p w14:paraId="3A238E41" w14:textId="3E99112E" w:rsidR="001F2BEB" w:rsidRDefault="001F2BEB" w:rsidP="001F2BEB">
      <w:pPr>
        <w:pStyle w:val="Para"/>
        <w:rPr>
          <w:bCs/>
        </w:rPr>
      </w:pPr>
      <w:r w:rsidRPr="002B0C9D">
        <w:rPr>
          <w:bCs/>
          <w:i/>
          <w:iCs/>
        </w:rPr>
        <w:t>Annex 5, paragraph 2.6.</w:t>
      </w:r>
      <w:r w:rsidR="00701340" w:rsidRPr="00701340">
        <w:rPr>
          <w:bCs/>
          <w:i/>
          <w:iCs/>
        </w:rPr>
        <w:t xml:space="preserve"> </w:t>
      </w:r>
      <w:r w:rsidR="00701340">
        <w:rPr>
          <w:bCs/>
          <w:i/>
          <w:iCs/>
        </w:rPr>
        <w:t>(</w:t>
      </w:r>
      <w:r w:rsidR="00701340" w:rsidRPr="002B0C9D">
        <w:rPr>
          <w:bCs/>
          <w:i/>
          <w:iCs/>
        </w:rPr>
        <w:t>former</w:t>
      </w:r>
      <w:r w:rsidR="00701340">
        <w:rPr>
          <w:bCs/>
          <w:i/>
          <w:iCs/>
        </w:rPr>
        <w:t>)</w:t>
      </w:r>
      <w:r>
        <w:rPr>
          <w:bCs/>
        </w:rPr>
        <w:t xml:space="preserve">, renumber </w:t>
      </w:r>
      <w:r w:rsidR="00701340">
        <w:rPr>
          <w:bCs/>
        </w:rPr>
        <w:t>as paragraph</w:t>
      </w:r>
      <w:r>
        <w:rPr>
          <w:bCs/>
        </w:rPr>
        <w:t xml:space="preserve"> 2.5.</w:t>
      </w:r>
    </w:p>
    <w:p w14:paraId="69AB2B65" w14:textId="618E62BA" w:rsidR="001F2BEB" w:rsidRDefault="00A973A8" w:rsidP="001F2BEB">
      <w:pPr>
        <w:pStyle w:val="Para"/>
        <w:rPr>
          <w:bCs/>
        </w:rPr>
      </w:pPr>
      <w:r w:rsidRPr="002B0C9D">
        <w:rPr>
          <w:bCs/>
          <w:i/>
          <w:iCs/>
        </w:rPr>
        <w:t>Annex 5</w:t>
      </w:r>
      <w:r>
        <w:rPr>
          <w:bCs/>
          <w:i/>
          <w:iCs/>
        </w:rPr>
        <w:t>, i</w:t>
      </w:r>
      <w:r w:rsidR="001F2BEB" w:rsidRPr="002B0C9D">
        <w:rPr>
          <w:bCs/>
          <w:i/>
          <w:iCs/>
        </w:rPr>
        <w:t>nsert new paragraph 2.6.</w:t>
      </w:r>
      <w:r w:rsidR="001F2BEB">
        <w:rPr>
          <w:bCs/>
        </w:rPr>
        <w:t>, to read:</w:t>
      </w:r>
    </w:p>
    <w:p w14:paraId="66ACA382" w14:textId="1EDA7AEC" w:rsidR="001F2BEB" w:rsidRDefault="007B0A7B" w:rsidP="001F2BEB">
      <w:pPr>
        <w:pStyle w:val="Para"/>
        <w:rPr>
          <w:b/>
        </w:rPr>
      </w:pPr>
      <w:r>
        <w:rPr>
          <w:b/>
        </w:rPr>
        <w:t>"</w:t>
      </w:r>
      <w:r w:rsidR="001F2BEB" w:rsidRPr="00217771">
        <w:rPr>
          <w:b/>
        </w:rPr>
        <w:t>2.6.</w:t>
      </w:r>
      <w:r w:rsidR="001F2BEB" w:rsidRPr="00217771">
        <w:rPr>
          <w:b/>
        </w:rPr>
        <w:tab/>
        <w:t xml:space="preserve">In addition to the test described in paragraph 2.4., the Technical Service responsible for carrying out the tests, shall select one or more additional </w:t>
      </w:r>
      <w:r w:rsidR="001F2BEB">
        <w:rPr>
          <w:b/>
        </w:rPr>
        <w:t>points</w:t>
      </w:r>
      <w:r w:rsidR="001F2BEB" w:rsidRPr="00217771">
        <w:rPr>
          <w:b/>
        </w:rPr>
        <w:t xml:space="preserve"> with the head restraint positioned in the lowest in-use position, where the rearward displacement of the </w:t>
      </w:r>
      <w:proofErr w:type="spellStart"/>
      <w:r w:rsidR="001F2BEB" w:rsidRPr="00217771">
        <w:rPr>
          <w:b/>
        </w:rPr>
        <w:t>headform</w:t>
      </w:r>
      <w:proofErr w:type="spellEnd"/>
      <w:r w:rsidR="001F2BEB" w:rsidRPr="00217771">
        <w:rPr>
          <w:b/>
        </w:rPr>
        <w:t xml:space="preserve"> is expected to be highest. </w:t>
      </w:r>
      <w:r w:rsidR="001F2BEB">
        <w:rPr>
          <w:b/>
        </w:rPr>
        <w:t xml:space="preserve">The </w:t>
      </w:r>
      <w:r w:rsidR="001F2BEB" w:rsidRPr="00217771">
        <w:rPr>
          <w:b/>
        </w:rPr>
        <w:t xml:space="preserve">area to be considered is: </w:t>
      </w:r>
      <w:r w:rsidR="001F2BEB">
        <w:rPr>
          <w:b/>
        </w:rPr>
        <w:t>a</w:t>
      </w:r>
      <w:r w:rsidR="001F2BEB" w:rsidRPr="00217771">
        <w:rPr>
          <w:b/>
        </w:rPr>
        <w:t>bove a plane perpendicular to the reference line at 540 mm from the R-point</w:t>
      </w:r>
      <w:r w:rsidR="001F2BEB">
        <w:rPr>
          <w:b/>
        </w:rPr>
        <w:t xml:space="preserve"> </w:t>
      </w:r>
      <w:r w:rsidR="001F2BEB" w:rsidRPr="0019494A">
        <w:rPr>
          <w:b/>
        </w:rPr>
        <w:t>and between two vertical longitudinal planes passing at 85 mm on either side of the reference line.</w:t>
      </w:r>
      <w:r>
        <w:rPr>
          <w:b/>
        </w:rPr>
        <w:t>"</w:t>
      </w:r>
    </w:p>
    <w:p w14:paraId="74EFB013" w14:textId="77777777" w:rsidR="001F2BEB" w:rsidRPr="005B45A4" w:rsidRDefault="001F2BEB" w:rsidP="001F2BEB">
      <w:pPr>
        <w:pStyle w:val="SingleTxtG"/>
        <w:ind w:left="1287" w:hanging="153"/>
        <w:rPr>
          <w:bCs/>
        </w:rPr>
      </w:pPr>
      <w:r>
        <w:rPr>
          <w:bCs/>
          <w:i/>
        </w:rPr>
        <w:t xml:space="preserve">Annex 8, </w:t>
      </w:r>
      <w:r w:rsidRPr="0094021F">
        <w:rPr>
          <w:bCs/>
          <w:i/>
        </w:rPr>
        <w:t xml:space="preserve">paragraph </w:t>
      </w:r>
      <w:r>
        <w:rPr>
          <w:bCs/>
          <w:i/>
        </w:rPr>
        <w:t>1</w:t>
      </w:r>
      <w:r w:rsidRPr="0094021F">
        <w:rPr>
          <w:bCs/>
          <w:i/>
        </w:rPr>
        <w:t>.,</w:t>
      </w:r>
      <w:r>
        <w:rPr>
          <w:bCs/>
          <w:iCs/>
        </w:rPr>
        <w:t xml:space="preserve"> amend to read</w:t>
      </w:r>
      <w:r w:rsidRPr="005B45A4">
        <w:rPr>
          <w:bCs/>
        </w:rPr>
        <w:t>:</w:t>
      </w:r>
    </w:p>
    <w:p w14:paraId="2A42ADE8" w14:textId="2CE01B6F" w:rsidR="001F2BEB" w:rsidRDefault="007B0A7B" w:rsidP="001F2BEB">
      <w:pPr>
        <w:pStyle w:val="Para"/>
        <w:rPr>
          <w:bCs/>
        </w:rPr>
      </w:pPr>
      <w:r>
        <w:t>"</w:t>
      </w:r>
      <w:r w:rsidR="001F2BEB">
        <w:rPr>
          <w:bCs/>
        </w:rPr>
        <w:t>1</w:t>
      </w:r>
      <w:r w:rsidR="001F2BEB" w:rsidRPr="0094021F">
        <w:rPr>
          <w:bCs/>
        </w:rPr>
        <w:t>.</w:t>
      </w:r>
      <w:r w:rsidR="001F2BEB" w:rsidRPr="0094021F">
        <w:rPr>
          <w:bCs/>
        </w:rPr>
        <w:tab/>
      </w:r>
      <w:r w:rsidR="001F2BEB" w:rsidRPr="005F694D">
        <w:rPr>
          <w:bCs/>
        </w:rPr>
        <w:t xml:space="preserve">Purpose </w:t>
      </w:r>
      <w:r w:rsidR="001F2BEB">
        <w:rPr>
          <w:bCs/>
        </w:rPr>
        <w:br/>
      </w:r>
      <w:r w:rsidR="001F2BEB" w:rsidRPr="008D6538">
        <w:rPr>
          <w:bCs/>
        </w:rPr>
        <w:t xml:space="preserve">The purpose of this test procedure is to evaluate any gaps </w:t>
      </w:r>
      <w:r w:rsidR="001F2BEB" w:rsidRPr="008D6538">
        <w:rPr>
          <w:bCs/>
          <w:strike/>
        </w:rPr>
        <w:t>within head restraints as well as gaps</w:t>
      </w:r>
      <w:r w:rsidR="001F2BEB" w:rsidRPr="008D6538">
        <w:rPr>
          <w:bCs/>
        </w:rPr>
        <w:t xml:space="preserve"> between the bottom of the head restraint and the top of the seat back, in accordance with the requirements of paragraph</w:t>
      </w:r>
      <w:r w:rsidR="001F2BEB" w:rsidRPr="008D6538">
        <w:rPr>
          <w:bCs/>
          <w:strike/>
        </w:rPr>
        <w:t>s 5.6.4. and</w:t>
      </w:r>
      <w:r w:rsidR="001F2BEB" w:rsidRPr="008D6538">
        <w:rPr>
          <w:bCs/>
        </w:rPr>
        <w:t xml:space="preserve"> 5.6.5. of this Regulation. </w:t>
      </w:r>
    </w:p>
    <w:p w14:paraId="5B16716D" w14:textId="77777777" w:rsidR="001F2BEB" w:rsidRPr="008D6538" w:rsidRDefault="001F2BEB" w:rsidP="001F2BEB">
      <w:pPr>
        <w:pStyle w:val="Para"/>
        <w:ind w:firstLine="0"/>
        <w:rPr>
          <w:bCs/>
        </w:rPr>
      </w:pPr>
      <w:r w:rsidRPr="008D6538">
        <w:rPr>
          <w:bCs/>
          <w:strike/>
        </w:rPr>
        <w:lastRenderedPageBreak/>
        <w:t>Any gaps within the head restraint shall be measured using the sphere procedure described in paragraph 2. of this Annex</w:t>
      </w:r>
      <w:r w:rsidRPr="008D6538">
        <w:rPr>
          <w:bCs/>
        </w:rPr>
        <w:t xml:space="preserve">. </w:t>
      </w:r>
    </w:p>
    <w:p w14:paraId="070A3BC4" w14:textId="267AA572" w:rsidR="001F2BEB" w:rsidRDefault="001F2BEB" w:rsidP="001F2BEB">
      <w:pPr>
        <w:pStyle w:val="Para"/>
        <w:ind w:firstLine="0"/>
        <w:rPr>
          <w:bCs/>
        </w:rPr>
      </w:pPr>
      <w:r w:rsidRPr="008D6538">
        <w:rPr>
          <w:bCs/>
        </w:rPr>
        <w:t>Gaps between the bottom of the head restraint and the top of the seat back shall be measured using the sphere procedure described in paragraph 2.1. to 2.5. of this Annex below or, at the option of the manufacturer, using the linear procedure described in paragraph 3. of this Annex.</w:t>
      </w:r>
      <w:r w:rsidR="007B0A7B">
        <w:rPr>
          <w:bCs/>
        </w:rPr>
        <w:t>"</w:t>
      </w:r>
    </w:p>
    <w:p w14:paraId="5292F7CB" w14:textId="77777777" w:rsidR="001F2BEB" w:rsidRPr="008D6538" w:rsidRDefault="001F2BEB" w:rsidP="001F2BEB">
      <w:pPr>
        <w:pStyle w:val="Para"/>
        <w:rPr>
          <w:bCs/>
        </w:rPr>
      </w:pPr>
      <w:r w:rsidRPr="002B0C9D">
        <w:rPr>
          <w:bCs/>
          <w:i/>
          <w:iCs/>
        </w:rPr>
        <w:t xml:space="preserve">Annex </w:t>
      </w:r>
      <w:r>
        <w:rPr>
          <w:bCs/>
          <w:i/>
          <w:iCs/>
        </w:rPr>
        <w:t>8</w:t>
      </w:r>
      <w:r w:rsidRPr="002B0C9D">
        <w:rPr>
          <w:bCs/>
          <w:i/>
          <w:iCs/>
        </w:rPr>
        <w:t>, paragraph</w:t>
      </w:r>
      <w:r>
        <w:rPr>
          <w:bCs/>
          <w:i/>
          <w:iCs/>
        </w:rPr>
        <w:t>s</w:t>
      </w:r>
      <w:r w:rsidRPr="002B0C9D">
        <w:rPr>
          <w:bCs/>
          <w:i/>
          <w:iCs/>
        </w:rPr>
        <w:t xml:space="preserve"> </w:t>
      </w:r>
      <w:r>
        <w:rPr>
          <w:bCs/>
          <w:i/>
          <w:iCs/>
        </w:rPr>
        <w:t>2.5.,</w:t>
      </w:r>
      <w:r w:rsidRPr="008D6538">
        <w:rPr>
          <w:bCs/>
        </w:rPr>
        <w:t xml:space="preserve"> amend to read</w:t>
      </w:r>
      <w:r>
        <w:rPr>
          <w:bCs/>
        </w:rPr>
        <w:t>:</w:t>
      </w:r>
    </w:p>
    <w:p w14:paraId="6B3917F6" w14:textId="4081F255" w:rsidR="001F2BEB" w:rsidRDefault="007B0A7B" w:rsidP="001F2BEB">
      <w:pPr>
        <w:pStyle w:val="Para"/>
        <w:rPr>
          <w:bCs/>
          <w:strike/>
        </w:rPr>
      </w:pPr>
      <w:r>
        <w:rPr>
          <w:bCs/>
        </w:rPr>
        <w:t>"</w:t>
      </w:r>
      <w:r w:rsidR="001F2BEB" w:rsidRPr="0006559C">
        <w:rPr>
          <w:bCs/>
        </w:rPr>
        <w:t>2.5.</w:t>
      </w:r>
      <w:r w:rsidR="001F2BEB" w:rsidRPr="0006559C">
        <w:rPr>
          <w:bCs/>
        </w:rPr>
        <w:tab/>
        <w:t>Determine the gap dimension by measuring the straight line distance between the inner edges of the two furthest contact points, as shown in Figure</w:t>
      </w:r>
      <w:r w:rsidR="001F2BEB" w:rsidRPr="0006559C">
        <w:rPr>
          <w:bCs/>
          <w:strike/>
        </w:rPr>
        <w:t>s</w:t>
      </w:r>
      <w:r w:rsidR="001F2BEB" w:rsidRPr="0006559C">
        <w:rPr>
          <w:bCs/>
        </w:rPr>
        <w:t xml:space="preserve"> 8-1, </w:t>
      </w:r>
      <w:r w:rsidR="001F2BEB" w:rsidRPr="0006559C">
        <w:rPr>
          <w:bCs/>
          <w:strike/>
        </w:rPr>
        <w:t>8-2 and 8</w:t>
      </w:r>
      <w:r w:rsidR="001F2BEB">
        <w:rPr>
          <w:bCs/>
          <w:strike/>
        </w:rPr>
        <w:t>-</w:t>
      </w:r>
      <w:r w:rsidR="001F2BEB" w:rsidRPr="0006559C">
        <w:rPr>
          <w:bCs/>
          <w:strike/>
        </w:rPr>
        <w:t xml:space="preserve">3. </w:t>
      </w:r>
    </w:p>
    <w:p w14:paraId="5EBFCEAF" w14:textId="1134E51C" w:rsidR="001F2BEB" w:rsidRPr="0094021F" w:rsidRDefault="001F2BEB" w:rsidP="001F2BEB">
      <w:pPr>
        <w:pStyle w:val="Para"/>
        <w:rPr>
          <w:bCs/>
        </w:rPr>
      </w:pPr>
      <w:r>
        <w:rPr>
          <w:bCs/>
          <w:i/>
          <w:iCs/>
        </w:rPr>
        <w:t xml:space="preserve">Annex 8, </w:t>
      </w:r>
      <w:r w:rsidR="00156F88">
        <w:rPr>
          <w:bCs/>
          <w:i/>
          <w:iCs/>
        </w:rPr>
        <w:t>p</w:t>
      </w:r>
      <w:r w:rsidRPr="0094021F">
        <w:rPr>
          <w:bCs/>
          <w:i/>
          <w:iCs/>
        </w:rPr>
        <w:t xml:space="preserve">aragraphs </w:t>
      </w:r>
      <w:r>
        <w:rPr>
          <w:bCs/>
          <w:i/>
          <w:iCs/>
        </w:rPr>
        <w:t>2.6</w:t>
      </w:r>
      <w:r w:rsidRPr="0094021F">
        <w:rPr>
          <w:bCs/>
          <w:i/>
          <w:iCs/>
        </w:rPr>
        <w:t>.</w:t>
      </w:r>
      <w:r>
        <w:rPr>
          <w:bCs/>
          <w:i/>
          <w:iCs/>
        </w:rPr>
        <w:t>,</w:t>
      </w:r>
      <w:r w:rsidRPr="008E5216">
        <w:rPr>
          <w:bCs/>
        </w:rPr>
        <w:t xml:space="preserve"> </w:t>
      </w:r>
      <w:r>
        <w:rPr>
          <w:bCs/>
        </w:rPr>
        <w:t>shall be deleted</w:t>
      </w:r>
    </w:p>
    <w:p w14:paraId="3CBDD32A" w14:textId="77777777" w:rsidR="001F2BEB" w:rsidRDefault="001F2BEB" w:rsidP="001F2BEB">
      <w:pPr>
        <w:pStyle w:val="Para"/>
        <w:rPr>
          <w:bCs/>
        </w:rPr>
      </w:pPr>
      <w:r w:rsidRPr="0006559C">
        <w:rPr>
          <w:bCs/>
          <w:i/>
          <w:iCs/>
        </w:rPr>
        <w:t xml:space="preserve">Annex 8, Figure 8-1 and </w:t>
      </w:r>
      <w:r>
        <w:rPr>
          <w:bCs/>
          <w:i/>
          <w:iCs/>
        </w:rPr>
        <w:t xml:space="preserve">Figure </w:t>
      </w:r>
      <w:r w:rsidRPr="0006559C">
        <w:rPr>
          <w:bCs/>
          <w:i/>
          <w:iCs/>
        </w:rPr>
        <w:t>8-2</w:t>
      </w:r>
      <w:r>
        <w:rPr>
          <w:bCs/>
          <w:i/>
          <w:iCs/>
        </w:rPr>
        <w:t>,</w:t>
      </w:r>
      <w:r>
        <w:rPr>
          <w:bCs/>
        </w:rPr>
        <w:t xml:space="preserve"> shall be deleted.</w:t>
      </w:r>
    </w:p>
    <w:p w14:paraId="595AB5C4" w14:textId="3DDD4B50" w:rsidR="001F2BEB" w:rsidRDefault="001F2BEB" w:rsidP="001F2BEB">
      <w:pPr>
        <w:pStyle w:val="Para"/>
        <w:rPr>
          <w:bCs/>
        </w:rPr>
      </w:pPr>
      <w:r w:rsidRPr="0006559C">
        <w:rPr>
          <w:bCs/>
          <w:i/>
          <w:iCs/>
        </w:rPr>
        <w:t>Annex 8, Figure 8-3</w:t>
      </w:r>
      <w:r w:rsidR="00701340">
        <w:rPr>
          <w:bCs/>
          <w:i/>
          <w:iCs/>
        </w:rPr>
        <w:t xml:space="preserve"> (former)</w:t>
      </w:r>
      <w:r>
        <w:rPr>
          <w:bCs/>
          <w:i/>
          <w:iCs/>
        </w:rPr>
        <w:t>,</w:t>
      </w:r>
      <w:r>
        <w:rPr>
          <w:bCs/>
        </w:rPr>
        <w:t xml:space="preserve"> renumber </w:t>
      </w:r>
      <w:r w:rsidR="00156F88">
        <w:rPr>
          <w:bCs/>
        </w:rPr>
        <w:t>as</w:t>
      </w:r>
      <w:r>
        <w:rPr>
          <w:bCs/>
        </w:rPr>
        <w:t xml:space="preserve"> Figure 8-1</w:t>
      </w:r>
    </w:p>
    <w:p w14:paraId="6C7CFE15" w14:textId="77777777" w:rsidR="001F2BEB" w:rsidRPr="008D6538" w:rsidRDefault="001F2BEB" w:rsidP="001F2BEB">
      <w:pPr>
        <w:pStyle w:val="Para"/>
        <w:rPr>
          <w:bCs/>
        </w:rPr>
      </w:pPr>
      <w:r w:rsidRPr="002B0C9D">
        <w:rPr>
          <w:bCs/>
          <w:i/>
          <w:iCs/>
        </w:rPr>
        <w:t xml:space="preserve">Annex </w:t>
      </w:r>
      <w:r>
        <w:rPr>
          <w:bCs/>
          <w:i/>
          <w:iCs/>
        </w:rPr>
        <w:t>8</w:t>
      </w:r>
      <w:r w:rsidRPr="002B0C9D">
        <w:rPr>
          <w:bCs/>
          <w:i/>
          <w:iCs/>
        </w:rPr>
        <w:t>, paragraph</w:t>
      </w:r>
      <w:r>
        <w:rPr>
          <w:bCs/>
          <w:i/>
          <w:iCs/>
        </w:rPr>
        <w:t>s</w:t>
      </w:r>
      <w:r w:rsidRPr="002B0C9D">
        <w:rPr>
          <w:bCs/>
          <w:i/>
          <w:iCs/>
        </w:rPr>
        <w:t xml:space="preserve"> </w:t>
      </w:r>
      <w:r>
        <w:rPr>
          <w:bCs/>
          <w:i/>
          <w:iCs/>
        </w:rPr>
        <w:t>3.3.,</w:t>
      </w:r>
      <w:r w:rsidRPr="008D6538">
        <w:rPr>
          <w:bCs/>
        </w:rPr>
        <w:t xml:space="preserve"> amend to read</w:t>
      </w:r>
      <w:r>
        <w:rPr>
          <w:bCs/>
        </w:rPr>
        <w:t>:</w:t>
      </w:r>
    </w:p>
    <w:p w14:paraId="122C63AB" w14:textId="0FBD798A" w:rsidR="001F2BEB" w:rsidRPr="00096CC2" w:rsidRDefault="007B0A7B" w:rsidP="001F2BEB">
      <w:pPr>
        <w:pStyle w:val="Para"/>
        <w:rPr>
          <w:bCs/>
        </w:rPr>
      </w:pPr>
      <w:r>
        <w:rPr>
          <w:bCs/>
        </w:rPr>
        <w:t>"</w:t>
      </w:r>
      <w:r w:rsidR="001F2BEB" w:rsidRPr="00096CC2">
        <w:rPr>
          <w:bCs/>
        </w:rPr>
        <w:t>3.3.</w:t>
      </w:r>
      <w:r w:rsidR="001F2BEB" w:rsidRPr="00096CC2">
        <w:rPr>
          <w:bCs/>
        </w:rPr>
        <w:tab/>
        <w:t xml:space="preserve">The gap shall be measured in the longitudinal vertical plane through the R-point as the perpendicular distance between two parallel planes, described as follows (see Figure </w:t>
      </w:r>
      <w:r w:rsidR="001F2BEB" w:rsidRPr="00E870D1">
        <w:rPr>
          <w:bCs/>
          <w:strike/>
        </w:rPr>
        <w:t>8-4</w:t>
      </w:r>
      <w:r w:rsidR="001F2BEB" w:rsidRPr="00E870D1">
        <w:rPr>
          <w:bCs/>
        </w:rPr>
        <w:t xml:space="preserve"> </w:t>
      </w:r>
      <w:r w:rsidR="001F2BEB">
        <w:rPr>
          <w:b/>
        </w:rPr>
        <w:t>8-</w:t>
      </w:r>
      <w:r w:rsidR="001F2BEB" w:rsidRPr="00096CC2">
        <w:rPr>
          <w:b/>
        </w:rPr>
        <w:t>2</w:t>
      </w:r>
      <w:r w:rsidR="001F2BEB" w:rsidRPr="00096CC2">
        <w:rPr>
          <w:bCs/>
        </w:rPr>
        <w:t xml:space="preserve">): </w:t>
      </w:r>
    </w:p>
    <w:p w14:paraId="4BF84A4C" w14:textId="77777777" w:rsidR="001F2BEB" w:rsidRPr="00096CC2" w:rsidRDefault="001F2BEB" w:rsidP="001F2BEB">
      <w:pPr>
        <w:pStyle w:val="Para"/>
        <w:ind w:firstLine="0"/>
        <w:rPr>
          <w:bCs/>
        </w:rPr>
      </w:pPr>
      <w:r w:rsidRPr="00096CC2">
        <w:rPr>
          <w:bCs/>
        </w:rPr>
        <w:t>(a)</w:t>
      </w:r>
      <w:r w:rsidRPr="00096CC2">
        <w:rPr>
          <w:bCs/>
        </w:rPr>
        <w:tab/>
        <w:t xml:space="preserve">each plane shall be perpendicular to the design torso line; </w:t>
      </w:r>
    </w:p>
    <w:p w14:paraId="0F4721C6" w14:textId="77777777" w:rsidR="001F2BEB" w:rsidRPr="00096CC2" w:rsidRDefault="001F2BEB" w:rsidP="001F2BEB">
      <w:pPr>
        <w:pStyle w:val="Para"/>
        <w:ind w:firstLine="0"/>
        <w:rPr>
          <w:bCs/>
        </w:rPr>
      </w:pPr>
      <w:r w:rsidRPr="00096CC2">
        <w:rPr>
          <w:bCs/>
        </w:rPr>
        <w:t>(b)</w:t>
      </w:r>
      <w:r w:rsidRPr="00096CC2">
        <w:rPr>
          <w:bCs/>
        </w:rPr>
        <w:tab/>
        <w:t xml:space="preserve">one of the planes shall be tangent to the bottom of the head restraint; </w:t>
      </w:r>
    </w:p>
    <w:p w14:paraId="36E76C71" w14:textId="6F7B9393" w:rsidR="001F2BEB" w:rsidRDefault="001F2BEB" w:rsidP="001F2BEB">
      <w:pPr>
        <w:pStyle w:val="Para"/>
        <w:ind w:firstLine="0"/>
        <w:rPr>
          <w:bCs/>
        </w:rPr>
      </w:pPr>
      <w:r w:rsidRPr="00096CC2">
        <w:rPr>
          <w:bCs/>
        </w:rPr>
        <w:t>(c)</w:t>
      </w:r>
      <w:r w:rsidRPr="00096CC2">
        <w:rPr>
          <w:bCs/>
        </w:rPr>
        <w:tab/>
        <w:t>the other plane shall be tangent to the top of the seat back.</w:t>
      </w:r>
      <w:r w:rsidR="007B0A7B">
        <w:rPr>
          <w:bCs/>
        </w:rPr>
        <w:t>"</w:t>
      </w:r>
    </w:p>
    <w:p w14:paraId="4BE021AB" w14:textId="7B3B7B19" w:rsidR="007B0A7B" w:rsidRPr="002000AB" w:rsidRDefault="001F2BEB" w:rsidP="002000AB">
      <w:pPr>
        <w:pStyle w:val="Para"/>
        <w:rPr>
          <w:bCs/>
        </w:rPr>
      </w:pPr>
      <w:r w:rsidRPr="0006559C">
        <w:rPr>
          <w:bCs/>
          <w:i/>
          <w:iCs/>
        </w:rPr>
        <w:t>Annex 8, Figure 8-</w:t>
      </w:r>
      <w:r>
        <w:rPr>
          <w:bCs/>
          <w:i/>
          <w:iCs/>
        </w:rPr>
        <w:t>4</w:t>
      </w:r>
      <w:r w:rsidR="00701340">
        <w:rPr>
          <w:bCs/>
          <w:i/>
          <w:iCs/>
        </w:rPr>
        <w:t xml:space="preserve"> (former)</w:t>
      </w:r>
      <w:r>
        <w:rPr>
          <w:bCs/>
          <w:i/>
          <w:iCs/>
        </w:rPr>
        <w:t>,</w:t>
      </w:r>
      <w:r>
        <w:rPr>
          <w:bCs/>
        </w:rPr>
        <w:t xml:space="preserve"> renumber </w:t>
      </w:r>
      <w:r w:rsidR="00701340">
        <w:rPr>
          <w:bCs/>
        </w:rPr>
        <w:t>as</w:t>
      </w:r>
      <w:r>
        <w:rPr>
          <w:bCs/>
        </w:rPr>
        <w:t xml:space="preserve"> Figure 8-2.</w:t>
      </w:r>
    </w:p>
    <w:p w14:paraId="715AD9B0" w14:textId="18BDFEAE" w:rsidR="00784FA8" w:rsidRPr="00784FA8" w:rsidRDefault="00784FA8" w:rsidP="00CE61B5">
      <w:pPr>
        <w:suppressAutoHyphens w:val="0"/>
        <w:spacing w:before="360" w:after="360" w:line="240" w:lineRule="auto"/>
        <w:rPr>
          <w:rFonts w:eastAsia="MS Mincho"/>
          <w:b/>
          <w:color w:val="000000"/>
          <w:sz w:val="28"/>
          <w:szCs w:val="28"/>
        </w:rPr>
      </w:pPr>
      <w:r w:rsidRPr="00784FA8">
        <w:rPr>
          <w:rFonts w:eastAsia="MS Mincho"/>
          <w:b/>
          <w:color w:val="000000"/>
          <w:sz w:val="28"/>
          <w:szCs w:val="28"/>
        </w:rPr>
        <w:tab/>
        <w:t>II.</w:t>
      </w:r>
      <w:r w:rsidRPr="00784FA8">
        <w:rPr>
          <w:rFonts w:eastAsia="MS Mincho"/>
          <w:b/>
          <w:color w:val="000000"/>
          <w:sz w:val="28"/>
          <w:szCs w:val="28"/>
        </w:rPr>
        <w:tab/>
        <w:t>Justification</w:t>
      </w:r>
    </w:p>
    <w:p w14:paraId="3C4AC4DD" w14:textId="77777777" w:rsidR="00212269" w:rsidRPr="002B516D" w:rsidRDefault="00212269" w:rsidP="004F498D">
      <w:pPr>
        <w:pStyle w:val="SingleTxtG"/>
        <w:numPr>
          <w:ilvl w:val="0"/>
          <w:numId w:val="25"/>
        </w:numPr>
        <w:rPr>
          <w:lang w:val="en-US"/>
        </w:rPr>
      </w:pPr>
      <w:r>
        <w:rPr>
          <w:rFonts w:eastAsia="Malgun Gothic"/>
          <w:lang w:val="en-US" w:eastAsia="ko-KR"/>
        </w:rPr>
        <w:t xml:space="preserve">The </w:t>
      </w:r>
      <w:proofErr w:type="spellStart"/>
      <w:r>
        <w:rPr>
          <w:rFonts w:eastAsia="Malgun Gothic"/>
          <w:lang w:val="en-US" w:eastAsia="ko-KR"/>
        </w:rPr>
        <w:t>headform</w:t>
      </w:r>
      <w:proofErr w:type="spellEnd"/>
      <w:r>
        <w:rPr>
          <w:rFonts w:eastAsia="Malgun Gothic"/>
          <w:lang w:val="en-US" w:eastAsia="ko-KR"/>
        </w:rPr>
        <w:t xml:space="preserve"> displacement test is developed to limit the rearward displacement of the head in relation to the spine (torso) in order to prevent or reduce the severity of, for example, whiplash injuries. For this purpose the maximum. </w:t>
      </w:r>
      <w:proofErr w:type="spellStart"/>
      <w:r>
        <w:rPr>
          <w:rFonts w:eastAsia="Malgun Gothic"/>
          <w:lang w:val="en-US" w:eastAsia="ko-KR"/>
        </w:rPr>
        <w:t>headform</w:t>
      </w:r>
      <w:proofErr w:type="spellEnd"/>
      <w:r>
        <w:rPr>
          <w:rFonts w:eastAsia="Malgun Gothic"/>
          <w:lang w:val="en-US" w:eastAsia="ko-KR"/>
        </w:rPr>
        <w:t xml:space="preserve"> displacement relative to the torso is limited to 102 mm.</w:t>
      </w:r>
    </w:p>
    <w:p w14:paraId="1B6F2E86" w14:textId="096664C0" w:rsidR="00212269" w:rsidRPr="00AF760A" w:rsidRDefault="00212269" w:rsidP="004F498D">
      <w:pPr>
        <w:pStyle w:val="SingleTxtG"/>
        <w:numPr>
          <w:ilvl w:val="0"/>
          <w:numId w:val="25"/>
        </w:numPr>
        <w:rPr>
          <w:lang w:val="en-US"/>
        </w:rPr>
      </w:pPr>
      <w:r>
        <w:rPr>
          <w:rFonts w:eastAsia="Malgun Gothic"/>
          <w:lang w:val="en-US" w:eastAsia="ko-KR"/>
        </w:rPr>
        <w:t>The problem with the current procedure is not the requirement itself as defined in paragraph 5.7</w:t>
      </w:r>
      <w:r w:rsidR="007D21A3">
        <w:rPr>
          <w:rFonts w:eastAsia="Malgun Gothic"/>
          <w:lang w:val="en-US" w:eastAsia="ko-KR"/>
        </w:rPr>
        <w:t>.</w:t>
      </w:r>
      <w:r>
        <w:rPr>
          <w:rFonts w:eastAsia="Malgun Gothic"/>
          <w:lang w:val="en-US" w:eastAsia="ko-KR"/>
        </w:rPr>
        <w:t xml:space="preserve">, but the way that compliance with this requirement is proven when following the test procedure in Annex 5. The current test procedure only verifies the </w:t>
      </w:r>
      <w:proofErr w:type="spellStart"/>
      <w:r>
        <w:rPr>
          <w:rFonts w:eastAsia="Malgun Gothic"/>
          <w:lang w:val="en-US" w:eastAsia="ko-KR"/>
        </w:rPr>
        <w:t>headform</w:t>
      </w:r>
      <w:proofErr w:type="spellEnd"/>
      <w:r>
        <w:rPr>
          <w:rFonts w:eastAsia="Malgun Gothic"/>
          <w:lang w:val="en-US" w:eastAsia="ko-KR"/>
        </w:rPr>
        <w:t xml:space="preserve"> displacement at 65 mm from the (effective) top and inside a gap, if this gap has an effective height greater than 60 mm. The provisions itself indicate that the </w:t>
      </w:r>
      <w:proofErr w:type="spellStart"/>
      <w:r>
        <w:rPr>
          <w:rFonts w:eastAsia="Malgun Gothic"/>
          <w:lang w:val="en-US" w:eastAsia="ko-KR"/>
        </w:rPr>
        <w:t>headform</w:t>
      </w:r>
      <w:proofErr w:type="spellEnd"/>
      <w:r>
        <w:rPr>
          <w:rFonts w:eastAsia="Malgun Gothic"/>
          <w:lang w:val="en-US" w:eastAsia="ko-KR"/>
        </w:rPr>
        <w:t xml:space="preserve"> displacement shall be retained at different heights and within gaps. In real life, some head restraint designs have a gap of up to 60 mm, which, if tested, would result in a displacement of more than 102 mm. Due to the current test procedure defined in Annex 5, this is not tested. </w:t>
      </w:r>
    </w:p>
    <w:p w14:paraId="13589529" w14:textId="7E05B805" w:rsidR="00212269" w:rsidRPr="00DA690A" w:rsidRDefault="00212269" w:rsidP="004F498D">
      <w:pPr>
        <w:pStyle w:val="SingleTxtG"/>
        <w:numPr>
          <w:ilvl w:val="0"/>
          <w:numId w:val="25"/>
        </w:numPr>
        <w:rPr>
          <w:lang w:val="en-US"/>
        </w:rPr>
      </w:pPr>
      <w:r>
        <w:rPr>
          <w:rFonts w:eastAsia="Malgun Gothic"/>
          <w:lang w:val="en-US" w:eastAsia="ko-KR"/>
        </w:rPr>
        <w:t>Other head restraint designs show, for example, . a frame tube at the effective top, but an area that is covered by foam only (thus only providing limited protection) in the area below the frame tube. Since this is not defined as a gap, it is not tested according to the current test procedure in Annex 5.</w:t>
      </w:r>
    </w:p>
    <w:p w14:paraId="485F0E80" w14:textId="69ED8FDA" w:rsidR="00212269" w:rsidRPr="002B516D" w:rsidRDefault="00212269" w:rsidP="004F498D">
      <w:pPr>
        <w:pStyle w:val="SingleTxtG"/>
        <w:numPr>
          <w:ilvl w:val="0"/>
          <w:numId w:val="25"/>
        </w:numPr>
        <w:rPr>
          <w:lang w:val="en-US"/>
        </w:rPr>
      </w:pPr>
      <w:r>
        <w:rPr>
          <w:rFonts w:eastAsia="Malgun Gothic"/>
          <w:lang w:val="en-US" w:eastAsia="ko-KR"/>
        </w:rPr>
        <w:t>See also GRSP-74-08, presented at the December 2023 session of</w:t>
      </w:r>
      <w:r w:rsidR="004F498D">
        <w:rPr>
          <w:rFonts w:eastAsia="Malgun Gothic"/>
          <w:lang w:val="en-US" w:eastAsia="ko-KR"/>
        </w:rPr>
        <w:t xml:space="preserve"> the Working Party on Passive Safety</w:t>
      </w:r>
      <w:r>
        <w:rPr>
          <w:rFonts w:eastAsia="Malgun Gothic"/>
          <w:lang w:val="en-US" w:eastAsia="ko-KR"/>
        </w:rPr>
        <w:t>.</w:t>
      </w:r>
    </w:p>
    <w:p w14:paraId="01BC1EB8" w14:textId="59B486A5" w:rsidR="00212269" w:rsidRPr="008D6538" w:rsidRDefault="00212269" w:rsidP="004F498D">
      <w:pPr>
        <w:pStyle w:val="SingleTxtG"/>
        <w:numPr>
          <w:ilvl w:val="0"/>
          <w:numId w:val="25"/>
        </w:numPr>
        <w:ind w:right="1138"/>
        <w:rPr>
          <w:color w:val="000000"/>
        </w:rPr>
      </w:pPr>
      <w:r w:rsidRPr="00DA690A">
        <w:rPr>
          <w:rFonts w:eastAsia="Malgun Gothic"/>
          <w:lang w:val="en-US" w:eastAsia="ko-KR"/>
        </w:rPr>
        <w:t xml:space="preserve"> This proposal aims at keeping the requirements at the same level, but making sure that the head restraint offers its protection over its full height, regardless of its design, existence of gaps smaller</w:t>
      </w:r>
      <w:r>
        <w:rPr>
          <w:rFonts w:eastAsia="Malgun Gothic"/>
          <w:lang w:val="en-US" w:eastAsia="ko-KR"/>
        </w:rPr>
        <w:t>, larger or equal to</w:t>
      </w:r>
      <w:r w:rsidR="004F498D">
        <w:rPr>
          <w:rFonts w:eastAsia="Malgun Gothic"/>
          <w:lang w:val="en-US" w:eastAsia="ko-KR"/>
        </w:rPr>
        <w:t xml:space="preserve"> </w:t>
      </w:r>
      <w:r w:rsidRPr="00DA690A">
        <w:rPr>
          <w:rFonts w:eastAsia="Malgun Gothic"/>
          <w:lang w:val="en-US" w:eastAsia="ko-KR"/>
        </w:rPr>
        <w:t xml:space="preserve">60 mm. To achieve this, the Technical Service is free to choose one or more additional locations to verify the </w:t>
      </w:r>
      <w:proofErr w:type="spellStart"/>
      <w:r w:rsidRPr="00DA690A">
        <w:rPr>
          <w:rFonts w:eastAsia="Malgun Gothic"/>
          <w:lang w:val="en-US" w:eastAsia="ko-KR"/>
        </w:rPr>
        <w:t>headform</w:t>
      </w:r>
      <w:proofErr w:type="spellEnd"/>
      <w:r w:rsidRPr="00DA690A">
        <w:rPr>
          <w:rFonts w:eastAsia="Malgun Gothic"/>
          <w:lang w:val="en-US" w:eastAsia="ko-KR"/>
        </w:rPr>
        <w:t xml:space="preserve"> displacement. </w:t>
      </w:r>
    </w:p>
    <w:p w14:paraId="28F320A2" w14:textId="77777777" w:rsidR="00212269" w:rsidRPr="00DA690A" w:rsidRDefault="00212269" w:rsidP="00212269">
      <w:pPr>
        <w:pStyle w:val="SingleTxtG"/>
        <w:numPr>
          <w:ilvl w:val="0"/>
          <w:numId w:val="25"/>
        </w:numPr>
        <w:ind w:right="1138"/>
        <w:rPr>
          <w:color w:val="000000"/>
        </w:rPr>
      </w:pPr>
      <w:r w:rsidRPr="00DA690A">
        <w:rPr>
          <w:rFonts w:eastAsia="Malgun Gothic"/>
          <w:lang w:val="en-US" w:eastAsia="ko-KR"/>
        </w:rPr>
        <w:lastRenderedPageBreak/>
        <w:t xml:space="preserve">The assumption is </w:t>
      </w:r>
      <w:r>
        <w:rPr>
          <w:rFonts w:eastAsia="Malgun Gothic"/>
          <w:lang w:val="en-US" w:eastAsia="ko-KR"/>
        </w:rPr>
        <w:t xml:space="preserve">made </w:t>
      </w:r>
      <w:r w:rsidRPr="00DA690A">
        <w:rPr>
          <w:rFonts w:eastAsia="Malgun Gothic"/>
          <w:lang w:val="en-US" w:eastAsia="ko-KR"/>
        </w:rPr>
        <w:t>that the occupant adjusts the head restraint to the correct height. Therefore, in case of an adjustable head restraint, the additional positions above 540 mm are verified with the head restraint in its lowest in-use position.</w:t>
      </w:r>
    </w:p>
    <w:p w14:paraId="3BD08460" w14:textId="5F04D591" w:rsidR="00701840" w:rsidRPr="00805FD9" w:rsidRDefault="00701840" w:rsidP="00701840">
      <w:pPr>
        <w:spacing w:before="240"/>
        <w:jc w:val="center"/>
        <w:rPr>
          <w:u w:val="single"/>
        </w:rPr>
      </w:pPr>
      <w:r w:rsidRPr="00805FD9">
        <w:rPr>
          <w:u w:val="single"/>
        </w:rPr>
        <w:tab/>
      </w:r>
      <w:r w:rsidRPr="00805FD9">
        <w:rPr>
          <w:u w:val="single"/>
        </w:rPr>
        <w:tab/>
      </w:r>
      <w:r w:rsidRPr="00805FD9">
        <w:rPr>
          <w:u w:val="single"/>
        </w:rPr>
        <w:tab/>
      </w:r>
    </w:p>
    <w:sectPr w:rsidR="00701840" w:rsidRPr="00805FD9" w:rsidSect="006744EC">
      <w:headerReference w:type="even" r:id="rId12"/>
      <w:head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607F" w14:textId="77777777" w:rsidR="00072893" w:rsidRDefault="00072893"/>
  </w:endnote>
  <w:endnote w:type="continuationSeparator" w:id="0">
    <w:p w14:paraId="13A8CA27" w14:textId="77777777" w:rsidR="00072893" w:rsidRDefault="00072893"/>
  </w:endnote>
  <w:endnote w:type="continuationNotice" w:id="1">
    <w:p w14:paraId="76742A5B" w14:textId="77777777" w:rsidR="00072893" w:rsidRDefault="0007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F169" w14:textId="15E99A8F" w:rsidR="00656571" w:rsidRDefault="00656571" w:rsidP="00656571">
    <w:pPr>
      <w:pStyle w:val="Footer"/>
    </w:pPr>
    <w:r w:rsidRPr="0027112F">
      <w:rPr>
        <w:noProof/>
        <w:lang w:val="en-US"/>
      </w:rPr>
      <w:drawing>
        <wp:anchor distT="0" distB="0" distL="114300" distR="114300" simplePos="0" relativeHeight="251659264" behindDoc="0" locked="1" layoutInCell="1" allowOverlap="1" wp14:anchorId="2290C286" wp14:editId="26834B3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DB130D" w14:textId="6FDC2CCB" w:rsidR="00656571" w:rsidRPr="00656571" w:rsidRDefault="00656571" w:rsidP="00656571">
    <w:pPr>
      <w:pStyle w:val="Footer"/>
      <w:ind w:right="1134"/>
      <w:rPr>
        <w:sz w:val="20"/>
      </w:rPr>
    </w:pPr>
    <w:r>
      <w:rPr>
        <w:sz w:val="20"/>
      </w:rPr>
      <w:t>GE.24-</w:t>
    </w:r>
    <w:proofErr w:type="gramStart"/>
    <w:r>
      <w:rPr>
        <w:sz w:val="20"/>
      </w:rPr>
      <w:t>05643  (</w:t>
    </w:r>
    <w:proofErr w:type="gramEnd"/>
    <w:r>
      <w:rPr>
        <w:sz w:val="20"/>
      </w:rPr>
      <w:t>E)</w:t>
    </w:r>
    <w:r>
      <w:rPr>
        <w:noProof/>
        <w:sz w:val="20"/>
      </w:rPr>
      <w:drawing>
        <wp:anchor distT="0" distB="0" distL="114300" distR="114300" simplePos="0" relativeHeight="251660288" behindDoc="0" locked="0" layoutInCell="1" allowOverlap="1" wp14:anchorId="4239BD31" wp14:editId="2A34B642">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58F2" w14:textId="77777777" w:rsidR="00072893" w:rsidRPr="000B175B" w:rsidRDefault="00072893" w:rsidP="000B175B">
      <w:pPr>
        <w:tabs>
          <w:tab w:val="right" w:pos="2155"/>
        </w:tabs>
        <w:spacing w:after="80"/>
        <w:ind w:left="680"/>
        <w:rPr>
          <w:u w:val="single"/>
        </w:rPr>
      </w:pPr>
      <w:r>
        <w:rPr>
          <w:u w:val="single"/>
        </w:rPr>
        <w:tab/>
      </w:r>
    </w:p>
  </w:footnote>
  <w:footnote w:type="continuationSeparator" w:id="0">
    <w:p w14:paraId="2E1663F6" w14:textId="77777777" w:rsidR="00072893" w:rsidRPr="00FC68B7" w:rsidRDefault="00072893" w:rsidP="00FC68B7">
      <w:pPr>
        <w:tabs>
          <w:tab w:val="left" w:pos="2155"/>
        </w:tabs>
        <w:spacing w:after="80"/>
        <w:ind w:left="680"/>
        <w:rPr>
          <w:u w:val="single"/>
        </w:rPr>
      </w:pPr>
      <w:r>
        <w:rPr>
          <w:u w:val="single"/>
        </w:rPr>
        <w:tab/>
      </w:r>
    </w:p>
  </w:footnote>
  <w:footnote w:type="continuationNotice" w:id="1">
    <w:p w14:paraId="6CDCE842" w14:textId="77777777" w:rsidR="00072893" w:rsidRDefault="00072893"/>
  </w:footnote>
  <w:footnote w:id="2">
    <w:p w14:paraId="6D9A06D2" w14:textId="77777777" w:rsidR="00EE2AAD" w:rsidRPr="00D65C73" w:rsidRDefault="00EE2AAD" w:rsidP="00EE2AAD">
      <w:pPr>
        <w:pStyle w:val="FootnoteText"/>
        <w:rPr>
          <w:szCs w:val="18"/>
          <w:lang w:val="en-US"/>
        </w:rPr>
      </w:pPr>
      <w:r>
        <w:rPr>
          <w:rStyle w:val="FootnoteReference"/>
        </w:rPr>
        <w:tab/>
      </w:r>
      <w:r w:rsidRPr="00D65C73">
        <w:rPr>
          <w:rStyle w:val="FootnoteReference"/>
          <w:sz w:val="20"/>
        </w:rPr>
        <w:t>*</w:t>
      </w:r>
      <w:r>
        <w:rPr>
          <w:rStyle w:val="FootnoteReference"/>
          <w:sz w:val="20"/>
          <w:vertAlign w:val="baseline"/>
        </w:rPr>
        <w:tab/>
      </w:r>
      <w:r w:rsidRPr="00D65C73">
        <w:rPr>
          <w:szCs w:val="18"/>
        </w:rPr>
        <w:t>This document was scheduled for publication after the standard publication date owing to circumstances beyond the submitter's control.</w:t>
      </w:r>
    </w:p>
  </w:footnote>
  <w:footnote w:id="3">
    <w:p w14:paraId="490494CF" w14:textId="77777777" w:rsidR="00EE2AAD" w:rsidRPr="00DC2C16" w:rsidRDefault="00EE2AAD" w:rsidP="00EE2AAD">
      <w:pPr>
        <w:pStyle w:val="FootnoteText"/>
      </w:pPr>
      <w:r>
        <w:rPr>
          <w:rStyle w:val="FootnoteReference"/>
        </w:rPr>
        <w:tab/>
      </w:r>
      <w:r w:rsidRPr="00D65C73">
        <w:rPr>
          <w:rStyle w:val="FootnoteReference"/>
          <w:sz w:val="20"/>
        </w:rPr>
        <w:t>**</w:t>
      </w:r>
      <w:r>
        <w:rPr>
          <w:rStyle w:val="FootnoteReference"/>
          <w:sz w:val="20"/>
          <w:vertAlign w:val="baseline"/>
        </w:rPr>
        <w:tab/>
      </w:r>
      <w:r w:rsidRPr="00964920">
        <w:rPr>
          <w:szCs w:val="18"/>
        </w:rPr>
        <w:t xml:space="preserve">In accordance with the programme of work of the Inland Transport Committee for 2024 as outlined in proposed programme budget for 2024 (A/78/6 (Sect. 20), table 20.5), the World Forum will develop, </w:t>
      </w:r>
      <w:proofErr w:type="gramStart"/>
      <w:r w:rsidRPr="00964920">
        <w:rPr>
          <w:szCs w:val="18"/>
        </w:rPr>
        <w:t>harmonize</w:t>
      </w:r>
      <w:proofErr w:type="gramEnd"/>
      <w:r w:rsidRPr="00964920">
        <w:rPr>
          <w:szCs w:val="18"/>
        </w:rPr>
        <w:t xml:space="preserve"> and update UN Regulations in order to enhance the performance of vehicles. The present document is submitted in conformity with that mandate.</w:t>
      </w:r>
    </w:p>
    <w:p w14:paraId="4FCDA00A" w14:textId="77777777" w:rsidR="00EE2AAD" w:rsidRPr="00E733C0" w:rsidRDefault="00EE2AAD" w:rsidP="00EE2AA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DEE" w14:textId="0E3F903E" w:rsidR="00140CAF" w:rsidRPr="00D363AD" w:rsidRDefault="00D363AD">
    <w:pPr>
      <w:pStyle w:val="Header"/>
      <w:rPr>
        <w:lang w:val="fr-CH"/>
      </w:rPr>
    </w:pPr>
    <w:r>
      <w:rPr>
        <w:lang w:val="fr-CH"/>
      </w:rPr>
      <w:t>ECE/TRANS/WP.29/GRSP/20</w:t>
    </w:r>
    <w:r w:rsidR="00227E71">
      <w:rPr>
        <w:lang w:val="fr-CH"/>
      </w:rPr>
      <w:t>24/</w:t>
    </w:r>
    <w:r w:rsidR="00911003">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CA86" w14:textId="1B77ACF4" w:rsidR="00140CAF" w:rsidRPr="00911003" w:rsidRDefault="00911003" w:rsidP="00911003">
    <w:pPr>
      <w:pStyle w:val="Header"/>
      <w:jc w:val="right"/>
      <w:rPr>
        <w:lang w:val="fr-CH"/>
      </w:rPr>
    </w:pPr>
    <w:r>
      <w:rPr>
        <w:lang w:val="fr-CH"/>
      </w:rPr>
      <w:t>ECE/TRANS/WP.29/GRSP/2024/15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657D03"/>
    <w:multiLevelType w:val="hybridMultilevel"/>
    <w:tmpl w:val="D4F2E8F2"/>
    <w:lvl w:ilvl="0" w:tplc="5580A296">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5"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DE67A7"/>
    <w:multiLevelType w:val="hybridMultilevel"/>
    <w:tmpl w:val="2BBAF88C"/>
    <w:lvl w:ilvl="0" w:tplc="89086B5C">
      <w:start w:val="2"/>
      <w:numFmt w:val="decimal"/>
      <w:lvlText w:val="%1"/>
      <w:lvlJc w:val="left"/>
      <w:pPr>
        <w:ind w:left="924" w:hanging="564"/>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F4564"/>
    <w:multiLevelType w:val="hybridMultilevel"/>
    <w:tmpl w:val="7A7C6498"/>
    <w:lvl w:ilvl="0" w:tplc="57FCDE5E">
      <w:start w:val="2"/>
      <w:numFmt w:val="decimal"/>
      <w:lvlText w:val="(%1)"/>
      <w:lvlJc w:val="left"/>
      <w:pPr>
        <w:ind w:left="1555" w:hanging="420"/>
      </w:pPr>
      <w:rPr>
        <w:rFonts w:hint="default"/>
        <w:sz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04368783">
    <w:abstractNumId w:val="1"/>
  </w:num>
  <w:num w:numId="2" w16cid:durableId="626860971">
    <w:abstractNumId w:val="0"/>
  </w:num>
  <w:num w:numId="3" w16cid:durableId="974525395">
    <w:abstractNumId w:val="2"/>
  </w:num>
  <w:num w:numId="4" w16cid:durableId="630668778">
    <w:abstractNumId w:val="3"/>
  </w:num>
  <w:num w:numId="5" w16cid:durableId="1317999777">
    <w:abstractNumId w:val="8"/>
  </w:num>
  <w:num w:numId="6" w16cid:durableId="169759458">
    <w:abstractNumId w:val="9"/>
  </w:num>
  <w:num w:numId="7" w16cid:durableId="1513572566">
    <w:abstractNumId w:val="7"/>
  </w:num>
  <w:num w:numId="8" w16cid:durableId="1733384041">
    <w:abstractNumId w:val="6"/>
  </w:num>
  <w:num w:numId="9" w16cid:durableId="1253516325">
    <w:abstractNumId w:val="5"/>
  </w:num>
  <w:num w:numId="10" w16cid:durableId="1155797056">
    <w:abstractNumId w:val="4"/>
  </w:num>
  <w:num w:numId="11" w16cid:durableId="1774662786">
    <w:abstractNumId w:val="19"/>
  </w:num>
  <w:num w:numId="12" w16cid:durableId="1075981318">
    <w:abstractNumId w:val="18"/>
  </w:num>
  <w:num w:numId="13" w16cid:durableId="1249385596">
    <w:abstractNumId w:val="11"/>
  </w:num>
  <w:num w:numId="14" w16cid:durableId="303514251">
    <w:abstractNumId w:val="16"/>
  </w:num>
  <w:num w:numId="15" w16cid:durableId="2044135225">
    <w:abstractNumId w:val="20"/>
  </w:num>
  <w:num w:numId="16" w16cid:durableId="1106731453">
    <w:abstractNumId w:val="17"/>
  </w:num>
  <w:num w:numId="17" w16cid:durableId="2056158629">
    <w:abstractNumId w:val="23"/>
  </w:num>
  <w:num w:numId="18" w16cid:durableId="749811982">
    <w:abstractNumId w:val="24"/>
  </w:num>
  <w:num w:numId="19" w16cid:durableId="65809175">
    <w:abstractNumId w:val="13"/>
  </w:num>
  <w:num w:numId="20" w16cid:durableId="26804637">
    <w:abstractNumId w:val="14"/>
  </w:num>
  <w:num w:numId="21" w16cid:durableId="22703575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2131123004">
    <w:abstractNumId w:val="12"/>
  </w:num>
  <w:num w:numId="23" w16cid:durableId="2116053249">
    <w:abstractNumId w:val="22"/>
  </w:num>
  <w:num w:numId="24" w16cid:durableId="939872896">
    <w:abstractNumId w:val="21"/>
  </w:num>
  <w:num w:numId="25" w16cid:durableId="55859208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2B"/>
    <w:rsid w:val="00000870"/>
    <w:rsid w:val="00002A7D"/>
    <w:rsid w:val="000038A8"/>
    <w:rsid w:val="00005DF3"/>
    <w:rsid w:val="00006790"/>
    <w:rsid w:val="00012153"/>
    <w:rsid w:val="00023A00"/>
    <w:rsid w:val="00027624"/>
    <w:rsid w:val="0003131B"/>
    <w:rsid w:val="00035F37"/>
    <w:rsid w:val="0004111F"/>
    <w:rsid w:val="000501D9"/>
    <w:rsid w:val="00050F6B"/>
    <w:rsid w:val="0006076B"/>
    <w:rsid w:val="000678CD"/>
    <w:rsid w:val="0007077B"/>
    <w:rsid w:val="00072893"/>
    <w:rsid w:val="00072C8C"/>
    <w:rsid w:val="00081CE0"/>
    <w:rsid w:val="00084D30"/>
    <w:rsid w:val="00085539"/>
    <w:rsid w:val="00090320"/>
    <w:rsid w:val="000931C0"/>
    <w:rsid w:val="00093637"/>
    <w:rsid w:val="00095905"/>
    <w:rsid w:val="00097003"/>
    <w:rsid w:val="00097822"/>
    <w:rsid w:val="000A2321"/>
    <w:rsid w:val="000A2E09"/>
    <w:rsid w:val="000A6E1F"/>
    <w:rsid w:val="000B13BF"/>
    <w:rsid w:val="000B175B"/>
    <w:rsid w:val="000B3A0F"/>
    <w:rsid w:val="000C0E64"/>
    <w:rsid w:val="000D4EAD"/>
    <w:rsid w:val="000E0415"/>
    <w:rsid w:val="000F0A7D"/>
    <w:rsid w:val="000F6D84"/>
    <w:rsid w:val="000F7715"/>
    <w:rsid w:val="00111B2E"/>
    <w:rsid w:val="0011684F"/>
    <w:rsid w:val="00121080"/>
    <w:rsid w:val="00122DEC"/>
    <w:rsid w:val="00125E9E"/>
    <w:rsid w:val="00140CAF"/>
    <w:rsid w:val="0015175E"/>
    <w:rsid w:val="00156B99"/>
    <w:rsid w:val="00156F88"/>
    <w:rsid w:val="0016524A"/>
    <w:rsid w:val="00166124"/>
    <w:rsid w:val="00171886"/>
    <w:rsid w:val="00177FDA"/>
    <w:rsid w:val="00184DDA"/>
    <w:rsid w:val="001900CD"/>
    <w:rsid w:val="001A0452"/>
    <w:rsid w:val="001A0CC8"/>
    <w:rsid w:val="001B4B04"/>
    <w:rsid w:val="001B5875"/>
    <w:rsid w:val="001B5E2A"/>
    <w:rsid w:val="001C3EFE"/>
    <w:rsid w:val="001C4B9C"/>
    <w:rsid w:val="001C5FA4"/>
    <w:rsid w:val="001C6663"/>
    <w:rsid w:val="001C7895"/>
    <w:rsid w:val="001D26DF"/>
    <w:rsid w:val="001D6EC0"/>
    <w:rsid w:val="001D6F96"/>
    <w:rsid w:val="001E1074"/>
    <w:rsid w:val="001E2535"/>
    <w:rsid w:val="001E3395"/>
    <w:rsid w:val="001F1599"/>
    <w:rsid w:val="001F19C4"/>
    <w:rsid w:val="001F2BEB"/>
    <w:rsid w:val="002000AB"/>
    <w:rsid w:val="00202263"/>
    <w:rsid w:val="00202FBA"/>
    <w:rsid w:val="002043F0"/>
    <w:rsid w:val="00211E0B"/>
    <w:rsid w:val="00211E20"/>
    <w:rsid w:val="00212269"/>
    <w:rsid w:val="002164CD"/>
    <w:rsid w:val="002269E5"/>
    <w:rsid w:val="002274A2"/>
    <w:rsid w:val="00227E71"/>
    <w:rsid w:val="00232103"/>
    <w:rsid w:val="0023227C"/>
    <w:rsid w:val="00232575"/>
    <w:rsid w:val="002325D5"/>
    <w:rsid w:val="00233395"/>
    <w:rsid w:val="002333EA"/>
    <w:rsid w:val="00236A6D"/>
    <w:rsid w:val="00237585"/>
    <w:rsid w:val="00245FBF"/>
    <w:rsid w:val="00246535"/>
    <w:rsid w:val="00247258"/>
    <w:rsid w:val="00257CAC"/>
    <w:rsid w:val="00270AE2"/>
    <w:rsid w:val="0027237A"/>
    <w:rsid w:val="00272F0B"/>
    <w:rsid w:val="00280C3A"/>
    <w:rsid w:val="00296B98"/>
    <w:rsid w:val="002974E9"/>
    <w:rsid w:val="00297B14"/>
    <w:rsid w:val="00297CCA"/>
    <w:rsid w:val="002A306B"/>
    <w:rsid w:val="002A7F94"/>
    <w:rsid w:val="002B109A"/>
    <w:rsid w:val="002C489E"/>
    <w:rsid w:val="002C6D45"/>
    <w:rsid w:val="002D6E53"/>
    <w:rsid w:val="002E2943"/>
    <w:rsid w:val="002E47E7"/>
    <w:rsid w:val="002F046D"/>
    <w:rsid w:val="002F09F3"/>
    <w:rsid w:val="002F3023"/>
    <w:rsid w:val="002F4D5B"/>
    <w:rsid w:val="00301764"/>
    <w:rsid w:val="003054D8"/>
    <w:rsid w:val="00314668"/>
    <w:rsid w:val="003229D8"/>
    <w:rsid w:val="00325184"/>
    <w:rsid w:val="003254B7"/>
    <w:rsid w:val="00331C00"/>
    <w:rsid w:val="00336C97"/>
    <w:rsid w:val="00337F88"/>
    <w:rsid w:val="00342432"/>
    <w:rsid w:val="0035223F"/>
    <w:rsid w:val="00352D4B"/>
    <w:rsid w:val="0035638C"/>
    <w:rsid w:val="0035723E"/>
    <w:rsid w:val="00361B78"/>
    <w:rsid w:val="00361E1B"/>
    <w:rsid w:val="00364335"/>
    <w:rsid w:val="003663EB"/>
    <w:rsid w:val="00370B1D"/>
    <w:rsid w:val="00373A5D"/>
    <w:rsid w:val="00393812"/>
    <w:rsid w:val="003A3B70"/>
    <w:rsid w:val="003A46BB"/>
    <w:rsid w:val="003A4EC7"/>
    <w:rsid w:val="003A7295"/>
    <w:rsid w:val="003B0C15"/>
    <w:rsid w:val="003B1F60"/>
    <w:rsid w:val="003B6ABE"/>
    <w:rsid w:val="003C2CC4"/>
    <w:rsid w:val="003C56D3"/>
    <w:rsid w:val="003C784B"/>
    <w:rsid w:val="003D0550"/>
    <w:rsid w:val="003D4B23"/>
    <w:rsid w:val="003E278A"/>
    <w:rsid w:val="003E52EC"/>
    <w:rsid w:val="003F017F"/>
    <w:rsid w:val="003F3952"/>
    <w:rsid w:val="003F3B38"/>
    <w:rsid w:val="003F62AC"/>
    <w:rsid w:val="00402E0B"/>
    <w:rsid w:val="00404A56"/>
    <w:rsid w:val="00413520"/>
    <w:rsid w:val="0042367D"/>
    <w:rsid w:val="00427818"/>
    <w:rsid w:val="00427996"/>
    <w:rsid w:val="004325CB"/>
    <w:rsid w:val="00434AE3"/>
    <w:rsid w:val="00436287"/>
    <w:rsid w:val="00440A07"/>
    <w:rsid w:val="00451AB9"/>
    <w:rsid w:val="00455E0E"/>
    <w:rsid w:val="0046237D"/>
    <w:rsid w:val="00462880"/>
    <w:rsid w:val="00467C18"/>
    <w:rsid w:val="00476F24"/>
    <w:rsid w:val="0048648E"/>
    <w:rsid w:val="004A5D33"/>
    <w:rsid w:val="004B16E7"/>
    <w:rsid w:val="004B3495"/>
    <w:rsid w:val="004C55B0"/>
    <w:rsid w:val="004E79B2"/>
    <w:rsid w:val="004F498D"/>
    <w:rsid w:val="004F5EA0"/>
    <w:rsid w:val="004F5F7C"/>
    <w:rsid w:val="004F6BA0"/>
    <w:rsid w:val="004F74CB"/>
    <w:rsid w:val="00500880"/>
    <w:rsid w:val="00502C50"/>
    <w:rsid w:val="00503BEA"/>
    <w:rsid w:val="00510315"/>
    <w:rsid w:val="0051167F"/>
    <w:rsid w:val="00522559"/>
    <w:rsid w:val="00533616"/>
    <w:rsid w:val="00535ABA"/>
    <w:rsid w:val="0053768B"/>
    <w:rsid w:val="005420F2"/>
    <w:rsid w:val="0054285C"/>
    <w:rsid w:val="005439B7"/>
    <w:rsid w:val="00555A92"/>
    <w:rsid w:val="0056704D"/>
    <w:rsid w:val="00567323"/>
    <w:rsid w:val="0058237B"/>
    <w:rsid w:val="00584173"/>
    <w:rsid w:val="0059120A"/>
    <w:rsid w:val="00592261"/>
    <w:rsid w:val="00595520"/>
    <w:rsid w:val="005975D4"/>
    <w:rsid w:val="005A1507"/>
    <w:rsid w:val="005A44B9"/>
    <w:rsid w:val="005A787A"/>
    <w:rsid w:val="005B1BA0"/>
    <w:rsid w:val="005B3DB3"/>
    <w:rsid w:val="005B4856"/>
    <w:rsid w:val="005B7D63"/>
    <w:rsid w:val="005C0268"/>
    <w:rsid w:val="005C7B9F"/>
    <w:rsid w:val="005D0E52"/>
    <w:rsid w:val="005D15CA"/>
    <w:rsid w:val="005E5BC7"/>
    <w:rsid w:val="005F08DF"/>
    <w:rsid w:val="005F3066"/>
    <w:rsid w:val="005F3E61"/>
    <w:rsid w:val="005F6115"/>
    <w:rsid w:val="00601094"/>
    <w:rsid w:val="00604DDD"/>
    <w:rsid w:val="006115CC"/>
    <w:rsid w:val="00611FC4"/>
    <w:rsid w:val="006176FB"/>
    <w:rsid w:val="00617EE5"/>
    <w:rsid w:val="00627661"/>
    <w:rsid w:val="00630FCB"/>
    <w:rsid w:val="00635563"/>
    <w:rsid w:val="00640B26"/>
    <w:rsid w:val="006439DE"/>
    <w:rsid w:val="00646304"/>
    <w:rsid w:val="00651523"/>
    <w:rsid w:val="00656571"/>
    <w:rsid w:val="0065766B"/>
    <w:rsid w:val="00661C0C"/>
    <w:rsid w:val="0066270A"/>
    <w:rsid w:val="00670B8D"/>
    <w:rsid w:val="006744EC"/>
    <w:rsid w:val="006770B2"/>
    <w:rsid w:val="00686A48"/>
    <w:rsid w:val="0068763C"/>
    <w:rsid w:val="006940E1"/>
    <w:rsid w:val="00696A2F"/>
    <w:rsid w:val="00696AC5"/>
    <w:rsid w:val="006973D7"/>
    <w:rsid w:val="006A329B"/>
    <w:rsid w:val="006A3C72"/>
    <w:rsid w:val="006A448E"/>
    <w:rsid w:val="006A5F72"/>
    <w:rsid w:val="006A7392"/>
    <w:rsid w:val="006B03A1"/>
    <w:rsid w:val="006B12A1"/>
    <w:rsid w:val="006B67D9"/>
    <w:rsid w:val="006B69F8"/>
    <w:rsid w:val="006C5535"/>
    <w:rsid w:val="006D0589"/>
    <w:rsid w:val="006D204C"/>
    <w:rsid w:val="006E564B"/>
    <w:rsid w:val="006E569F"/>
    <w:rsid w:val="006E7154"/>
    <w:rsid w:val="006F01F3"/>
    <w:rsid w:val="007003CD"/>
    <w:rsid w:val="00701340"/>
    <w:rsid w:val="00701840"/>
    <w:rsid w:val="0070701E"/>
    <w:rsid w:val="007109A9"/>
    <w:rsid w:val="00712E4A"/>
    <w:rsid w:val="00720719"/>
    <w:rsid w:val="007249B0"/>
    <w:rsid w:val="0072632A"/>
    <w:rsid w:val="007358E8"/>
    <w:rsid w:val="00736ECE"/>
    <w:rsid w:val="0074533B"/>
    <w:rsid w:val="007643BC"/>
    <w:rsid w:val="00766549"/>
    <w:rsid w:val="00780C68"/>
    <w:rsid w:val="00784FA8"/>
    <w:rsid w:val="00785F94"/>
    <w:rsid w:val="00791DF9"/>
    <w:rsid w:val="007959FE"/>
    <w:rsid w:val="007973CD"/>
    <w:rsid w:val="007A0CF1"/>
    <w:rsid w:val="007A6337"/>
    <w:rsid w:val="007B0A7B"/>
    <w:rsid w:val="007B5DFD"/>
    <w:rsid w:val="007B6BA5"/>
    <w:rsid w:val="007C13EC"/>
    <w:rsid w:val="007C15A7"/>
    <w:rsid w:val="007C3390"/>
    <w:rsid w:val="007C42D8"/>
    <w:rsid w:val="007C4F4B"/>
    <w:rsid w:val="007D21A3"/>
    <w:rsid w:val="007D6F65"/>
    <w:rsid w:val="007D7362"/>
    <w:rsid w:val="007E1010"/>
    <w:rsid w:val="007E647D"/>
    <w:rsid w:val="007F0381"/>
    <w:rsid w:val="007F2EEB"/>
    <w:rsid w:val="007F3F84"/>
    <w:rsid w:val="007F5CE2"/>
    <w:rsid w:val="007F6611"/>
    <w:rsid w:val="00801847"/>
    <w:rsid w:val="00805FD9"/>
    <w:rsid w:val="00810BAC"/>
    <w:rsid w:val="008152CC"/>
    <w:rsid w:val="008175E9"/>
    <w:rsid w:val="008211CF"/>
    <w:rsid w:val="008242D7"/>
    <w:rsid w:val="0082577B"/>
    <w:rsid w:val="00825CB5"/>
    <w:rsid w:val="00835DD5"/>
    <w:rsid w:val="00842B08"/>
    <w:rsid w:val="00866893"/>
    <w:rsid w:val="00866F02"/>
    <w:rsid w:val="00867D18"/>
    <w:rsid w:val="00871F9A"/>
    <w:rsid w:val="00871FD5"/>
    <w:rsid w:val="008745D2"/>
    <w:rsid w:val="00874F49"/>
    <w:rsid w:val="0088172E"/>
    <w:rsid w:val="00881EFA"/>
    <w:rsid w:val="008879CB"/>
    <w:rsid w:val="00890EA9"/>
    <w:rsid w:val="008979B1"/>
    <w:rsid w:val="008A6B25"/>
    <w:rsid w:val="008A6C4F"/>
    <w:rsid w:val="008B389E"/>
    <w:rsid w:val="008C7280"/>
    <w:rsid w:val="008D045E"/>
    <w:rsid w:val="008D3F25"/>
    <w:rsid w:val="008D4D82"/>
    <w:rsid w:val="008D6485"/>
    <w:rsid w:val="008E0E46"/>
    <w:rsid w:val="008E7116"/>
    <w:rsid w:val="008F143B"/>
    <w:rsid w:val="008F3882"/>
    <w:rsid w:val="008F4B7C"/>
    <w:rsid w:val="00903AAC"/>
    <w:rsid w:val="0090670A"/>
    <w:rsid w:val="00911003"/>
    <w:rsid w:val="00917C3B"/>
    <w:rsid w:val="00923471"/>
    <w:rsid w:val="00926E47"/>
    <w:rsid w:val="00935233"/>
    <w:rsid w:val="0094021F"/>
    <w:rsid w:val="009432AA"/>
    <w:rsid w:val="00947162"/>
    <w:rsid w:val="009610D0"/>
    <w:rsid w:val="009615F1"/>
    <w:rsid w:val="009635E8"/>
    <w:rsid w:val="0096375C"/>
    <w:rsid w:val="009662E6"/>
    <w:rsid w:val="0097095E"/>
    <w:rsid w:val="0097455E"/>
    <w:rsid w:val="00983DA7"/>
    <w:rsid w:val="0098592B"/>
    <w:rsid w:val="00985FC4"/>
    <w:rsid w:val="0098757E"/>
    <w:rsid w:val="00990766"/>
    <w:rsid w:val="00991261"/>
    <w:rsid w:val="009964C4"/>
    <w:rsid w:val="009A7B81"/>
    <w:rsid w:val="009B5C18"/>
    <w:rsid w:val="009B7EB7"/>
    <w:rsid w:val="009C02A7"/>
    <w:rsid w:val="009D01C0"/>
    <w:rsid w:val="009D045B"/>
    <w:rsid w:val="009D6A08"/>
    <w:rsid w:val="009D7888"/>
    <w:rsid w:val="009E0A16"/>
    <w:rsid w:val="009E372B"/>
    <w:rsid w:val="009E6CB7"/>
    <w:rsid w:val="009E7970"/>
    <w:rsid w:val="009F2EAC"/>
    <w:rsid w:val="009F57E3"/>
    <w:rsid w:val="00A10F4F"/>
    <w:rsid w:val="00A11067"/>
    <w:rsid w:val="00A1509C"/>
    <w:rsid w:val="00A1704A"/>
    <w:rsid w:val="00A25F46"/>
    <w:rsid w:val="00A30F1F"/>
    <w:rsid w:val="00A32A72"/>
    <w:rsid w:val="00A363B9"/>
    <w:rsid w:val="00A36AC2"/>
    <w:rsid w:val="00A425EB"/>
    <w:rsid w:val="00A460DB"/>
    <w:rsid w:val="00A475F6"/>
    <w:rsid w:val="00A664F9"/>
    <w:rsid w:val="00A72F22"/>
    <w:rsid w:val="00A733BC"/>
    <w:rsid w:val="00A748A6"/>
    <w:rsid w:val="00A76A69"/>
    <w:rsid w:val="00A8115D"/>
    <w:rsid w:val="00A879A4"/>
    <w:rsid w:val="00A96802"/>
    <w:rsid w:val="00A97021"/>
    <w:rsid w:val="00A973A8"/>
    <w:rsid w:val="00AA0FF8"/>
    <w:rsid w:val="00AA79FB"/>
    <w:rsid w:val="00AB12A1"/>
    <w:rsid w:val="00AC0F2C"/>
    <w:rsid w:val="00AC1AE5"/>
    <w:rsid w:val="00AC4672"/>
    <w:rsid w:val="00AC502A"/>
    <w:rsid w:val="00AD5CC1"/>
    <w:rsid w:val="00AE1E26"/>
    <w:rsid w:val="00AE6B0E"/>
    <w:rsid w:val="00AF4388"/>
    <w:rsid w:val="00AF58C1"/>
    <w:rsid w:val="00AF5E51"/>
    <w:rsid w:val="00B04A3F"/>
    <w:rsid w:val="00B06643"/>
    <w:rsid w:val="00B15055"/>
    <w:rsid w:val="00B15C5F"/>
    <w:rsid w:val="00B20551"/>
    <w:rsid w:val="00B30179"/>
    <w:rsid w:val="00B3067F"/>
    <w:rsid w:val="00B31E0B"/>
    <w:rsid w:val="00B33FC7"/>
    <w:rsid w:val="00B37B15"/>
    <w:rsid w:val="00B4083D"/>
    <w:rsid w:val="00B4162A"/>
    <w:rsid w:val="00B4326A"/>
    <w:rsid w:val="00B45C02"/>
    <w:rsid w:val="00B56FA3"/>
    <w:rsid w:val="00B621A2"/>
    <w:rsid w:val="00B70B63"/>
    <w:rsid w:val="00B72A1E"/>
    <w:rsid w:val="00B81E12"/>
    <w:rsid w:val="00B93331"/>
    <w:rsid w:val="00B9413A"/>
    <w:rsid w:val="00BA1D2B"/>
    <w:rsid w:val="00BA339B"/>
    <w:rsid w:val="00BB23CC"/>
    <w:rsid w:val="00BB7BF1"/>
    <w:rsid w:val="00BC1E7E"/>
    <w:rsid w:val="00BC370B"/>
    <w:rsid w:val="00BC3C3A"/>
    <w:rsid w:val="00BC74E9"/>
    <w:rsid w:val="00BD2840"/>
    <w:rsid w:val="00BE36A9"/>
    <w:rsid w:val="00BE618E"/>
    <w:rsid w:val="00BE7BEC"/>
    <w:rsid w:val="00BF0A5A"/>
    <w:rsid w:val="00BF0E63"/>
    <w:rsid w:val="00BF12A3"/>
    <w:rsid w:val="00BF16D7"/>
    <w:rsid w:val="00BF2373"/>
    <w:rsid w:val="00BF279B"/>
    <w:rsid w:val="00C03433"/>
    <w:rsid w:val="00C044E2"/>
    <w:rsid w:val="00C048CB"/>
    <w:rsid w:val="00C066F3"/>
    <w:rsid w:val="00C076D4"/>
    <w:rsid w:val="00C1152C"/>
    <w:rsid w:val="00C159E1"/>
    <w:rsid w:val="00C42140"/>
    <w:rsid w:val="00C463DD"/>
    <w:rsid w:val="00C46E1B"/>
    <w:rsid w:val="00C70A98"/>
    <w:rsid w:val="00C71584"/>
    <w:rsid w:val="00C7204B"/>
    <w:rsid w:val="00C72CCB"/>
    <w:rsid w:val="00C72D10"/>
    <w:rsid w:val="00C745C3"/>
    <w:rsid w:val="00C83DD6"/>
    <w:rsid w:val="00C978F5"/>
    <w:rsid w:val="00CA1A64"/>
    <w:rsid w:val="00CA24A4"/>
    <w:rsid w:val="00CB348D"/>
    <w:rsid w:val="00CC3AE1"/>
    <w:rsid w:val="00CD46F5"/>
    <w:rsid w:val="00CD5FCB"/>
    <w:rsid w:val="00CE4A8F"/>
    <w:rsid w:val="00CE61B5"/>
    <w:rsid w:val="00CF071D"/>
    <w:rsid w:val="00CF4214"/>
    <w:rsid w:val="00CF5A34"/>
    <w:rsid w:val="00D00971"/>
    <w:rsid w:val="00D0123D"/>
    <w:rsid w:val="00D13A0F"/>
    <w:rsid w:val="00D15B04"/>
    <w:rsid w:val="00D2031B"/>
    <w:rsid w:val="00D22FB3"/>
    <w:rsid w:val="00D25FE2"/>
    <w:rsid w:val="00D3392B"/>
    <w:rsid w:val="00D344C5"/>
    <w:rsid w:val="00D36081"/>
    <w:rsid w:val="00D363AD"/>
    <w:rsid w:val="00D36873"/>
    <w:rsid w:val="00D37DA9"/>
    <w:rsid w:val="00D406A7"/>
    <w:rsid w:val="00D42D7B"/>
    <w:rsid w:val="00D43252"/>
    <w:rsid w:val="00D44D86"/>
    <w:rsid w:val="00D474A3"/>
    <w:rsid w:val="00D50B7D"/>
    <w:rsid w:val="00D52012"/>
    <w:rsid w:val="00D56B62"/>
    <w:rsid w:val="00D60116"/>
    <w:rsid w:val="00D61F80"/>
    <w:rsid w:val="00D704E5"/>
    <w:rsid w:val="00D72727"/>
    <w:rsid w:val="00D77487"/>
    <w:rsid w:val="00D9212E"/>
    <w:rsid w:val="00D978C6"/>
    <w:rsid w:val="00DA0956"/>
    <w:rsid w:val="00DA3559"/>
    <w:rsid w:val="00DA357F"/>
    <w:rsid w:val="00DA3E12"/>
    <w:rsid w:val="00DB7673"/>
    <w:rsid w:val="00DC18AD"/>
    <w:rsid w:val="00DC1AE2"/>
    <w:rsid w:val="00DC2FFE"/>
    <w:rsid w:val="00DD6D9F"/>
    <w:rsid w:val="00DE25A4"/>
    <w:rsid w:val="00DE49D1"/>
    <w:rsid w:val="00DE6889"/>
    <w:rsid w:val="00DF1D52"/>
    <w:rsid w:val="00DF3C1D"/>
    <w:rsid w:val="00DF7CAE"/>
    <w:rsid w:val="00E051F5"/>
    <w:rsid w:val="00E073C5"/>
    <w:rsid w:val="00E262BF"/>
    <w:rsid w:val="00E365E2"/>
    <w:rsid w:val="00E368B8"/>
    <w:rsid w:val="00E423C0"/>
    <w:rsid w:val="00E5614F"/>
    <w:rsid w:val="00E61CAD"/>
    <w:rsid w:val="00E6414C"/>
    <w:rsid w:val="00E7260F"/>
    <w:rsid w:val="00E8702D"/>
    <w:rsid w:val="00E905F4"/>
    <w:rsid w:val="00E910F5"/>
    <w:rsid w:val="00E916A9"/>
    <w:rsid w:val="00E916DE"/>
    <w:rsid w:val="00E925AD"/>
    <w:rsid w:val="00E96630"/>
    <w:rsid w:val="00ED18DC"/>
    <w:rsid w:val="00ED6201"/>
    <w:rsid w:val="00ED7A2A"/>
    <w:rsid w:val="00EE2936"/>
    <w:rsid w:val="00EE2AAD"/>
    <w:rsid w:val="00EE2C3E"/>
    <w:rsid w:val="00EF0A96"/>
    <w:rsid w:val="00EF10C3"/>
    <w:rsid w:val="00EF1D7F"/>
    <w:rsid w:val="00EF369B"/>
    <w:rsid w:val="00F0137E"/>
    <w:rsid w:val="00F04E44"/>
    <w:rsid w:val="00F07880"/>
    <w:rsid w:val="00F1162A"/>
    <w:rsid w:val="00F11890"/>
    <w:rsid w:val="00F1517E"/>
    <w:rsid w:val="00F21786"/>
    <w:rsid w:val="00F25D06"/>
    <w:rsid w:val="00F26445"/>
    <w:rsid w:val="00F31CFF"/>
    <w:rsid w:val="00F3742B"/>
    <w:rsid w:val="00F417C6"/>
    <w:rsid w:val="00F41FDB"/>
    <w:rsid w:val="00F47A94"/>
    <w:rsid w:val="00F50597"/>
    <w:rsid w:val="00F56D63"/>
    <w:rsid w:val="00F57BB7"/>
    <w:rsid w:val="00F609A9"/>
    <w:rsid w:val="00F80C99"/>
    <w:rsid w:val="00F867EC"/>
    <w:rsid w:val="00F91B2B"/>
    <w:rsid w:val="00FA0867"/>
    <w:rsid w:val="00FB4272"/>
    <w:rsid w:val="00FB6022"/>
    <w:rsid w:val="00FC03CD"/>
    <w:rsid w:val="00FC0646"/>
    <w:rsid w:val="00FC68B7"/>
    <w:rsid w:val="00FD5C03"/>
    <w:rsid w:val="00FE39B5"/>
    <w:rsid w:val="00FE6985"/>
    <w:rsid w:val="00FF1334"/>
    <w:rsid w:val="00FF34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866D"/>
  <w15:docId w15:val="{05A8A95B-2FE3-41F5-8102-C65E6B05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9E372B"/>
    <w:rPr>
      <w:b/>
      <w:sz w:val="28"/>
      <w:lang w:val="en-GB"/>
    </w:rPr>
  </w:style>
  <w:style w:type="character" w:customStyle="1" w:styleId="SingleTxtGChar">
    <w:name w:val="_ Single Txt_G Char"/>
    <w:link w:val="SingleTxtG"/>
    <w:qFormat/>
    <w:locked/>
    <w:rsid w:val="009E372B"/>
    <w:rPr>
      <w:lang w:val="en-GB"/>
    </w:rPr>
  </w:style>
  <w:style w:type="paragraph" w:styleId="TOC1">
    <w:name w:val="toc 1"/>
    <w:basedOn w:val="Normal"/>
    <w:next w:val="Normal"/>
    <w:autoRedefine/>
    <w:uiPriority w:val="39"/>
    <w:rsid w:val="009E372B"/>
    <w:pPr>
      <w:tabs>
        <w:tab w:val="left" w:pos="440"/>
        <w:tab w:val="right" w:leader="dot" w:pos="9072"/>
        <w:tab w:val="right" w:pos="9639"/>
      </w:tabs>
      <w:spacing w:after="120"/>
      <w:ind w:left="1134" w:hanging="567"/>
    </w:pPr>
    <w:rPr>
      <w:lang w:eastAsia="en-US"/>
    </w:rPr>
  </w:style>
  <w:style w:type="paragraph" w:customStyle="1" w:styleId="m-5134751337806674816bulletlist">
    <w:name w:val="m_-5134751337806674816bulletlist"/>
    <w:basedOn w:val="Normal"/>
    <w:rsid w:val="006D204C"/>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6D204C"/>
    <w:rPr>
      <w:sz w:val="16"/>
      <w:lang w:val="en-GB"/>
    </w:rPr>
  </w:style>
  <w:style w:type="character" w:customStyle="1" w:styleId="Heading8Char">
    <w:name w:val="Heading 8 Char"/>
    <w:basedOn w:val="DefaultParagraphFont"/>
    <w:link w:val="Heading8"/>
    <w:rsid w:val="00701840"/>
    <w:rPr>
      <w:lang w:val="en-GB"/>
    </w:rPr>
  </w:style>
  <w:style w:type="paragraph" w:customStyle="1" w:styleId="Body">
    <w:name w:val="Body"/>
    <w:basedOn w:val="Normal"/>
    <w:rsid w:val="00701840"/>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semiHidden/>
    <w:unhideWhenUsed/>
    <w:rsid w:val="00D00971"/>
    <w:rPr>
      <w:sz w:val="16"/>
      <w:szCs w:val="16"/>
    </w:rPr>
  </w:style>
  <w:style w:type="paragraph" w:styleId="CommentText">
    <w:name w:val="annotation text"/>
    <w:basedOn w:val="Normal"/>
    <w:link w:val="CommentTextChar"/>
    <w:unhideWhenUsed/>
    <w:rsid w:val="00D00971"/>
    <w:pPr>
      <w:spacing w:line="240" w:lineRule="auto"/>
    </w:pPr>
  </w:style>
  <w:style w:type="character" w:customStyle="1" w:styleId="CommentTextChar">
    <w:name w:val="Comment Text Char"/>
    <w:basedOn w:val="DefaultParagraphFont"/>
    <w:link w:val="CommentText"/>
    <w:rsid w:val="00D00971"/>
    <w:rPr>
      <w:lang w:val="en-GB"/>
    </w:rPr>
  </w:style>
  <w:style w:type="paragraph" w:styleId="CommentSubject">
    <w:name w:val="annotation subject"/>
    <w:basedOn w:val="CommentText"/>
    <w:next w:val="CommentText"/>
    <w:link w:val="CommentSubjectChar"/>
    <w:semiHidden/>
    <w:unhideWhenUsed/>
    <w:rsid w:val="00D00971"/>
    <w:rPr>
      <w:b/>
      <w:bCs/>
    </w:rPr>
  </w:style>
  <w:style w:type="character" w:customStyle="1" w:styleId="CommentSubjectChar">
    <w:name w:val="Comment Subject Char"/>
    <w:basedOn w:val="CommentTextChar"/>
    <w:link w:val="CommentSubject"/>
    <w:semiHidden/>
    <w:rsid w:val="00D00971"/>
    <w:rPr>
      <w:b/>
      <w:bCs/>
      <w:lang w:val="en-GB"/>
    </w:rPr>
  </w:style>
  <w:style w:type="character" w:customStyle="1" w:styleId="hgkelc">
    <w:name w:val="hgkelc"/>
    <w:basedOn w:val="DefaultParagraphFont"/>
    <w:rsid w:val="007C13EC"/>
  </w:style>
  <w:style w:type="character" w:styleId="Emphasis">
    <w:name w:val="Emphasis"/>
    <w:basedOn w:val="DefaultParagraphFont"/>
    <w:uiPriority w:val="20"/>
    <w:qFormat/>
    <w:rsid w:val="00E262BF"/>
    <w:rPr>
      <w:i/>
      <w:iCs/>
    </w:rPr>
  </w:style>
  <w:style w:type="paragraph" w:styleId="NormalWeb">
    <w:name w:val="Normal (Web)"/>
    <w:basedOn w:val="Normal"/>
    <w:uiPriority w:val="99"/>
    <w:unhideWhenUsed/>
    <w:rsid w:val="00EF369B"/>
    <w:pPr>
      <w:suppressAutoHyphens w:val="0"/>
      <w:spacing w:before="100" w:beforeAutospacing="1" w:after="100" w:afterAutospacing="1" w:line="240" w:lineRule="auto"/>
    </w:pPr>
    <w:rPr>
      <w:sz w:val="24"/>
      <w:szCs w:val="24"/>
      <w:lang w:eastAsia="zh-CN"/>
    </w:rPr>
  </w:style>
  <w:style w:type="paragraph" w:styleId="ListParagraph">
    <w:name w:val="List Paragraph"/>
    <w:basedOn w:val="Normal"/>
    <w:uiPriority w:val="34"/>
    <w:qFormat/>
    <w:rsid w:val="00245FBF"/>
    <w:pPr>
      <w:ind w:left="720"/>
      <w:contextualSpacing/>
    </w:pPr>
    <w:rPr>
      <w:lang w:eastAsia="en-US"/>
    </w:rPr>
  </w:style>
  <w:style w:type="paragraph" w:customStyle="1" w:styleId="Para">
    <w:name w:val="Para"/>
    <w:basedOn w:val="Normal"/>
    <w:qFormat/>
    <w:rsid w:val="00245FBF"/>
    <w:pPr>
      <w:suppressAutoHyphens w:val="0"/>
      <w:spacing w:after="120"/>
      <w:ind w:left="2268" w:right="1134" w:hanging="1134"/>
      <w:jc w:val="both"/>
    </w:pPr>
    <w:rPr>
      <w:lang w:eastAsia="en-US"/>
    </w:rPr>
  </w:style>
  <w:style w:type="character" w:customStyle="1" w:styleId="ui-provider">
    <w:name w:val="ui-provider"/>
    <w:basedOn w:val="DefaultParagraphFont"/>
    <w:rsid w:val="00245FBF"/>
  </w:style>
  <w:style w:type="paragraph" w:customStyle="1" w:styleId="Level1">
    <w:name w:val="Level 1"/>
    <w:basedOn w:val="Normal"/>
    <w:rsid w:val="00245FBF"/>
    <w:pPr>
      <w:widowControl w:val="0"/>
      <w:numPr>
        <w:numId w:val="21"/>
      </w:numPr>
      <w:suppressAutoHyphens w:val="0"/>
      <w:autoSpaceDE w:val="0"/>
      <w:autoSpaceDN w:val="0"/>
      <w:adjustRightInd w:val="0"/>
      <w:spacing w:line="240" w:lineRule="auto"/>
      <w:ind w:left="720" w:hanging="720"/>
      <w:outlineLvl w:val="0"/>
    </w:pPr>
    <w:rPr>
      <w:rFonts w:ascii="Courier New" w:hAnsi="Courier New"/>
      <w:lang w:val="en-US" w:eastAsia="it-IT"/>
    </w:rPr>
  </w:style>
  <w:style w:type="character" w:styleId="UnresolvedMention">
    <w:name w:val="Unresolved Mention"/>
    <w:basedOn w:val="DefaultParagraphFont"/>
    <w:uiPriority w:val="99"/>
    <w:semiHidden/>
    <w:unhideWhenUsed/>
    <w:rsid w:val="00B3067F"/>
    <w:rPr>
      <w:color w:val="605E5C"/>
      <w:shd w:val="clear" w:color="auto" w:fill="E1DFDD"/>
    </w:rPr>
  </w:style>
  <w:style w:type="character" w:customStyle="1" w:styleId="HeaderChar">
    <w:name w:val="Header Char"/>
    <w:aliases w:val="6_G Char"/>
    <w:link w:val="Header"/>
    <w:uiPriority w:val="99"/>
    <w:rsid w:val="00A97021"/>
    <w:rPr>
      <w:b/>
      <w:sz w:val="18"/>
      <w:lang w:val="en-GB"/>
    </w:rPr>
  </w:style>
  <w:style w:type="character" w:customStyle="1" w:styleId="ListLabel10">
    <w:name w:val="ListLabel 10"/>
    <w:uiPriority w:val="99"/>
    <w:rsid w:val="0094021F"/>
  </w:style>
  <w:style w:type="paragraph" w:customStyle="1" w:styleId="Default">
    <w:name w:val="Default"/>
    <w:rsid w:val="004F74CB"/>
    <w:pPr>
      <w:autoSpaceDE w:val="0"/>
      <w:autoSpaceDN w:val="0"/>
      <w:adjustRightInd w:val="0"/>
    </w:pPr>
    <w:rPr>
      <w:color w:val="000000"/>
      <w:sz w:val="24"/>
      <w:szCs w:val="24"/>
      <w:lang w:val="en-GB"/>
    </w:rPr>
  </w:style>
  <w:style w:type="paragraph" w:styleId="Revision">
    <w:name w:val="Revision"/>
    <w:hidden/>
    <w:uiPriority w:val="99"/>
    <w:semiHidden/>
    <w:rsid w:val="001B5E2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49798">
      <w:bodyDiv w:val="1"/>
      <w:marLeft w:val="0"/>
      <w:marRight w:val="0"/>
      <w:marTop w:val="0"/>
      <w:marBottom w:val="0"/>
      <w:divBdr>
        <w:top w:val="none" w:sz="0" w:space="0" w:color="auto"/>
        <w:left w:val="none" w:sz="0" w:space="0" w:color="auto"/>
        <w:bottom w:val="none" w:sz="0" w:space="0" w:color="auto"/>
        <w:right w:val="none" w:sz="0" w:space="0" w:color="auto"/>
      </w:divBdr>
    </w:div>
    <w:div w:id="10967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C901C-D38A-4E75-B3FC-23AF4E4C70C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01AB3E8-8381-4F0C-A8BD-4FE3C650B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160C620-73C7-4625-BCE3-56FE5B554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5969</Characters>
  <Application>Microsoft Office Word</Application>
  <DocSecurity>0</DocSecurity>
  <Lines>125</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ECE/TRANS/WP.29/GRSP/2024/XX</vt:lpstr>
      <vt:lpstr>ECE/TRANS/WP.29/GRSP/2024/XX</vt:lpstr>
      <vt:lpstr/>
    </vt:vector>
  </TitlesOfParts>
  <Company>CSD</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ECE/TRANS/WP.29/GRSP/2024/15</dc:title>
  <dc:subject>2405643</dc:subject>
  <dc:creator>Edoardo Gianotti</dc:creator>
  <cp:keywords/>
  <dc:description/>
  <cp:lastModifiedBy>Pauline Anne Escalante</cp:lastModifiedBy>
  <cp:revision>2</cp:revision>
  <cp:lastPrinted>2024-03-25T13:54:00Z</cp:lastPrinted>
  <dcterms:created xsi:type="dcterms:W3CDTF">2024-03-25T14:26:00Z</dcterms:created>
  <dcterms:modified xsi:type="dcterms:W3CDTF">2024-03-25T14:26:00Z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