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12EB97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EAD491" w14:textId="77777777" w:rsidR="00F35BAF" w:rsidRPr="00DB58B5" w:rsidRDefault="00F35BAF" w:rsidP="00B4120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E9A58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80FB20" w14:textId="56C67106" w:rsidR="00F35BAF" w:rsidRPr="00DB58B5" w:rsidRDefault="00B41209" w:rsidP="00B41209">
            <w:pPr>
              <w:jc w:val="right"/>
            </w:pPr>
            <w:r w:rsidRPr="00B41209">
              <w:rPr>
                <w:sz w:val="40"/>
              </w:rPr>
              <w:t>ECE</w:t>
            </w:r>
            <w:r>
              <w:t>/TRANS/WP.29/GRSP/2024/6</w:t>
            </w:r>
          </w:p>
        </w:tc>
      </w:tr>
      <w:tr w:rsidR="00F35BAF" w:rsidRPr="00DB58B5" w14:paraId="1F3CC80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8ED97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8183EB" wp14:editId="5AAE998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3950A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4BDAFC" w14:textId="77777777" w:rsidR="00F35BAF" w:rsidRDefault="00B4120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D716285" w14:textId="77777777" w:rsidR="00B41209" w:rsidRDefault="00B41209" w:rsidP="00B41209">
            <w:pPr>
              <w:spacing w:line="240" w:lineRule="exact"/>
            </w:pPr>
            <w:r>
              <w:t>18 mars 2024</w:t>
            </w:r>
          </w:p>
          <w:p w14:paraId="53170ABA" w14:textId="77777777" w:rsidR="00B41209" w:rsidRDefault="00B41209" w:rsidP="00B41209">
            <w:pPr>
              <w:spacing w:line="240" w:lineRule="exact"/>
            </w:pPr>
            <w:r>
              <w:t>Français</w:t>
            </w:r>
          </w:p>
          <w:p w14:paraId="50D890EE" w14:textId="3BDEE569" w:rsidR="00B41209" w:rsidRPr="00DB58B5" w:rsidRDefault="00B41209" w:rsidP="00B41209">
            <w:pPr>
              <w:spacing w:line="240" w:lineRule="exact"/>
            </w:pPr>
            <w:r>
              <w:t>Original : anglais</w:t>
            </w:r>
          </w:p>
        </w:tc>
      </w:tr>
    </w:tbl>
    <w:p w14:paraId="79D1F4D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6AB404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91BDA6" w14:textId="30834F00" w:rsidR="00B41209" w:rsidRPr="00B41209" w:rsidRDefault="00B41209" w:rsidP="00B41209">
      <w:pPr>
        <w:spacing w:before="1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41209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B41209">
        <w:rPr>
          <w:b/>
          <w:bCs/>
          <w:sz w:val="24"/>
          <w:szCs w:val="24"/>
          <w:lang w:val="fr-FR"/>
        </w:rPr>
        <w:t>concernant les véhicules</w:t>
      </w:r>
    </w:p>
    <w:p w14:paraId="3A258AC8" w14:textId="77777777" w:rsidR="00B41209" w:rsidRPr="00B41209" w:rsidRDefault="00B41209" w:rsidP="00B41209">
      <w:pPr>
        <w:spacing w:before="120"/>
        <w:rPr>
          <w:rFonts w:asciiTheme="majorBidi" w:hAnsiTheme="majorBidi" w:cstheme="majorBidi"/>
          <w:b/>
          <w:bCs/>
          <w:lang w:val="fr-FR"/>
        </w:rPr>
      </w:pPr>
      <w:r w:rsidRPr="00B41209">
        <w:rPr>
          <w:b/>
          <w:bCs/>
          <w:lang w:val="fr-FR"/>
        </w:rPr>
        <w:t>Groupe de travail de la sécurité passive</w:t>
      </w:r>
    </w:p>
    <w:p w14:paraId="4D49EFB3" w14:textId="77777777" w:rsidR="00B41209" w:rsidRPr="00373E97" w:rsidRDefault="00B41209" w:rsidP="00B41209">
      <w:pPr>
        <w:spacing w:before="120"/>
        <w:rPr>
          <w:rFonts w:asciiTheme="majorBidi" w:hAnsiTheme="majorBidi" w:cstheme="majorBidi"/>
          <w:b/>
          <w:lang w:val="fr-FR"/>
        </w:rPr>
      </w:pPr>
      <w:r w:rsidRPr="00373E97">
        <w:rPr>
          <w:b/>
          <w:bCs/>
          <w:lang w:val="fr-FR"/>
        </w:rPr>
        <w:t>Soixante-quinzième session</w:t>
      </w:r>
    </w:p>
    <w:p w14:paraId="287D8616" w14:textId="77777777" w:rsidR="00B41209" w:rsidRPr="00373E97" w:rsidRDefault="00B41209" w:rsidP="00B41209">
      <w:pPr>
        <w:rPr>
          <w:rFonts w:asciiTheme="majorBidi" w:hAnsiTheme="majorBidi" w:cstheme="majorBidi"/>
          <w:lang w:val="fr-FR"/>
        </w:rPr>
      </w:pPr>
      <w:r w:rsidRPr="00373E97">
        <w:rPr>
          <w:lang w:val="fr-FR"/>
        </w:rPr>
        <w:t>Genève, 27-31 mai 2024</w:t>
      </w:r>
    </w:p>
    <w:p w14:paraId="728DCE95" w14:textId="77777777" w:rsidR="00B41209" w:rsidRPr="00373E97" w:rsidRDefault="00B41209" w:rsidP="00B41209">
      <w:pPr>
        <w:rPr>
          <w:rFonts w:asciiTheme="majorBidi" w:hAnsiTheme="majorBidi" w:cstheme="majorBidi"/>
          <w:lang w:val="fr-FR"/>
        </w:rPr>
      </w:pPr>
      <w:r w:rsidRPr="00373E97">
        <w:rPr>
          <w:lang w:val="fr-FR"/>
        </w:rPr>
        <w:t>Point 7 de l</w:t>
      </w:r>
      <w:r>
        <w:rPr>
          <w:lang w:val="fr-FR"/>
        </w:rPr>
        <w:t>’</w:t>
      </w:r>
      <w:r w:rsidRPr="00373E97">
        <w:rPr>
          <w:lang w:val="fr-FR"/>
        </w:rPr>
        <w:t>ordre du jour provisoire</w:t>
      </w:r>
    </w:p>
    <w:p w14:paraId="453B2D1B" w14:textId="7B185D02" w:rsidR="00B41209" w:rsidRPr="00373E97" w:rsidRDefault="00B41209" w:rsidP="00B41209">
      <w:pPr>
        <w:rPr>
          <w:lang w:val="fr-FR"/>
        </w:rPr>
      </w:pPr>
      <w:r w:rsidRPr="00373E97">
        <w:rPr>
          <w:b/>
          <w:bCs/>
          <w:lang w:val="fr-FR"/>
        </w:rPr>
        <w:t xml:space="preserve">Règlement ONU </w:t>
      </w:r>
      <w:r w:rsidRPr="00B41209">
        <w:rPr>
          <w:rFonts w:eastAsia="MS Mincho"/>
          <w:b/>
          <w:bCs/>
          <w:lang w:val="fr-FR"/>
        </w:rPr>
        <w:t>n</w:t>
      </w:r>
      <w:r w:rsidRPr="00B41209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373E97">
        <w:rPr>
          <w:b/>
          <w:bCs/>
          <w:lang w:val="fr-FR"/>
        </w:rPr>
        <w:t>16 (Ceintures de sécurité)</w:t>
      </w:r>
    </w:p>
    <w:p w14:paraId="0A3E2BC5" w14:textId="7B7D9893" w:rsidR="00B41209" w:rsidRPr="00373E97" w:rsidRDefault="00B41209" w:rsidP="00B41209">
      <w:pPr>
        <w:pStyle w:val="HChG"/>
        <w:rPr>
          <w:lang w:val="fr-FR"/>
        </w:rPr>
      </w:pPr>
      <w:r w:rsidRPr="00373E97">
        <w:rPr>
          <w:lang w:val="fr-FR"/>
        </w:rPr>
        <w:tab/>
      </w:r>
      <w:r w:rsidRPr="00373E97">
        <w:rPr>
          <w:lang w:val="fr-FR"/>
        </w:rPr>
        <w:tab/>
      </w:r>
      <w:r w:rsidRPr="00373E97">
        <w:rPr>
          <w:lang w:val="fr-FR"/>
        </w:rPr>
        <w:tab/>
        <w:t>Proposition de complément 1 à la série [10] d</w:t>
      </w:r>
      <w:r>
        <w:rPr>
          <w:lang w:val="fr-FR"/>
        </w:rPr>
        <w:t>’</w:t>
      </w:r>
      <w:r w:rsidRPr="00373E97">
        <w:rPr>
          <w:lang w:val="fr-FR"/>
        </w:rPr>
        <w:t xml:space="preserve">amendements au Règlement ONU </w:t>
      </w:r>
      <w:r w:rsidR="00F119C5" w:rsidRPr="00F119C5">
        <w:rPr>
          <w:rFonts w:eastAsia="MS Mincho"/>
          <w:lang w:val="fr-FR"/>
        </w:rPr>
        <w:t>n</w:t>
      </w:r>
      <w:r w:rsidR="00F119C5" w:rsidRPr="00F119C5">
        <w:rPr>
          <w:rFonts w:eastAsia="MS Mincho"/>
          <w:vertAlign w:val="superscript"/>
          <w:lang w:val="fr-FR"/>
        </w:rPr>
        <w:t>o</w:t>
      </w:r>
      <w:r w:rsidR="00F119C5">
        <w:rPr>
          <w:lang w:val="fr-FR"/>
        </w:rPr>
        <w:t> </w:t>
      </w:r>
      <w:r w:rsidRPr="00373E97">
        <w:rPr>
          <w:lang w:val="fr-FR"/>
        </w:rPr>
        <w:t xml:space="preserve">16 (Ceintures de sécurité) </w:t>
      </w:r>
    </w:p>
    <w:p w14:paraId="0E21D892" w14:textId="134798EB" w:rsidR="00B41209" w:rsidRPr="00373E97" w:rsidRDefault="00B41209" w:rsidP="00B41209">
      <w:pPr>
        <w:pStyle w:val="HChG"/>
        <w:rPr>
          <w:lang w:val="fr-FR"/>
        </w:rPr>
      </w:pPr>
      <w:r w:rsidRPr="00373E97">
        <w:rPr>
          <w:lang w:val="fr-FR"/>
        </w:rPr>
        <w:tab/>
      </w:r>
      <w:r w:rsidRPr="00373E97">
        <w:rPr>
          <w:lang w:val="fr-FR"/>
        </w:rPr>
        <w:tab/>
        <w:t>Communication de l</w:t>
      </w:r>
      <w:r>
        <w:rPr>
          <w:lang w:val="fr-FR"/>
        </w:rPr>
        <w:t>’</w:t>
      </w:r>
      <w:r w:rsidRPr="00373E97">
        <w:rPr>
          <w:lang w:val="fr-FR"/>
        </w:rPr>
        <w:t>expert de l</w:t>
      </w:r>
      <w:r>
        <w:rPr>
          <w:lang w:val="fr-FR"/>
        </w:rPr>
        <w:t>’</w:t>
      </w:r>
      <w:r w:rsidRPr="00373E97">
        <w:rPr>
          <w:lang w:val="fr-FR"/>
        </w:rPr>
        <w:t>Allemagne</w:t>
      </w:r>
      <w:r w:rsidRPr="00B41209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2"/>
        <w:t>*</w:t>
      </w:r>
      <w:r w:rsidRPr="00B41209">
        <w:rPr>
          <w:sz w:val="20"/>
          <w:vertAlign w:val="superscript"/>
          <w:lang w:val="fr-FR"/>
        </w:rPr>
        <w:t>,</w:t>
      </w:r>
      <w:r>
        <w:rPr>
          <w:sz w:val="20"/>
          <w:szCs w:val="24"/>
          <w:lang w:val="fr-FR"/>
        </w:rPr>
        <w:t xml:space="preserve"> </w:t>
      </w:r>
      <w:r w:rsidRPr="00B41209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3"/>
        <w:t>**</w:t>
      </w:r>
    </w:p>
    <w:p w14:paraId="437E0EC3" w14:textId="16817116" w:rsidR="00B41209" w:rsidRDefault="00B41209" w:rsidP="00B41209">
      <w:pPr>
        <w:pStyle w:val="SingleTxtG"/>
        <w:ind w:firstLine="567"/>
        <w:rPr>
          <w:szCs w:val="23"/>
          <w:lang w:val="fr-FR"/>
        </w:rPr>
      </w:pPr>
      <w:r w:rsidRPr="00373E97">
        <w:rPr>
          <w:lang w:val="fr-FR"/>
        </w:rPr>
        <w:t>Le texte ci-après, établi par l</w:t>
      </w:r>
      <w:r>
        <w:rPr>
          <w:lang w:val="fr-FR"/>
        </w:rPr>
        <w:t>’</w:t>
      </w:r>
      <w:r w:rsidRPr="00373E97">
        <w:rPr>
          <w:lang w:val="fr-FR"/>
        </w:rPr>
        <w:t>expert de l</w:t>
      </w:r>
      <w:r>
        <w:rPr>
          <w:lang w:val="fr-FR"/>
        </w:rPr>
        <w:t>’</w:t>
      </w:r>
      <w:r w:rsidRPr="00373E97">
        <w:rPr>
          <w:lang w:val="fr-FR"/>
        </w:rPr>
        <w:t>Allemagne, vise à préciser les modalités de réalisation de l</w:t>
      </w:r>
      <w:r>
        <w:rPr>
          <w:lang w:val="fr-FR"/>
        </w:rPr>
        <w:t>’</w:t>
      </w:r>
      <w:r w:rsidRPr="00373E97">
        <w:rPr>
          <w:lang w:val="fr-FR"/>
        </w:rPr>
        <w:t>essai d</w:t>
      </w:r>
      <w:r>
        <w:rPr>
          <w:lang w:val="fr-FR"/>
        </w:rPr>
        <w:t>’</w:t>
      </w:r>
      <w:r w:rsidRPr="00373E97">
        <w:rPr>
          <w:lang w:val="fr-FR"/>
        </w:rPr>
        <w:t xml:space="preserve">ouverture de la boucle prescrit au paragraphe 7.8 du Règlement ONU </w:t>
      </w:r>
      <w:r w:rsidR="00F119C5" w:rsidRPr="00F119C5">
        <w:rPr>
          <w:rFonts w:eastAsia="MS Mincho"/>
          <w:lang w:val="fr-FR"/>
        </w:rPr>
        <w:t>n</w:t>
      </w:r>
      <w:r w:rsidR="00F119C5" w:rsidRPr="00F119C5">
        <w:rPr>
          <w:rFonts w:eastAsia="MS Mincho"/>
          <w:vertAlign w:val="superscript"/>
          <w:lang w:val="fr-FR"/>
        </w:rPr>
        <w:t>o</w:t>
      </w:r>
      <w:r w:rsidR="00F119C5">
        <w:rPr>
          <w:lang w:val="fr-FR"/>
        </w:rPr>
        <w:t> </w:t>
      </w:r>
      <w:r w:rsidRPr="00373E97">
        <w:rPr>
          <w:lang w:val="fr-FR"/>
        </w:rPr>
        <w:t>16. Il est fondé sur le document informel GRSP-74-31 distribué à la soixante</w:t>
      </w:r>
      <w:r w:rsidR="003559E6">
        <w:rPr>
          <w:lang w:val="fr-FR"/>
        </w:rPr>
        <w:noBreakHyphen/>
      </w:r>
      <w:r w:rsidRPr="00373E97">
        <w:rPr>
          <w:lang w:val="fr-FR"/>
        </w:rPr>
        <w:t>quatorzième session du Groupe de travail de la sécurité passive (GRSP) (voir ECE/TRANS/WP.29/</w:t>
      </w:r>
      <w:r w:rsidR="003559E6">
        <w:rPr>
          <w:lang w:val="fr-FR"/>
        </w:rPr>
        <w:t xml:space="preserve"> </w:t>
      </w:r>
      <w:r w:rsidRPr="00373E97">
        <w:rPr>
          <w:lang w:val="fr-FR"/>
        </w:rPr>
        <w:t>GRSP/74, par</w:t>
      </w:r>
      <w:r w:rsidR="00F119C5">
        <w:rPr>
          <w:lang w:val="fr-FR"/>
        </w:rPr>
        <w:t>. </w:t>
      </w:r>
      <w:r w:rsidRPr="00373E97">
        <w:rPr>
          <w:lang w:val="fr-FR"/>
        </w:rPr>
        <w:t>18). Les modifications qu</w:t>
      </w:r>
      <w:r>
        <w:rPr>
          <w:lang w:val="fr-FR"/>
        </w:rPr>
        <w:t>’</w:t>
      </w:r>
      <w:r w:rsidRPr="00373E97">
        <w:rPr>
          <w:lang w:val="fr-FR"/>
        </w:rPr>
        <w:t>il est proposé d</w:t>
      </w:r>
      <w:r>
        <w:rPr>
          <w:lang w:val="fr-FR"/>
        </w:rPr>
        <w:t>’</w:t>
      </w:r>
      <w:r w:rsidRPr="00373E97">
        <w:rPr>
          <w:lang w:val="fr-FR"/>
        </w:rPr>
        <w:t>apporter au texte actuel existant du Règlement ONU figurent en caractères gras pour les ajouts et biffés pour les suppressions.</w:t>
      </w:r>
      <w:bookmarkStart w:id="0" w:name="_Hlk152350532"/>
      <w:bookmarkEnd w:id="0"/>
    </w:p>
    <w:p w14:paraId="560931BF" w14:textId="77777777" w:rsidR="00B41209" w:rsidRPr="00373E97" w:rsidRDefault="00B41209" w:rsidP="00B41209">
      <w:pPr>
        <w:pStyle w:val="SingleTxtG"/>
        <w:ind w:firstLine="567"/>
        <w:rPr>
          <w:szCs w:val="23"/>
          <w:lang w:val="fr-FR"/>
        </w:rPr>
      </w:pPr>
    </w:p>
    <w:p w14:paraId="39C63D3C" w14:textId="77777777" w:rsidR="00B41209" w:rsidRPr="00373E97" w:rsidRDefault="00B41209" w:rsidP="00B41209">
      <w:pPr>
        <w:suppressAutoHyphens w:val="0"/>
        <w:spacing w:line="240" w:lineRule="auto"/>
        <w:rPr>
          <w:lang w:val="fr-FR"/>
        </w:rPr>
      </w:pPr>
      <w:r w:rsidRPr="00373E97">
        <w:rPr>
          <w:lang w:val="fr-FR"/>
        </w:rPr>
        <w:br w:type="page"/>
      </w:r>
    </w:p>
    <w:p w14:paraId="05280044" w14:textId="3E623D48" w:rsidR="00B41209" w:rsidRPr="00373E97" w:rsidRDefault="00B41209" w:rsidP="00B41209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373E97">
        <w:rPr>
          <w:lang w:val="fr-FR"/>
        </w:rPr>
        <w:t>I.</w:t>
      </w:r>
      <w:r w:rsidRPr="00373E97">
        <w:rPr>
          <w:lang w:val="fr-FR"/>
        </w:rPr>
        <w:tab/>
        <w:t>Proposition</w:t>
      </w:r>
    </w:p>
    <w:p w14:paraId="6A9EDF88" w14:textId="77777777" w:rsidR="00B41209" w:rsidRPr="00373E97" w:rsidRDefault="00B41209" w:rsidP="003559E6">
      <w:pPr>
        <w:pStyle w:val="SingleTxtG"/>
        <w:keepNext/>
        <w:rPr>
          <w:lang w:val="fr-FR"/>
        </w:rPr>
      </w:pPr>
      <w:r w:rsidRPr="00B41209">
        <w:rPr>
          <w:i/>
          <w:iCs/>
          <w:lang w:val="fr-FR"/>
        </w:rPr>
        <w:t>Paragraphe 7.8.2</w:t>
      </w:r>
      <w:r w:rsidRPr="00373E97">
        <w:rPr>
          <w:lang w:val="fr-FR"/>
        </w:rPr>
        <w:t>, lire :</w:t>
      </w:r>
    </w:p>
    <w:p w14:paraId="6BF25266" w14:textId="05032B1E" w:rsidR="00B41209" w:rsidRPr="00373E97" w:rsidRDefault="00572290" w:rsidP="00B4120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B41209" w:rsidRPr="00373E97">
        <w:rPr>
          <w:lang w:val="fr-FR"/>
        </w:rPr>
        <w:t>7.8.2</w:t>
      </w:r>
      <w:r w:rsidR="00B41209" w:rsidRPr="00373E97">
        <w:rPr>
          <w:lang w:val="fr-FR"/>
        </w:rPr>
        <w:tab/>
        <w:t>La ceinture est démontée du chariot d</w:t>
      </w:r>
      <w:r w:rsidR="00B41209">
        <w:rPr>
          <w:lang w:val="fr-FR"/>
        </w:rPr>
        <w:t>’</w:t>
      </w:r>
      <w:r w:rsidR="00B41209" w:rsidRPr="00373E97">
        <w:rPr>
          <w:lang w:val="fr-FR"/>
        </w:rPr>
        <w:t>essai sans que la boucle soit ouverte.</w:t>
      </w:r>
    </w:p>
    <w:p w14:paraId="4A5005C5" w14:textId="77777777" w:rsidR="00B41209" w:rsidRPr="00373E97" w:rsidRDefault="00B41209" w:rsidP="00B41209">
      <w:pPr>
        <w:pStyle w:val="SingleTxtG"/>
        <w:ind w:left="2268"/>
        <w:rPr>
          <w:lang w:val="fr-FR"/>
        </w:rPr>
      </w:pPr>
      <w:r w:rsidRPr="00373E97">
        <w:rPr>
          <w:b/>
          <w:bCs/>
          <w:lang w:val="fr-FR"/>
        </w:rPr>
        <w:t>Dans le cas d</w:t>
      </w:r>
      <w:r>
        <w:rPr>
          <w:b/>
          <w:bCs/>
          <w:lang w:val="fr-FR"/>
        </w:rPr>
        <w:t>’</w:t>
      </w:r>
      <w:r w:rsidRPr="00373E97">
        <w:rPr>
          <w:b/>
          <w:bCs/>
          <w:lang w:val="fr-FR"/>
        </w:rPr>
        <w:t xml:space="preserve">une ceinture abdominale à deux points, </w:t>
      </w:r>
      <w:proofErr w:type="spellStart"/>
      <w:r w:rsidRPr="00373E97">
        <w:rPr>
          <w:strike/>
          <w:lang w:val="fr-FR"/>
        </w:rPr>
        <w:t>O</w:t>
      </w:r>
      <w:r w:rsidRPr="00373E97">
        <w:rPr>
          <w:b/>
          <w:bCs/>
          <w:lang w:val="fr-FR"/>
        </w:rPr>
        <w:t>o</w:t>
      </w:r>
      <w:r w:rsidRPr="00373E97">
        <w:rPr>
          <w:lang w:val="fr-FR"/>
        </w:rPr>
        <w:t>n</w:t>
      </w:r>
      <w:proofErr w:type="spellEnd"/>
      <w:r w:rsidRPr="00373E97">
        <w:rPr>
          <w:lang w:val="fr-FR"/>
        </w:rPr>
        <w:t xml:space="preserve"> appliquera </w:t>
      </w:r>
      <w:r w:rsidRPr="00373E97">
        <w:rPr>
          <w:strike/>
          <w:lang w:val="fr-FR"/>
        </w:rPr>
        <w:t xml:space="preserve">sur </w:t>
      </w:r>
      <w:r w:rsidRPr="00373E97">
        <w:rPr>
          <w:b/>
          <w:bCs/>
          <w:lang w:val="fr-FR"/>
        </w:rPr>
        <w:t>de chaque côt</w:t>
      </w:r>
      <w:r>
        <w:rPr>
          <w:b/>
          <w:bCs/>
          <w:lang w:val="fr-FR"/>
        </w:rPr>
        <w:t>é</w:t>
      </w:r>
      <w:r w:rsidRPr="00373E97">
        <w:rPr>
          <w:b/>
          <w:bCs/>
          <w:lang w:val="fr-FR"/>
        </w:rPr>
        <w:t xml:space="preserve"> de</w:t>
      </w:r>
      <w:r w:rsidRPr="00373E97">
        <w:rPr>
          <w:lang w:val="fr-FR"/>
        </w:rPr>
        <w:t xml:space="preserve"> la boucle, par l</w:t>
      </w:r>
      <w:r>
        <w:rPr>
          <w:lang w:val="fr-FR"/>
        </w:rPr>
        <w:t>’</w:t>
      </w:r>
      <w:r w:rsidRPr="00373E97">
        <w:rPr>
          <w:lang w:val="fr-FR"/>
        </w:rPr>
        <w:t xml:space="preserve">intermédiaire </w:t>
      </w:r>
      <w:r w:rsidRPr="00373E97">
        <w:rPr>
          <w:b/>
          <w:bCs/>
          <w:lang w:val="fr-FR"/>
        </w:rPr>
        <w:t xml:space="preserve">des </w:t>
      </w:r>
      <w:r w:rsidRPr="00373E97">
        <w:rPr>
          <w:strike/>
          <w:lang w:val="fr-FR"/>
        </w:rPr>
        <w:t xml:space="preserve">de toutes les </w:t>
      </w:r>
      <w:r w:rsidRPr="00373E97">
        <w:rPr>
          <w:lang w:val="fr-FR"/>
        </w:rPr>
        <w:t xml:space="preserve">sangles reliées à celle-ci, une charge telle que </w:t>
      </w:r>
      <w:r w:rsidRPr="00373E97">
        <w:rPr>
          <w:strike/>
          <w:lang w:val="fr-FR"/>
        </w:rPr>
        <w:t xml:space="preserve">chaque </w:t>
      </w:r>
      <w:r w:rsidRPr="00373E97">
        <w:rPr>
          <w:b/>
          <w:bCs/>
          <w:lang w:val="fr-FR"/>
        </w:rPr>
        <w:t>chacune des deux</w:t>
      </w:r>
      <w:r w:rsidRPr="00373E97">
        <w:rPr>
          <w:lang w:val="fr-FR"/>
        </w:rPr>
        <w:t xml:space="preserve"> sangle</w:t>
      </w:r>
      <w:r w:rsidRPr="00373E97">
        <w:rPr>
          <w:b/>
          <w:bCs/>
          <w:lang w:val="fr-FR"/>
        </w:rPr>
        <w:t>s</w:t>
      </w:r>
      <w:r w:rsidRPr="00373E97">
        <w:rPr>
          <w:lang w:val="fr-FR"/>
        </w:rPr>
        <w:t xml:space="preserve"> soit soumise à un effort de </w:t>
      </w:r>
      <w:r w:rsidRPr="00373E97">
        <w:rPr>
          <w:b/>
          <w:bCs/>
          <w:lang w:val="fr-FR"/>
        </w:rPr>
        <w:t xml:space="preserve">30 </w:t>
      </w:r>
      <w:r w:rsidRPr="00373E97">
        <w:rPr>
          <w:lang w:val="fr-FR"/>
        </w:rPr>
        <w:t xml:space="preserve">daN. </w:t>
      </w:r>
      <w:r w:rsidRPr="00373E97">
        <w:rPr>
          <w:strike/>
          <w:lang w:val="fr-FR"/>
        </w:rPr>
        <w:t>(On entend par n le nombre de sangles reliées à la boucle lorsqu</w:t>
      </w:r>
      <w:r>
        <w:rPr>
          <w:strike/>
          <w:lang w:val="fr-FR"/>
        </w:rPr>
        <w:t>’</w:t>
      </w:r>
      <w:r w:rsidRPr="00373E97">
        <w:rPr>
          <w:strike/>
          <w:lang w:val="fr-FR"/>
        </w:rPr>
        <w:t>elle est en position verrouillée.)</w:t>
      </w:r>
    </w:p>
    <w:p w14:paraId="7AFA3400" w14:textId="77777777" w:rsidR="00B41209" w:rsidRPr="00373E97" w:rsidRDefault="00B41209" w:rsidP="00B41209">
      <w:pPr>
        <w:pStyle w:val="SingleTxtG"/>
        <w:ind w:left="2268"/>
        <w:rPr>
          <w:b/>
          <w:bCs/>
          <w:lang w:val="fr-FR"/>
        </w:rPr>
      </w:pPr>
      <w:r w:rsidRPr="00373E97">
        <w:rPr>
          <w:b/>
          <w:bCs/>
          <w:lang w:val="fr-FR"/>
        </w:rPr>
        <w:t>Dans le cas d</w:t>
      </w:r>
      <w:r>
        <w:rPr>
          <w:b/>
          <w:bCs/>
          <w:lang w:val="fr-FR"/>
        </w:rPr>
        <w:t>’</w:t>
      </w:r>
      <w:r w:rsidRPr="00373E97">
        <w:rPr>
          <w:b/>
          <w:bCs/>
          <w:lang w:val="fr-FR"/>
        </w:rPr>
        <w:t>une ceinture à trois points, la sangle supérieure et la sangle inférieure de la partie diagonale de la ceinture doivent être maintenues l</w:t>
      </w:r>
      <w:r>
        <w:rPr>
          <w:b/>
          <w:bCs/>
          <w:lang w:val="fr-FR"/>
        </w:rPr>
        <w:t>’</w:t>
      </w:r>
      <w:r w:rsidRPr="00373E97">
        <w:rPr>
          <w:b/>
          <w:bCs/>
          <w:lang w:val="fr-FR"/>
        </w:rPr>
        <w:t>une contre l</w:t>
      </w:r>
      <w:r>
        <w:rPr>
          <w:b/>
          <w:bCs/>
          <w:lang w:val="fr-FR"/>
        </w:rPr>
        <w:t>’</w:t>
      </w:r>
      <w:r w:rsidRPr="00373E97">
        <w:rPr>
          <w:b/>
          <w:bCs/>
          <w:lang w:val="fr-FR"/>
        </w:rPr>
        <w:t>autre, de sorte que les deux sangles soient soumises ensemble à un effort de 30 daN.</w:t>
      </w:r>
    </w:p>
    <w:p w14:paraId="6BA9D13E" w14:textId="77777777" w:rsidR="00B41209" w:rsidRPr="00373E97" w:rsidRDefault="00B41209" w:rsidP="00B41209">
      <w:pPr>
        <w:pStyle w:val="SingleTxtG"/>
        <w:ind w:left="2268"/>
        <w:rPr>
          <w:b/>
          <w:bCs/>
          <w:lang w:val="fr-FR"/>
        </w:rPr>
      </w:pPr>
      <w:r w:rsidRPr="008D5AFF">
        <w:rPr>
          <w:b/>
          <w:bCs/>
          <w:lang w:val="fr-FR"/>
        </w:rPr>
        <w:t>Les ceintures de type S doivent être soumises à essai en fonction de leur géométrie, de manière analogue aux procédures susmentionnées, les forces appliquées devant être arrêtées par le fabricant et le service technique de manière à simuler un effort similaire au niveau de la boucle.</w:t>
      </w:r>
      <w:r w:rsidRPr="00373E97">
        <w:rPr>
          <w:lang w:val="fr-FR"/>
        </w:rPr>
        <w:t xml:space="preserve"> </w:t>
      </w:r>
      <w:r w:rsidRPr="00373E97">
        <w:rPr>
          <w:b/>
          <w:bCs/>
          <w:lang w:val="fr-FR"/>
        </w:rPr>
        <w:t>Si la ceinture comporte une sangle d</w:t>
      </w:r>
      <w:r>
        <w:rPr>
          <w:b/>
          <w:bCs/>
          <w:lang w:val="fr-FR"/>
        </w:rPr>
        <w:t>’</w:t>
      </w:r>
      <w:r w:rsidRPr="00373E97">
        <w:rPr>
          <w:b/>
          <w:bCs/>
          <w:lang w:val="fr-FR"/>
        </w:rPr>
        <w:t>entrejambe supplémentaire, celle-ci ne doit pas être prise en compte pour cet essai.</w:t>
      </w:r>
    </w:p>
    <w:p w14:paraId="6CCD316E" w14:textId="2C2EBF2A" w:rsidR="00B41209" w:rsidRPr="00373E97" w:rsidRDefault="00B41209" w:rsidP="00B41209">
      <w:pPr>
        <w:pStyle w:val="SingleTxtG"/>
        <w:ind w:left="2268"/>
        <w:rPr>
          <w:b/>
          <w:bCs/>
          <w:szCs w:val="16"/>
          <w:lang w:val="fr-FR"/>
        </w:rPr>
      </w:pPr>
      <w:r w:rsidRPr="00373E97">
        <w:rPr>
          <w:lang w:val="fr-FR"/>
        </w:rPr>
        <w:t>Dans le cas où la boucle est reliée à une partie rigide, on appliquera l</w:t>
      </w:r>
      <w:r>
        <w:rPr>
          <w:lang w:val="fr-FR"/>
        </w:rPr>
        <w:t>’</w:t>
      </w:r>
      <w:r w:rsidRPr="00373E97">
        <w:rPr>
          <w:lang w:val="fr-FR"/>
        </w:rPr>
        <w:t>effort en respectant l</w:t>
      </w:r>
      <w:r>
        <w:rPr>
          <w:lang w:val="fr-FR"/>
        </w:rPr>
        <w:t>’</w:t>
      </w:r>
      <w:r w:rsidRPr="00373E97">
        <w:rPr>
          <w:lang w:val="fr-FR"/>
        </w:rPr>
        <w:t>angle formé par la boucle et le brin rigide lors de l</w:t>
      </w:r>
      <w:r>
        <w:rPr>
          <w:lang w:val="fr-FR"/>
        </w:rPr>
        <w:t>’</w:t>
      </w:r>
      <w:r w:rsidRPr="00373E97">
        <w:rPr>
          <w:lang w:val="fr-FR"/>
        </w:rPr>
        <w:t>essai dynamique. Une charge est appliquée à la vitesse de 400</w:t>
      </w:r>
      <w:r w:rsidR="003559E6">
        <w:rPr>
          <w:lang w:val="fr-FR"/>
        </w:rPr>
        <w:t> </w:t>
      </w:r>
      <w:r w:rsidR="003559E6">
        <w:rPr>
          <w:lang w:val="fr-FR"/>
        </w:rPr>
        <w:sym w:font="Symbol" w:char="F0B1"/>
      </w:r>
      <w:r w:rsidRPr="00373E97">
        <w:rPr>
          <w:lang w:val="fr-FR"/>
        </w:rPr>
        <w:t xml:space="preserve"> 20</w:t>
      </w:r>
      <w:r w:rsidR="003559E6">
        <w:rPr>
          <w:lang w:val="fr-FR"/>
        </w:rPr>
        <w:t> </w:t>
      </w:r>
      <w:r w:rsidRPr="00373E97">
        <w:rPr>
          <w:lang w:val="fr-FR"/>
        </w:rPr>
        <w:t>mm/min au centre géométrique du bouton commandant l</w:t>
      </w:r>
      <w:r>
        <w:rPr>
          <w:lang w:val="fr-FR"/>
        </w:rPr>
        <w:t>’</w:t>
      </w:r>
      <w:r w:rsidRPr="00373E97">
        <w:rPr>
          <w:lang w:val="fr-FR"/>
        </w:rPr>
        <w:t>ouverture de la boucle suivant un axe constant parallèle au mouvement initial du bouton. Pendant l</w:t>
      </w:r>
      <w:r>
        <w:rPr>
          <w:lang w:val="fr-FR"/>
        </w:rPr>
        <w:t>’</w:t>
      </w:r>
      <w:r w:rsidRPr="00373E97">
        <w:rPr>
          <w:lang w:val="fr-FR"/>
        </w:rPr>
        <w:t>application de l</w:t>
      </w:r>
      <w:r>
        <w:rPr>
          <w:lang w:val="fr-FR"/>
        </w:rPr>
        <w:t>’</w:t>
      </w:r>
      <w:r w:rsidRPr="00373E97">
        <w:rPr>
          <w:lang w:val="fr-FR"/>
        </w:rPr>
        <w:t>effort d</w:t>
      </w:r>
      <w:r>
        <w:rPr>
          <w:lang w:val="fr-FR"/>
        </w:rPr>
        <w:t>’</w:t>
      </w:r>
      <w:r w:rsidRPr="00373E97">
        <w:rPr>
          <w:lang w:val="fr-FR"/>
        </w:rPr>
        <w:t>ouverture, la boucle sera maintenue par un support rigide. La</w:t>
      </w:r>
      <w:r w:rsidR="003559E6">
        <w:rPr>
          <w:lang w:val="fr-FR"/>
        </w:rPr>
        <w:t> </w:t>
      </w:r>
      <w:r w:rsidRPr="00373E97">
        <w:rPr>
          <w:lang w:val="fr-FR"/>
        </w:rPr>
        <w:t>charge normale visée ci-dessus ne doit pas dépasser la limite indiquée au paragraphe</w:t>
      </w:r>
      <w:r w:rsidR="003559E6">
        <w:rPr>
          <w:lang w:val="fr-FR"/>
        </w:rPr>
        <w:t> </w:t>
      </w:r>
      <w:r w:rsidRPr="00373E97">
        <w:rPr>
          <w:lang w:val="fr-FR"/>
        </w:rPr>
        <w:t>6.2.2.5. Le point de contact de l</w:t>
      </w:r>
      <w:r>
        <w:rPr>
          <w:lang w:val="fr-FR"/>
        </w:rPr>
        <w:t>’</w:t>
      </w:r>
      <w:r w:rsidRPr="00373E97">
        <w:rPr>
          <w:lang w:val="fr-FR"/>
        </w:rPr>
        <w:t>appareillage d</w:t>
      </w:r>
      <w:r>
        <w:rPr>
          <w:lang w:val="fr-FR"/>
        </w:rPr>
        <w:t>’</w:t>
      </w:r>
      <w:r w:rsidRPr="00373E97">
        <w:rPr>
          <w:lang w:val="fr-FR"/>
        </w:rPr>
        <w:t>essai doit être de forme sphérique, d</w:t>
      </w:r>
      <w:r>
        <w:rPr>
          <w:lang w:val="fr-FR"/>
        </w:rPr>
        <w:t>’</w:t>
      </w:r>
      <w:r w:rsidRPr="00373E97">
        <w:rPr>
          <w:lang w:val="fr-FR"/>
        </w:rPr>
        <w:t>un rayon de 2,5</w:t>
      </w:r>
      <w:r w:rsidR="003559E6">
        <w:rPr>
          <w:lang w:val="fr-FR"/>
        </w:rPr>
        <w:t> </w:t>
      </w:r>
      <w:r w:rsidR="003559E6">
        <w:rPr>
          <w:lang w:val="fr-FR"/>
        </w:rPr>
        <w:sym w:font="Symbol" w:char="F0B1"/>
      </w:r>
      <w:r w:rsidRPr="00373E97">
        <w:rPr>
          <w:lang w:val="fr-FR"/>
        </w:rPr>
        <w:t xml:space="preserve"> 0,1 </w:t>
      </w:r>
      <w:proofErr w:type="spellStart"/>
      <w:r w:rsidRPr="00373E97">
        <w:rPr>
          <w:lang w:val="fr-FR"/>
        </w:rPr>
        <w:t>mm.</w:t>
      </w:r>
      <w:proofErr w:type="spellEnd"/>
      <w:r w:rsidRPr="00373E97">
        <w:rPr>
          <w:lang w:val="fr-FR"/>
        </w:rPr>
        <w:t xml:space="preserve"> Il doit présenter une surface métallique polie.</w:t>
      </w:r>
      <w:r w:rsidR="003559E6">
        <w:rPr>
          <w:lang w:val="fr-FR"/>
        </w:rPr>
        <w:t> »</w:t>
      </w:r>
      <w:r w:rsidRPr="00373E97">
        <w:rPr>
          <w:lang w:val="fr-FR"/>
        </w:rPr>
        <w:t xml:space="preserve">. </w:t>
      </w:r>
    </w:p>
    <w:p w14:paraId="16EE372F" w14:textId="6E7B1D01" w:rsidR="00B41209" w:rsidRPr="00373E97" w:rsidRDefault="00B41209" w:rsidP="00B41209">
      <w:pPr>
        <w:pStyle w:val="HChG"/>
        <w:rPr>
          <w:snapToGrid w:val="0"/>
          <w:lang w:val="fr-FR"/>
        </w:rPr>
      </w:pPr>
      <w:r>
        <w:rPr>
          <w:lang w:val="fr-FR"/>
        </w:rPr>
        <w:tab/>
      </w:r>
      <w:r w:rsidRPr="00373E97">
        <w:rPr>
          <w:lang w:val="fr-FR"/>
        </w:rPr>
        <w:t>II.</w:t>
      </w:r>
      <w:r w:rsidRPr="00373E97">
        <w:rPr>
          <w:lang w:val="fr-FR"/>
        </w:rPr>
        <w:tab/>
        <w:t>Justification</w:t>
      </w:r>
    </w:p>
    <w:p w14:paraId="22356C06" w14:textId="7D5C7733" w:rsidR="00F9573C" w:rsidRDefault="00B41209" w:rsidP="00B41209">
      <w:pPr>
        <w:pStyle w:val="SingleTxtG"/>
        <w:ind w:firstLine="567"/>
        <w:rPr>
          <w:lang w:val="fr-FR"/>
        </w:rPr>
      </w:pPr>
      <w:r w:rsidRPr="00373E97">
        <w:rPr>
          <w:lang w:val="fr-FR"/>
        </w:rPr>
        <w:t>La présente proposition vise à préciser les modalités de réalisation de l</w:t>
      </w:r>
      <w:r>
        <w:rPr>
          <w:lang w:val="fr-FR"/>
        </w:rPr>
        <w:t>’</w:t>
      </w:r>
      <w:r w:rsidRPr="00373E97">
        <w:rPr>
          <w:lang w:val="fr-FR"/>
        </w:rPr>
        <w:t>essai d</w:t>
      </w:r>
      <w:r>
        <w:rPr>
          <w:lang w:val="fr-FR"/>
        </w:rPr>
        <w:t>’</w:t>
      </w:r>
      <w:r w:rsidRPr="00373E97">
        <w:rPr>
          <w:lang w:val="fr-FR"/>
        </w:rPr>
        <w:t>ouverture de la boucle, qui doit simuler l</w:t>
      </w:r>
      <w:r>
        <w:rPr>
          <w:lang w:val="fr-FR"/>
        </w:rPr>
        <w:t>’</w:t>
      </w:r>
      <w:r w:rsidRPr="00373E97">
        <w:rPr>
          <w:lang w:val="fr-FR"/>
        </w:rPr>
        <w:t>effort causé par un corps d</w:t>
      </w:r>
      <w:r>
        <w:rPr>
          <w:lang w:val="fr-FR"/>
        </w:rPr>
        <w:t>’</w:t>
      </w:r>
      <w:r w:rsidRPr="00373E97">
        <w:rPr>
          <w:lang w:val="fr-FR"/>
        </w:rPr>
        <w:t>un poids de 60</w:t>
      </w:r>
      <w:r w:rsidR="003559E6">
        <w:rPr>
          <w:lang w:val="fr-FR"/>
        </w:rPr>
        <w:t> </w:t>
      </w:r>
      <w:r w:rsidRPr="00373E97">
        <w:rPr>
          <w:lang w:val="fr-FR"/>
        </w:rPr>
        <w:t>kg, comme décrit au paragraphe 7.8 du Règlement ONU.</w:t>
      </w:r>
    </w:p>
    <w:p w14:paraId="7ABA2E98" w14:textId="6723DCEA" w:rsidR="003559E6" w:rsidRPr="003559E6" w:rsidRDefault="003559E6" w:rsidP="003559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59E6" w:rsidRPr="003559E6" w:rsidSect="00B412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1646" w14:textId="77777777" w:rsidR="00E56334" w:rsidRDefault="00E56334" w:rsidP="00F95C08">
      <w:pPr>
        <w:spacing w:line="240" w:lineRule="auto"/>
      </w:pPr>
    </w:p>
  </w:endnote>
  <w:endnote w:type="continuationSeparator" w:id="0">
    <w:p w14:paraId="18E4BA05" w14:textId="77777777" w:rsidR="00E56334" w:rsidRPr="00AC3823" w:rsidRDefault="00E56334" w:rsidP="00AC3823">
      <w:pPr>
        <w:pStyle w:val="Pieddepage"/>
      </w:pPr>
    </w:p>
  </w:endnote>
  <w:endnote w:type="continuationNotice" w:id="1">
    <w:p w14:paraId="1EFA48A4" w14:textId="77777777" w:rsidR="00E56334" w:rsidRDefault="00E563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8DB5" w14:textId="5DCE81DB" w:rsidR="00B41209" w:rsidRPr="00B41209" w:rsidRDefault="00B41209" w:rsidP="00B41209">
    <w:pPr>
      <w:pStyle w:val="Pieddepage"/>
      <w:tabs>
        <w:tab w:val="right" w:pos="9638"/>
      </w:tabs>
    </w:pPr>
    <w:r w:rsidRPr="00B41209">
      <w:rPr>
        <w:b/>
        <w:sz w:val="18"/>
      </w:rPr>
      <w:fldChar w:fldCharType="begin"/>
    </w:r>
    <w:r w:rsidRPr="00B41209">
      <w:rPr>
        <w:b/>
        <w:sz w:val="18"/>
      </w:rPr>
      <w:instrText xml:space="preserve"> PAGE  \* MERGEFORMAT </w:instrText>
    </w:r>
    <w:r w:rsidRPr="00B41209">
      <w:rPr>
        <w:b/>
        <w:sz w:val="18"/>
      </w:rPr>
      <w:fldChar w:fldCharType="separate"/>
    </w:r>
    <w:r w:rsidRPr="00B41209">
      <w:rPr>
        <w:b/>
        <w:noProof/>
        <w:sz w:val="18"/>
      </w:rPr>
      <w:t>2</w:t>
    </w:r>
    <w:r w:rsidRPr="00B41209">
      <w:rPr>
        <w:b/>
        <w:sz w:val="18"/>
      </w:rPr>
      <w:fldChar w:fldCharType="end"/>
    </w:r>
    <w:r>
      <w:rPr>
        <w:b/>
        <w:sz w:val="18"/>
      </w:rPr>
      <w:tab/>
    </w:r>
    <w:r>
      <w:t>GE.24-05103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CBB2" w14:textId="00C41FC3" w:rsidR="00B41209" w:rsidRPr="00B41209" w:rsidRDefault="00B41209" w:rsidP="00B41209">
    <w:pPr>
      <w:pStyle w:val="Pieddepage"/>
      <w:tabs>
        <w:tab w:val="right" w:pos="9638"/>
      </w:tabs>
      <w:rPr>
        <w:b/>
        <w:sz w:val="18"/>
      </w:rPr>
    </w:pPr>
    <w:r>
      <w:t>GE.24-05103</w:t>
    </w:r>
    <w:r>
      <w:tab/>
    </w:r>
    <w:r w:rsidRPr="00B41209">
      <w:rPr>
        <w:b/>
        <w:sz w:val="18"/>
      </w:rPr>
      <w:fldChar w:fldCharType="begin"/>
    </w:r>
    <w:r w:rsidRPr="00B41209">
      <w:rPr>
        <w:b/>
        <w:sz w:val="18"/>
      </w:rPr>
      <w:instrText xml:space="preserve"> PAGE  \* MERGEFORMAT </w:instrText>
    </w:r>
    <w:r w:rsidRPr="00B41209">
      <w:rPr>
        <w:b/>
        <w:sz w:val="18"/>
      </w:rPr>
      <w:fldChar w:fldCharType="separate"/>
    </w:r>
    <w:r w:rsidRPr="00B41209">
      <w:rPr>
        <w:b/>
        <w:noProof/>
        <w:sz w:val="18"/>
      </w:rPr>
      <w:t>3</w:t>
    </w:r>
    <w:r w:rsidRPr="00B412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5290" w14:textId="21EDB960" w:rsidR="007F20FA" w:rsidRPr="00B41209" w:rsidRDefault="00B41209" w:rsidP="00B4120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FA10AC" wp14:editId="77D2FD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24-05103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0455D8" wp14:editId="6631E18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020424    020424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8AA2" w14:textId="77777777" w:rsidR="00E56334" w:rsidRPr="00AC3823" w:rsidRDefault="00E563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154CFD" w14:textId="77777777" w:rsidR="00E56334" w:rsidRPr="00AC3823" w:rsidRDefault="00E5633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44873A" w14:textId="77777777" w:rsidR="00E56334" w:rsidRPr="00AC3823" w:rsidRDefault="00E56334">
      <w:pPr>
        <w:spacing w:line="240" w:lineRule="auto"/>
        <w:rPr>
          <w:sz w:val="2"/>
          <w:szCs w:val="2"/>
        </w:rPr>
      </w:pPr>
    </w:p>
  </w:footnote>
  <w:footnote w:id="2">
    <w:p w14:paraId="49459AF6" w14:textId="77777777" w:rsidR="00B41209" w:rsidRPr="00373E97" w:rsidRDefault="00B41209" w:rsidP="00B41209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572290">
        <w:rPr>
          <w:sz w:val="20"/>
          <w:lang w:val="fr-FR"/>
        </w:rPr>
        <w:t>*</w:t>
      </w:r>
      <w:r>
        <w:rPr>
          <w:lang w:val="fr-FR"/>
        </w:rPr>
        <w:tab/>
        <w:t xml:space="preserve">Il a été convenu que le présent document serait publié après la date normale de publication en raison de circonstances indépendantes de la volonté du </w:t>
      </w:r>
      <w:proofErr w:type="spellStart"/>
      <w:r>
        <w:rPr>
          <w:lang w:val="fr-FR"/>
        </w:rPr>
        <w:t>soumetteur</w:t>
      </w:r>
      <w:proofErr w:type="spellEnd"/>
      <w:r>
        <w:rPr>
          <w:lang w:val="fr-FR"/>
        </w:rPr>
        <w:t>.</w:t>
      </w:r>
    </w:p>
  </w:footnote>
  <w:footnote w:id="3">
    <w:p w14:paraId="0E56B2A7" w14:textId="77777777" w:rsidR="00B41209" w:rsidRPr="00373E97" w:rsidRDefault="00B41209" w:rsidP="00B41209">
      <w:pPr>
        <w:pStyle w:val="Notedebasdepage"/>
        <w:rPr>
          <w:lang w:val="fr-FR"/>
        </w:rPr>
      </w:pPr>
      <w:r>
        <w:rPr>
          <w:lang w:val="fr-FR"/>
        </w:rPr>
        <w:tab/>
      </w:r>
      <w:r w:rsidRPr="00572290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2F1057A2" w14:textId="77777777" w:rsidR="00B41209" w:rsidRPr="00373E97" w:rsidRDefault="00B41209" w:rsidP="00B41209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56BA" w14:textId="592885AB" w:rsidR="00B41209" w:rsidRPr="00B41209" w:rsidRDefault="00B41209">
    <w:pPr>
      <w:pStyle w:val="En-tte"/>
    </w:pPr>
    <w:fldSimple w:instr=" TITLE  \* MERGEFORMAT ">
      <w:r>
        <w:t>ECE/TRANS/WP.29/GRSP/2024/6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1B5D" w14:textId="15B74E4E" w:rsidR="00B41209" w:rsidRPr="00B41209" w:rsidRDefault="00B41209" w:rsidP="00B41209">
    <w:pPr>
      <w:pStyle w:val="En-tte"/>
      <w:jc w:val="right"/>
    </w:pPr>
    <w:fldSimple w:instr=" TITLE  \* MERGEFORMAT ">
      <w:r>
        <w:t>ECE/TRANS/WP.29/GRSP/2024/6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05997821">
    <w:abstractNumId w:val="12"/>
  </w:num>
  <w:num w:numId="2" w16cid:durableId="244196134">
    <w:abstractNumId w:val="11"/>
  </w:num>
  <w:num w:numId="3" w16cid:durableId="1228881900">
    <w:abstractNumId w:val="10"/>
  </w:num>
  <w:num w:numId="4" w16cid:durableId="1119452400">
    <w:abstractNumId w:val="8"/>
  </w:num>
  <w:num w:numId="5" w16cid:durableId="1327510958">
    <w:abstractNumId w:val="3"/>
  </w:num>
  <w:num w:numId="6" w16cid:durableId="316230237">
    <w:abstractNumId w:val="2"/>
  </w:num>
  <w:num w:numId="7" w16cid:durableId="1155536539">
    <w:abstractNumId w:val="1"/>
  </w:num>
  <w:num w:numId="8" w16cid:durableId="754132713">
    <w:abstractNumId w:val="0"/>
  </w:num>
  <w:num w:numId="9" w16cid:durableId="1681270798">
    <w:abstractNumId w:val="9"/>
  </w:num>
  <w:num w:numId="10" w16cid:durableId="202711628">
    <w:abstractNumId w:val="7"/>
  </w:num>
  <w:num w:numId="11" w16cid:durableId="406659081">
    <w:abstractNumId w:val="6"/>
  </w:num>
  <w:num w:numId="12" w16cid:durableId="742071600">
    <w:abstractNumId w:val="5"/>
  </w:num>
  <w:num w:numId="13" w16cid:durableId="611666166">
    <w:abstractNumId w:val="4"/>
  </w:num>
  <w:num w:numId="14" w16cid:durableId="30738782">
    <w:abstractNumId w:val="12"/>
  </w:num>
  <w:num w:numId="15" w16cid:durableId="851069522">
    <w:abstractNumId w:val="11"/>
  </w:num>
  <w:num w:numId="16" w16cid:durableId="1008412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34"/>
    <w:rsid w:val="00017F94"/>
    <w:rsid w:val="00023842"/>
    <w:rsid w:val="000334F9"/>
    <w:rsid w:val="00045FEB"/>
    <w:rsid w:val="0007796D"/>
    <w:rsid w:val="000B7790"/>
    <w:rsid w:val="000E502C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59E6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2290"/>
    <w:rsid w:val="00573BE5"/>
    <w:rsid w:val="00586ED3"/>
    <w:rsid w:val="00596AA9"/>
    <w:rsid w:val="0071601D"/>
    <w:rsid w:val="007A62E6"/>
    <w:rsid w:val="007F20FA"/>
    <w:rsid w:val="0080684C"/>
    <w:rsid w:val="00840627"/>
    <w:rsid w:val="00871C75"/>
    <w:rsid w:val="008776DC"/>
    <w:rsid w:val="008D5AFF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1209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56334"/>
    <w:rsid w:val="00E85C74"/>
    <w:rsid w:val="00EA6547"/>
    <w:rsid w:val="00ED7237"/>
    <w:rsid w:val="00EF2E22"/>
    <w:rsid w:val="00F119C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2BA4C"/>
  <w15:docId w15:val="{5F2F03B5-E1B2-4DEE-ABF3-177CB522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B4120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B41209"/>
    <w:pPr>
      <w:tabs>
        <w:tab w:val="right" w:pos="1021"/>
      </w:tabs>
      <w:spacing w:line="220" w:lineRule="exact"/>
      <w:ind w:left="1134" w:right="1134" w:hanging="1134"/>
    </w:pPr>
    <w:rPr>
      <w:kern w:val="2"/>
      <w:sz w:val="18"/>
      <w14:ligatures w14:val="standardContextual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B41209"/>
    <w:rPr>
      <w:rFonts w:ascii="Times New Roman" w:eastAsiaTheme="minorHAnsi" w:hAnsi="Times New Roman" w:cs="Times New Roman"/>
      <w:kern w:val="2"/>
      <w:sz w:val="18"/>
      <w:szCs w:val="20"/>
      <w:lang w:eastAsia="en-US"/>
      <w14:ligatures w14:val="standardContextual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B4120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B4120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B4120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BE49E-AD93-4B01-B62E-B4BFE6CBD1AD}"/>
</file>

<file path=customXml/itemProps2.xml><?xml version="1.0" encoding="utf-8"?>
<ds:datastoreItem xmlns:ds="http://schemas.openxmlformats.org/officeDocument/2006/customXml" ds:itemID="{71577AD8-903D-4AA7-BBD8-0FDBE9F65A0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5</TotalTime>
  <Pages>2</Pages>
  <Words>373</Words>
  <Characters>2865</Characters>
  <Application>Microsoft Office Word</Application>
  <DocSecurity>0</DocSecurity>
  <Lines>955</Lines>
  <Paragraphs>269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ECE/TRANS/WP.29/GRSP/2024/6</vt:lpstr>
    </vt:vector>
  </TitlesOfParts>
  <Company>DCM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ECE/TRANS/WP.29/GRSP/2024/6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2024-04-02T08:56:00Z</dcterms:created>
  <dcterms:modified xsi:type="dcterms:W3CDTF">2024-04-02T08:56:00Z</dcterms:modified>
</cp:coreProperties>
</file>