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1505F5CE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3F18D7B7" w14:textId="77777777" w:rsidR="00F35BAF" w:rsidRPr="00DB58B5" w:rsidRDefault="00F35BAF" w:rsidP="00D00B93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37185C26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3C940163" w14:textId="4F7C5886" w:rsidR="00F35BAF" w:rsidRPr="00DB58B5" w:rsidRDefault="00D00B93" w:rsidP="00D00B93">
            <w:pPr>
              <w:jc w:val="right"/>
            </w:pPr>
            <w:r w:rsidRPr="00D00B93">
              <w:rPr>
                <w:sz w:val="40"/>
              </w:rPr>
              <w:t>ECE</w:t>
            </w:r>
            <w:r>
              <w:t>/TRANS/WP.29/2024/74</w:t>
            </w:r>
          </w:p>
        </w:tc>
      </w:tr>
      <w:tr w:rsidR="00F35BAF" w:rsidRPr="00DB58B5" w14:paraId="17495E99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20B39437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6FE2CDC9" wp14:editId="6AFD8317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449B42F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84F2A35" w14:textId="77777777" w:rsidR="00F35BAF" w:rsidRDefault="00D00B93" w:rsidP="00C97039">
            <w:pPr>
              <w:spacing w:before="240"/>
            </w:pPr>
            <w:r>
              <w:t>Distr. générale</w:t>
            </w:r>
          </w:p>
          <w:p w14:paraId="448FDBD8" w14:textId="2FC2F513" w:rsidR="00D00B93" w:rsidRDefault="00D00B93" w:rsidP="00D00B93">
            <w:pPr>
              <w:spacing w:line="240" w:lineRule="exact"/>
            </w:pPr>
            <w:r>
              <w:t>2 avril 2024</w:t>
            </w:r>
          </w:p>
          <w:p w14:paraId="4E1ECB79" w14:textId="77777777" w:rsidR="00D00B93" w:rsidRDefault="00D00B93" w:rsidP="00D00B93">
            <w:pPr>
              <w:spacing w:line="240" w:lineRule="exact"/>
            </w:pPr>
            <w:r>
              <w:t>Français</w:t>
            </w:r>
          </w:p>
          <w:p w14:paraId="3A923D60" w14:textId="19080FC3" w:rsidR="00D00B93" w:rsidRPr="00DB58B5" w:rsidRDefault="00D00B93" w:rsidP="00D00B93">
            <w:pPr>
              <w:spacing w:line="240" w:lineRule="exact"/>
            </w:pPr>
            <w:r>
              <w:t>Original : anglais</w:t>
            </w:r>
          </w:p>
        </w:tc>
      </w:tr>
    </w:tbl>
    <w:p w14:paraId="74BEDB6F" w14:textId="343BCB98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</w:t>
      </w:r>
      <w:r w:rsidR="00D00B93">
        <w:rPr>
          <w:b/>
          <w:sz w:val="28"/>
          <w:szCs w:val="28"/>
        </w:rPr>
        <w:t>’</w:t>
      </w:r>
      <w:r w:rsidRPr="000312C0">
        <w:rPr>
          <w:b/>
          <w:sz w:val="28"/>
          <w:szCs w:val="28"/>
        </w:rPr>
        <w:t>Europe</w:t>
      </w:r>
    </w:p>
    <w:p w14:paraId="58F538F1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631EC44E" w14:textId="59E69D17" w:rsidR="00D00B93" w:rsidRDefault="00D00B93" w:rsidP="00D00B93">
      <w:pPr>
        <w:spacing w:before="120"/>
        <w:rPr>
          <w:b/>
          <w:sz w:val="24"/>
          <w:szCs w:val="24"/>
        </w:rPr>
      </w:pPr>
      <w:r w:rsidRPr="00685843">
        <w:rPr>
          <w:b/>
          <w:sz w:val="24"/>
          <w:szCs w:val="24"/>
        </w:rPr>
        <w:t>Forum mondial de l</w:t>
      </w:r>
      <w:r>
        <w:rPr>
          <w:b/>
          <w:sz w:val="24"/>
          <w:szCs w:val="24"/>
        </w:rPr>
        <w:t>’</w:t>
      </w:r>
      <w:r w:rsidRPr="00685843">
        <w:rPr>
          <w:b/>
          <w:sz w:val="24"/>
          <w:szCs w:val="24"/>
        </w:rPr>
        <w:t>harmonisation</w:t>
      </w:r>
      <w:r>
        <w:rPr>
          <w:b/>
          <w:sz w:val="24"/>
          <w:szCs w:val="24"/>
        </w:rPr>
        <w:br/>
      </w:r>
      <w:r w:rsidRPr="00685843">
        <w:rPr>
          <w:b/>
          <w:sz w:val="24"/>
          <w:szCs w:val="24"/>
        </w:rPr>
        <w:t>des Règlements</w:t>
      </w:r>
      <w:r>
        <w:rPr>
          <w:b/>
          <w:sz w:val="24"/>
          <w:szCs w:val="24"/>
        </w:rPr>
        <w:t xml:space="preserve"> </w:t>
      </w:r>
      <w:r w:rsidRPr="00685843">
        <w:rPr>
          <w:b/>
          <w:sz w:val="24"/>
          <w:szCs w:val="24"/>
        </w:rPr>
        <w:t>concernant les véhicules</w:t>
      </w:r>
    </w:p>
    <w:p w14:paraId="2E5DBF86" w14:textId="3E5F5AEB" w:rsidR="00D00B93" w:rsidRDefault="00D00B93" w:rsidP="00D00B93">
      <w:pPr>
        <w:spacing w:before="120" w:line="240" w:lineRule="exact"/>
        <w:rPr>
          <w:b/>
        </w:rPr>
      </w:pPr>
      <w:r>
        <w:rPr>
          <w:b/>
          <w:bCs/>
          <w:lang w:val="fr-FR"/>
        </w:rPr>
        <w:t>193</w:t>
      </w:r>
      <w:r w:rsidRPr="004F4EEE">
        <w:rPr>
          <w:b/>
          <w:bCs/>
          <w:vertAlign w:val="superscript"/>
          <w:lang w:val="fr-FR"/>
        </w:rPr>
        <w:t>e</w:t>
      </w:r>
      <w:r>
        <w:rPr>
          <w:b/>
        </w:rPr>
        <w:t> </w:t>
      </w:r>
      <w:r>
        <w:rPr>
          <w:b/>
        </w:rPr>
        <w:t>session</w:t>
      </w:r>
    </w:p>
    <w:p w14:paraId="5D8953B1" w14:textId="77777777" w:rsidR="00D00B93" w:rsidRDefault="00D00B93" w:rsidP="00D00B93">
      <w:pPr>
        <w:spacing w:line="240" w:lineRule="exact"/>
      </w:pPr>
      <w:r>
        <w:t xml:space="preserve">Genève, </w:t>
      </w:r>
      <w:r>
        <w:rPr>
          <w:lang w:val="fr-FR"/>
        </w:rPr>
        <w:t>25-28 juin 2024</w:t>
      </w:r>
    </w:p>
    <w:p w14:paraId="785C893C" w14:textId="59390EB1" w:rsidR="00D00B93" w:rsidRDefault="00D00B93" w:rsidP="00D00B93">
      <w:pPr>
        <w:spacing w:line="240" w:lineRule="exact"/>
      </w:pPr>
      <w:r>
        <w:t xml:space="preserve">Point </w:t>
      </w:r>
      <w:r>
        <w:rPr>
          <w:lang w:val="fr-FR"/>
        </w:rPr>
        <w:t>4.10.1</w:t>
      </w:r>
      <w:r>
        <w:t xml:space="preserve"> de l</w:t>
      </w:r>
      <w:r>
        <w:t>’</w:t>
      </w:r>
      <w:r>
        <w:t>ordre du jour provisoire</w:t>
      </w:r>
    </w:p>
    <w:p w14:paraId="1109BE22" w14:textId="4EA59FF9" w:rsidR="00D00B93" w:rsidRPr="00E33974" w:rsidRDefault="00D00B93" w:rsidP="00D00B93">
      <w:pPr>
        <w:rPr>
          <w:b/>
        </w:rPr>
      </w:pPr>
      <w:r>
        <w:rPr>
          <w:b/>
          <w:bCs/>
          <w:lang w:val="fr-FR"/>
        </w:rPr>
        <w:t>Accord de 1958</w:t>
      </w:r>
      <w:r>
        <w:rPr>
          <w:b/>
          <w:bCs/>
          <w:lang w:val="fr-FR"/>
        </w:rPr>
        <w:t> </w:t>
      </w:r>
      <w:r>
        <w:rPr>
          <w:b/>
          <w:bCs/>
          <w:lang w:val="fr-FR"/>
        </w:rPr>
        <w:t>:</w:t>
      </w:r>
    </w:p>
    <w:p w14:paraId="3DCFD13A" w14:textId="227D7EFF" w:rsidR="00D00B93" w:rsidRPr="00E33974" w:rsidRDefault="00D00B93" w:rsidP="00D00B93">
      <w:pPr>
        <w:rPr>
          <w:b/>
          <w:bCs/>
        </w:rPr>
      </w:pPr>
      <w:r w:rsidRPr="00D00B93">
        <w:rPr>
          <w:b/>
          <w:bCs/>
          <w:spacing w:val="-2"/>
          <w:lang w:val="fr-FR"/>
        </w:rPr>
        <w:t>Examen, s</w:t>
      </w:r>
      <w:r w:rsidRPr="00D00B93">
        <w:rPr>
          <w:b/>
          <w:bCs/>
          <w:spacing w:val="-2"/>
          <w:lang w:val="fr-FR"/>
        </w:rPr>
        <w:t>’</w:t>
      </w:r>
      <w:r w:rsidRPr="00D00B93">
        <w:rPr>
          <w:b/>
          <w:bCs/>
          <w:spacing w:val="-2"/>
          <w:lang w:val="fr-FR"/>
        </w:rPr>
        <w:t>il y a lieu, de projets de rectificatifs à des Règlements ONU existants,</w:t>
      </w:r>
      <w:r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br/>
      </w:r>
      <w:r w:rsidRPr="00D00B93">
        <w:rPr>
          <w:b/>
          <w:bCs/>
          <w:spacing w:val="2"/>
          <w:lang w:val="fr-FR"/>
        </w:rPr>
        <w:t>soumis par les groupes de travail</w:t>
      </w:r>
    </w:p>
    <w:p w14:paraId="689A84B8" w14:textId="53B8A50F" w:rsidR="00D00B93" w:rsidRPr="00E33974" w:rsidRDefault="00D00B93" w:rsidP="00D00B93">
      <w:pPr>
        <w:pStyle w:val="HChG"/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Proposition de rectificatif 1 à la version originale du</w:t>
      </w:r>
      <w:r>
        <w:rPr>
          <w:lang w:val="fr-FR"/>
        </w:rPr>
        <w:t> </w:t>
      </w:r>
      <w:r>
        <w:rPr>
          <w:lang w:val="fr-FR"/>
        </w:rPr>
        <w:t>Règlement ONU n</w:t>
      </w:r>
      <w:r w:rsidRPr="00D00B93">
        <w:rPr>
          <w:vertAlign w:val="superscript"/>
          <w:lang w:val="fr-FR"/>
        </w:rPr>
        <w:t>o</w:t>
      </w:r>
      <w:r>
        <w:rPr>
          <w:lang w:val="fr-FR"/>
        </w:rPr>
        <w:t> </w:t>
      </w:r>
      <w:r>
        <w:rPr>
          <w:lang w:val="fr-FR"/>
        </w:rPr>
        <w:t>134 (Véhicules à hydrogène)</w:t>
      </w:r>
    </w:p>
    <w:p w14:paraId="0AE28135" w14:textId="7181EA40" w:rsidR="00D00B93" w:rsidRDefault="00D00B93" w:rsidP="00D00B93">
      <w:pPr>
        <w:pStyle w:val="H1G"/>
        <w:rPr>
          <w:sz w:val="20"/>
        </w:rPr>
      </w:pPr>
      <w:r>
        <w:rPr>
          <w:lang w:val="fr-FR"/>
        </w:rPr>
        <w:tab/>
      </w:r>
      <w:r>
        <w:rPr>
          <w:lang w:val="fr-FR"/>
        </w:rPr>
        <w:tab/>
        <w:t>Communication du Groupe de travail de la sécurité passive</w:t>
      </w:r>
      <w:r w:rsidRPr="00D00B93">
        <w:rPr>
          <w:rStyle w:val="Appelnotedebasdep"/>
          <w:b w:val="0"/>
          <w:bCs/>
          <w:sz w:val="20"/>
          <w:vertAlign w:val="baseline"/>
        </w:rPr>
        <w:footnoteReference w:customMarkFollows="1" w:id="2"/>
        <w:t>*</w:t>
      </w:r>
    </w:p>
    <w:p w14:paraId="4178DFE3" w14:textId="58D2B329" w:rsidR="00D00B93" w:rsidRPr="00D00B93" w:rsidRDefault="00D00B93" w:rsidP="00D00B93">
      <w:pPr>
        <w:pStyle w:val="SingleTxtG"/>
        <w:ind w:firstLine="567"/>
      </w:pPr>
      <w:r w:rsidRPr="00D00B93">
        <w:t>Le texte ci-après, adopté par le Groupe de travail de la sécurité passive (GRSP) à sa soixante-quatorzième session (ECE/TRANS/WP.29/GRSP/74, par.</w:t>
      </w:r>
      <w:r>
        <w:t> </w:t>
      </w:r>
      <w:r w:rsidRPr="00D00B93">
        <w:t>29), est fondé sur le document informel GRSP-74-12, tel que reproduit à l</w:t>
      </w:r>
      <w:r>
        <w:t>’</w:t>
      </w:r>
      <w:r w:rsidRPr="00D00B93">
        <w:t>annexe VII du rapport. Il est soumis au Forum mondial de l</w:t>
      </w:r>
      <w:r>
        <w:t>’</w:t>
      </w:r>
      <w:r w:rsidRPr="00D00B93">
        <w:t>harmonisation des Règlements concernant les véhicules (WP.29) et</w:t>
      </w:r>
      <w:r>
        <w:t> </w:t>
      </w:r>
      <w:r w:rsidRPr="00D00B93">
        <w:t>au Comité d</w:t>
      </w:r>
      <w:r>
        <w:t>’</w:t>
      </w:r>
      <w:r w:rsidRPr="00D00B93">
        <w:t>administration de l</w:t>
      </w:r>
      <w:r>
        <w:t>’</w:t>
      </w:r>
      <w:r w:rsidRPr="00D00B93">
        <w:t>Accord de 1958 (AC.1) pour examen à leurs sessions de juin 2024.</w:t>
      </w:r>
    </w:p>
    <w:p w14:paraId="4838F97D" w14:textId="3212C15A" w:rsidR="00D00B93" w:rsidRDefault="00D00B93" w:rsidP="00D00B93">
      <w:pPr>
        <w:rPr>
          <w:lang w:val="fr-FR"/>
        </w:rPr>
      </w:pPr>
      <w:r>
        <w:rPr>
          <w:lang w:val="fr-FR"/>
        </w:rPr>
        <w:br w:type="page"/>
      </w:r>
    </w:p>
    <w:p w14:paraId="5B9C8395" w14:textId="441EBFD0" w:rsidR="00D00B93" w:rsidRPr="00E33974" w:rsidRDefault="00D00B93" w:rsidP="00D00B93">
      <w:pPr>
        <w:pStyle w:val="SingleTxtG"/>
      </w:pPr>
      <w:r w:rsidRPr="00D00B93">
        <w:rPr>
          <w:i/>
          <w:iCs/>
          <w:lang w:val="fr-FR"/>
        </w:rPr>
        <w:lastRenderedPageBreak/>
        <w:t>Annexe 4, paragraphe 1.4</w:t>
      </w:r>
      <w:r>
        <w:rPr>
          <w:lang w:val="fr-FR"/>
        </w:rPr>
        <w:t>, lire</w:t>
      </w:r>
      <w:r>
        <w:rPr>
          <w:lang w:val="fr-FR"/>
        </w:rPr>
        <w:t> </w:t>
      </w:r>
      <w:r>
        <w:rPr>
          <w:lang w:val="fr-FR"/>
        </w:rPr>
        <w:t>:</w:t>
      </w:r>
    </w:p>
    <w:p w14:paraId="1E70DB26" w14:textId="77777777" w:rsidR="00D00B93" w:rsidRPr="00E33974" w:rsidRDefault="00D00B93" w:rsidP="00D00B93">
      <w:pPr>
        <w:pStyle w:val="SingleTxtG"/>
        <w:ind w:left="2268" w:hanging="1134"/>
        <w:rPr>
          <w:color w:val="000000"/>
        </w:rPr>
      </w:pPr>
      <w:r>
        <w:rPr>
          <w:lang w:val="fr-FR"/>
        </w:rPr>
        <w:t>« 1.4</w:t>
      </w:r>
      <w:r>
        <w:rPr>
          <w:lang w:val="fr-FR"/>
        </w:rPr>
        <w:tab/>
        <w:t>Essai de résistance à la corrosion par le sel</w:t>
      </w:r>
    </w:p>
    <w:p w14:paraId="6A94097C" w14:textId="3748FC3A" w:rsidR="00D00B93" w:rsidRPr="00E33974" w:rsidRDefault="00D00B93" w:rsidP="00D00B93">
      <w:pPr>
        <w:pStyle w:val="SingleTxtG"/>
        <w:ind w:left="2268"/>
        <w:rPr>
          <w:color w:val="000000"/>
        </w:rPr>
      </w:pPr>
      <w:r>
        <w:rPr>
          <w:lang w:val="fr-FR"/>
        </w:rPr>
        <w:t>Deux dispositifs de décompression actionnés par la chaleur sont mis à l</w:t>
      </w:r>
      <w:r>
        <w:rPr>
          <w:lang w:val="fr-FR"/>
        </w:rPr>
        <w:t>’</w:t>
      </w:r>
      <w:r>
        <w:rPr>
          <w:lang w:val="fr-FR"/>
        </w:rPr>
        <w:t>essai. Les éventuels bouchons non permanents placés à la sortie des dispositifs sont enlevés. Chaque dispositif est installé dans l</w:t>
      </w:r>
      <w:r>
        <w:rPr>
          <w:lang w:val="fr-FR"/>
        </w:rPr>
        <w:t>’</w:t>
      </w:r>
      <w:r>
        <w:rPr>
          <w:lang w:val="fr-FR"/>
        </w:rPr>
        <w:t>appareillage d</w:t>
      </w:r>
      <w:r>
        <w:rPr>
          <w:lang w:val="fr-FR"/>
        </w:rPr>
        <w:t>’</w:t>
      </w:r>
      <w:r>
        <w:rPr>
          <w:lang w:val="fr-FR"/>
        </w:rPr>
        <w:t>essai conformément aux recommandations du constructeur, de sorte que ses conditions d</w:t>
      </w:r>
      <w:r>
        <w:rPr>
          <w:lang w:val="fr-FR"/>
        </w:rPr>
        <w:t>’</w:t>
      </w:r>
      <w:r>
        <w:rPr>
          <w:lang w:val="fr-FR"/>
        </w:rPr>
        <w:t>exposition soient comparables à celles d</w:t>
      </w:r>
      <w:r>
        <w:rPr>
          <w:lang w:val="fr-FR"/>
        </w:rPr>
        <w:t>’</w:t>
      </w:r>
      <w:r>
        <w:rPr>
          <w:lang w:val="fr-FR"/>
        </w:rPr>
        <w:t>une exposition réelle. Chaque dispositif est ensuite exposé pendant 500</w:t>
      </w:r>
      <w:r>
        <w:rPr>
          <w:lang w:val="fr-FR"/>
        </w:rPr>
        <w:t> </w:t>
      </w:r>
      <w:r>
        <w:rPr>
          <w:lang w:val="fr-FR"/>
        </w:rPr>
        <w:t>h à un brouillard salin conformément à la norme ASTM B117 (Standard Practice for Operating Salt Spray (Fog) Apparatus). Toutefois, pour le premier dispositif, le pH de la solution saline doit être ajusté à 4,0 ± 0,2 par addition d</w:t>
      </w:r>
      <w:r>
        <w:rPr>
          <w:lang w:val="fr-FR"/>
        </w:rPr>
        <w:t>’</w:t>
      </w:r>
      <w:r>
        <w:rPr>
          <w:lang w:val="fr-FR"/>
        </w:rPr>
        <w:t>acide sulfurique et d</w:t>
      </w:r>
      <w:r>
        <w:rPr>
          <w:lang w:val="fr-FR"/>
        </w:rPr>
        <w:t>’</w:t>
      </w:r>
      <w:r>
        <w:rPr>
          <w:lang w:val="fr-FR"/>
        </w:rPr>
        <w:t>acide nitrique dans la proportion de 2:1 et pour le second à 10,0 ± 0,2 par</w:t>
      </w:r>
      <w:r>
        <w:rPr>
          <w:lang w:val="fr-FR"/>
        </w:rPr>
        <w:t> </w:t>
      </w:r>
      <w:r>
        <w:rPr>
          <w:lang w:val="fr-FR"/>
        </w:rPr>
        <w:t>addition d</w:t>
      </w:r>
      <w:r>
        <w:rPr>
          <w:lang w:val="fr-FR"/>
        </w:rPr>
        <w:t>’</w:t>
      </w:r>
      <w:r>
        <w:rPr>
          <w:lang w:val="fr-FR"/>
        </w:rPr>
        <w:t>hydroxyde de sodium. La température dans la chambre de brumisation est maintenue à 30-35 °C.</w:t>
      </w:r>
    </w:p>
    <w:p w14:paraId="14907509" w14:textId="135D0A87" w:rsidR="00D00B93" w:rsidRDefault="00D00B93" w:rsidP="00D00B93">
      <w:pPr>
        <w:pStyle w:val="SingleTxtG"/>
        <w:ind w:left="2268"/>
        <w:rPr>
          <w:lang w:val="fr-FR"/>
        </w:rPr>
      </w:pPr>
      <w:r>
        <w:rPr>
          <w:lang w:val="fr-FR"/>
        </w:rPr>
        <w:t>À la suite de ces essais, chaque dispositif de décompression doit satisfaire aux prescriptions de l</w:t>
      </w:r>
      <w:r>
        <w:rPr>
          <w:lang w:val="fr-FR"/>
        </w:rPr>
        <w:t>’</w:t>
      </w:r>
      <w:r>
        <w:rPr>
          <w:lang w:val="fr-FR"/>
        </w:rPr>
        <w:t>essai d</w:t>
      </w:r>
      <w:r>
        <w:rPr>
          <w:lang w:val="fr-FR"/>
        </w:rPr>
        <w:t>’</w:t>
      </w:r>
      <w:r>
        <w:rPr>
          <w:lang w:val="fr-FR"/>
        </w:rPr>
        <w:t>étanchéité (voir le paragraphe 1.8 de l</w:t>
      </w:r>
      <w:r>
        <w:rPr>
          <w:lang w:val="fr-FR"/>
        </w:rPr>
        <w:t>’</w:t>
      </w:r>
      <w:r>
        <w:rPr>
          <w:lang w:val="fr-FR"/>
        </w:rPr>
        <w:t>annexe 4), de l</w:t>
      </w:r>
      <w:r>
        <w:rPr>
          <w:lang w:val="fr-FR"/>
        </w:rPr>
        <w:t>’</w:t>
      </w:r>
      <w:r>
        <w:rPr>
          <w:lang w:val="fr-FR"/>
        </w:rPr>
        <w:t>essai de débit (voir le paragraphe 1.10 de l</w:t>
      </w:r>
      <w:r>
        <w:rPr>
          <w:lang w:val="fr-FR"/>
        </w:rPr>
        <w:t>’</w:t>
      </w:r>
      <w:r>
        <w:rPr>
          <w:lang w:val="fr-FR"/>
        </w:rPr>
        <w:t>annexe 4) et de l</w:t>
      </w:r>
      <w:r>
        <w:rPr>
          <w:lang w:val="fr-FR"/>
        </w:rPr>
        <w:t>’</w:t>
      </w:r>
      <w:r>
        <w:rPr>
          <w:lang w:val="fr-FR"/>
        </w:rPr>
        <w:t>essai d</w:t>
      </w:r>
      <w:r>
        <w:rPr>
          <w:lang w:val="fr-FR"/>
        </w:rPr>
        <w:t>’</w:t>
      </w:r>
      <w:r>
        <w:rPr>
          <w:lang w:val="fr-FR"/>
        </w:rPr>
        <w:t>actionnement en atelier (voir le paragraphe 1.9 de l</w:t>
      </w:r>
      <w:r>
        <w:rPr>
          <w:lang w:val="fr-FR"/>
        </w:rPr>
        <w:t>’</w:t>
      </w:r>
      <w:r>
        <w:rPr>
          <w:lang w:val="fr-FR"/>
        </w:rPr>
        <w:t>annexe 4). ».</w:t>
      </w:r>
    </w:p>
    <w:p w14:paraId="3370B60D" w14:textId="53E66A73" w:rsidR="00D00B93" w:rsidRPr="00D00B93" w:rsidRDefault="00D00B93" w:rsidP="00D00B93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D00B93" w:rsidRPr="00D00B93" w:rsidSect="00D00B9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43290" w14:textId="77777777" w:rsidR="00621A11" w:rsidRDefault="00621A11" w:rsidP="00F95C08">
      <w:pPr>
        <w:spacing w:line="240" w:lineRule="auto"/>
      </w:pPr>
    </w:p>
  </w:endnote>
  <w:endnote w:type="continuationSeparator" w:id="0">
    <w:p w14:paraId="6D0BBEBC" w14:textId="77777777" w:rsidR="00621A11" w:rsidRPr="00AC3823" w:rsidRDefault="00621A11" w:rsidP="00AC3823">
      <w:pPr>
        <w:pStyle w:val="Pieddepage"/>
      </w:pPr>
    </w:p>
  </w:endnote>
  <w:endnote w:type="continuationNotice" w:id="1">
    <w:p w14:paraId="20D34D8F" w14:textId="77777777" w:rsidR="00621A11" w:rsidRDefault="00621A1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CC0DF" w14:textId="493908A2" w:rsidR="00D00B93" w:rsidRPr="00D00B93" w:rsidRDefault="00D00B93" w:rsidP="00D00B93">
    <w:pPr>
      <w:pStyle w:val="Pieddepage"/>
      <w:tabs>
        <w:tab w:val="right" w:pos="9638"/>
      </w:tabs>
    </w:pPr>
    <w:r w:rsidRPr="00D00B93">
      <w:rPr>
        <w:b/>
        <w:sz w:val="18"/>
      </w:rPr>
      <w:fldChar w:fldCharType="begin"/>
    </w:r>
    <w:r w:rsidRPr="00D00B93">
      <w:rPr>
        <w:b/>
        <w:sz w:val="18"/>
      </w:rPr>
      <w:instrText xml:space="preserve"> PAGE  \* MERGEFORMAT </w:instrText>
    </w:r>
    <w:r w:rsidRPr="00D00B93">
      <w:rPr>
        <w:b/>
        <w:sz w:val="18"/>
      </w:rPr>
      <w:fldChar w:fldCharType="separate"/>
    </w:r>
    <w:r w:rsidRPr="00D00B93">
      <w:rPr>
        <w:b/>
        <w:noProof/>
        <w:sz w:val="18"/>
      </w:rPr>
      <w:t>2</w:t>
    </w:r>
    <w:r w:rsidRPr="00D00B93">
      <w:rPr>
        <w:b/>
        <w:sz w:val="18"/>
      </w:rPr>
      <w:fldChar w:fldCharType="end"/>
    </w:r>
    <w:r>
      <w:rPr>
        <w:b/>
        <w:sz w:val="18"/>
      </w:rPr>
      <w:tab/>
    </w:r>
    <w:r>
      <w:t>GE.24-05922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C38D2" w14:textId="6EF84B7C" w:rsidR="00D00B93" w:rsidRPr="00D00B93" w:rsidRDefault="00D00B93" w:rsidP="00D00B93">
    <w:pPr>
      <w:pStyle w:val="Pieddepage"/>
      <w:tabs>
        <w:tab w:val="right" w:pos="9638"/>
      </w:tabs>
      <w:rPr>
        <w:b/>
        <w:sz w:val="18"/>
      </w:rPr>
    </w:pPr>
    <w:r>
      <w:t>GE.24-05922</w:t>
    </w:r>
    <w:r>
      <w:tab/>
    </w:r>
    <w:r w:rsidRPr="00D00B93">
      <w:rPr>
        <w:b/>
        <w:sz w:val="18"/>
      </w:rPr>
      <w:fldChar w:fldCharType="begin"/>
    </w:r>
    <w:r w:rsidRPr="00D00B93">
      <w:rPr>
        <w:b/>
        <w:sz w:val="18"/>
      </w:rPr>
      <w:instrText xml:space="preserve"> PAGE  \* MERGEFORMAT </w:instrText>
    </w:r>
    <w:r w:rsidRPr="00D00B93">
      <w:rPr>
        <w:b/>
        <w:sz w:val="18"/>
      </w:rPr>
      <w:fldChar w:fldCharType="separate"/>
    </w:r>
    <w:r w:rsidRPr="00D00B93">
      <w:rPr>
        <w:b/>
        <w:noProof/>
        <w:sz w:val="18"/>
      </w:rPr>
      <w:t>3</w:t>
    </w:r>
    <w:r w:rsidRPr="00D00B93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316AF" w14:textId="70C1C7E7" w:rsidR="007F20FA" w:rsidRPr="00D00B93" w:rsidRDefault="00D00B93" w:rsidP="00D00B93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097F9012" wp14:editId="32668CA6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24-05922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47A3229E" wp14:editId="02979092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28650" cy="628650"/>
          <wp:effectExtent l="0" t="0" r="0" b="0"/>
          <wp:wrapNone/>
          <wp:docPr id="88188445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170424    170424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C6168" w14:textId="77777777" w:rsidR="00621A11" w:rsidRPr="00AC3823" w:rsidRDefault="00621A11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1A20046" w14:textId="77777777" w:rsidR="00621A11" w:rsidRPr="00AC3823" w:rsidRDefault="00621A11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6108466" w14:textId="77777777" w:rsidR="00621A11" w:rsidRPr="00AC3823" w:rsidRDefault="00621A11">
      <w:pPr>
        <w:spacing w:line="240" w:lineRule="auto"/>
        <w:rPr>
          <w:sz w:val="2"/>
          <w:szCs w:val="2"/>
        </w:rPr>
      </w:pPr>
    </w:p>
  </w:footnote>
  <w:footnote w:id="2">
    <w:p w14:paraId="20048B85" w14:textId="3490D49D" w:rsidR="00D00B93" w:rsidRPr="00D00B93" w:rsidRDefault="00D00B93">
      <w:pPr>
        <w:pStyle w:val="Notedebasdepage"/>
      </w:pPr>
      <w:r>
        <w:rPr>
          <w:rStyle w:val="Appelnotedebasdep"/>
        </w:rPr>
        <w:tab/>
      </w:r>
      <w:r w:rsidRPr="00D00B93">
        <w:rPr>
          <w:rStyle w:val="Appelnotedebasdep"/>
          <w:sz w:val="20"/>
          <w:vertAlign w:val="baseline"/>
        </w:rPr>
        <w:t>*</w:t>
      </w:r>
      <w:r>
        <w:rPr>
          <w:rStyle w:val="Appelnotedebasdep"/>
          <w:sz w:val="20"/>
          <w:vertAlign w:val="baseline"/>
        </w:rPr>
        <w:tab/>
      </w:r>
      <w:r>
        <w:rPr>
          <w:lang w:val="fr-FR"/>
        </w:rPr>
        <w:t>Conformément au programme de travail du Comité des transports intérieurs pour 2024 tel qu</w:t>
      </w:r>
      <w:r>
        <w:rPr>
          <w:lang w:val="fr-FR"/>
        </w:rPr>
        <w:t>’</w:t>
      </w:r>
      <w:r>
        <w:rPr>
          <w:lang w:val="fr-FR"/>
        </w:rPr>
        <w:t>il figure dans le projet de budget-programme pour 2024 (A/78/6 (Sect. 20), tableau 20.5), le Forum mondial a pour mission d</w:t>
      </w:r>
      <w:r>
        <w:rPr>
          <w:lang w:val="fr-FR"/>
        </w:rPr>
        <w:t>’</w:t>
      </w:r>
      <w:r>
        <w:rPr>
          <w:lang w:val="fr-FR"/>
        </w:rPr>
        <w:t>élaborer, d</w:t>
      </w:r>
      <w:r>
        <w:rPr>
          <w:lang w:val="fr-FR"/>
        </w:rPr>
        <w:t>’</w:t>
      </w:r>
      <w:r>
        <w:rPr>
          <w:lang w:val="fr-FR"/>
        </w:rPr>
        <w:t>harmoniser et de mettre à jour les Règlements ONU en vue d</w:t>
      </w:r>
      <w:r>
        <w:rPr>
          <w:lang w:val="fr-FR"/>
        </w:rPr>
        <w:t>’</w:t>
      </w:r>
      <w:r>
        <w:rPr>
          <w:lang w:val="fr-FR"/>
        </w:rPr>
        <w:t>améliorer les caractéristiques fonctionnelles des véhicules. Le présent document est soumis en vertu de ce mandat.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BEE9E" w14:textId="41EDC913" w:rsidR="00D00B93" w:rsidRPr="00D00B93" w:rsidRDefault="00D00B93">
    <w:pPr>
      <w:pStyle w:val="En-tte"/>
    </w:pPr>
    <w:fldSimple w:instr=" TITLE  \* MERGEFORMAT ">
      <w:r w:rsidR="009432C3">
        <w:t>ECE/TRANS/WP.29/2024/74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5F173" w14:textId="0EB6AACD" w:rsidR="00D00B93" w:rsidRPr="00D00B93" w:rsidRDefault="00D00B93" w:rsidP="00D00B93">
    <w:pPr>
      <w:pStyle w:val="En-tte"/>
      <w:jc w:val="right"/>
    </w:pPr>
    <w:fldSimple w:instr=" TITLE  \* MERGEFORMAT ">
      <w:r w:rsidR="009432C3">
        <w:t>ECE/TRANS/WP.29/2024/74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1727416625">
    <w:abstractNumId w:val="12"/>
  </w:num>
  <w:num w:numId="2" w16cid:durableId="227308927">
    <w:abstractNumId w:val="11"/>
  </w:num>
  <w:num w:numId="3" w16cid:durableId="1640527434">
    <w:abstractNumId w:val="10"/>
  </w:num>
  <w:num w:numId="4" w16cid:durableId="874805696">
    <w:abstractNumId w:val="8"/>
  </w:num>
  <w:num w:numId="5" w16cid:durableId="33119840">
    <w:abstractNumId w:val="3"/>
  </w:num>
  <w:num w:numId="6" w16cid:durableId="298346953">
    <w:abstractNumId w:val="2"/>
  </w:num>
  <w:num w:numId="7" w16cid:durableId="1398354942">
    <w:abstractNumId w:val="1"/>
  </w:num>
  <w:num w:numId="8" w16cid:durableId="1401058197">
    <w:abstractNumId w:val="0"/>
  </w:num>
  <w:num w:numId="9" w16cid:durableId="598367530">
    <w:abstractNumId w:val="9"/>
  </w:num>
  <w:num w:numId="10" w16cid:durableId="1240560600">
    <w:abstractNumId w:val="7"/>
  </w:num>
  <w:num w:numId="11" w16cid:durableId="551381341">
    <w:abstractNumId w:val="6"/>
  </w:num>
  <w:num w:numId="12" w16cid:durableId="833105697">
    <w:abstractNumId w:val="5"/>
  </w:num>
  <w:num w:numId="13" w16cid:durableId="742604566">
    <w:abstractNumId w:val="4"/>
  </w:num>
  <w:num w:numId="14" w16cid:durableId="13966654">
    <w:abstractNumId w:val="12"/>
  </w:num>
  <w:num w:numId="15" w16cid:durableId="232862546">
    <w:abstractNumId w:val="11"/>
  </w:num>
  <w:num w:numId="16" w16cid:durableId="5470345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11"/>
    <w:rsid w:val="00017F94"/>
    <w:rsid w:val="00023842"/>
    <w:rsid w:val="000334F9"/>
    <w:rsid w:val="00045FEB"/>
    <w:rsid w:val="0007796D"/>
    <w:rsid w:val="000B7790"/>
    <w:rsid w:val="00111F2F"/>
    <w:rsid w:val="0014365E"/>
    <w:rsid w:val="00143C66"/>
    <w:rsid w:val="00176178"/>
    <w:rsid w:val="001F525A"/>
    <w:rsid w:val="00201148"/>
    <w:rsid w:val="00223272"/>
    <w:rsid w:val="0024779E"/>
    <w:rsid w:val="00257168"/>
    <w:rsid w:val="002744B8"/>
    <w:rsid w:val="002832AC"/>
    <w:rsid w:val="002D7C93"/>
    <w:rsid w:val="00305801"/>
    <w:rsid w:val="003916DE"/>
    <w:rsid w:val="00421996"/>
    <w:rsid w:val="00441C3B"/>
    <w:rsid w:val="00446FE5"/>
    <w:rsid w:val="00452396"/>
    <w:rsid w:val="00477EB2"/>
    <w:rsid w:val="004837D8"/>
    <w:rsid w:val="004E2EED"/>
    <w:rsid w:val="004E468C"/>
    <w:rsid w:val="005505B7"/>
    <w:rsid w:val="00573BE5"/>
    <w:rsid w:val="00586ED3"/>
    <w:rsid w:val="00596AA9"/>
    <w:rsid w:val="00621A11"/>
    <w:rsid w:val="0071601D"/>
    <w:rsid w:val="007A62E6"/>
    <w:rsid w:val="007F20FA"/>
    <w:rsid w:val="0080684C"/>
    <w:rsid w:val="00871C75"/>
    <w:rsid w:val="008776DC"/>
    <w:rsid w:val="008D5EF9"/>
    <w:rsid w:val="009432C3"/>
    <w:rsid w:val="009446C0"/>
    <w:rsid w:val="009705C8"/>
    <w:rsid w:val="009C1CF4"/>
    <w:rsid w:val="009F6B74"/>
    <w:rsid w:val="00A3029F"/>
    <w:rsid w:val="00A30353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C02897"/>
    <w:rsid w:val="00C97039"/>
    <w:rsid w:val="00D00B93"/>
    <w:rsid w:val="00D3439C"/>
    <w:rsid w:val="00D7622E"/>
    <w:rsid w:val="00DB1831"/>
    <w:rsid w:val="00DD3BFD"/>
    <w:rsid w:val="00DF6678"/>
    <w:rsid w:val="00E0299A"/>
    <w:rsid w:val="00E85C74"/>
    <w:rsid w:val="00EA6547"/>
    <w:rsid w:val="00ED723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27DE2"/>
  <w15:docId w15:val="{5E3C0A89-D7F7-488F-9F00-FB94A0B7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NotedebasdepageCar"/>
    <w:uiPriority w:val="99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,PP Car,5_G_6 Car,5_GR Car,-E Fußnotentext Car,footnote text Car,Fußnotentext Ursprung Car,Footnote Text Char Char Char Char Car,Footnote Text1 Car,Footnote Text Char Char Char Car,Fußnotentext Char1 Car,Fußn Car"/>
    <w:basedOn w:val="Policepardfaut"/>
    <w:link w:val="Notedebasdepage"/>
    <w:uiPriority w:val="99"/>
    <w:qFormat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B021B8-9AFC-4FAD-9B8F-98CC23991425}"/>
</file>

<file path=customXml/itemProps2.xml><?xml version="1.0" encoding="utf-8"?>
<ds:datastoreItem xmlns:ds="http://schemas.openxmlformats.org/officeDocument/2006/customXml" ds:itemID="{7F43D47E-18E1-4EC9-8FA3-63BA2EBD55E6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3</TotalTime>
  <Pages>2</Pages>
  <Words>292</Words>
  <Characters>2044</Characters>
  <Application>Microsoft Office Word</Application>
  <DocSecurity>0</DocSecurity>
  <Lines>170</Lines>
  <Paragraphs>93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ECE/TRANS/WP.29/2024/74</dc:title>
  <dc:subject/>
  <dc:creator>Julien OKRZESIK</dc:creator>
  <cp:keywords/>
  <cp:lastModifiedBy>Julien OKRZESIK</cp:lastModifiedBy>
  <cp:revision>3</cp:revision>
  <cp:lastPrinted>2024-04-17T09:49:00Z</cp:lastPrinted>
  <dcterms:created xsi:type="dcterms:W3CDTF">2024-04-17T09:48:00Z</dcterms:created>
  <dcterms:modified xsi:type="dcterms:W3CDTF">2024-04-17T09:50:00Z</dcterms:modified>
</cp:coreProperties>
</file>