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AA2370" w:rsidRPr="00AA2370"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AA2370"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5CB6092D" w:rsidR="008B60F7" w:rsidRPr="00AA2370" w:rsidRDefault="000A1C76" w:rsidP="008B60F7">
            <w:pPr>
              <w:jc w:val="right"/>
            </w:pPr>
            <w:r w:rsidRPr="00AA2370">
              <w:rPr>
                <w:sz w:val="40"/>
              </w:rPr>
              <w:t>E</w:t>
            </w:r>
            <w:r w:rsidRPr="00AA2370">
              <w:t>/ECE/324/Rev.</w:t>
            </w:r>
            <w:r w:rsidR="004114AD" w:rsidRPr="00AA2370">
              <w:t>2</w:t>
            </w:r>
            <w:r w:rsidRPr="00AA2370">
              <w:t>/Add.</w:t>
            </w:r>
            <w:r w:rsidR="00870D6D" w:rsidRPr="00AA2370">
              <w:t>1</w:t>
            </w:r>
            <w:r w:rsidR="00A17585" w:rsidRPr="00AA2370">
              <w:t>2</w:t>
            </w:r>
            <w:r w:rsidR="00D63307" w:rsidRPr="00AA2370">
              <w:t>8</w:t>
            </w:r>
            <w:r w:rsidR="00C041EE" w:rsidRPr="00AA2370">
              <w:t>/</w:t>
            </w:r>
            <w:r w:rsidR="0091034F" w:rsidRPr="00AA2370">
              <w:t>Rev.</w:t>
            </w:r>
            <w:r w:rsidR="00EC5B39" w:rsidRPr="00AA2370">
              <w:t>4</w:t>
            </w:r>
            <w:r w:rsidR="0091034F" w:rsidRPr="00AA2370">
              <w:t>/</w:t>
            </w:r>
            <w:r w:rsidRPr="00AA2370">
              <w:t>Amend.</w:t>
            </w:r>
            <w:r w:rsidR="0010158B" w:rsidRPr="00AA2370">
              <w:t>9</w:t>
            </w:r>
            <w:r w:rsidRPr="00AA2370">
              <w:t>−</w:t>
            </w:r>
            <w:r w:rsidRPr="00AA2370">
              <w:rPr>
                <w:sz w:val="40"/>
              </w:rPr>
              <w:t>E</w:t>
            </w:r>
            <w:r w:rsidRPr="00AA2370">
              <w:t>/ECE/TRANS/505/Rev.</w:t>
            </w:r>
            <w:r w:rsidR="004114AD" w:rsidRPr="00AA2370">
              <w:t>2</w:t>
            </w:r>
            <w:r w:rsidRPr="00AA2370">
              <w:t>/Add.</w:t>
            </w:r>
            <w:r w:rsidR="00870D6D" w:rsidRPr="00AA2370">
              <w:t>1</w:t>
            </w:r>
            <w:r w:rsidR="009A0986" w:rsidRPr="00AA2370">
              <w:t>2</w:t>
            </w:r>
            <w:r w:rsidR="00D63307" w:rsidRPr="00AA2370">
              <w:t>8</w:t>
            </w:r>
            <w:r w:rsidRPr="00AA2370">
              <w:t>/</w:t>
            </w:r>
            <w:r w:rsidR="0091034F" w:rsidRPr="00AA2370">
              <w:t>Rev.</w:t>
            </w:r>
            <w:r w:rsidR="00EC5B39" w:rsidRPr="00AA2370">
              <w:t>4</w:t>
            </w:r>
            <w:r w:rsidR="0091034F" w:rsidRPr="00AA2370">
              <w:t>/</w:t>
            </w:r>
            <w:r w:rsidR="004114AD" w:rsidRPr="00AA2370">
              <w:t>A</w:t>
            </w:r>
            <w:r w:rsidRPr="00AA2370">
              <w:t>mend.</w:t>
            </w:r>
            <w:r w:rsidR="0010158B" w:rsidRPr="00AA2370">
              <w:t>9</w:t>
            </w:r>
          </w:p>
        </w:tc>
      </w:tr>
      <w:tr w:rsidR="00AA2370" w:rsidRPr="00AA2370" w14:paraId="75E098F7" w14:textId="77777777" w:rsidTr="004114AD">
        <w:trPr>
          <w:cantSplit/>
          <w:trHeight w:hRule="exact" w:val="2421"/>
        </w:trPr>
        <w:tc>
          <w:tcPr>
            <w:tcW w:w="1276" w:type="dxa"/>
            <w:tcBorders>
              <w:top w:val="single" w:sz="4" w:space="0" w:color="auto"/>
              <w:bottom w:val="single" w:sz="12" w:space="0" w:color="auto"/>
            </w:tcBorders>
          </w:tcPr>
          <w:p w14:paraId="78499250" w14:textId="77777777" w:rsidR="008B60F7" w:rsidRPr="00AA2370"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AA2370"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AA2370" w:rsidRDefault="008B60F7" w:rsidP="008B60F7">
            <w:pPr>
              <w:spacing w:before="120"/>
              <w:rPr>
                <w:highlight w:val="yellow"/>
              </w:rPr>
            </w:pPr>
          </w:p>
          <w:p w14:paraId="5F566627" w14:textId="77777777" w:rsidR="008B60F7" w:rsidRPr="00AA2370" w:rsidRDefault="008B60F7" w:rsidP="008B60F7">
            <w:pPr>
              <w:spacing w:before="120"/>
              <w:rPr>
                <w:highlight w:val="yellow"/>
              </w:rPr>
            </w:pPr>
          </w:p>
          <w:p w14:paraId="1099C328" w14:textId="0381A1A6" w:rsidR="008B60F7" w:rsidRPr="00AA2370" w:rsidRDefault="00AA2370" w:rsidP="008B60F7">
            <w:pPr>
              <w:spacing w:before="120"/>
              <w:rPr>
                <w:highlight w:val="yellow"/>
              </w:rPr>
            </w:pPr>
            <w:r>
              <w:t>29 Febr</w:t>
            </w:r>
            <w:r w:rsidR="0010158B" w:rsidRPr="00AA2370">
              <w:t>uary 2024</w:t>
            </w:r>
          </w:p>
        </w:tc>
      </w:tr>
    </w:tbl>
    <w:p w14:paraId="445927DA" w14:textId="77777777" w:rsidR="008B60F7" w:rsidRPr="00AA2370" w:rsidRDefault="008B60F7" w:rsidP="008B60F7">
      <w:pPr>
        <w:pStyle w:val="HChG"/>
        <w:spacing w:before="240" w:after="120"/>
      </w:pPr>
      <w:r w:rsidRPr="00AA2370">
        <w:tab/>
      </w:r>
      <w:r w:rsidRPr="00AA2370">
        <w:tab/>
      </w:r>
      <w:bookmarkStart w:id="3" w:name="_Toc340666199"/>
      <w:bookmarkStart w:id="4" w:name="_Toc340745062"/>
      <w:r w:rsidRPr="00AA2370">
        <w:t>Agreement</w:t>
      </w:r>
      <w:bookmarkEnd w:id="3"/>
      <w:bookmarkEnd w:id="4"/>
    </w:p>
    <w:p w14:paraId="2B5AB43B" w14:textId="77777777" w:rsidR="008B60F7" w:rsidRPr="00AA2370" w:rsidRDefault="008B60F7" w:rsidP="008B60F7">
      <w:pPr>
        <w:pStyle w:val="H1G"/>
        <w:spacing w:before="240"/>
      </w:pPr>
      <w:r w:rsidRPr="00AA2370">
        <w:rPr>
          <w:rStyle w:val="H1GChar"/>
        </w:rPr>
        <w:tab/>
      </w:r>
      <w:r w:rsidRPr="00AA2370">
        <w:rPr>
          <w:rStyle w:val="H1GChar"/>
        </w:rPr>
        <w:tab/>
      </w:r>
      <w:r w:rsidRPr="00AA2370">
        <w:t>Concerning the</w:t>
      </w:r>
      <w:r w:rsidRPr="00AA2370">
        <w:rPr>
          <w:smallCaps/>
        </w:rPr>
        <w:t xml:space="preserve"> </w:t>
      </w:r>
      <w:r w:rsidRPr="00AA2370">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AA2370">
        <w:rPr>
          <w:rStyle w:val="FootnoteReference"/>
          <w:b w:val="0"/>
          <w:sz w:val="20"/>
          <w:vertAlign w:val="baseline"/>
        </w:rPr>
        <w:footnoteReference w:customMarkFollows="1" w:id="2"/>
        <w:t>*</w:t>
      </w:r>
    </w:p>
    <w:p w14:paraId="51C113B3" w14:textId="77777777" w:rsidR="008B60F7" w:rsidRPr="00AA2370" w:rsidRDefault="008B60F7" w:rsidP="008B60F7">
      <w:pPr>
        <w:pStyle w:val="SingleTxtG"/>
        <w:spacing w:before="120"/>
      </w:pPr>
      <w:r w:rsidRPr="00AA2370">
        <w:t>(Revision 3, including the amendments which entered into force on 14 September 2017)</w:t>
      </w:r>
    </w:p>
    <w:p w14:paraId="771D92D0" w14:textId="77777777" w:rsidR="008B60F7" w:rsidRPr="00AA2370" w:rsidRDefault="008B60F7" w:rsidP="008B60F7">
      <w:pPr>
        <w:pStyle w:val="H1G"/>
        <w:spacing w:before="120"/>
        <w:ind w:left="0" w:right="0" w:firstLine="0"/>
        <w:jc w:val="center"/>
      </w:pPr>
      <w:r w:rsidRPr="00AA2370">
        <w:t>_________</w:t>
      </w:r>
    </w:p>
    <w:p w14:paraId="44963F22" w14:textId="67131145" w:rsidR="008B60F7" w:rsidRPr="00AA2370" w:rsidRDefault="008B60F7" w:rsidP="008B60F7">
      <w:pPr>
        <w:pStyle w:val="H1G"/>
        <w:spacing w:before="240" w:after="120"/>
      </w:pPr>
      <w:r w:rsidRPr="00AA2370">
        <w:tab/>
      </w:r>
      <w:r w:rsidRPr="00AA2370">
        <w:tab/>
        <w:t xml:space="preserve">Addendum </w:t>
      </w:r>
      <w:r w:rsidR="00870D6D" w:rsidRPr="00AA2370">
        <w:t>1</w:t>
      </w:r>
      <w:r w:rsidR="009A0986" w:rsidRPr="00AA2370">
        <w:t>28</w:t>
      </w:r>
      <w:r w:rsidRPr="00AA2370">
        <w:t xml:space="preserve"> – UN Regulation No. </w:t>
      </w:r>
      <w:r w:rsidR="00870D6D" w:rsidRPr="00AA2370">
        <w:t>1</w:t>
      </w:r>
      <w:r w:rsidR="009A0986" w:rsidRPr="00AA2370">
        <w:t>29</w:t>
      </w:r>
    </w:p>
    <w:p w14:paraId="5300C1B5" w14:textId="0808BBC3" w:rsidR="008B60F7" w:rsidRPr="00AA2370" w:rsidRDefault="008B60F7" w:rsidP="008B60F7">
      <w:pPr>
        <w:pStyle w:val="H1G"/>
        <w:spacing w:before="240"/>
      </w:pPr>
      <w:r w:rsidRPr="00AA2370">
        <w:tab/>
      </w:r>
      <w:r w:rsidRPr="00AA2370">
        <w:tab/>
      </w:r>
      <w:r w:rsidR="00EC20E7" w:rsidRPr="00AA2370">
        <w:t xml:space="preserve">Revision </w:t>
      </w:r>
      <w:r w:rsidR="00EC5B39" w:rsidRPr="00AA2370">
        <w:t>4</w:t>
      </w:r>
      <w:r w:rsidR="00EC20E7" w:rsidRPr="00AA2370">
        <w:t xml:space="preserve"> - </w:t>
      </w:r>
      <w:r w:rsidRPr="00AA2370">
        <w:t xml:space="preserve">Amendment </w:t>
      </w:r>
      <w:r w:rsidR="0010158B" w:rsidRPr="00AA2370">
        <w:t>9</w:t>
      </w:r>
    </w:p>
    <w:p w14:paraId="5F142C19" w14:textId="1E7517A7" w:rsidR="008B60F7" w:rsidRPr="00AA2370" w:rsidRDefault="00870D6D" w:rsidP="008B60F7">
      <w:pPr>
        <w:pStyle w:val="SingleTxtG"/>
        <w:spacing w:after="360"/>
        <w:rPr>
          <w:spacing w:val="-2"/>
        </w:rPr>
      </w:pPr>
      <w:r w:rsidRPr="00AA2370">
        <w:rPr>
          <w:spacing w:val="-2"/>
        </w:rPr>
        <w:t xml:space="preserve">Supplement </w:t>
      </w:r>
      <w:r w:rsidR="0010158B" w:rsidRPr="00AA2370">
        <w:rPr>
          <w:spacing w:val="-2"/>
        </w:rPr>
        <w:t>9</w:t>
      </w:r>
      <w:r w:rsidR="00114098" w:rsidRPr="00AA2370">
        <w:rPr>
          <w:spacing w:val="-2"/>
        </w:rPr>
        <w:t xml:space="preserve"> </w:t>
      </w:r>
      <w:r w:rsidRPr="00AA2370">
        <w:rPr>
          <w:spacing w:val="-2"/>
        </w:rPr>
        <w:t xml:space="preserve">to the </w:t>
      </w:r>
      <w:r w:rsidR="00EC20E7" w:rsidRPr="00AA2370">
        <w:rPr>
          <w:spacing w:val="-2"/>
        </w:rPr>
        <w:t>0</w:t>
      </w:r>
      <w:r w:rsidR="00EC5B39" w:rsidRPr="00AA2370">
        <w:rPr>
          <w:spacing w:val="-2"/>
        </w:rPr>
        <w:t>3</w:t>
      </w:r>
      <w:r w:rsidR="00EC20E7" w:rsidRPr="00AA2370">
        <w:rPr>
          <w:spacing w:val="-2"/>
        </w:rPr>
        <w:t xml:space="preserve"> series of amendments</w:t>
      </w:r>
      <w:r w:rsidR="008B60F7" w:rsidRPr="00AA2370">
        <w:rPr>
          <w:spacing w:val="-2"/>
        </w:rPr>
        <w:t xml:space="preserve"> – Date of entry into force: </w:t>
      </w:r>
      <w:r w:rsidR="000471A2" w:rsidRPr="00AA2370">
        <w:rPr>
          <w:spacing w:val="-2"/>
        </w:rPr>
        <w:t>5</w:t>
      </w:r>
      <w:r w:rsidR="0010158B" w:rsidRPr="00AA2370">
        <w:rPr>
          <w:spacing w:val="-2"/>
        </w:rPr>
        <w:t xml:space="preserve"> January 2024 </w:t>
      </w:r>
    </w:p>
    <w:p w14:paraId="285A6550" w14:textId="5A50E87A" w:rsidR="007842B3" w:rsidRPr="00AA2370" w:rsidRDefault="008B60F7" w:rsidP="00461688">
      <w:pPr>
        <w:pStyle w:val="H1G"/>
        <w:spacing w:before="120" w:after="120" w:line="240" w:lineRule="exact"/>
        <w:ind w:left="1138" w:right="1138" w:hanging="1138"/>
      </w:pPr>
      <w:r w:rsidRPr="00AA2370">
        <w:rPr>
          <w:lang w:val="en-US"/>
        </w:rPr>
        <w:tab/>
      </w:r>
      <w:r w:rsidRPr="00AA2370">
        <w:rPr>
          <w:lang w:val="en-US"/>
        </w:rPr>
        <w:tab/>
      </w:r>
      <w:r w:rsidR="009A0986" w:rsidRPr="00AA2370">
        <w:rPr>
          <w:bCs/>
          <w:szCs w:val="24"/>
        </w:rPr>
        <w:t>Uniform provisions concerning the approval of Enhanced Child Restraint Systems used on board of motor vehicles (ECRS)</w:t>
      </w:r>
    </w:p>
    <w:p w14:paraId="45A138D6" w14:textId="6190CEB1" w:rsidR="008B60F7" w:rsidRPr="00AA2370" w:rsidRDefault="008B60F7" w:rsidP="008B60F7">
      <w:pPr>
        <w:pStyle w:val="SingleTxtG"/>
        <w:spacing w:after="40"/>
        <w:rPr>
          <w:lang w:eastAsia="en-GB"/>
        </w:rPr>
      </w:pPr>
      <w:r w:rsidRPr="00AA2370">
        <w:rPr>
          <w:spacing w:val="-4"/>
          <w:lang w:eastAsia="en-GB"/>
        </w:rPr>
        <w:t>This document is meant purely as documentation tool. The authentic and legal binding text is:</w:t>
      </w:r>
      <w:r w:rsidRPr="00AA2370">
        <w:rPr>
          <w:lang w:eastAsia="en-GB"/>
        </w:rPr>
        <w:t xml:space="preserve"> </w:t>
      </w:r>
      <w:r w:rsidRPr="00AA2370">
        <w:rPr>
          <w:spacing w:val="-6"/>
          <w:lang w:eastAsia="en-GB"/>
        </w:rPr>
        <w:t>ECE/TRANS/WP.29/</w:t>
      </w:r>
      <w:r w:rsidR="00133A55" w:rsidRPr="00AA2370">
        <w:rPr>
          <w:spacing w:val="-6"/>
          <w:lang w:eastAsia="en-GB"/>
        </w:rPr>
        <w:t>202</w:t>
      </w:r>
      <w:r w:rsidR="002D563B" w:rsidRPr="00AA2370">
        <w:rPr>
          <w:spacing w:val="-6"/>
          <w:lang w:eastAsia="en-GB"/>
        </w:rPr>
        <w:t>3/51 as amended by para 98 of the rep</w:t>
      </w:r>
      <w:r w:rsidR="002C6F91" w:rsidRPr="00AA2370">
        <w:rPr>
          <w:spacing w:val="-6"/>
          <w:lang w:eastAsia="en-GB"/>
        </w:rPr>
        <w:t xml:space="preserve">ort </w:t>
      </w:r>
      <w:r w:rsidR="00021D45" w:rsidRPr="00AA2370">
        <w:rPr>
          <w:spacing w:val="-6"/>
          <w:lang w:eastAsia="en-GB"/>
        </w:rPr>
        <w:t>ECE/TRANS</w:t>
      </w:r>
      <w:r w:rsidR="000E0357" w:rsidRPr="00AA2370">
        <w:rPr>
          <w:spacing w:val="-6"/>
          <w:lang w:eastAsia="en-GB"/>
        </w:rPr>
        <w:t>/WP.29/1173</w:t>
      </w:r>
      <w:r w:rsidR="00BF62AB" w:rsidRPr="00AA2370">
        <w:rPr>
          <w:spacing w:val="-6"/>
          <w:lang w:eastAsia="en-GB"/>
        </w:rPr>
        <w:t>.</w:t>
      </w:r>
    </w:p>
    <w:p w14:paraId="550E56C3" w14:textId="77777777" w:rsidR="008B60F7" w:rsidRPr="00AA2370" w:rsidRDefault="008B60F7" w:rsidP="008B60F7">
      <w:pPr>
        <w:suppressAutoHyphens w:val="0"/>
        <w:spacing w:line="240" w:lineRule="auto"/>
        <w:jc w:val="center"/>
        <w:rPr>
          <w:b/>
          <w:sz w:val="24"/>
        </w:rPr>
      </w:pPr>
      <w:r w:rsidRPr="00AA2370">
        <w:rPr>
          <w:b/>
          <w:noProof/>
          <w:sz w:val="24"/>
          <w:lang w:val="en-US"/>
        </w:rPr>
        <w:drawing>
          <wp:anchor distT="0" distB="137160" distL="114300" distR="114300" simplePos="0" relativeHeight="251659264"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AA2370">
        <w:rPr>
          <w:b/>
          <w:sz w:val="24"/>
        </w:rPr>
        <w:t>_________</w:t>
      </w:r>
    </w:p>
    <w:p w14:paraId="0F900740" w14:textId="2685FBC2" w:rsidR="001A4797" w:rsidRDefault="008B60F7" w:rsidP="00F979CC">
      <w:pPr>
        <w:pStyle w:val="SingleTxtG"/>
        <w:jc w:val="center"/>
        <w:rPr>
          <w:b/>
          <w:sz w:val="24"/>
        </w:rPr>
      </w:pPr>
      <w:r w:rsidRPr="00AA2370">
        <w:rPr>
          <w:b/>
          <w:sz w:val="24"/>
        </w:rPr>
        <w:t>UNITED NATIONS</w:t>
      </w:r>
      <w:bookmarkEnd w:id="1"/>
      <w:r w:rsidR="007B1EC7" w:rsidRPr="00AA2370">
        <w:rPr>
          <w:b/>
          <w:sz w:val="24"/>
        </w:rPr>
        <w:br w:type="page"/>
      </w:r>
      <w:bookmarkEnd w:id="2"/>
    </w:p>
    <w:p w14:paraId="5EC9A8B3" w14:textId="77777777" w:rsidR="0039414E" w:rsidRPr="00A65079" w:rsidRDefault="0039414E" w:rsidP="0039414E">
      <w:pPr>
        <w:tabs>
          <w:tab w:val="left" w:pos="2300"/>
          <w:tab w:val="left" w:pos="2800"/>
        </w:tabs>
        <w:spacing w:after="120"/>
        <w:ind w:left="2302" w:right="1134" w:hanging="1168"/>
        <w:jc w:val="both"/>
        <w:rPr>
          <w:i/>
        </w:rPr>
      </w:pPr>
      <w:r w:rsidRPr="00A65079">
        <w:rPr>
          <w:i/>
        </w:rPr>
        <w:lastRenderedPageBreak/>
        <w:t>Paragraph 6.3.1.1.</w:t>
      </w:r>
      <w:r w:rsidRPr="00A65079">
        <w:t>,</w:t>
      </w:r>
      <w:r w:rsidRPr="00A65079">
        <w:rPr>
          <w:i/>
        </w:rPr>
        <w:t xml:space="preserve"> </w:t>
      </w:r>
      <w:r w:rsidRPr="00A65079">
        <w:t>amend to read</w:t>
      </w:r>
      <w:r w:rsidRPr="00A65079">
        <w:rPr>
          <w:iCs/>
        </w:rPr>
        <w:t>:</w:t>
      </w:r>
    </w:p>
    <w:p w14:paraId="7959CE1D" w14:textId="77777777" w:rsidR="0039414E" w:rsidRPr="00A65079" w:rsidRDefault="0039414E" w:rsidP="0039414E">
      <w:pPr>
        <w:spacing w:after="120"/>
        <w:ind w:left="2268" w:right="1134" w:hanging="1134"/>
        <w:jc w:val="both"/>
      </w:pPr>
      <w:r w:rsidRPr="00A65079">
        <w:t>"6.3.1.1.</w:t>
      </w:r>
      <w:r w:rsidRPr="00A65079">
        <w:tab/>
        <w:t>The Enhanced Child Restraint System … of EN 71-3:2019+A1:2021, ..."</w:t>
      </w:r>
    </w:p>
    <w:p w14:paraId="05452EBE" w14:textId="77777777" w:rsidR="0039414E" w:rsidRPr="00A65079" w:rsidRDefault="0039414E" w:rsidP="0039414E">
      <w:pPr>
        <w:tabs>
          <w:tab w:val="left" w:pos="2300"/>
          <w:tab w:val="left" w:pos="2800"/>
        </w:tabs>
        <w:spacing w:after="120"/>
        <w:ind w:left="2302" w:right="1134" w:hanging="1168"/>
        <w:jc w:val="both"/>
      </w:pPr>
      <w:r w:rsidRPr="00A65079">
        <w:rPr>
          <w:i/>
        </w:rPr>
        <w:t>Paragraph 6.3.1.2.</w:t>
      </w:r>
      <w:r w:rsidRPr="00A65079">
        <w:t>, amend to read:</w:t>
      </w:r>
    </w:p>
    <w:p w14:paraId="4A1EDA68" w14:textId="77777777" w:rsidR="0039414E" w:rsidRPr="00A65079" w:rsidRDefault="0039414E" w:rsidP="0039414E">
      <w:pPr>
        <w:spacing w:before="120" w:after="120"/>
        <w:ind w:left="2268" w:right="1134" w:hanging="1134"/>
        <w:jc w:val="both"/>
      </w:pPr>
      <w:r w:rsidRPr="00A65079">
        <w:t>"6.3.1.2.</w:t>
      </w:r>
      <w:r w:rsidRPr="00A65079">
        <w:tab/>
        <w:t>The flammability of Enhanced Child Restraint Systems submitted for approval shall be assessed by one of the following methods:</w:t>
      </w:r>
    </w:p>
    <w:p w14:paraId="1CADA824" w14:textId="77777777" w:rsidR="0039414E" w:rsidRPr="00A65079" w:rsidRDefault="0039414E" w:rsidP="0039414E">
      <w:pPr>
        <w:tabs>
          <w:tab w:val="left" w:pos="2325"/>
        </w:tabs>
        <w:spacing w:before="120" w:after="240"/>
        <w:ind w:left="2276" w:right="1138" w:hanging="1138"/>
        <w:jc w:val="both"/>
      </w:pPr>
      <w:r w:rsidRPr="00A65079">
        <w:tab/>
        <w:t xml:space="preserve">… of EN 71-2:2021 with a maximum rate …" </w:t>
      </w:r>
    </w:p>
    <w:p w14:paraId="4D18372F" w14:textId="77777777" w:rsidR="0039414E" w:rsidRPr="008833EC" w:rsidRDefault="0039414E" w:rsidP="0039414E">
      <w:pPr>
        <w:tabs>
          <w:tab w:val="left" w:pos="2300"/>
          <w:tab w:val="left" w:pos="2800"/>
        </w:tabs>
        <w:spacing w:after="120"/>
        <w:ind w:right="1134" w:firstLine="1134"/>
        <w:jc w:val="both"/>
        <w:rPr>
          <w:i/>
        </w:rPr>
      </w:pPr>
      <w:r w:rsidRPr="008833EC">
        <w:rPr>
          <w:i/>
        </w:rPr>
        <w:t xml:space="preserve">Paragraph 6.3.5.1., </w:t>
      </w:r>
      <w:r w:rsidRPr="008833EC">
        <w:t>amend to read</w:t>
      </w:r>
      <w:r w:rsidRPr="008833EC">
        <w:rPr>
          <w:iCs/>
        </w:rPr>
        <w:t>:</w:t>
      </w:r>
    </w:p>
    <w:p w14:paraId="3509D234" w14:textId="77777777" w:rsidR="0039414E" w:rsidRPr="008833EC" w:rsidRDefault="0039414E" w:rsidP="0039414E">
      <w:pPr>
        <w:spacing w:after="120"/>
        <w:ind w:left="2268" w:right="1134" w:hanging="1134"/>
        <w:jc w:val="both"/>
        <w:rPr>
          <w:bCs/>
        </w:rPr>
      </w:pPr>
      <w:r w:rsidRPr="008833EC">
        <w:rPr>
          <w:bCs/>
        </w:rPr>
        <w:t>"6.3.5.1.</w:t>
      </w:r>
      <w:r w:rsidRPr="008833EC">
        <w:rPr>
          <w:bCs/>
        </w:rPr>
        <w:tab/>
        <w:t>Support-leg</w:t>
      </w:r>
      <w:r w:rsidRPr="008833EC">
        <w:rPr>
          <w:b/>
          <w:bCs/>
        </w:rPr>
        <w:t xml:space="preserve"> </w:t>
      </w:r>
      <w:r w:rsidRPr="008833EC">
        <w:rPr>
          <w:bCs/>
        </w:rPr>
        <w:t>and support-leg foot geometrical</w:t>
      </w:r>
      <w:r w:rsidRPr="008833EC">
        <w:rPr>
          <w:b/>
          <w:bCs/>
        </w:rPr>
        <w:t xml:space="preserve"> </w:t>
      </w:r>
      <w:r w:rsidRPr="008833EC">
        <w:rPr>
          <w:bCs/>
        </w:rPr>
        <w:t>requirements</w:t>
      </w:r>
    </w:p>
    <w:p w14:paraId="54D1DD58" w14:textId="77777777" w:rsidR="0039414E" w:rsidRPr="0028455B" w:rsidRDefault="0039414E" w:rsidP="0039414E">
      <w:pPr>
        <w:spacing w:after="120"/>
        <w:ind w:left="2268" w:right="1134"/>
        <w:jc w:val="both"/>
        <w:rPr>
          <w:snapToGrid w:val="0"/>
        </w:rPr>
      </w:pPr>
      <w:r w:rsidRPr="0028455B">
        <w:rPr>
          <w:snapToGrid w:val="0"/>
        </w:rPr>
        <w:t>The support leg, including its attachment to the Enhanced child restraint systems and the support-leg foot shall lie completely within the support leg dimension assessment volume (see also figures 1 and 2 of annex 19 of this Regulation), which is defined as follows:</w:t>
      </w:r>
    </w:p>
    <w:p w14:paraId="12256B9D" w14:textId="77777777" w:rsidR="0039414E" w:rsidRPr="0028455B" w:rsidRDefault="0039414E" w:rsidP="0039414E">
      <w:pPr>
        <w:spacing w:after="120"/>
        <w:ind w:left="2835" w:right="1134" w:hanging="567"/>
        <w:jc w:val="both"/>
        <w:rPr>
          <w:snapToGrid w:val="0"/>
        </w:rPr>
      </w:pPr>
      <w:r w:rsidRPr="0028455B">
        <w:rPr>
          <w:snapToGrid w:val="0"/>
        </w:rPr>
        <w:t xml:space="preserve">(a) </w:t>
      </w:r>
      <w:r w:rsidRPr="0028455B">
        <w:rPr>
          <w:snapToGrid w:val="0"/>
        </w:rPr>
        <w:tab/>
        <w:t>In width by two planes parallel to the X'-Z' plane separated by 200 mm, and centred around the origin; and</w:t>
      </w:r>
    </w:p>
    <w:p w14:paraId="409E1611" w14:textId="77777777" w:rsidR="0039414E" w:rsidRPr="0028455B" w:rsidRDefault="0039414E" w:rsidP="0039414E">
      <w:pPr>
        <w:spacing w:after="120"/>
        <w:ind w:left="2835" w:right="1134" w:hanging="567"/>
        <w:jc w:val="both"/>
        <w:rPr>
          <w:snapToGrid w:val="0"/>
        </w:rPr>
      </w:pPr>
      <w:r w:rsidRPr="0028455B">
        <w:rPr>
          <w:snapToGrid w:val="0"/>
        </w:rPr>
        <w:t xml:space="preserve">(b) </w:t>
      </w:r>
      <w:r w:rsidRPr="0028455B">
        <w:rPr>
          <w:snapToGrid w:val="0"/>
        </w:rPr>
        <w:tab/>
        <w:t>In length by two planes parallel to the Z'-Y' plane and positioned at distances of 585 mm and 695 mm forward of the origin along the X' axis; and</w:t>
      </w:r>
    </w:p>
    <w:p w14:paraId="34B58183" w14:textId="77777777" w:rsidR="00154E1C" w:rsidRPr="00154E1C" w:rsidRDefault="00154E1C" w:rsidP="00154E1C">
      <w:pPr>
        <w:spacing w:after="120"/>
        <w:ind w:left="2835" w:right="1134" w:hanging="567"/>
        <w:jc w:val="both"/>
        <w:rPr>
          <w:snapToGrid w:val="0"/>
        </w:rPr>
      </w:pPr>
      <w:r w:rsidRPr="00154E1C">
        <w:rPr>
          <w:snapToGrid w:val="0"/>
        </w:rPr>
        <w:t>(c)</w:t>
      </w:r>
      <w:r w:rsidRPr="00154E1C">
        <w:rPr>
          <w:snapToGrid w:val="0"/>
        </w:rPr>
        <w:tab/>
        <w:t xml:space="preserve">In height by a plane parallel to the X'-Y' plane, positioned at a distance of 70 mm above the origin </w:t>
      </w:r>
      <w:r w:rsidRPr="00154E1C">
        <w:rPr>
          <w:snapToGrid w:val="0"/>
          <w:lang w:val="en-US"/>
        </w:rPr>
        <w:t>for forward-facing ECRS or 185 mm above the origin for rear-facing ECRS and in each case</w:t>
      </w:r>
      <w:r w:rsidRPr="00154E1C">
        <w:rPr>
          <w:snapToGrid w:val="0"/>
        </w:rPr>
        <w:t xml:space="preserve"> measured perpendicular to the X'-Y' plane. Rigid, non-adjustable parts of the support leg shall not extend beyond a plane parallel to the X'-Y' plane, positioned at a distance of 285 mm below the origin and perpendicular to the X'-Y' plane.</w:t>
      </w:r>
    </w:p>
    <w:p w14:paraId="11E244C3" w14:textId="09B47597" w:rsidR="0039414E" w:rsidRDefault="00154E1C" w:rsidP="0039414E">
      <w:pPr>
        <w:spacing w:after="120"/>
        <w:ind w:left="2268" w:right="1134"/>
        <w:jc w:val="both"/>
        <w:rPr>
          <w:bCs/>
        </w:rPr>
      </w:pPr>
      <w:r w:rsidRPr="00154E1C">
        <w:rPr>
          <w:snapToGrid w:val="0"/>
        </w:rPr>
        <w:t>The support-leg ...</w:t>
      </w:r>
      <w:r w:rsidRPr="00154E1C">
        <w:rPr>
          <w:bCs/>
          <w:snapToGrid w:val="0"/>
        </w:rPr>
        <w:t>"</w:t>
      </w:r>
      <w:r w:rsidR="0039414E" w:rsidRPr="008833EC">
        <w:rPr>
          <w:snapToGrid w:val="0"/>
        </w:rPr>
        <w:t>may protrude the support-leg dimension assessment volume, providing it remains within the volume of the relevant CRF.</w:t>
      </w:r>
      <w:r w:rsidR="0039414E" w:rsidRPr="008833EC">
        <w:rPr>
          <w:bCs/>
        </w:rPr>
        <w:t>"</w:t>
      </w:r>
    </w:p>
    <w:p w14:paraId="3074A9D5" w14:textId="77777777" w:rsidR="0039414E" w:rsidRDefault="0039414E" w:rsidP="0039414E">
      <w:pPr>
        <w:pStyle w:val="SingleTxtG"/>
      </w:pPr>
      <w:r>
        <w:rPr>
          <w:i/>
          <w:iCs/>
        </w:rPr>
        <w:t>Paragraph 6.6.4.4.1.1.</w:t>
      </w:r>
      <w:r>
        <w:t>, amend to read:</w:t>
      </w:r>
    </w:p>
    <w:p w14:paraId="06A424AD" w14:textId="77777777" w:rsidR="0039414E" w:rsidRPr="0039414E" w:rsidRDefault="0039414E" w:rsidP="0039414E">
      <w:pPr>
        <w:pStyle w:val="para"/>
        <w:rPr>
          <w:lang w:val="en-GB"/>
        </w:rPr>
      </w:pPr>
      <w:bookmarkStart w:id="5" w:name="_Hlk111114823"/>
      <w:r w:rsidRPr="0039414E">
        <w:rPr>
          <w:lang w:val="en-GB"/>
        </w:rPr>
        <w:t>"6.6.4.4.1.1.</w:t>
      </w:r>
      <w:r w:rsidRPr="0039414E">
        <w:rPr>
          <w:lang w:val="en-GB"/>
        </w:rPr>
        <w:tab/>
        <w:t>Forward-facing Enhanced Child Restraint Systems</w:t>
      </w:r>
    </w:p>
    <w:p w14:paraId="621FC195" w14:textId="77777777" w:rsidR="0039414E" w:rsidRPr="000469DD" w:rsidRDefault="0039414E" w:rsidP="0039414E">
      <w:pPr>
        <w:spacing w:before="120" w:after="120" w:line="240" w:lineRule="auto"/>
        <w:ind w:left="2268" w:right="1134" w:hanging="1134"/>
        <w:jc w:val="both"/>
      </w:pPr>
      <w:r w:rsidRPr="000469DD">
        <w:tab/>
        <w:t xml:space="preserve">Integral Enhanced Child Restraints: No part of the head of the dummy shall pass beyond the planes BA, DA and DE as defined in Figure 4 below: </w:t>
      </w:r>
    </w:p>
    <w:p w14:paraId="77526EEE" w14:textId="77777777" w:rsidR="0039414E" w:rsidRPr="000469DD" w:rsidRDefault="0039414E" w:rsidP="0039414E">
      <w:pPr>
        <w:pStyle w:val="SingleTxtG"/>
        <w:ind w:left="2835" w:hanging="567"/>
      </w:pPr>
      <w:r w:rsidRPr="000469DD">
        <w:t>(a)</w:t>
      </w:r>
      <w:r w:rsidRPr="000469DD">
        <w:tab/>
        <w:t>The value in relation to the BA plane is 500 mm; and</w:t>
      </w:r>
    </w:p>
    <w:p w14:paraId="30769FB1" w14:textId="77777777" w:rsidR="0039414E" w:rsidRPr="000469DD" w:rsidRDefault="0039414E" w:rsidP="0039414E">
      <w:pPr>
        <w:pStyle w:val="SingleTxtG"/>
        <w:ind w:left="2835" w:hanging="567"/>
      </w:pPr>
      <w:r w:rsidRPr="000469DD">
        <w:t>(b)</w:t>
      </w:r>
      <w:r w:rsidRPr="000469DD">
        <w:tab/>
        <w:t>The value in relation to the DA plane is 800 mm, except when testing with the Q3 or Q6 dummy where the value is 840 mm; and</w:t>
      </w:r>
    </w:p>
    <w:p w14:paraId="51D90D43" w14:textId="77777777" w:rsidR="0039414E" w:rsidRPr="000469DD" w:rsidRDefault="0039414E" w:rsidP="0039414E">
      <w:pPr>
        <w:pStyle w:val="SingleTxtG"/>
        <w:ind w:left="2835" w:hanging="567"/>
      </w:pPr>
      <w:r w:rsidRPr="000469DD">
        <w:t>(c)</w:t>
      </w:r>
      <w:r w:rsidRPr="000469DD">
        <w:tab/>
        <w:t>However, the head of the dummy may pass beyond the DE plane, if the head pad or the backrest part of the child restraint structure, which is behind the head of the dummy, at the point the head, passes the DE plane; and</w:t>
      </w:r>
    </w:p>
    <w:p w14:paraId="0EDE9384" w14:textId="77777777" w:rsidR="0039414E" w:rsidRPr="000469DD" w:rsidRDefault="0039414E" w:rsidP="0039414E">
      <w:pPr>
        <w:pStyle w:val="SingleTxtG"/>
        <w:ind w:left="2835" w:hanging="567"/>
      </w:pPr>
      <w:r w:rsidRPr="000469DD">
        <w:rPr>
          <w:lang w:eastAsia="zh-CN"/>
        </w:rPr>
        <w:t>(d)</w:t>
      </w:r>
      <w:r w:rsidRPr="000469DD">
        <w:rPr>
          <w:lang w:eastAsia="zh-CN"/>
        </w:rPr>
        <w:tab/>
        <w:t xml:space="preserve">In case of </w:t>
      </w:r>
      <w:bookmarkStart w:id="6" w:name="_Hlk19172077"/>
      <w:r w:rsidRPr="000469DD">
        <w:rPr>
          <w:lang w:eastAsia="zh-CN"/>
        </w:rPr>
        <w:t>dummy contact with a rigid part of the test bench in the rebound phase</w:t>
      </w:r>
      <w:bookmarkEnd w:id="6"/>
      <w:r w:rsidRPr="000469DD">
        <w:rPr>
          <w:lang w:eastAsia="zh-CN"/>
        </w:rPr>
        <w:t xml:space="preserve">, the head acceleration criterion </w:t>
      </w:r>
      <w:r w:rsidRPr="000469DD">
        <w:rPr>
          <w:color w:val="000000"/>
          <w:lang w:eastAsia="zh-CN"/>
        </w:rPr>
        <w:t xml:space="preserve">during that contact </w:t>
      </w:r>
      <w:r w:rsidRPr="000469DD">
        <w:rPr>
          <w:lang w:eastAsia="zh-CN"/>
        </w:rPr>
        <w:t xml:space="preserve">shall </w:t>
      </w:r>
      <w:r w:rsidRPr="000469DD">
        <w:rPr>
          <w:color w:val="000000"/>
          <w:lang w:eastAsia="zh-CN"/>
        </w:rPr>
        <w:t>not be considered.</w:t>
      </w:r>
      <w:r w:rsidRPr="000469DD">
        <w:t xml:space="preserve"> </w:t>
      </w:r>
    </w:p>
    <w:p w14:paraId="0BCDF012" w14:textId="77777777" w:rsidR="0039414E" w:rsidRPr="000469DD" w:rsidRDefault="0039414E" w:rsidP="0039414E">
      <w:pPr>
        <w:spacing w:before="120" w:after="240" w:line="240" w:lineRule="auto"/>
        <w:ind w:left="2268" w:right="1134"/>
        <w:jc w:val="both"/>
      </w:pPr>
      <w:r w:rsidRPr="000469DD">
        <w:t xml:space="preserve">This shall be judged up to 300 </w:t>
      </w:r>
      <w:proofErr w:type="spellStart"/>
      <w:r w:rsidRPr="000469DD">
        <w:t>ms</w:t>
      </w:r>
      <w:proofErr w:type="spellEnd"/>
      <w:r w:rsidRPr="000469DD">
        <w:t xml:space="preserve"> or at the moment when the dummy comes to a definitive standstill, whatever occurs first. </w:t>
      </w:r>
    </w:p>
    <w:p w14:paraId="767F9018" w14:textId="77777777" w:rsidR="0039414E" w:rsidRPr="000469DD" w:rsidRDefault="0039414E" w:rsidP="0039414E">
      <w:pPr>
        <w:spacing w:before="120" w:after="120" w:line="240" w:lineRule="auto"/>
        <w:ind w:left="2268" w:right="1134"/>
        <w:jc w:val="both"/>
      </w:pPr>
      <w:r w:rsidRPr="000469DD">
        <w:t xml:space="preserve">Non-integral booster seat: No part of the head of the dummy shall pass beyond the planes BA and DA as defined in Figure 4 below. </w:t>
      </w:r>
    </w:p>
    <w:p w14:paraId="16C7D358" w14:textId="77777777" w:rsidR="0039414E" w:rsidRPr="000469DD" w:rsidRDefault="0039414E" w:rsidP="0039414E">
      <w:pPr>
        <w:spacing w:before="120" w:after="120" w:line="240" w:lineRule="auto"/>
        <w:ind w:left="2268" w:right="1134"/>
        <w:jc w:val="both"/>
      </w:pPr>
      <w:r w:rsidRPr="000469DD">
        <w:t xml:space="preserve">This shall be judged up to 300 </w:t>
      </w:r>
      <w:proofErr w:type="spellStart"/>
      <w:r w:rsidRPr="000469DD">
        <w:t>ms</w:t>
      </w:r>
      <w:proofErr w:type="spellEnd"/>
      <w:r w:rsidRPr="000469DD">
        <w:t xml:space="preserve"> or the moment that the dummy has come to a definitive standstill, whatever occurs first. </w:t>
      </w:r>
    </w:p>
    <w:p w14:paraId="0B039CBB" w14:textId="77777777" w:rsidR="0039414E" w:rsidRPr="000469DD" w:rsidRDefault="0039414E" w:rsidP="0039414E">
      <w:pPr>
        <w:spacing w:before="120" w:after="120" w:line="240" w:lineRule="auto"/>
        <w:ind w:left="2268" w:right="1134"/>
        <w:jc w:val="both"/>
      </w:pPr>
      <w:r w:rsidRPr="000469DD">
        <w:t>When testing with the Q3 or Q6 dummy, the following applies:</w:t>
      </w:r>
    </w:p>
    <w:p w14:paraId="24A06988" w14:textId="77777777" w:rsidR="0039414E" w:rsidRPr="000469DD" w:rsidRDefault="0039414E" w:rsidP="0039414E">
      <w:pPr>
        <w:pStyle w:val="SingleTxtG"/>
        <w:tabs>
          <w:tab w:val="left" w:pos="1701"/>
        </w:tabs>
        <w:ind w:left="2832"/>
        <w:jc w:val="left"/>
      </w:pPr>
      <w:r w:rsidRPr="000469DD">
        <w:lastRenderedPageBreak/>
        <w:t>The value in relation to the DA plane is 840 mm.</w:t>
      </w:r>
    </w:p>
    <w:p w14:paraId="38FD57B4" w14:textId="77777777" w:rsidR="0039414E" w:rsidRPr="000469DD" w:rsidRDefault="0039414E" w:rsidP="0039414E">
      <w:pPr>
        <w:spacing w:before="120" w:after="120" w:line="240" w:lineRule="auto"/>
        <w:ind w:left="2268" w:right="1134"/>
        <w:jc w:val="both"/>
      </w:pPr>
      <w:r w:rsidRPr="000469DD">
        <w:t xml:space="preserve">When testing the Q10 dummy, the following apply: </w:t>
      </w:r>
    </w:p>
    <w:p w14:paraId="6A1A714D" w14:textId="77777777" w:rsidR="0039414E" w:rsidRPr="000469DD" w:rsidRDefault="0039414E" w:rsidP="0039414E">
      <w:pPr>
        <w:pStyle w:val="SingleTxtG"/>
        <w:ind w:left="2835" w:hanging="567"/>
      </w:pPr>
      <w:r w:rsidRPr="000469DD">
        <w:t>(a)</w:t>
      </w:r>
      <w:r w:rsidRPr="000469DD">
        <w:tab/>
        <w:t>The value in relation to the BA plane is 550 mm; and</w:t>
      </w:r>
    </w:p>
    <w:p w14:paraId="137979CE" w14:textId="77777777" w:rsidR="0039414E" w:rsidRPr="000469DD" w:rsidRDefault="0039414E" w:rsidP="0039414E">
      <w:pPr>
        <w:pStyle w:val="SingleTxtG"/>
        <w:ind w:left="2835" w:hanging="567"/>
      </w:pPr>
      <w:r w:rsidRPr="000469DD">
        <w:t>(b)</w:t>
      </w:r>
      <w:r w:rsidRPr="000469DD">
        <w:tab/>
        <w:t>The value in relation to the DA plane is 840 mm; and</w:t>
      </w:r>
    </w:p>
    <w:p w14:paraId="36429DB7" w14:textId="77777777" w:rsidR="0039414E" w:rsidRPr="000469DD" w:rsidRDefault="0039414E" w:rsidP="0039414E">
      <w:pPr>
        <w:pStyle w:val="SingleTxtG"/>
        <w:spacing w:after="240"/>
        <w:ind w:left="2835" w:hanging="567"/>
      </w:pPr>
      <w:r w:rsidRPr="000469DD">
        <w:t>(c)</w:t>
      </w:r>
      <w:r w:rsidRPr="000469DD">
        <w:tab/>
        <w:t>The rebound phase is not considered for the assessment of the plane DA.</w:t>
      </w:r>
    </w:p>
    <w:p w14:paraId="34A95311" w14:textId="77777777" w:rsidR="0039414E" w:rsidRPr="000469DD" w:rsidRDefault="0039414E" w:rsidP="0039414E">
      <w:pPr>
        <w:spacing w:before="120" w:after="120" w:line="240" w:lineRule="auto"/>
        <w:ind w:left="2268" w:right="1134"/>
        <w:jc w:val="both"/>
      </w:pPr>
      <w:r w:rsidRPr="000469DD">
        <w:t xml:space="preserve">Non-integral booster cushion: No part of the head of the dummy shall pass beyond the planes BA and DA as defined in Figure 4 below. </w:t>
      </w:r>
    </w:p>
    <w:p w14:paraId="5EE487FE" w14:textId="77777777" w:rsidR="0039414E" w:rsidRPr="000469DD" w:rsidRDefault="0039414E" w:rsidP="0039414E">
      <w:pPr>
        <w:spacing w:before="120" w:after="120" w:line="240" w:lineRule="auto"/>
        <w:ind w:left="2268" w:right="1134"/>
        <w:jc w:val="both"/>
      </w:pPr>
      <w:r w:rsidRPr="000469DD">
        <w:t xml:space="preserve">This shall be judged up to 300 </w:t>
      </w:r>
      <w:proofErr w:type="spellStart"/>
      <w:r w:rsidRPr="000469DD">
        <w:t>ms</w:t>
      </w:r>
      <w:proofErr w:type="spellEnd"/>
      <w:r w:rsidRPr="000469DD">
        <w:t xml:space="preserve"> or the moment that the dummy has come to a definitive standstill, whatever occurs first. </w:t>
      </w:r>
    </w:p>
    <w:p w14:paraId="00420CCB" w14:textId="77777777" w:rsidR="0039414E" w:rsidRPr="000469DD" w:rsidRDefault="0039414E" w:rsidP="0039414E">
      <w:pPr>
        <w:spacing w:before="120" w:after="120" w:line="240" w:lineRule="auto"/>
        <w:ind w:left="2268" w:right="1134"/>
        <w:jc w:val="both"/>
      </w:pPr>
      <w:r w:rsidRPr="000469DD">
        <w:t>When testing with the Q6 dummy, the following applies:</w:t>
      </w:r>
    </w:p>
    <w:p w14:paraId="00F18258" w14:textId="77777777" w:rsidR="0039414E" w:rsidRPr="000469DD" w:rsidRDefault="0039414E" w:rsidP="0039414E">
      <w:pPr>
        <w:suppressAutoHyphens w:val="0"/>
        <w:spacing w:before="120" w:after="120" w:line="240" w:lineRule="auto"/>
        <w:ind w:left="2268" w:right="1134" w:firstLine="567"/>
        <w:jc w:val="both"/>
      </w:pPr>
      <w:r w:rsidRPr="000469DD">
        <w:t>The value in relation to the DA plane is 840 mm.</w:t>
      </w:r>
    </w:p>
    <w:p w14:paraId="4C221F18" w14:textId="77777777" w:rsidR="0039414E" w:rsidRPr="000469DD" w:rsidRDefault="0039414E" w:rsidP="0039414E">
      <w:pPr>
        <w:spacing w:before="120" w:after="120" w:line="240" w:lineRule="auto"/>
        <w:ind w:left="2268" w:right="1134"/>
        <w:jc w:val="both"/>
      </w:pPr>
      <w:r w:rsidRPr="000469DD">
        <w:t>When testing using Q10 dummy the following apply:</w:t>
      </w:r>
    </w:p>
    <w:p w14:paraId="540FBB9D" w14:textId="77777777" w:rsidR="0039414E" w:rsidRPr="000469DD" w:rsidRDefault="0039414E" w:rsidP="0039414E">
      <w:pPr>
        <w:pStyle w:val="SingleTxtG"/>
        <w:ind w:left="2835" w:hanging="567"/>
      </w:pPr>
      <w:r w:rsidRPr="000469DD">
        <w:t>(a)</w:t>
      </w:r>
      <w:r w:rsidRPr="000469DD">
        <w:tab/>
        <w:t>The value in relation to the BA plane is 550 mm; and</w:t>
      </w:r>
    </w:p>
    <w:p w14:paraId="7A9D57AA" w14:textId="77777777" w:rsidR="0039414E" w:rsidRPr="000469DD" w:rsidRDefault="0039414E" w:rsidP="0039414E">
      <w:pPr>
        <w:pStyle w:val="SingleTxtG"/>
        <w:ind w:left="2835" w:hanging="567"/>
      </w:pPr>
      <w:r w:rsidRPr="000469DD">
        <w:t xml:space="preserve">(b) </w:t>
      </w:r>
      <w:r w:rsidRPr="000469DD">
        <w:tab/>
        <w:t>The value in relation to the DA plane is 840 mm; and</w:t>
      </w:r>
    </w:p>
    <w:p w14:paraId="0139089A" w14:textId="77777777" w:rsidR="0039414E" w:rsidRPr="000469DD" w:rsidRDefault="0039414E" w:rsidP="0039414E">
      <w:pPr>
        <w:pStyle w:val="SingleTxtG"/>
        <w:ind w:left="2835" w:hanging="567"/>
      </w:pPr>
      <w:r w:rsidRPr="000469DD">
        <w:t xml:space="preserve">(c) </w:t>
      </w:r>
      <w:r w:rsidRPr="000469DD">
        <w:tab/>
        <w:t>The rebound phase is not considered for the assessment of the plane DA; and</w:t>
      </w:r>
    </w:p>
    <w:p w14:paraId="040BA888" w14:textId="77777777" w:rsidR="0039414E" w:rsidRPr="000469DD" w:rsidRDefault="0039414E" w:rsidP="0039414E">
      <w:pPr>
        <w:pStyle w:val="SingleTxtG"/>
        <w:spacing w:after="240"/>
        <w:ind w:left="2835" w:hanging="567"/>
      </w:pPr>
      <w:r w:rsidRPr="000469DD">
        <w:t xml:space="preserve">(d) </w:t>
      </w:r>
      <w:r w:rsidRPr="000469DD">
        <w:tab/>
        <w:t>In case of dummy contact with a rigid part of the test bench in the rebound phase, the head acceleration criterion during that contact shall not be considered.</w:t>
      </w:r>
    </w:p>
    <w:p w14:paraId="4E4D1FCE" w14:textId="77777777" w:rsidR="0039414E" w:rsidRPr="000469DD" w:rsidRDefault="0039414E" w:rsidP="0039414E">
      <w:pPr>
        <w:pStyle w:val="SingleTxtG"/>
        <w:ind w:left="2268" w:hanging="1134"/>
      </w:pPr>
      <w:bookmarkStart w:id="7" w:name="_Hlk113521921"/>
      <w:bookmarkEnd w:id="5"/>
      <w:r w:rsidRPr="000469DD">
        <w:t>6.6.4.4.1.1.1.</w:t>
      </w:r>
      <w:r w:rsidRPr="000469DD">
        <w:tab/>
        <w:t>Where a test is conducted in accordance with paragraph 6.6.4.1.6.1.1. or paragraph 6.6.4.1.6.1.2. or paragraph 6.6.4.1.8.2. above, a tolerance of +10 per cent shall be applicable to the head excursion value distance between the Cr point and plane AB</w:t>
      </w:r>
      <w:bookmarkEnd w:id="7"/>
      <w:r w:rsidRPr="000469DD">
        <w:t>.</w:t>
      </w:r>
    </w:p>
    <w:p w14:paraId="7FCA0239" w14:textId="77777777" w:rsidR="0039414E" w:rsidRDefault="0039414E" w:rsidP="0039414E">
      <w:pPr>
        <w:pStyle w:val="SingleTxtG"/>
        <w:spacing w:after="0"/>
        <w:ind w:left="2268" w:hanging="1134"/>
      </w:pPr>
      <w:r>
        <w:t xml:space="preserve">Figure 4 </w:t>
      </w:r>
    </w:p>
    <w:p w14:paraId="03C4443D" w14:textId="77777777" w:rsidR="0039414E" w:rsidRDefault="0039414E" w:rsidP="0039414E">
      <w:pPr>
        <w:ind w:left="567" w:firstLine="567"/>
        <w:rPr>
          <w:b/>
        </w:rPr>
      </w:pPr>
      <w:r>
        <w:rPr>
          <w:b/>
        </w:rPr>
        <w:t>Arrangement for Testing a Forward-Facing Device</w:t>
      </w:r>
    </w:p>
    <w:p w14:paraId="1B7A91A2" w14:textId="77777777" w:rsidR="0039414E" w:rsidRDefault="0039414E" w:rsidP="0039414E">
      <w:pPr>
        <w:ind w:left="567" w:firstLine="567"/>
      </w:pPr>
      <w:r>
        <w:rPr>
          <w:noProof/>
        </w:rPr>
        <w:drawing>
          <wp:inline distT="0" distB="0" distL="0" distR="0" wp14:anchorId="4B4B7A7D" wp14:editId="29A6F27D">
            <wp:extent cx="3336877" cy="309681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16010" t="21603" r="65376" b="16940"/>
                    <a:stretch>
                      <a:fillRect/>
                    </a:stretch>
                  </pic:blipFill>
                  <pic:spPr bwMode="auto">
                    <a:xfrm>
                      <a:off x="0" y="0"/>
                      <a:ext cx="3349750" cy="3108758"/>
                    </a:xfrm>
                    <a:prstGeom prst="rect">
                      <a:avLst/>
                    </a:prstGeom>
                    <a:noFill/>
                    <a:ln>
                      <a:noFill/>
                    </a:ln>
                  </pic:spPr>
                </pic:pic>
              </a:graphicData>
            </a:graphic>
          </wp:inline>
        </w:drawing>
      </w:r>
      <w:r>
        <w:t>"</w:t>
      </w:r>
    </w:p>
    <w:p w14:paraId="4831B38A" w14:textId="77777777" w:rsidR="0039414E" w:rsidRDefault="0039414E" w:rsidP="0039414E">
      <w:pPr>
        <w:pStyle w:val="SingleTxtG"/>
      </w:pPr>
      <w:r>
        <w:rPr>
          <w:i/>
          <w:iCs/>
        </w:rPr>
        <w:t xml:space="preserve">Paragraph </w:t>
      </w:r>
      <w:bookmarkStart w:id="8" w:name="_Hlk114129077"/>
      <w:r>
        <w:t>7.1.3.6.4</w:t>
      </w:r>
      <w:bookmarkEnd w:id="8"/>
      <w:r>
        <w:rPr>
          <w:i/>
          <w:iCs/>
        </w:rPr>
        <w:t>.</w:t>
      </w:r>
      <w:r>
        <w:t>, amend to read:</w:t>
      </w:r>
    </w:p>
    <w:p w14:paraId="35C19E1C" w14:textId="77777777" w:rsidR="0039414E" w:rsidRPr="000469DD" w:rsidRDefault="0039414E" w:rsidP="0039414E">
      <w:pPr>
        <w:pStyle w:val="SingleTxtG"/>
        <w:ind w:left="2268" w:hanging="1134"/>
      </w:pPr>
      <w:r w:rsidRPr="000469DD">
        <w:t>"7.1.3.6.4.</w:t>
      </w:r>
      <w:r w:rsidRPr="000469DD">
        <w:tab/>
        <w:t>The test specified in paragraph 6.6.4.1.6.1.1. above is a requirement only for the largest dummy for which the child restraint is designed."</w:t>
      </w:r>
    </w:p>
    <w:p w14:paraId="5FDB5E01" w14:textId="77777777" w:rsidR="0039414E" w:rsidRPr="000469DD" w:rsidRDefault="0039414E" w:rsidP="0039414E">
      <w:pPr>
        <w:tabs>
          <w:tab w:val="left" w:pos="2300"/>
          <w:tab w:val="left" w:pos="2800"/>
        </w:tabs>
        <w:spacing w:after="120"/>
        <w:ind w:right="1134" w:firstLine="1134"/>
        <w:jc w:val="both"/>
        <w:rPr>
          <w:i/>
        </w:rPr>
      </w:pPr>
      <w:r w:rsidRPr="000469DD">
        <w:rPr>
          <w:i/>
        </w:rPr>
        <w:lastRenderedPageBreak/>
        <w:t xml:space="preserve">Paragraph 9.2., </w:t>
      </w:r>
      <w:r w:rsidRPr="000469DD">
        <w:t>amend to read</w:t>
      </w:r>
      <w:r w:rsidRPr="000469DD">
        <w:rPr>
          <w:iCs/>
        </w:rPr>
        <w:t>:</w:t>
      </w:r>
    </w:p>
    <w:p w14:paraId="7DB2314A" w14:textId="77777777" w:rsidR="0039414E" w:rsidRPr="000469DD" w:rsidRDefault="0039414E" w:rsidP="0039414E">
      <w:pPr>
        <w:pStyle w:val="SingleTxtG"/>
        <w:rPr>
          <w:rFonts w:eastAsia="SimSun"/>
          <w:sz w:val="22"/>
          <w:szCs w:val="22"/>
        </w:rPr>
      </w:pPr>
      <w:r w:rsidRPr="000469DD">
        <w:t>"9.2.</w:t>
      </w:r>
      <w:r w:rsidRPr="000469DD">
        <w:tab/>
      </w:r>
      <w:r w:rsidRPr="000469DD">
        <w:tab/>
        <w:t>Qualifying the production of Enhanced Child Restraint Systems.</w:t>
      </w:r>
    </w:p>
    <w:p w14:paraId="3819D76C" w14:textId="77777777" w:rsidR="0039414E" w:rsidRPr="00652341" w:rsidRDefault="0039414E" w:rsidP="0039414E">
      <w:pPr>
        <w:spacing w:after="120"/>
        <w:ind w:left="2275" w:right="1138"/>
        <w:jc w:val="both"/>
      </w:pPr>
      <w:r w:rsidRPr="000469DD">
        <w:t>The production of each new approved type of Enhanced Child Restraint System shall be subjected to production qualification tests. Where the</w:t>
      </w:r>
      <w:r w:rsidRPr="00652341">
        <w:t xml:space="preserve"> type approval consists of different modules, product qualification tests will be conducted with each module of the ECRS.</w:t>
      </w:r>
    </w:p>
    <w:p w14:paraId="526A27AB" w14:textId="77777777" w:rsidR="0039414E" w:rsidRDefault="0039414E" w:rsidP="0039414E">
      <w:pPr>
        <w:pStyle w:val="SingleTxtG"/>
        <w:ind w:left="2250"/>
      </w:pPr>
      <w:r>
        <w:t>Additional qualifications of production may be prescribed following paragraph 11.4.</w:t>
      </w:r>
    </w:p>
    <w:p w14:paraId="4D80B85E" w14:textId="77777777" w:rsidR="0039414E" w:rsidRPr="00DF292D" w:rsidRDefault="0039414E" w:rsidP="0039414E">
      <w:pPr>
        <w:pStyle w:val="SingleTxtG"/>
      </w:pPr>
      <w:r>
        <w:t>..."</w:t>
      </w:r>
    </w:p>
    <w:p w14:paraId="5E2DC18B" w14:textId="77777777" w:rsidR="0039414E" w:rsidRPr="008833EC" w:rsidRDefault="0039414E" w:rsidP="0039414E">
      <w:pPr>
        <w:tabs>
          <w:tab w:val="left" w:pos="2300"/>
          <w:tab w:val="left" w:pos="2800"/>
        </w:tabs>
        <w:spacing w:after="120"/>
        <w:ind w:right="1134" w:firstLine="1134"/>
        <w:jc w:val="both"/>
        <w:rPr>
          <w:i/>
        </w:rPr>
      </w:pPr>
      <w:r w:rsidRPr="008833EC">
        <w:rPr>
          <w:i/>
        </w:rPr>
        <w:t xml:space="preserve">Annex 19., </w:t>
      </w:r>
      <w:r w:rsidRPr="008833EC">
        <w:rPr>
          <w:i/>
          <w:iCs/>
        </w:rPr>
        <w:t>Figure 1</w:t>
      </w:r>
      <w:r w:rsidRPr="008833EC">
        <w:t>, amend to read</w:t>
      </w:r>
      <w:r w:rsidRPr="008833EC">
        <w:rPr>
          <w:iCs/>
        </w:rPr>
        <w:t>:</w:t>
      </w:r>
    </w:p>
    <w:p w14:paraId="1C66D1B5" w14:textId="77777777" w:rsidR="0039414E" w:rsidRPr="008833EC" w:rsidRDefault="0039414E" w:rsidP="0039414E">
      <w:pPr>
        <w:ind w:left="1134" w:right="1134"/>
        <w:jc w:val="both"/>
      </w:pPr>
      <w:r w:rsidRPr="008833EC">
        <w:t>"Figure 1</w:t>
      </w:r>
    </w:p>
    <w:p w14:paraId="2F87C8EC" w14:textId="77777777" w:rsidR="0039414E" w:rsidRDefault="0039414E" w:rsidP="0039414E">
      <w:pPr>
        <w:spacing w:after="120"/>
        <w:ind w:left="1134" w:right="1134"/>
        <w:jc w:val="both"/>
        <w:rPr>
          <w:b/>
        </w:rPr>
      </w:pPr>
      <w:r>
        <w:rPr>
          <w:b/>
        </w:rPr>
        <w:t>Side view of the support leg dimension assessment volume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4223"/>
      </w:tblGrid>
      <w:tr w:rsidR="0039414E" w14:paraId="00A490C7" w14:textId="77777777" w:rsidTr="00727284">
        <w:tc>
          <w:tcPr>
            <w:tcW w:w="4814" w:type="dxa"/>
            <w:hideMark/>
          </w:tcPr>
          <w:p w14:paraId="0733DA1C" w14:textId="77777777" w:rsidR="0039414E" w:rsidRDefault="0039414E" w:rsidP="00727284">
            <w:pPr>
              <w:spacing w:after="120"/>
              <w:ind w:right="1134"/>
              <w:jc w:val="both"/>
              <w:rPr>
                <w:rFonts w:eastAsia="SimSun"/>
                <w:b/>
              </w:rPr>
            </w:pPr>
            <w:r>
              <w:rPr>
                <w:b/>
                <w:noProof/>
              </w:rPr>
              <w:drawing>
                <wp:inline distT="0" distB="0" distL="0" distR="0" wp14:anchorId="04B18087" wp14:editId="289C69BA">
                  <wp:extent cx="1603375" cy="1972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8694"/>
                          <a:stretch>
                            <a:fillRect/>
                          </a:stretch>
                        </pic:blipFill>
                        <pic:spPr bwMode="auto">
                          <a:xfrm>
                            <a:off x="0" y="0"/>
                            <a:ext cx="1603375" cy="1972310"/>
                          </a:xfrm>
                          <a:prstGeom prst="rect">
                            <a:avLst/>
                          </a:prstGeom>
                          <a:noFill/>
                          <a:ln>
                            <a:noFill/>
                          </a:ln>
                        </pic:spPr>
                      </pic:pic>
                    </a:graphicData>
                  </a:graphic>
                </wp:inline>
              </w:drawing>
            </w:r>
          </w:p>
          <w:p w14:paraId="6B430583" w14:textId="77777777" w:rsidR="0039414E" w:rsidRDefault="0039414E" w:rsidP="00727284">
            <w:pPr>
              <w:spacing w:after="120"/>
              <w:ind w:right="1134"/>
              <w:jc w:val="center"/>
              <w:rPr>
                <w:bCs/>
              </w:rPr>
            </w:pPr>
            <w:r>
              <w:rPr>
                <w:bCs/>
              </w:rPr>
              <w:t>Forward-facing ECRS</w:t>
            </w:r>
          </w:p>
        </w:tc>
        <w:tc>
          <w:tcPr>
            <w:tcW w:w="4814" w:type="dxa"/>
            <w:hideMark/>
          </w:tcPr>
          <w:p w14:paraId="05376C47" w14:textId="77777777" w:rsidR="0039414E" w:rsidRDefault="0039414E" w:rsidP="00727284">
            <w:pPr>
              <w:spacing w:after="120"/>
              <w:ind w:right="1134"/>
              <w:jc w:val="both"/>
              <w:rPr>
                <w:b/>
              </w:rPr>
            </w:pPr>
            <w:r>
              <w:rPr>
                <w:noProof/>
                <w:lang w:eastAsia="en-GB"/>
              </w:rPr>
              <w:drawing>
                <wp:inline distT="0" distB="0" distL="0" distR="0" wp14:anchorId="1390BE45" wp14:editId="32E00B4C">
                  <wp:extent cx="1521460" cy="18764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l="14217" r="7854" b="5379"/>
                          <a:stretch>
                            <a:fillRect/>
                          </a:stretch>
                        </pic:blipFill>
                        <pic:spPr bwMode="auto">
                          <a:xfrm>
                            <a:off x="0" y="0"/>
                            <a:ext cx="1521460" cy="1876425"/>
                          </a:xfrm>
                          <a:prstGeom prst="rect">
                            <a:avLst/>
                          </a:prstGeom>
                          <a:noFill/>
                          <a:ln>
                            <a:noFill/>
                          </a:ln>
                        </pic:spPr>
                      </pic:pic>
                    </a:graphicData>
                  </a:graphic>
                </wp:inline>
              </w:drawing>
            </w:r>
          </w:p>
          <w:p w14:paraId="3A4192AC" w14:textId="77777777" w:rsidR="0039414E" w:rsidRPr="005458C7" w:rsidRDefault="0039414E" w:rsidP="00727284">
            <w:pPr>
              <w:spacing w:after="120"/>
              <w:ind w:right="1134"/>
              <w:jc w:val="center"/>
              <w:rPr>
                <w:bCs/>
              </w:rPr>
            </w:pPr>
            <w:r w:rsidRPr="005458C7">
              <w:rPr>
                <w:bCs/>
              </w:rPr>
              <w:t>Rearward-facing ECRS</w:t>
            </w:r>
          </w:p>
        </w:tc>
      </w:tr>
    </w:tbl>
    <w:p w14:paraId="4452CFED" w14:textId="77777777" w:rsidR="0039414E" w:rsidRPr="008833EC" w:rsidRDefault="0039414E" w:rsidP="0039414E">
      <w:pPr>
        <w:spacing w:after="120"/>
        <w:ind w:left="1134" w:right="1134"/>
        <w:jc w:val="both"/>
        <w:rPr>
          <w:bCs/>
          <w:i/>
        </w:rPr>
      </w:pPr>
      <w:r w:rsidRPr="008833EC">
        <w:rPr>
          <w:bCs/>
          <w:i/>
          <w:iCs/>
        </w:rPr>
        <w:t>Key</w:t>
      </w:r>
      <w:r w:rsidRPr="008833EC">
        <w:rPr>
          <w:bCs/>
          <w:i/>
        </w:rPr>
        <w:t>:</w:t>
      </w:r>
    </w:p>
    <w:p w14:paraId="37FF8254" w14:textId="77777777" w:rsidR="0039414E" w:rsidRPr="008833EC" w:rsidRDefault="0039414E" w:rsidP="0039414E">
      <w:pPr>
        <w:spacing w:after="120" w:line="240" w:lineRule="auto"/>
        <w:ind w:left="1134" w:right="1134"/>
        <w:jc w:val="both"/>
        <w:rPr>
          <w:bCs/>
        </w:rPr>
      </w:pPr>
      <w:r w:rsidRPr="008833EC">
        <w:rPr>
          <w:bCs/>
        </w:rPr>
        <w:t>1.</w:t>
      </w:r>
      <w:r w:rsidRPr="008833EC">
        <w:rPr>
          <w:bCs/>
        </w:rPr>
        <w:tab/>
        <w:t>Enhanced Child Restraint Fixture (</w:t>
      </w:r>
      <w:r>
        <w:rPr>
          <w:bCs/>
        </w:rPr>
        <w:t>E</w:t>
      </w:r>
      <w:r w:rsidRPr="008833EC">
        <w:rPr>
          <w:bCs/>
        </w:rPr>
        <w:t>CRF).</w:t>
      </w:r>
    </w:p>
    <w:p w14:paraId="60379D8A" w14:textId="77777777" w:rsidR="0039414E" w:rsidRPr="008833EC" w:rsidRDefault="0039414E" w:rsidP="0039414E">
      <w:pPr>
        <w:spacing w:after="120" w:line="240" w:lineRule="auto"/>
        <w:ind w:left="1134" w:right="1134"/>
        <w:jc w:val="both"/>
        <w:rPr>
          <w:bCs/>
        </w:rPr>
      </w:pPr>
      <w:r w:rsidRPr="008833EC">
        <w:rPr>
          <w:bCs/>
        </w:rPr>
        <w:t>2.</w:t>
      </w:r>
      <w:r w:rsidRPr="008833EC">
        <w:rPr>
          <w:bCs/>
        </w:rPr>
        <w:tab/>
        <w:t>ISOFIX low anchorages bar.</w:t>
      </w:r>
    </w:p>
    <w:p w14:paraId="50A3ACD8" w14:textId="77777777" w:rsidR="0039414E" w:rsidRPr="008833EC" w:rsidRDefault="0039414E" w:rsidP="0039414E">
      <w:pPr>
        <w:spacing w:after="120" w:line="240" w:lineRule="auto"/>
        <w:ind w:left="1701" w:right="1134" w:hanging="567"/>
        <w:jc w:val="both"/>
        <w:rPr>
          <w:bCs/>
        </w:rPr>
      </w:pPr>
      <w:r w:rsidRPr="008833EC">
        <w:rPr>
          <w:bCs/>
        </w:rPr>
        <w:t>3.</w:t>
      </w:r>
      <w:r w:rsidRPr="008833EC">
        <w:rPr>
          <w:bCs/>
        </w:rPr>
        <w:tab/>
        <w:t xml:space="preserve">Plane formed by the bottom surface of the </w:t>
      </w:r>
      <w:r>
        <w:rPr>
          <w:bCs/>
        </w:rPr>
        <w:t>E</w:t>
      </w:r>
      <w:r w:rsidRPr="008833EC">
        <w:rPr>
          <w:bCs/>
        </w:rPr>
        <w:t>CRF, which is parallel to and 15 mm below the X'-Y' plane of the coordinate system.</w:t>
      </w:r>
    </w:p>
    <w:p w14:paraId="322AC205" w14:textId="77777777" w:rsidR="0039414E" w:rsidRPr="008833EC" w:rsidRDefault="0039414E" w:rsidP="0039414E">
      <w:pPr>
        <w:spacing w:after="120" w:line="240" w:lineRule="auto"/>
        <w:ind w:left="1134" w:right="1134"/>
        <w:jc w:val="both"/>
        <w:rPr>
          <w:bCs/>
        </w:rPr>
      </w:pPr>
      <w:r w:rsidRPr="008833EC">
        <w:rPr>
          <w:bCs/>
        </w:rPr>
        <w:t>4.</w:t>
      </w:r>
      <w:r w:rsidRPr="008833EC">
        <w:rPr>
          <w:bCs/>
        </w:rPr>
        <w:tab/>
        <w:t>Z'-Y' plane of the coordinate system.</w:t>
      </w:r>
    </w:p>
    <w:p w14:paraId="2D6214B5" w14:textId="77777777" w:rsidR="0039414E" w:rsidRPr="008833EC" w:rsidRDefault="0039414E" w:rsidP="0039414E">
      <w:pPr>
        <w:spacing w:after="120" w:line="240" w:lineRule="auto"/>
        <w:ind w:left="1701" w:right="1134" w:hanging="567"/>
        <w:jc w:val="both"/>
        <w:rPr>
          <w:bCs/>
        </w:rPr>
      </w:pPr>
      <w:r w:rsidRPr="008833EC">
        <w:rPr>
          <w:bCs/>
        </w:rPr>
        <w:t>5.</w:t>
      </w:r>
      <w:r w:rsidRPr="008833EC">
        <w:rPr>
          <w:bCs/>
        </w:rPr>
        <w:tab/>
        <w:t>Upper part of the support-leg dimension assessment volume, which shows the dimensional limitations in X' and Y' direction, the upper height limit in Z' direction, as well as the lower height limitation in Z' direction for rigid, not in Z' direction adjustable support leg components.</w:t>
      </w:r>
    </w:p>
    <w:p w14:paraId="26C123E5" w14:textId="77777777" w:rsidR="0039414E" w:rsidRPr="008833EC" w:rsidRDefault="0039414E" w:rsidP="0039414E">
      <w:pPr>
        <w:spacing w:after="120" w:line="240" w:lineRule="auto"/>
        <w:ind w:left="1134" w:right="1134"/>
        <w:jc w:val="both"/>
        <w:rPr>
          <w:bCs/>
        </w:rPr>
      </w:pPr>
      <w:r w:rsidRPr="008833EC">
        <w:rPr>
          <w:bCs/>
          <w:i/>
          <w:iCs/>
        </w:rPr>
        <w:t>Note</w:t>
      </w:r>
      <w:r w:rsidRPr="008833EC">
        <w:rPr>
          <w:bCs/>
        </w:rPr>
        <w:t>:</w:t>
      </w:r>
    </w:p>
    <w:p w14:paraId="5A8ACE40" w14:textId="77777777" w:rsidR="0039414E" w:rsidRPr="008833EC" w:rsidRDefault="0039414E" w:rsidP="0039414E">
      <w:pPr>
        <w:spacing w:after="120" w:line="240" w:lineRule="auto"/>
        <w:ind w:left="1134" w:right="1134"/>
        <w:jc w:val="both"/>
        <w:rPr>
          <w:bCs/>
        </w:rPr>
      </w:pPr>
      <w:r w:rsidRPr="008833EC">
        <w:rPr>
          <w:bCs/>
        </w:rPr>
        <w:t>1.</w:t>
      </w:r>
      <w:r w:rsidRPr="008833EC">
        <w:rPr>
          <w:bCs/>
        </w:rPr>
        <w:tab/>
        <w:t>Drawing not to scale."</w:t>
      </w:r>
    </w:p>
    <w:p w14:paraId="1A1740B9" w14:textId="77777777" w:rsidR="0039414E" w:rsidRPr="008833EC" w:rsidRDefault="0039414E" w:rsidP="0039414E">
      <w:pPr>
        <w:pageBreakBefore/>
        <w:tabs>
          <w:tab w:val="left" w:pos="2300"/>
          <w:tab w:val="left" w:pos="2800"/>
        </w:tabs>
        <w:spacing w:after="120"/>
        <w:ind w:right="1134" w:firstLine="1134"/>
        <w:jc w:val="both"/>
        <w:rPr>
          <w:i/>
        </w:rPr>
      </w:pPr>
      <w:r w:rsidRPr="008833EC">
        <w:rPr>
          <w:i/>
        </w:rPr>
        <w:lastRenderedPageBreak/>
        <w:t>Annex 19., Figure 2</w:t>
      </w:r>
      <w:r w:rsidRPr="008833EC">
        <w:t>, amend to read</w:t>
      </w:r>
      <w:r w:rsidRPr="008833EC">
        <w:rPr>
          <w:iCs/>
        </w:rPr>
        <w:t>:</w:t>
      </w:r>
    </w:p>
    <w:p w14:paraId="091ABA06" w14:textId="77777777" w:rsidR="0039414E" w:rsidRPr="008833EC" w:rsidRDefault="0039414E" w:rsidP="0039414E">
      <w:pPr>
        <w:keepNext/>
        <w:keepLines/>
        <w:tabs>
          <w:tab w:val="num" w:pos="1134"/>
        </w:tabs>
        <w:ind w:left="1134" w:right="1134"/>
        <w:rPr>
          <w:b/>
        </w:rPr>
      </w:pPr>
      <w:r w:rsidRPr="008833EC">
        <w:t>"Figure 2</w:t>
      </w:r>
      <w:r w:rsidRPr="008833EC">
        <w:br/>
      </w:r>
      <w:r w:rsidRPr="008833EC">
        <w:rPr>
          <w:b/>
          <w:bCs/>
        </w:rPr>
        <w:t>3D view of the support leg dimension assessment volume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4259"/>
      </w:tblGrid>
      <w:tr w:rsidR="0039414E" w14:paraId="06EADC5E" w14:textId="77777777" w:rsidTr="00727284">
        <w:tc>
          <w:tcPr>
            <w:tcW w:w="3958" w:type="dxa"/>
            <w:hideMark/>
          </w:tcPr>
          <w:p w14:paraId="615F3039" w14:textId="77777777" w:rsidR="0039414E" w:rsidRPr="008464A4" w:rsidRDefault="0039414E" w:rsidP="00727284">
            <w:pPr>
              <w:keepNext/>
              <w:keepLines/>
              <w:tabs>
                <w:tab w:val="num" w:pos="1134"/>
              </w:tabs>
              <w:ind w:right="1134"/>
              <w:rPr>
                <w:bCs/>
              </w:rPr>
            </w:pPr>
            <w:r w:rsidRPr="008464A4">
              <w:rPr>
                <w:bCs/>
                <w:noProof/>
              </w:rPr>
              <w:drawing>
                <wp:inline distT="0" distB="0" distL="0" distR="0" wp14:anchorId="581E3F38" wp14:editId="1B6C34AB">
                  <wp:extent cx="1569720" cy="19037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9720" cy="1903730"/>
                          </a:xfrm>
                          <a:prstGeom prst="rect">
                            <a:avLst/>
                          </a:prstGeom>
                          <a:noFill/>
                          <a:ln>
                            <a:noFill/>
                          </a:ln>
                        </pic:spPr>
                      </pic:pic>
                    </a:graphicData>
                  </a:graphic>
                </wp:inline>
              </w:drawing>
            </w:r>
          </w:p>
          <w:p w14:paraId="1BC9F5D1" w14:textId="77777777" w:rsidR="0039414E" w:rsidRPr="008464A4" w:rsidRDefault="0039414E" w:rsidP="00727284">
            <w:pPr>
              <w:keepNext/>
              <w:keepLines/>
              <w:tabs>
                <w:tab w:val="num" w:pos="1134"/>
              </w:tabs>
              <w:ind w:right="1134"/>
              <w:jc w:val="center"/>
              <w:rPr>
                <w:bCs/>
              </w:rPr>
            </w:pPr>
            <w:r w:rsidRPr="008464A4">
              <w:rPr>
                <w:bCs/>
              </w:rPr>
              <w:t>Forward-facing ECRS</w:t>
            </w:r>
          </w:p>
        </w:tc>
        <w:tc>
          <w:tcPr>
            <w:tcW w:w="4259" w:type="dxa"/>
            <w:hideMark/>
          </w:tcPr>
          <w:p w14:paraId="2DE8171D" w14:textId="77777777" w:rsidR="0039414E" w:rsidRPr="008464A4" w:rsidRDefault="0039414E" w:rsidP="00727284">
            <w:pPr>
              <w:keepNext/>
              <w:keepLines/>
              <w:tabs>
                <w:tab w:val="num" w:pos="1134"/>
              </w:tabs>
              <w:ind w:right="1134"/>
              <w:rPr>
                <w:bCs/>
              </w:rPr>
            </w:pPr>
            <w:r w:rsidRPr="008464A4">
              <w:rPr>
                <w:bCs/>
                <w:noProof/>
                <w:sz w:val="16"/>
                <w:szCs w:val="16"/>
              </w:rPr>
              <w:drawing>
                <wp:inline distT="0" distB="0" distL="0" distR="0" wp14:anchorId="212D3820" wp14:editId="5ECED959">
                  <wp:extent cx="1466850" cy="17881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cstate="print">
                            <a:extLst>
                              <a:ext uri="{28A0092B-C50C-407E-A947-70E740481C1C}">
                                <a14:useLocalDpi xmlns:a14="http://schemas.microsoft.com/office/drawing/2010/main" val="0"/>
                              </a:ext>
                            </a:extLst>
                          </a:blip>
                          <a:srcRect l="16827"/>
                          <a:stretch>
                            <a:fillRect/>
                          </a:stretch>
                        </pic:blipFill>
                        <pic:spPr bwMode="auto">
                          <a:xfrm>
                            <a:off x="0" y="0"/>
                            <a:ext cx="1466850" cy="1788160"/>
                          </a:xfrm>
                          <a:prstGeom prst="rect">
                            <a:avLst/>
                          </a:prstGeom>
                          <a:noFill/>
                          <a:ln>
                            <a:noFill/>
                          </a:ln>
                        </pic:spPr>
                      </pic:pic>
                    </a:graphicData>
                  </a:graphic>
                </wp:inline>
              </w:drawing>
            </w:r>
          </w:p>
          <w:p w14:paraId="3BCB7240" w14:textId="77777777" w:rsidR="0039414E" w:rsidRPr="008464A4" w:rsidRDefault="0039414E" w:rsidP="00727284">
            <w:pPr>
              <w:keepNext/>
              <w:keepLines/>
              <w:tabs>
                <w:tab w:val="num" w:pos="1134"/>
              </w:tabs>
              <w:ind w:right="1134"/>
              <w:jc w:val="center"/>
              <w:rPr>
                <w:bCs/>
              </w:rPr>
            </w:pPr>
            <w:r w:rsidRPr="008464A4">
              <w:rPr>
                <w:bCs/>
              </w:rPr>
              <w:t>Rearward-facing ECRS</w:t>
            </w:r>
          </w:p>
        </w:tc>
      </w:tr>
    </w:tbl>
    <w:p w14:paraId="7B14B0D3" w14:textId="77777777" w:rsidR="0039414E" w:rsidRPr="008833EC" w:rsidRDefault="0039414E" w:rsidP="0039414E">
      <w:pPr>
        <w:ind w:left="1134"/>
        <w:rPr>
          <w:bCs/>
          <w:sz w:val="16"/>
          <w:szCs w:val="16"/>
        </w:rPr>
      </w:pPr>
    </w:p>
    <w:p w14:paraId="63D09512" w14:textId="77777777" w:rsidR="0039414E" w:rsidRPr="008833EC" w:rsidRDefault="0039414E" w:rsidP="0039414E">
      <w:pPr>
        <w:spacing w:after="120" w:line="240" w:lineRule="auto"/>
        <w:ind w:left="1134" w:right="1134"/>
        <w:jc w:val="both"/>
      </w:pPr>
      <w:r w:rsidRPr="008833EC">
        <w:rPr>
          <w:i/>
          <w:iCs/>
        </w:rPr>
        <w:t>Note</w:t>
      </w:r>
      <w:r w:rsidRPr="008833EC">
        <w:t>:</w:t>
      </w:r>
      <w:r>
        <w:t xml:space="preserve"> </w:t>
      </w:r>
      <w:r w:rsidRPr="008833EC">
        <w:t>Drawing not to scale."</w:t>
      </w:r>
    </w:p>
    <w:p w14:paraId="53F3CEA5" w14:textId="77777777" w:rsidR="0039414E" w:rsidRPr="003B35EA" w:rsidRDefault="0039414E" w:rsidP="0039414E">
      <w:pPr>
        <w:spacing w:before="240"/>
        <w:jc w:val="center"/>
        <w:rPr>
          <w:u w:val="single"/>
          <w:lang w:val="en-US"/>
        </w:rPr>
      </w:pPr>
      <w:r>
        <w:rPr>
          <w:u w:val="single"/>
          <w:lang w:val="en-US"/>
        </w:rPr>
        <w:tab/>
      </w:r>
      <w:r>
        <w:rPr>
          <w:u w:val="single"/>
          <w:lang w:val="en-US"/>
        </w:rPr>
        <w:tab/>
      </w:r>
      <w:r>
        <w:rPr>
          <w:u w:val="single"/>
          <w:lang w:val="en-US"/>
        </w:rPr>
        <w:tab/>
      </w:r>
    </w:p>
    <w:p w14:paraId="654DBD22" w14:textId="77777777" w:rsidR="00133A55" w:rsidRPr="0039414E" w:rsidRDefault="00133A55" w:rsidP="00133A55">
      <w:pPr>
        <w:pStyle w:val="SingleTxtG"/>
        <w:jc w:val="left"/>
        <w:rPr>
          <w:bCs/>
          <w:lang w:val="en-US"/>
        </w:rPr>
      </w:pPr>
    </w:p>
    <w:sectPr w:rsidR="00133A55" w:rsidRPr="0039414E" w:rsidSect="00445062">
      <w:headerReference w:type="even" r:id="rId17"/>
      <w:headerReference w:type="default" r:id="rId18"/>
      <w:footerReference w:type="even" r:id="rId19"/>
      <w:footerReference w:type="default" r:id="rId20"/>
      <w:headerReference w:type="first" r:id="rId21"/>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9F95" w14:textId="77777777" w:rsidR="00043F2C" w:rsidRDefault="00043F2C"/>
  </w:endnote>
  <w:endnote w:type="continuationSeparator" w:id="0">
    <w:p w14:paraId="3E34F2C0" w14:textId="77777777" w:rsidR="00043F2C" w:rsidRDefault="00043F2C"/>
  </w:endnote>
  <w:endnote w:type="continuationNotice" w:id="1">
    <w:p w14:paraId="21E1C57F" w14:textId="77777777" w:rsidR="00043F2C" w:rsidRDefault="00043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96817"/>
      <w:docPartObj>
        <w:docPartGallery w:val="Page Numbers (Bottom of Page)"/>
        <w:docPartUnique/>
      </w:docPartObj>
    </w:sdtPr>
    <w:sdtEndPr>
      <w:rPr>
        <w:b/>
        <w:bCs/>
        <w:noProof/>
        <w:sz w:val="18"/>
        <w:szCs w:val="22"/>
      </w:rPr>
    </w:sdtEndPr>
    <w:sdtContent>
      <w:p w14:paraId="1F91219C" w14:textId="633E64E4" w:rsidR="00D958F4" w:rsidRPr="007B1EC7" w:rsidRDefault="00D958F4">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0026AF">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651197"/>
      <w:docPartObj>
        <w:docPartGallery w:val="Page Numbers (Bottom of Page)"/>
        <w:docPartUnique/>
      </w:docPartObj>
    </w:sdtPr>
    <w:sdtEndPr>
      <w:rPr>
        <w:b/>
        <w:bCs/>
        <w:noProof/>
        <w:sz w:val="20"/>
        <w:szCs w:val="24"/>
      </w:rPr>
    </w:sdtEndPr>
    <w:sdtContent>
      <w:p w14:paraId="341E564B" w14:textId="019E34C4" w:rsidR="00D958F4" w:rsidRPr="003A2A84" w:rsidRDefault="00D958F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0026AF">
          <w:rPr>
            <w:b/>
            <w:bCs/>
            <w:noProof/>
            <w:sz w:val="18"/>
            <w:szCs w:val="22"/>
          </w:rPr>
          <w:t>3</w:t>
        </w:r>
        <w:r w:rsidRPr="003A2A84">
          <w:rPr>
            <w:b/>
            <w:bCs/>
            <w:noProof/>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4796" w14:textId="77777777" w:rsidR="00043F2C" w:rsidRPr="000B175B" w:rsidRDefault="00043F2C" w:rsidP="000B175B">
      <w:pPr>
        <w:tabs>
          <w:tab w:val="right" w:pos="2155"/>
        </w:tabs>
        <w:spacing w:after="80"/>
        <w:ind w:left="680"/>
        <w:rPr>
          <w:u w:val="single"/>
        </w:rPr>
      </w:pPr>
      <w:r>
        <w:rPr>
          <w:u w:val="single"/>
        </w:rPr>
        <w:tab/>
      </w:r>
    </w:p>
  </w:footnote>
  <w:footnote w:type="continuationSeparator" w:id="0">
    <w:p w14:paraId="0103F3B2" w14:textId="77777777" w:rsidR="00043F2C" w:rsidRPr="00FC68B7" w:rsidRDefault="00043F2C" w:rsidP="00FC68B7">
      <w:pPr>
        <w:tabs>
          <w:tab w:val="left" w:pos="2155"/>
        </w:tabs>
        <w:spacing w:after="80"/>
        <w:ind w:left="680"/>
        <w:rPr>
          <w:u w:val="single"/>
        </w:rPr>
      </w:pPr>
      <w:r>
        <w:rPr>
          <w:u w:val="single"/>
        </w:rPr>
        <w:tab/>
      </w:r>
    </w:p>
  </w:footnote>
  <w:footnote w:type="continuationNotice" w:id="1">
    <w:p w14:paraId="56208ABB" w14:textId="77777777" w:rsidR="00043F2C" w:rsidRDefault="00043F2C"/>
  </w:footnote>
  <w:footnote w:id="2">
    <w:p w14:paraId="2421CCCF" w14:textId="77777777" w:rsidR="00D958F4" w:rsidRPr="00AA2370" w:rsidRDefault="00D958F4" w:rsidP="008B60F7">
      <w:pPr>
        <w:pStyle w:val="FootnoteText"/>
        <w:rPr>
          <w:lang w:val="en-US"/>
        </w:rPr>
      </w:pPr>
      <w:r w:rsidRPr="00AA2370">
        <w:tab/>
      </w:r>
      <w:r w:rsidRPr="00AA2370">
        <w:rPr>
          <w:rStyle w:val="FootnoteReference"/>
          <w:sz w:val="20"/>
          <w:lang w:val="en-US"/>
        </w:rPr>
        <w:t>*</w:t>
      </w:r>
      <w:r w:rsidRPr="00AA2370">
        <w:rPr>
          <w:sz w:val="20"/>
          <w:lang w:val="en-US"/>
        </w:rPr>
        <w:tab/>
      </w:r>
      <w:r w:rsidRPr="00AA2370">
        <w:rPr>
          <w:lang w:val="en-US"/>
        </w:rPr>
        <w:t>Former titles of the Agreement:</w:t>
      </w:r>
    </w:p>
    <w:p w14:paraId="3FBAD9FF" w14:textId="77777777" w:rsidR="00D958F4" w:rsidRPr="00AA2370" w:rsidRDefault="00D958F4" w:rsidP="008B60F7">
      <w:pPr>
        <w:pStyle w:val="FootnoteText"/>
        <w:rPr>
          <w:sz w:val="20"/>
          <w:lang w:val="en-US"/>
        </w:rPr>
      </w:pPr>
      <w:r w:rsidRPr="00AA2370">
        <w:rPr>
          <w:lang w:val="en-US"/>
        </w:rPr>
        <w:tab/>
      </w:r>
      <w:r w:rsidRPr="00AA2370">
        <w:rPr>
          <w:lang w:val="en-US"/>
        </w:rPr>
        <w:tab/>
      </w:r>
      <w:r w:rsidRPr="00AA2370">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D958F4" w:rsidRPr="00AA2370" w:rsidRDefault="00D958F4" w:rsidP="008B60F7">
      <w:pPr>
        <w:pStyle w:val="FootnoteText"/>
        <w:rPr>
          <w:lang w:val="en-US"/>
        </w:rPr>
      </w:pPr>
      <w:r w:rsidRPr="00AA2370">
        <w:rPr>
          <w:lang w:val="en-US"/>
        </w:rPr>
        <w:tab/>
      </w:r>
      <w:r w:rsidRPr="00AA2370">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554" w14:textId="14EF7BBA" w:rsidR="00D958F4" w:rsidRDefault="00D958F4" w:rsidP="00AB3AA0">
    <w:pPr>
      <w:pStyle w:val="Header"/>
    </w:pPr>
    <w:r w:rsidRPr="008B60F7">
      <w:t>E/ECE/324/</w:t>
    </w:r>
    <w:r>
      <w:t>Rev.2/</w:t>
    </w:r>
    <w:r w:rsidRPr="003F5657">
      <w:t>Add.</w:t>
    </w:r>
    <w:r w:rsidR="009A0986">
      <w:t>12</w:t>
    </w:r>
    <w:r w:rsidR="00D63307">
      <w:t>8</w:t>
    </w:r>
    <w:r w:rsidR="009A0986">
      <w:t>/</w:t>
    </w:r>
    <w:r w:rsidR="0091034F">
      <w:t>Rev.</w:t>
    </w:r>
    <w:r w:rsidR="00EC5B39">
      <w:t>4</w:t>
    </w:r>
    <w:r w:rsidR="0091034F">
      <w:t>/</w:t>
    </w:r>
    <w:r w:rsidRPr="003F5657">
      <w:t>Amend.</w:t>
    </w:r>
    <w:r w:rsidR="00502BA4">
      <w:t>9</w:t>
    </w:r>
  </w:p>
  <w:p w14:paraId="42A1D7E1" w14:textId="0015E7D0" w:rsidR="00D958F4" w:rsidRDefault="00D958F4" w:rsidP="003F5657">
    <w:pPr>
      <w:pStyle w:val="Header"/>
    </w:pPr>
    <w:r w:rsidRPr="008B60F7">
      <w:t>E/ECE/TRANS/505/</w:t>
    </w:r>
    <w:r>
      <w:t>Rev.2/</w:t>
    </w:r>
    <w:r w:rsidRPr="003F5657">
      <w:t>Add.</w:t>
    </w:r>
    <w:r>
      <w:t>1</w:t>
    </w:r>
    <w:r w:rsidR="009A0986">
      <w:t>2</w:t>
    </w:r>
    <w:r w:rsidR="00D63307">
      <w:t>8</w:t>
    </w:r>
    <w:r w:rsidR="009A0986">
      <w:t>/</w:t>
    </w:r>
    <w:r w:rsidR="0091034F">
      <w:t>Rev.</w:t>
    </w:r>
    <w:r w:rsidR="00EC5B39">
      <w:t>4</w:t>
    </w:r>
    <w:r w:rsidR="0091034F">
      <w:t>/</w:t>
    </w:r>
    <w:r w:rsidR="0091034F" w:rsidRPr="003F5657">
      <w:t>Amend.</w:t>
    </w:r>
    <w:r w:rsidR="00502BA4">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07D" w14:textId="234584C3" w:rsidR="00D958F4" w:rsidRDefault="00D958F4" w:rsidP="004114AD">
    <w:pPr>
      <w:pStyle w:val="Header"/>
      <w:jc w:val="right"/>
    </w:pPr>
    <w:r w:rsidRPr="008B60F7">
      <w:t>E/ECE/324/</w:t>
    </w:r>
    <w:r>
      <w:t>Rev.2/</w:t>
    </w:r>
    <w:r w:rsidR="009A0986" w:rsidRPr="003F5657">
      <w:t>Add.</w:t>
    </w:r>
    <w:r w:rsidR="009A0986">
      <w:t>12</w:t>
    </w:r>
    <w:r w:rsidR="00D63307">
      <w:t>8</w:t>
    </w:r>
    <w:r w:rsidR="009A0986">
      <w:t>/</w:t>
    </w:r>
    <w:r w:rsidR="0091034F">
      <w:t>Rev.</w:t>
    </w:r>
    <w:r w:rsidR="00EC5B39">
      <w:t>4</w:t>
    </w:r>
    <w:r w:rsidR="0091034F">
      <w:t>/</w:t>
    </w:r>
    <w:r w:rsidR="0091034F" w:rsidRPr="003F5657">
      <w:t>Amend.</w:t>
    </w:r>
    <w:r w:rsidR="00B03BDB">
      <w:t>9</w:t>
    </w:r>
  </w:p>
  <w:p w14:paraId="742A0BEF" w14:textId="32A67220" w:rsidR="00D958F4" w:rsidRDefault="00D958F4" w:rsidP="004114AD">
    <w:pPr>
      <w:pStyle w:val="Header"/>
      <w:jc w:val="right"/>
    </w:pPr>
    <w:r w:rsidRPr="008B60F7">
      <w:t>E/ECE/TRANS/505/</w:t>
    </w:r>
    <w:r>
      <w:t>Rev.2/</w:t>
    </w:r>
    <w:r w:rsidR="009A0986" w:rsidRPr="003F5657">
      <w:t>Add.</w:t>
    </w:r>
    <w:r w:rsidR="009A0986">
      <w:t>12</w:t>
    </w:r>
    <w:r w:rsidR="00D63307">
      <w:t>8</w:t>
    </w:r>
    <w:r w:rsidR="009A0986">
      <w:t>/</w:t>
    </w:r>
    <w:r w:rsidR="0091034F">
      <w:t>Rev.</w:t>
    </w:r>
    <w:r w:rsidR="00EC5B39">
      <w:t>4</w:t>
    </w:r>
    <w:r w:rsidR="0091034F">
      <w:t>/</w:t>
    </w:r>
    <w:r w:rsidR="0091034F" w:rsidRPr="003F5657">
      <w:t>Amend.</w:t>
    </w:r>
    <w:r w:rsidR="00B03BDB">
      <w:t>9</w:t>
    </w:r>
  </w:p>
  <w:p w14:paraId="0C18C8B0" w14:textId="77777777" w:rsidR="00D958F4" w:rsidRPr="002D2F73" w:rsidRDefault="00D958F4"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D958F4" w:rsidRDefault="00D958F4"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TERM-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3"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4"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5"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16"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7"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8"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0BA158F3"/>
    <w:multiLevelType w:val="hybridMultilevel"/>
    <w:tmpl w:val="88AC9BC2"/>
    <w:lvl w:ilvl="0" w:tplc="30940A0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7C7D"/>
    <w:multiLevelType w:val="hybridMultilevel"/>
    <w:tmpl w:val="BEB80DDC"/>
    <w:lvl w:ilvl="0" w:tplc="32402F60">
      <w:start w:val="1"/>
      <w:numFmt w:val="lowerLetter"/>
      <w:lvlText w:val="(%1)"/>
      <w:lvlJc w:val="left"/>
      <w:pPr>
        <w:ind w:left="2832" w:hanging="564"/>
      </w:pPr>
      <w:rPr>
        <w:rFonts w:hint="default"/>
        <w:strike w:val="0"/>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1"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2"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3" w15:restartNumberingAfterBreak="0">
    <w:nsid w:val="3DC97638"/>
    <w:multiLevelType w:val="hybridMultilevel"/>
    <w:tmpl w:val="2916A4AA"/>
    <w:lvl w:ilvl="0" w:tplc="08090001">
      <w:start w:val="1"/>
      <w:numFmt w:val="bullet"/>
      <w:lvlText w:val=""/>
      <w:lvlJc w:val="left"/>
      <w:pPr>
        <w:ind w:left="3045" w:hanging="360"/>
      </w:pPr>
      <w:rPr>
        <w:rFonts w:ascii="Symbol" w:hAnsi="Symbol"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34" w15:restartNumberingAfterBreak="0">
    <w:nsid w:val="413268B9"/>
    <w:multiLevelType w:val="hybridMultilevel"/>
    <w:tmpl w:val="634839A8"/>
    <w:lvl w:ilvl="0" w:tplc="6512E562">
      <w:start w:val="1"/>
      <w:numFmt w:val="decimal"/>
      <w:lvlText w:val="%1."/>
      <w:lvlJc w:val="left"/>
      <w:pPr>
        <w:ind w:left="1710" w:hanging="576"/>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24560696">
    <w:abstractNumId w:val="19"/>
  </w:num>
  <w:num w:numId="2" w16cid:durableId="750662519">
    <w:abstractNumId w:val="39"/>
  </w:num>
  <w:num w:numId="3" w16cid:durableId="49160724">
    <w:abstractNumId w:val="35"/>
  </w:num>
  <w:num w:numId="4" w16cid:durableId="2093772057">
    <w:abstractNumId w:val="36"/>
  </w:num>
  <w:num w:numId="5" w16cid:durableId="1503200976">
    <w:abstractNumId w:val="31"/>
  </w:num>
  <w:num w:numId="6" w16cid:durableId="1178738407">
    <w:abstractNumId w:val="2"/>
  </w:num>
  <w:num w:numId="7" w16cid:durableId="919751795">
    <w:abstractNumId w:val="22"/>
  </w:num>
  <w:num w:numId="8" w16cid:durableId="307823309">
    <w:abstractNumId w:val="37"/>
  </w:num>
  <w:num w:numId="9" w16cid:durableId="26881220">
    <w:abstractNumId w:val="23"/>
  </w:num>
  <w:num w:numId="10" w16cid:durableId="2028285013">
    <w:abstractNumId w:val="20"/>
  </w:num>
  <w:num w:numId="11" w16cid:durableId="62023954">
    <w:abstractNumId w:val="9"/>
  </w:num>
  <w:num w:numId="12" w16cid:durableId="984236516">
    <w:abstractNumId w:val="28"/>
  </w:num>
  <w:num w:numId="13" w16cid:durableId="1619142204">
    <w:abstractNumId w:val="1"/>
  </w:num>
  <w:num w:numId="14" w16cid:durableId="779299092">
    <w:abstractNumId w:val="0"/>
  </w:num>
  <w:num w:numId="15" w16cid:durableId="1919900287">
    <w:abstractNumId w:val="3"/>
  </w:num>
  <w:num w:numId="16" w16cid:durableId="375935176">
    <w:abstractNumId w:val="8"/>
  </w:num>
  <w:num w:numId="17" w16cid:durableId="1798066074">
    <w:abstractNumId w:val="7"/>
  </w:num>
  <w:num w:numId="18" w16cid:durableId="628898888">
    <w:abstractNumId w:val="6"/>
  </w:num>
  <w:num w:numId="19" w16cid:durableId="287132267">
    <w:abstractNumId w:val="5"/>
  </w:num>
  <w:num w:numId="20" w16cid:durableId="1781490118">
    <w:abstractNumId w:val="4"/>
  </w:num>
  <w:num w:numId="21" w16cid:durableId="401028618">
    <w:abstractNumId w:val="27"/>
  </w:num>
  <w:num w:numId="22" w16cid:durableId="982350691">
    <w:abstractNumId w:val="26"/>
  </w:num>
  <w:num w:numId="23" w16cid:durableId="1636641363">
    <w:abstractNumId w:val="18"/>
  </w:num>
  <w:num w:numId="24" w16cid:durableId="894582310">
    <w:abstractNumId w:val="24"/>
  </w:num>
  <w:num w:numId="25" w16cid:durableId="2084450977">
    <w:abstractNumId w:val="29"/>
  </w:num>
  <w:num w:numId="26" w16cid:durableId="1818185835">
    <w:abstractNumId w:val="25"/>
  </w:num>
  <w:num w:numId="27" w16cid:durableId="1190294355">
    <w:abstractNumId w:val="38"/>
  </w:num>
  <w:num w:numId="28" w16cid:durableId="1789396693">
    <w:abstractNumId w:val="41"/>
  </w:num>
  <w:num w:numId="29" w16cid:durableId="848833393">
    <w:abstractNumId w:val="40"/>
  </w:num>
  <w:num w:numId="30" w16cid:durableId="303701858">
    <w:abstractNumId w:val="32"/>
  </w:num>
  <w:num w:numId="31" w16cid:durableId="1457914196">
    <w:abstractNumId w:val="30"/>
  </w:num>
  <w:num w:numId="32" w16cid:durableId="1684556074">
    <w:abstractNumId w:val="34"/>
  </w:num>
  <w:num w:numId="33" w16cid:durableId="1099910101">
    <w:abstractNumId w:val="33"/>
  </w:num>
  <w:num w:numId="34" w16cid:durableId="122988018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6AF"/>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1D4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3F2C"/>
    <w:rsid w:val="00045156"/>
    <w:rsid w:val="00045850"/>
    <w:rsid w:val="00045EF4"/>
    <w:rsid w:val="00046783"/>
    <w:rsid w:val="000471A2"/>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C1D"/>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69E7"/>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357"/>
    <w:rsid w:val="000E0415"/>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58B"/>
    <w:rsid w:val="00101D7C"/>
    <w:rsid w:val="00101EFF"/>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4098"/>
    <w:rsid w:val="00115641"/>
    <w:rsid w:val="001158C9"/>
    <w:rsid w:val="001159D7"/>
    <w:rsid w:val="00117F83"/>
    <w:rsid w:val="001220B8"/>
    <w:rsid w:val="00122428"/>
    <w:rsid w:val="00122BC3"/>
    <w:rsid w:val="00125A6F"/>
    <w:rsid w:val="001263B9"/>
    <w:rsid w:val="00126D96"/>
    <w:rsid w:val="00126F96"/>
    <w:rsid w:val="00127A5C"/>
    <w:rsid w:val="00127EC4"/>
    <w:rsid w:val="0013311E"/>
    <w:rsid w:val="00133A55"/>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4E1C"/>
    <w:rsid w:val="00155340"/>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D4D"/>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2473"/>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2BA9"/>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11D"/>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6F91"/>
    <w:rsid w:val="002C7D2E"/>
    <w:rsid w:val="002D1C50"/>
    <w:rsid w:val="002D1D7D"/>
    <w:rsid w:val="002D2562"/>
    <w:rsid w:val="002D2951"/>
    <w:rsid w:val="002D2F73"/>
    <w:rsid w:val="002D3214"/>
    <w:rsid w:val="002D3463"/>
    <w:rsid w:val="002D3755"/>
    <w:rsid w:val="002D4D19"/>
    <w:rsid w:val="002D5314"/>
    <w:rsid w:val="002D563B"/>
    <w:rsid w:val="002D76C9"/>
    <w:rsid w:val="002D7A83"/>
    <w:rsid w:val="002E0E41"/>
    <w:rsid w:val="002E0F61"/>
    <w:rsid w:val="002E14B3"/>
    <w:rsid w:val="002E1E1C"/>
    <w:rsid w:val="002E2AE7"/>
    <w:rsid w:val="002E3D4B"/>
    <w:rsid w:val="002E572B"/>
    <w:rsid w:val="002E69A1"/>
    <w:rsid w:val="002E760A"/>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4EB"/>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65A"/>
    <w:rsid w:val="00393829"/>
    <w:rsid w:val="0039414E"/>
    <w:rsid w:val="00394E2A"/>
    <w:rsid w:val="00395453"/>
    <w:rsid w:val="0039557F"/>
    <w:rsid w:val="003972E0"/>
    <w:rsid w:val="0039754B"/>
    <w:rsid w:val="003979B7"/>
    <w:rsid w:val="003A0E84"/>
    <w:rsid w:val="003A1F1E"/>
    <w:rsid w:val="003A270A"/>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1FF"/>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4AD"/>
    <w:rsid w:val="00411AF3"/>
    <w:rsid w:val="00413B75"/>
    <w:rsid w:val="00414046"/>
    <w:rsid w:val="004148A2"/>
    <w:rsid w:val="00414D0F"/>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062"/>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3BF"/>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A3C"/>
    <w:rsid w:val="00464CB3"/>
    <w:rsid w:val="00466167"/>
    <w:rsid w:val="0046708C"/>
    <w:rsid w:val="004676FF"/>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27F4"/>
    <w:rsid w:val="00502BA4"/>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0EB"/>
    <w:rsid w:val="00561CAD"/>
    <w:rsid w:val="00561E6B"/>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9781C"/>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3E2B"/>
    <w:rsid w:val="005E4EFC"/>
    <w:rsid w:val="005E6829"/>
    <w:rsid w:val="005E6D6F"/>
    <w:rsid w:val="005E7143"/>
    <w:rsid w:val="005E7E46"/>
    <w:rsid w:val="005F09FB"/>
    <w:rsid w:val="005F3C0D"/>
    <w:rsid w:val="005F6026"/>
    <w:rsid w:val="005F67CC"/>
    <w:rsid w:val="005F6B43"/>
    <w:rsid w:val="005F6E12"/>
    <w:rsid w:val="005F7EC1"/>
    <w:rsid w:val="00600054"/>
    <w:rsid w:val="00600DBB"/>
    <w:rsid w:val="0060139C"/>
    <w:rsid w:val="00601F6F"/>
    <w:rsid w:val="006028C0"/>
    <w:rsid w:val="00603109"/>
    <w:rsid w:val="006042B9"/>
    <w:rsid w:val="00605493"/>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BDE"/>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3BC4"/>
    <w:rsid w:val="006B436D"/>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5589"/>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17B2"/>
    <w:rsid w:val="007728FC"/>
    <w:rsid w:val="00772B16"/>
    <w:rsid w:val="007731D2"/>
    <w:rsid w:val="00775015"/>
    <w:rsid w:val="00776264"/>
    <w:rsid w:val="00776BC5"/>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074"/>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0E98"/>
    <w:rsid w:val="00811120"/>
    <w:rsid w:val="00811D77"/>
    <w:rsid w:val="0081491B"/>
    <w:rsid w:val="00814945"/>
    <w:rsid w:val="00814DDA"/>
    <w:rsid w:val="00814E20"/>
    <w:rsid w:val="00815670"/>
    <w:rsid w:val="008156DC"/>
    <w:rsid w:val="0081609F"/>
    <w:rsid w:val="00816806"/>
    <w:rsid w:val="008175E9"/>
    <w:rsid w:val="008200AA"/>
    <w:rsid w:val="00820533"/>
    <w:rsid w:val="00820B51"/>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3EB8"/>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536"/>
    <w:rsid w:val="008667A8"/>
    <w:rsid w:val="00866E0B"/>
    <w:rsid w:val="0086794C"/>
    <w:rsid w:val="00867DF2"/>
    <w:rsid w:val="008702AC"/>
    <w:rsid w:val="00870700"/>
    <w:rsid w:val="00870A6F"/>
    <w:rsid w:val="00870D6D"/>
    <w:rsid w:val="008711DA"/>
    <w:rsid w:val="00871498"/>
    <w:rsid w:val="00871FD5"/>
    <w:rsid w:val="00873016"/>
    <w:rsid w:val="00874055"/>
    <w:rsid w:val="00874AF4"/>
    <w:rsid w:val="008752AC"/>
    <w:rsid w:val="008760CF"/>
    <w:rsid w:val="00876643"/>
    <w:rsid w:val="008766A3"/>
    <w:rsid w:val="008807DC"/>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3D3"/>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465"/>
    <w:rsid w:val="0090484B"/>
    <w:rsid w:val="0090558A"/>
    <w:rsid w:val="00907AD2"/>
    <w:rsid w:val="0091034F"/>
    <w:rsid w:val="00911393"/>
    <w:rsid w:val="00912AD6"/>
    <w:rsid w:val="0091318D"/>
    <w:rsid w:val="009143D0"/>
    <w:rsid w:val="0091509F"/>
    <w:rsid w:val="00917265"/>
    <w:rsid w:val="009201F1"/>
    <w:rsid w:val="00920939"/>
    <w:rsid w:val="009220B8"/>
    <w:rsid w:val="00922F88"/>
    <w:rsid w:val="00923086"/>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1"/>
    <w:rsid w:val="009808BA"/>
    <w:rsid w:val="009813B3"/>
    <w:rsid w:val="009828BE"/>
    <w:rsid w:val="0098331F"/>
    <w:rsid w:val="00983358"/>
    <w:rsid w:val="0098410E"/>
    <w:rsid w:val="0098412F"/>
    <w:rsid w:val="00984579"/>
    <w:rsid w:val="00984F5D"/>
    <w:rsid w:val="00985DDA"/>
    <w:rsid w:val="00986078"/>
    <w:rsid w:val="009869AC"/>
    <w:rsid w:val="00986A0F"/>
    <w:rsid w:val="00986B3A"/>
    <w:rsid w:val="00987F4E"/>
    <w:rsid w:val="00990AB1"/>
    <w:rsid w:val="00991261"/>
    <w:rsid w:val="00991A10"/>
    <w:rsid w:val="00992F8D"/>
    <w:rsid w:val="00993B0E"/>
    <w:rsid w:val="0099510B"/>
    <w:rsid w:val="009961A6"/>
    <w:rsid w:val="009965FA"/>
    <w:rsid w:val="009970A9"/>
    <w:rsid w:val="009976F4"/>
    <w:rsid w:val="00997F2D"/>
    <w:rsid w:val="009A0986"/>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E7AD2"/>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585"/>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5B83"/>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2370"/>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847"/>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31B1"/>
    <w:rsid w:val="00AE406B"/>
    <w:rsid w:val="00AE53FC"/>
    <w:rsid w:val="00AE5412"/>
    <w:rsid w:val="00AE5DCE"/>
    <w:rsid w:val="00AE6851"/>
    <w:rsid w:val="00AE7578"/>
    <w:rsid w:val="00AF0066"/>
    <w:rsid w:val="00AF06A9"/>
    <w:rsid w:val="00AF1176"/>
    <w:rsid w:val="00AF1F3A"/>
    <w:rsid w:val="00AF25EA"/>
    <w:rsid w:val="00AF2959"/>
    <w:rsid w:val="00AF36C8"/>
    <w:rsid w:val="00AF373D"/>
    <w:rsid w:val="00AF464C"/>
    <w:rsid w:val="00AF5D48"/>
    <w:rsid w:val="00AF671C"/>
    <w:rsid w:val="00AF7123"/>
    <w:rsid w:val="00AF7CB3"/>
    <w:rsid w:val="00B00B58"/>
    <w:rsid w:val="00B02137"/>
    <w:rsid w:val="00B02ACF"/>
    <w:rsid w:val="00B031A3"/>
    <w:rsid w:val="00B03BDB"/>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0D9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A5D"/>
    <w:rsid w:val="00B65B15"/>
    <w:rsid w:val="00B6630B"/>
    <w:rsid w:val="00B66977"/>
    <w:rsid w:val="00B67050"/>
    <w:rsid w:val="00B67762"/>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0F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1EE"/>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1DE"/>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87F85"/>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66"/>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52"/>
    <w:rsid w:val="00CE42BC"/>
    <w:rsid w:val="00CE4A8F"/>
    <w:rsid w:val="00CE5323"/>
    <w:rsid w:val="00CE59FF"/>
    <w:rsid w:val="00CE5B0D"/>
    <w:rsid w:val="00CE5F7D"/>
    <w:rsid w:val="00CE6694"/>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1F87"/>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2B3"/>
    <w:rsid w:val="00D62733"/>
    <w:rsid w:val="00D63307"/>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8F4"/>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089"/>
    <w:rsid w:val="00DB0685"/>
    <w:rsid w:val="00DB09CC"/>
    <w:rsid w:val="00DB11D4"/>
    <w:rsid w:val="00DB140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5795"/>
    <w:rsid w:val="00E0679A"/>
    <w:rsid w:val="00E07075"/>
    <w:rsid w:val="00E1072D"/>
    <w:rsid w:val="00E12036"/>
    <w:rsid w:val="00E129F4"/>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4BAA"/>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20E7"/>
    <w:rsid w:val="00EC4521"/>
    <w:rsid w:val="00EC457E"/>
    <w:rsid w:val="00EC4E83"/>
    <w:rsid w:val="00EC59DC"/>
    <w:rsid w:val="00EC5B39"/>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4093"/>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B2"/>
    <w:rsid w:val="00F77514"/>
    <w:rsid w:val="00F7753D"/>
    <w:rsid w:val="00F83515"/>
    <w:rsid w:val="00F85F34"/>
    <w:rsid w:val="00F87606"/>
    <w:rsid w:val="00F905EE"/>
    <w:rsid w:val="00F95AB0"/>
    <w:rsid w:val="00F95E5F"/>
    <w:rsid w:val="00F95EC8"/>
    <w:rsid w:val="00F96249"/>
    <w:rsid w:val="00F96FB3"/>
    <w:rsid w:val="00F979CC"/>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891"/>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link w:val="Heading2Char"/>
    <w:qFormat/>
    <w:rsid w:val="00503228"/>
    <w:pPr>
      <w:numPr>
        <w:ilvl w:val="1"/>
        <w:numId w:val="6"/>
      </w:numPr>
      <w:spacing w:line="240" w:lineRule="auto"/>
      <w:outlineLvl w:val="1"/>
    </w:pPr>
  </w:style>
  <w:style w:type="paragraph" w:styleId="Heading3">
    <w:name w:val="heading 3"/>
    <w:basedOn w:val="Normal"/>
    <w:next w:val="Normal"/>
    <w:link w:val="Heading3Char"/>
    <w:qFormat/>
    <w:rsid w:val="00503228"/>
    <w:pPr>
      <w:numPr>
        <w:ilvl w:val="2"/>
        <w:numId w:val="6"/>
      </w:numPr>
      <w:spacing w:line="240" w:lineRule="auto"/>
      <w:outlineLvl w:val="2"/>
    </w:pPr>
  </w:style>
  <w:style w:type="paragraph" w:styleId="Heading4">
    <w:name w:val="heading 4"/>
    <w:basedOn w:val="Normal"/>
    <w:next w:val="Normal"/>
    <w:link w:val="Heading4Char"/>
    <w:qFormat/>
    <w:rsid w:val="00503228"/>
    <w:pPr>
      <w:numPr>
        <w:ilvl w:val="3"/>
        <w:numId w:val="6"/>
      </w:numPr>
      <w:spacing w:line="240" w:lineRule="auto"/>
      <w:outlineLvl w:val="3"/>
    </w:pPr>
  </w:style>
  <w:style w:type="paragraph" w:styleId="Heading5">
    <w:name w:val="heading 5"/>
    <w:basedOn w:val="Normal"/>
    <w:next w:val="Normal"/>
    <w:link w:val="Heading5Char"/>
    <w:qFormat/>
    <w:rsid w:val="00503228"/>
    <w:pPr>
      <w:numPr>
        <w:ilvl w:val="4"/>
        <w:numId w:val="6"/>
      </w:numPr>
      <w:spacing w:line="240" w:lineRule="auto"/>
      <w:outlineLvl w:val="4"/>
    </w:pPr>
  </w:style>
  <w:style w:type="paragraph" w:styleId="Heading6">
    <w:name w:val="heading 6"/>
    <w:basedOn w:val="Normal"/>
    <w:next w:val="Normal"/>
    <w:link w:val="Heading6Char"/>
    <w:qFormat/>
    <w:rsid w:val="00503228"/>
    <w:pPr>
      <w:numPr>
        <w:ilvl w:val="5"/>
        <w:numId w:val="6"/>
      </w:numPr>
      <w:spacing w:line="240" w:lineRule="auto"/>
      <w:outlineLvl w:val="5"/>
    </w:pPr>
  </w:style>
  <w:style w:type="paragraph" w:styleId="Heading7">
    <w:name w:val="heading 7"/>
    <w:basedOn w:val="Normal"/>
    <w:next w:val="Normal"/>
    <w:link w:val="Heading7Char"/>
    <w:qFormat/>
    <w:rsid w:val="00503228"/>
    <w:pPr>
      <w:numPr>
        <w:ilvl w:val="6"/>
        <w:numId w:val="6"/>
      </w:numPr>
      <w:spacing w:line="240" w:lineRule="auto"/>
      <w:outlineLvl w:val="6"/>
    </w:pPr>
  </w:style>
  <w:style w:type="paragraph" w:styleId="Heading8">
    <w:name w:val="heading 8"/>
    <w:basedOn w:val="Normal"/>
    <w:next w:val="Normal"/>
    <w:link w:val="Heading8Char"/>
    <w:qFormat/>
    <w:rsid w:val="00503228"/>
    <w:pPr>
      <w:numPr>
        <w:ilvl w:val="7"/>
        <w:numId w:val="6"/>
      </w:numPr>
      <w:spacing w:line="240" w:lineRule="auto"/>
      <w:outlineLvl w:val="7"/>
    </w:pPr>
  </w:style>
  <w:style w:type="paragraph" w:styleId="Heading9">
    <w:name w:val="heading 9"/>
    <w:basedOn w:val="Normal"/>
    <w:next w:val="Normal"/>
    <w:link w:val="Heading9Char"/>
    <w:qFormat/>
    <w:rsid w:val="00503228"/>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Fußnotentext"/>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paragraph" w:styleId="BodyText2">
    <w:name w:val="Body Text 2"/>
    <w:basedOn w:val="Normal"/>
    <w:link w:val="BodyText2Char"/>
    <w:rsid w:val="00850379"/>
    <w:pPr>
      <w:suppressAutoHyphens w:val="0"/>
      <w:spacing w:line="240" w:lineRule="auto"/>
      <w:jc w:val="center"/>
    </w:pPr>
    <w:rPr>
      <w:rFonts w:ascii="Univers" w:hAnsi="Univers"/>
      <w:b/>
      <w:caps/>
      <w:sz w:val="24"/>
    </w:rPr>
  </w:style>
  <w:style w:type="paragraph" w:styleId="BodyText">
    <w:name w:val="Body Text"/>
    <w:basedOn w:val="Normal"/>
    <w:link w:val="BodyTextChar1"/>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link w:val="DateChar"/>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link w:val="BodyTextIndent3Char"/>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link w:val="BodyText3Char"/>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5_GR Char,Fußnotentext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uiPriority w:val="99"/>
    <w:rsid w:val="00AC4C83"/>
    <w:rPr>
      <w:sz w:val="16"/>
      <w:szCs w:val="16"/>
    </w:rPr>
  </w:style>
  <w:style w:type="paragraph" w:styleId="CommentText">
    <w:name w:val="annotation text"/>
    <w:basedOn w:val="Normal"/>
    <w:link w:val="CommentTextChar"/>
    <w:uiPriority w:val="99"/>
    <w:rsid w:val="00AC4C83"/>
  </w:style>
  <w:style w:type="paragraph" w:styleId="CommentSubject">
    <w:name w:val="annotation subject"/>
    <w:basedOn w:val="CommentText"/>
    <w:next w:val="CommentText"/>
    <w:link w:val="CommentSubjectChar"/>
    <w:rsid w:val="00AC4C83"/>
    <w:rPr>
      <w:b/>
      <w:bCs/>
    </w:rPr>
  </w:style>
  <w:style w:type="paragraph" w:styleId="BalloonText">
    <w:name w:val="Balloon Text"/>
    <w:basedOn w:val="Normal"/>
    <w:link w:val="BalloonTextChar"/>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rsid w:val="00043A37"/>
    <w:rPr>
      <w:lang w:val="en-GB" w:eastAsia="en-US"/>
    </w:rPr>
  </w:style>
  <w:style w:type="paragraph" w:styleId="ListBullet">
    <w:name w:val="List Bullet"/>
    <w:basedOn w:val="Normal"/>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4"/>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Heading5Char">
    <w:name w:val="Heading 5 Char"/>
    <w:link w:val="Heading5"/>
    <w:rsid w:val="00F979CC"/>
    <w:rPr>
      <w:lang w:val="en-GB" w:eastAsia="en-US"/>
    </w:rPr>
  </w:style>
  <w:style w:type="character" w:customStyle="1" w:styleId="BalloonTextChar">
    <w:name w:val="Balloon Text Char"/>
    <w:basedOn w:val="DefaultParagraphFont"/>
    <w:link w:val="BalloonText"/>
    <w:uiPriority w:val="99"/>
    <w:rsid w:val="00C041EE"/>
    <w:rPr>
      <w:rFonts w:ascii="Tahoma" w:hAnsi="Tahoma" w:cs="Tahoma"/>
      <w:sz w:val="16"/>
      <w:szCs w:val="16"/>
      <w:lang w:val="en-GB" w:eastAsia="en-US"/>
    </w:rPr>
  </w:style>
  <w:style w:type="paragraph" w:customStyle="1" w:styleId="ParNoG">
    <w:name w:val="_ParNo_G"/>
    <w:basedOn w:val="SingleTxtG"/>
    <w:qFormat/>
    <w:rsid w:val="00C041EE"/>
    <w:pPr>
      <w:numPr>
        <w:numId w:val="7"/>
      </w:numPr>
      <w:suppressAutoHyphens w:val="0"/>
    </w:pPr>
    <w:rPr>
      <w:lang w:eastAsia="fr-FR"/>
    </w:rPr>
  </w:style>
  <w:style w:type="character" w:customStyle="1" w:styleId="FootnoteTextChar1">
    <w:name w:val="Footnote Text Char1"/>
    <w:aliases w:val="5_G Char1"/>
    <w:semiHidden/>
    <w:locked/>
    <w:rsid w:val="00C041EE"/>
    <w:rPr>
      <w:sz w:val="18"/>
      <w:lang w:val="en-GB" w:eastAsia="en-US" w:bidi="ar-SA"/>
    </w:rPr>
  </w:style>
  <w:style w:type="character" w:customStyle="1" w:styleId="CommentSubjectChar">
    <w:name w:val="Comment Subject Char"/>
    <w:basedOn w:val="CommentTextChar"/>
    <w:link w:val="CommentSubject"/>
    <w:rsid w:val="00C041EE"/>
    <w:rPr>
      <w:b/>
      <w:bCs/>
      <w:lang w:val="en-GB" w:eastAsia="en-US"/>
    </w:rPr>
  </w:style>
  <w:style w:type="paragraph" w:styleId="PlainText">
    <w:name w:val="Plain Text"/>
    <w:basedOn w:val="Normal"/>
    <w:link w:val="PlainTextChar"/>
    <w:rsid w:val="00C041EE"/>
    <w:rPr>
      <w:rFonts w:cs="Courier New"/>
    </w:rPr>
  </w:style>
  <w:style w:type="character" w:customStyle="1" w:styleId="PlainTextChar">
    <w:name w:val="Plain Text Char"/>
    <w:basedOn w:val="DefaultParagraphFont"/>
    <w:link w:val="PlainText"/>
    <w:rsid w:val="00C041EE"/>
    <w:rPr>
      <w:rFonts w:cs="Courier New"/>
      <w:lang w:val="en-GB" w:eastAsia="en-US"/>
    </w:rPr>
  </w:style>
  <w:style w:type="character" w:customStyle="1" w:styleId="BodyTextChar">
    <w:name w:val="Body Text Char"/>
    <w:basedOn w:val="DefaultParagraphFont"/>
    <w:semiHidden/>
    <w:rsid w:val="00C041EE"/>
    <w:rPr>
      <w:lang w:val="en-GB" w:eastAsia="en-US"/>
    </w:rPr>
  </w:style>
  <w:style w:type="paragraph" w:styleId="BodyTextIndent">
    <w:name w:val="Body Text Indent"/>
    <w:basedOn w:val="Normal"/>
    <w:link w:val="BodyTextIndentChar"/>
    <w:rsid w:val="00C041EE"/>
    <w:pPr>
      <w:spacing w:after="120"/>
      <w:ind w:left="283"/>
    </w:pPr>
  </w:style>
  <w:style w:type="character" w:customStyle="1" w:styleId="BodyTextIndentChar">
    <w:name w:val="Body Text Indent Char"/>
    <w:basedOn w:val="DefaultParagraphFont"/>
    <w:link w:val="BodyTextIndent"/>
    <w:rsid w:val="00C041EE"/>
    <w:rPr>
      <w:lang w:val="en-GB" w:eastAsia="en-US"/>
    </w:rPr>
  </w:style>
  <w:style w:type="paragraph" w:styleId="BlockText">
    <w:name w:val="Block Text"/>
    <w:basedOn w:val="Normal"/>
    <w:rsid w:val="00C041EE"/>
    <w:pPr>
      <w:ind w:left="1440" w:right="1440"/>
    </w:pPr>
  </w:style>
  <w:style w:type="numbering" w:styleId="111111">
    <w:name w:val="Outline List 2"/>
    <w:basedOn w:val="NoList"/>
    <w:rsid w:val="00C041EE"/>
    <w:pPr>
      <w:numPr>
        <w:numId w:val="8"/>
      </w:numPr>
    </w:pPr>
  </w:style>
  <w:style w:type="numbering" w:styleId="1ai">
    <w:name w:val="Outline List 1"/>
    <w:basedOn w:val="NoList"/>
    <w:rsid w:val="00C041EE"/>
    <w:pPr>
      <w:numPr>
        <w:numId w:val="9"/>
      </w:numPr>
    </w:pPr>
  </w:style>
  <w:style w:type="numbering" w:styleId="ArticleSection">
    <w:name w:val="Outline List 3"/>
    <w:basedOn w:val="NoList"/>
    <w:rsid w:val="00C041EE"/>
    <w:pPr>
      <w:numPr>
        <w:numId w:val="10"/>
      </w:numPr>
    </w:pPr>
  </w:style>
  <w:style w:type="character" w:customStyle="1" w:styleId="BodyText2Char">
    <w:name w:val="Body Text 2 Char"/>
    <w:basedOn w:val="DefaultParagraphFont"/>
    <w:link w:val="BodyText2"/>
    <w:rsid w:val="00C041EE"/>
    <w:rPr>
      <w:rFonts w:ascii="Univers" w:hAnsi="Univers"/>
      <w:b/>
      <w:caps/>
      <w:sz w:val="24"/>
      <w:lang w:val="en-GB" w:eastAsia="en-US"/>
    </w:rPr>
  </w:style>
  <w:style w:type="character" w:customStyle="1" w:styleId="BodyText3Char">
    <w:name w:val="Body Text 3 Char"/>
    <w:basedOn w:val="DefaultParagraphFont"/>
    <w:link w:val="BodyText3"/>
    <w:rsid w:val="00C041EE"/>
    <w:rPr>
      <w:sz w:val="16"/>
      <w:szCs w:val="16"/>
      <w:lang w:val="en-GB" w:eastAsia="en-US"/>
    </w:rPr>
  </w:style>
  <w:style w:type="paragraph" w:styleId="BodyTextFirstIndent">
    <w:name w:val="Body Text First Indent"/>
    <w:basedOn w:val="BodyText"/>
    <w:link w:val="BodyTextFirstIndentChar"/>
    <w:rsid w:val="00C041EE"/>
    <w:pPr>
      <w:suppressAutoHyphens/>
      <w:spacing w:after="120" w:line="240" w:lineRule="atLeast"/>
      <w:ind w:firstLine="210"/>
    </w:pPr>
    <w:rPr>
      <w:sz w:val="20"/>
      <w:szCs w:val="20"/>
    </w:rPr>
  </w:style>
  <w:style w:type="character" w:customStyle="1" w:styleId="BodyTextChar1">
    <w:name w:val="Body Text Char1"/>
    <w:basedOn w:val="DefaultParagraphFont"/>
    <w:link w:val="BodyText"/>
    <w:rsid w:val="00C041EE"/>
    <w:rPr>
      <w:sz w:val="18"/>
      <w:szCs w:val="24"/>
      <w:lang w:val="en-GB" w:eastAsia="en-US"/>
    </w:rPr>
  </w:style>
  <w:style w:type="character" w:customStyle="1" w:styleId="BodyTextFirstIndentChar">
    <w:name w:val="Body Text First Indent Char"/>
    <w:basedOn w:val="BodyTextChar1"/>
    <w:link w:val="BodyTextFirstIndent"/>
    <w:rsid w:val="00C041EE"/>
    <w:rPr>
      <w:sz w:val="18"/>
      <w:szCs w:val="24"/>
      <w:lang w:val="en-GB" w:eastAsia="en-US"/>
    </w:rPr>
  </w:style>
  <w:style w:type="paragraph" w:styleId="BodyTextFirstIndent2">
    <w:name w:val="Body Text First Indent 2"/>
    <w:basedOn w:val="BodyTextIndent"/>
    <w:link w:val="BodyTextFirstIndent2Char"/>
    <w:rsid w:val="00C041EE"/>
    <w:pPr>
      <w:ind w:firstLine="210"/>
    </w:pPr>
  </w:style>
  <w:style w:type="character" w:customStyle="1" w:styleId="BodyTextFirstIndent2Char">
    <w:name w:val="Body Text First Indent 2 Char"/>
    <w:basedOn w:val="BodyTextIndentChar"/>
    <w:link w:val="BodyTextFirstIndent2"/>
    <w:rsid w:val="00C041EE"/>
    <w:rPr>
      <w:lang w:val="en-GB" w:eastAsia="en-US"/>
    </w:rPr>
  </w:style>
  <w:style w:type="paragraph" w:styleId="BodyTextIndent2">
    <w:name w:val="Body Text Indent 2"/>
    <w:basedOn w:val="Normal"/>
    <w:link w:val="BodyTextIndent2Char"/>
    <w:rsid w:val="00C041EE"/>
    <w:pPr>
      <w:spacing w:after="120" w:line="480" w:lineRule="auto"/>
      <w:ind w:left="283"/>
    </w:pPr>
  </w:style>
  <w:style w:type="character" w:customStyle="1" w:styleId="BodyTextIndent2Char">
    <w:name w:val="Body Text Indent 2 Char"/>
    <w:basedOn w:val="DefaultParagraphFont"/>
    <w:link w:val="BodyTextIndent2"/>
    <w:rsid w:val="00C041EE"/>
    <w:rPr>
      <w:lang w:val="en-GB" w:eastAsia="en-US"/>
    </w:rPr>
  </w:style>
  <w:style w:type="character" w:customStyle="1" w:styleId="BodyTextIndent3Char">
    <w:name w:val="Body Text Indent 3 Char"/>
    <w:basedOn w:val="DefaultParagraphFont"/>
    <w:link w:val="BodyTextIndent3"/>
    <w:rsid w:val="00C041EE"/>
    <w:rPr>
      <w:sz w:val="16"/>
      <w:szCs w:val="16"/>
      <w:lang w:val="en-GB" w:eastAsia="en-US"/>
    </w:rPr>
  </w:style>
  <w:style w:type="paragraph" w:styleId="Closing">
    <w:name w:val="Closing"/>
    <w:basedOn w:val="Normal"/>
    <w:link w:val="ClosingChar"/>
    <w:rsid w:val="00C041EE"/>
    <w:pPr>
      <w:ind w:left="4252"/>
    </w:pPr>
  </w:style>
  <w:style w:type="character" w:customStyle="1" w:styleId="ClosingChar">
    <w:name w:val="Closing Char"/>
    <w:basedOn w:val="DefaultParagraphFont"/>
    <w:link w:val="Closing"/>
    <w:rsid w:val="00C041EE"/>
    <w:rPr>
      <w:lang w:val="en-GB" w:eastAsia="en-US"/>
    </w:rPr>
  </w:style>
  <w:style w:type="character" w:customStyle="1" w:styleId="DateChar">
    <w:name w:val="Date Char"/>
    <w:basedOn w:val="DefaultParagraphFont"/>
    <w:link w:val="Date"/>
    <w:rsid w:val="00C041EE"/>
    <w:rPr>
      <w:rFonts w:ascii="Courier" w:hAnsi="Courier" w:cs="Courier"/>
      <w:lang w:val="en-US" w:eastAsia="en-US"/>
    </w:rPr>
  </w:style>
  <w:style w:type="paragraph" w:styleId="E-mailSignature">
    <w:name w:val="E-mail Signature"/>
    <w:basedOn w:val="Normal"/>
    <w:link w:val="E-mailSignatureChar"/>
    <w:rsid w:val="00C041EE"/>
  </w:style>
  <w:style w:type="character" w:customStyle="1" w:styleId="E-mailSignatureChar">
    <w:name w:val="E-mail Signature Char"/>
    <w:basedOn w:val="DefaultParagraphFont"/>
    <w:link w:val="E-mailSignature"/>
    <w:rsid w:val="00C041EE"/>
    <w:rPr>
      <w:lang w:val="en-GB" w:eastAsia="en-US"/>
    </w:rPr>
  </w:style>
  <w:style w:type="paragraph" w:styleId="EnvelopeReturn">
    <w:name w:val="envelope return"/>
    <w:basedOn w:val="Normal"/>
    <w:rsid w:val="00C041EE"/>
    <w:rPr>
      <w:rFonts w:ascii="Arial" w:hAnsi="Arial" w:cs="Arial"/>
    </w:rPr>
  </w:style>
  <w:style w:type="character" w:styleId="HTMLAcronym">
    <w:name w:val="HTML Acronym"/>
    <w:basedOn w:val="DefaultParagraphFont"/>
    <w:rsid w:val="00C041EE"/>
  </w:style>
  <w:style w:type="paragraph" w:styleId="HTMLAddress">
    <w:name w:val="HTML Address"/>
    <w:basedOn w:val="Normal"/>
    <w:link w:val="HTMLAddressChar"/>
    <w:rsid w:val="00C041EE"/>
    <w:rPr>
      <w:i/>
      <w:iCs/>
    </w:rPr>
  </w:style>
  <w:style w:type="character" w:customStyle="1" w:styleId="HTMLAddressChar">
    <w:name w:val="HTML Address Char"/>
    <w:basedOn w:val="DefaultParagraphFont"/>
    <w:link w:val="HTMLAddress"/>
    <w:rsid w:val="00C041EE"/>
    <w:rPr>
      <w:i/>
      <w:iCs/>
      <w:lang w:val="en-GB" w:eastAsia="en-US"/>
    </w:rPr>
  </w:style>
  <w:style w:type="character" w:styleId="HTMLCite">
    <w:name w:val="HTML Cite"/>
    <w:rsid w:val="00C041EE"/>
    <w:rPr>
      <w:i/>
      <w:iCs/>
    </w:rPr>
  </w:style>
  <w:style w:type="character" w:styleId="HTMLCode">
    <w:name w:val="HTML Code"/>
    <w:rsid w:val="00C041EE"/>
    <w:rPr>
      <w:rFonts w:ascii="Courier New" w:hAnsi="Courier New" w:cs="Courier New"/>
      <w:sz w:val="20"/>
      <w:szCs w:val="20"/>
    </w:rPr>
  </w:style>
  <w:style w:type="character" w:styleId="HTMLDefinition">
    <w:name w:val="HTML Definition"/>
    <w:rsid w:val="00C041EE"/>
    <w:rPr>
      <w:i/>
      <w:iCs/>
    </w:rPr>
  </w:style>
  <w:style w:type="character" w:styleId="HTMLKeyboard">
    <w:name w:val="HTML Keyboard"/>
    <w:rsid w:val="00C041EE"/>
    <w:rPr>
      <w:rFonts w:ascii="Courier New" w:hAnsi="Courier New" w:cs="Courier New"/>
      <w:sz w:val="20"/>
      <w:szCs w:val="20"/>
    </w:rPr>
  </w:style>
  <w:style w:type="paragraph" w:styleId="HTMLPreformatted">
    <w:name w:val="HTML Preformatted"/>
    <w:basedOn w:val="Normal"/>
    <w:link w:val="HTMLPreformattedChar"/>
    <w:rsid w:val="00C041EE"/>
    <w:rPr>
      <w:rFonts w:ascii="Courier New" w:hAnsi="Courier New" w:cs="Courier New"/>
    </w:rPr>
  </w:style>
  <w:style w:type="character" w:customStyle="1" w:styleId="HTMLPreformattedChar">
    <w:name w:val="HTML Preformatted Char"/>
    <w:basedOn w:val="DefaultParagraphFont"/>
    <w:link w:val="HTMLPreformatted"/>
    <w:rsid w:val="00C041EE"/>
    <w:rPr>
      <w:rFonts w:ascii="Courier New" w:hAnsi="Courier New" w:cs="Courier New"/>
      <w:lang w:val="en-GB" w:eastAsia="en-US"/>
    </w:rPr>
  </w:style>
  <w:style w:type="character" w:styleId="HTMLSample">
    <w:name w:val="HTML Sample"/>
    <w:rsid w:val="00C041EE"/>
    <w:rPr>
      <w:rFonts w:ascii="Courier New" w:hAnsi="Courier New" w:cs="Courier New"/>
    </w:rPr>
  </w:style>
  <w:style w:type="character" w:styleId="HTMLTypewriter">
    <w:name w:val="HTML Typewriter"/>
    <w:rsid w:val="00C041EE"/>
    <w:rPr>
      <w:rFonts w:ascii="Courier New" w:hAnsi="Courier New" w:cs="Courier New"/>
      <w:sz w:val="20"/>
      <w:szCs w:val="20"/>
    </w:rPr>
  </w:style>
  <w:style w:type="character" w:styleId="HTMLVariable">
    <w:name w:val="HTML Variable"/>
    <w:rsid w:val="00C041EE"/>
    <w:rPr>
      <w:i/>
      <w:iCs/>
    </w:rPr>
  </w:style>
  <w:style w:type="paragraph" w:styleId="List2">
    <w:name w:val="List 2"/>
    <w:basedOn w:val="Normal"/>
    <w:rsid w:val="00C041EE"/>
    <w:pPr>
      <w:ind w:left="566" w:hanging="283"/>
    </w:pPr>
  </w:style>
  <w:style w:type="paragraph" w:styleId="List3">
    <w:name w:val="List 3"/>
    <w:basedOn w:val="Normal"/>
    <w:rsid w:val="00C041EE"/>
    <w:pPr>
      <w:ind w:left="849" w:hanging="283"/>
    </w:pPr>
  </w:style>
  <w:style w:type="paragraph" w:styleId="List4">
    <w:name w:val="List 4"/>
    <w:basedOn w:val="Normal"/>
    <w:rsid w:val="00C041EE"/>
    <w:pPr>
      <w:ind w:left="1132" w:hanging="283"/>
    </w:pPr>
  </w:style>
  <w:style w:type="paragraph" w:styleId="List5">
    <w:name w:val="List 5"/>
    <w:basedOn w:val="Normal"/>
    <w:rsid w:val="00C041EE"/>
    <w:pPr>
      <w:ind w:left="1415" w:hanging="283"/>
    </w:pPr>
  </w:style>
  <w:style w:type="paragraph" w:styleId="ListBullet2">
    <w:name w:val="List Bullet 2"/>
    <w:basedOn w:val="Normal"/>
    <w:rsid w:val="00C041EE"/>
    <w:pPr>
      <w:tabs>
        <w:tab w:val="num" w:pos="643"/>
      </w:tabs>
      <w:ind w:left="643" w:hanging="360"/>
    </w:pPr>
  </w:style>
  <w:style w:type="paragraph" w:styleId="ListBullet3">
    <w:name w:val="List Bullet 3"/>
    <w:basedOn w:val="Normal"/>
    <w:rsid w:val="00C041EE"/>
    <w:pPr>
      <w:tabs>
        <w:tab w:val="num" w:pos="926"/>
      </w:tabs>
      <w:ind w:left="926" w:hanging="360"/>
    </w:pPr>
  </w:style>
  <w:style w:type="paragraph" w:styleId="ListBullet4">
    <w:name w:val="List Bullet 4"/>
    <w:basedOn w:val="Normal"/>
    <w:rsid w:val="00C041EE"/>
    <w:pPr>
      <w:tabs>
        <w:tab w:val="num" w:pos="1209"/>
      </w:tabs>
      <w:ind w:left="1209" w:hanging="360"/>
    </w:pPr>
  </w:style>
  <w:style w:type="paragraph" w:styleId="ListBullet5">
    <w:name w:val="List Bullet 5"/>
    <w:basedOn w:val="Normal"/>
    <w:rsid w:val="00C041EE"/>
    <w:pPr>
      <w:tabs>
        <w:tab w:val="num" w:pos="1492"/>
      </w:tabs>
      <w:ind w:left="1492" w:hanging="360"/>
    </w:pPr>
  </w:style>
  <w:style w:type="paragraph" w:styleId="ListContinue2">
    <w:name w:val="List Continue 2"/>
    <w:basedOn w:val="Normal"/>
    <w:rsid w:val="00C041EE"/>
    <w:pPr>
      <w:spacing w:after="120"/>
      <w:ind w:left="566"/>
    </w:pPr>
  </w:style>
  <w:style w:type="paragraph" w:styleId="ListContinue3">
    <w:name w:val="List Continue 3"/>
    <w:basedOn w:val="Normal"/>
    <w:rsid w:val="00C041EE"/>
    <w:pPr>
      <w:spacing w:after="120"/>
      <w:ind w:left="849"/>
    </w:pPr>
  </w:style>
  <w:style w:type="paragraph" w:styleId="ListContinue4">
    <w:name w:val="List Continue 4"/>
    <w:basedOn w:val="Normal"/>
    <w:rsid w:val="00C041EE"/>
    <w:pPr>
      <w:spacing w:after="120"/>
      <w:ind w:left="1132"/>
    </w:pPr>
  </w:style>
  <w:style w:type="paragraph" w:styleId="ListContinue5">
    <w:name w:val="List Continue 5"/>
    <w:basedOn w:val="Normal"/>
    <w:rsid w:val="00C041EE"/>
    <w:pPr>
      <w:spacing w:after="120"/>
      <w:ind w:left="1415"/>
    </w:pPr>
  </w:style>
  <w:style w:type="paragraph" w:styleId="ListNumber">
    <w:name w:val="List Number"/>
    <w:basedOn w:val="Normal"/>
    <w:rsid w:val="00C041EE"/>
    <w:pPr>
      <w:tabs>
        <w:tab w:val="num" w:pos="360"/>
      </w:tabs>
      <w:ind w:left="360" w:hanging="360"/>
    </w:pPr>
  </w:style>
  <w:style w:type="paragraph" w:styleId="ListNumber2">
    <w:name w:val="List Number 2"/>
    <w:basedOn w:val="Normal"/>
    <w:rsid w:val="00C041EE"/>
    <w:pPr>
      <w:tabs>
        <w:tab w:val="num" w:pos="643"/>
      </w:tabs>
      <w:ind w:left="643" w:hanging="360"/>
    </w:pPr>
  </w:style>
  <w:style w:type="paragraph" w:styleId="ListNumber3">
    <w:name w:val="List Number 3"/>
    <w:basedOn w:val="Normal"/>
    <w:rsid w:val="00C041EE"/>
    <w:pPr>
      <w:tabs>
        <w:tab w:val="num" w:pos="360"/>
      </w:tabs>
      <w:ind w:left="360" w:hanging="360"/>
    </w:pPr>
  </w:style>
  <w:style w:type="paragraph" w:styleId="ListNumber4">
    <w:name w:val="List Number 4"/>
    <w:basedOn w:val="Normal"/>
    <w:rsid w:val="00C041EE"/>
    <w:pPr>
      <w:tabs>
        <w:tab w:val="num" w:pos="1209"/>
      </w:tabs>
      <w:ind w:left="1209" w:hanging="360"/>
    </w:pPr>
  </w:style>
  <w:style w:type="paragraph" w:styleId="ListNumber5">
    <w:name w:val="List Number 5"/>
    <w:basedOn w:val="Normal"/>
    <w:rsid w:val="00C041EE"/>
    <w:pPr>
      <w:tabs>
        <w:tab w:val="num" w:pos="1492"/>
      </w:tabs>
      <w:ind w:left="1492" w:hanging="360"/>
    </w:pPr>
  </w:style>
  <w:style w:type="paragraph" w:styleId="MessageHeader">
    <w:name w:val="Message Header"/>
    <w:basedOn w:val="Normal"/>
    <w:link w:val="MessageHeaderChar"/>
    <w:rsid w:val="00C04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C041EE"/>
    <w:rPr>
      <w:rFonts w:ascii="Arial" w:hAnsi="Arial" w:cs="Arial"/>
      <w:sz w:val="24"/>
      <w:szCs w:val="24"/>
      <w:shd w:val="pct20" w:color="auto" w:fill="auto"/>
      <w:lang w:val="en-GB" w:eastAsia="en-US"/>
    </w:rPr>
  </w:style>
  <w:style w:type="paragraph" w:styleId="NormalIndent">
    <w:name w:val="Normal Indent"/>
    <w:basedOn w:val="Normal"/>
    <w:rsid w:val="00C041EE"/>
    <w:pPr>
      <w:ind w:left="567"/>
    </w:pPr>
  </w:style>
  <w:style w:type="paragraph" w:styleId="NoteHeading">
    <w:name w:val="Note Heading"/>
    <w:basedOn w:val="Normal"/>
    <w:next w:val="Normal"/>
    <w:link w:val="NoteHeadingChar"/>
    <w:rsid w:val="00C041EE"/>
  </w:style>
  <w:style w:type="character" w:customStyle="1" w:styleId="NoteHeadingChar">
    <w:name w:val="Note Heading Char"/>
    <w:basedOn w:val="DefaultParagraphFont"/>
    <w:link w:val="NoteHeading"/>
    <w:rsid w:val="00C041EE"/>
    <w:rPr>
      <w:lang w:val="en-GB" w:eastAsia="en-US"/>
    </w:rPr>
  </w:style>
  <w:style w:type="paragraph" w:styleId="Salutation">
    <w:name w:val="Salutation"/>
    <w:basedOn w:val="Normal"/>
    <w:next w:val="Normal"/>
    <w:link w:val="SalutationChar"/>
    <w:rsid w:val="00C041EE"/>
  </w:style>
  <w:style w:type="character" w:customStyle="1" w:styleId="SalutationChar">
    <w:name w:val="Salutation Char"/>
    <w:basedOn w:val="DefaultParagraphFont"/>
    <w:link w:val="Salutation"/>
    <w:rsid w:val="00C041EE"/>
    <w:rPr>
      <w:lang w:val="en-GB" w:eastAsia="en-US"/>
    </w:rPr>
  </w:style>
  <w:style w:type="paragraph" w:styleId="Signature">
    <w:name w:val="Signature"/>
    <w:basedOn w:val="Normal"/>
    <w:link w:val="SignatureChar"/>
    <w:rsid w:val="00C041EE"/>
    <w:pPr>
      <w:ind w:left="4252"/>
    </w:pPr>
  </w:style>
  <w:style w:type="character" w:customStyle="1" w:styleId="SignatureChar">
    <w:name w:val="Signature Char"/>
    <w:basedOn w:val="DefaultParagraphFont"/>
    <w:link w:val="Signature"/>
    <w:rsid w:val="00C041EE"/>
    <w:rPr>
      <w:lang w:val="en-GB" w:eastAsia="en-US"/>
    </w:rPr>
  </w:style>
  <w:style w:type="character" w:styleId="Strong">
    <w:name w:val="Strong"/>
    <w:qFormat/>
    <w:rsid w:val="00C041EE"/>
    <w:rPr>
      <w:b/>
      <w:bCs/>
    </w:rPr>
  </w:style>
  <w:style w:type="paragraph" w:styleId="Subtitle">
    <w:name w:val="Subtitle"/>
    <w:basedOn w:val="Normal"/>
    <w:link w:val="SubtitleChar"/>
    <w:qFormat/>
    <w:rsid w:val="00C041E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041EE"/>
    <w:rPr>
      <w:rFonts w:ascii="Arial" w:hAnsi="Arial" w:cs="Arial"/>
      <w:sz w:val="24"/>
      <w:szCs w:val="24"/>
      <w:lang w:val="en-GB" w:eastAsia="en-US"/>
    </w:rPr>
  </w:style>
  <w:style w:type="table" w:styleId="Table3Deffects1">
    <w:name w:val="Table 3D effects 1"/>
    <w:basedOn w:val="TableNormal"/>
    <w:rsid w:val="00C041E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041E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041E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041E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041E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041E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041E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041E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041E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041E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041E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041E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041E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041E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041E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041E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041E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041E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041E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041E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041E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041E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041E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041E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041E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041E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041E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41E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41E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041E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041E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041E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041E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41EE"/>
    <w:rPr>
      <w:rFonts w:ascii="Arial" w:hAnsi="Arial" w:cs="Arial"/>
      <w:b/>
      <w:bCs/>
      <w:kern w:val="28"/>
      <w:sz w:val="32"/>
      <w:szCs w:val="32"/>
      <w:lang w:val="en-GB" w:eastAsia="en-US"/>
    </w:rPr>
  </w:style>
  <w:style w:type="paragraph" w:styleId="EnvelopeAddress">
    <w:name w:val="envelope address"/>
    <w:basedOn w:val="Normal"/>
    <w:rsid w:val="00C041EE"/>
    <w:pPr>
      <w:framePr w:w="7920" w:h="1980" w:hRule="exact" w:hSpace="180" w:wrap="auto" w:hAnchor="page" w:xAlign="center" w:yAlign="bottom"/>
      <w:ind w:left="2880"/>
    </w:pPr>
    <w:rPr>
      <w:rFonts w:ascii="Arial" w:hAnsi="Arial" w:cs="Arial"/>
      <w:sz w:val="24"/>
      <w:szCs w:val="24"/>
    </w:rPr>
  </w:style>
  <w:style w:type="character" w:customStyle="1" w:styleId="SingleTxtGChar1">
    <w:name w:val="_ Single Txt_G Char1"/>
    <w:locked/>
    <w:rsid w:val="00C041EE"/>
    <w:rPr>
      <w:rFonts w:cs="Times New Roman"/>
      <w:lang w:val="en-GB" w:eastAsia="en-US" w:bidi="ar-SA"/>
    </w:rPr>
  </w:style>
  <w:style w:type="paragraph" w:customStyle="1" w:styleId="CM3">
    <w:name w:val="CM3"/>
    <w:basedOn w:val="Normal"/>
    <w:next w:val="Normal"/>
    <w:uiPriority w:val="99"/>
    <w:rsid w:val="00C041EE"/>
    <w:pPr>
      <w:suppressAutoHyphens w:val="0"/>
      <w:autoSpaceDE w:val="0"/>
      <w:autoSpaceDN w:val="0"/>
      <w:adjustRightInd w:val="0"/>
      <w:spacing w:line="240" w:lineRule="auto"/>
    </w:pPr>
    <w:rPr>
      <w:rFonts w:ascii="EUAlbertina" w:hAnsi="EUAlbertina"/>
      <w:sz w:val="24"/>
      <w:szCs w:val="24"/>
      <w:lang w:val="de-DE" w:eastAsia="de-DE"/>
    </w:rPr>
  </w:style>
  <w:style w:type="table" w:customStyle="1" w:styleId="Grilledutableau1">
    <w:name w:val="Grille du tableau1"/>
    <w:basedOn w:val="TableNormal"/>
    <w:rsid w:val="00EC20E7"/>
    <w:pPr>
      <w:suppressAutoHyphens/>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
    <w:basedOn w:val="DefaultParagraphFont"/>
    <w:link w:val="Heading1"/>
    <w:rsid w:val="009808B1"/>
    <w:rPr>
      <w:lang w:val="en-GB" w:eastAsia="en-US"/>
    </w:rPr>
  </w:style>
  <w:style w:type="character" w:customStyle="1" w:styleId="Heading2Char">
    <w:name w:val="Heading 2 Char"/>
    <w:basedOn w:val="DefaultParagraphFont"/>
    <w:link w:val="Heading2"/>
    <w:rsid w:val="009808B1"/>
    <w:rPr>
      <w:lang w:val="en-GB" w:eastAsia="en-US"/>
    </w:rPr>
  </w:style>
  <w:style w:type="character" w:customStyle="1" w:styleId="Heading3Char">
    <w:name w:val="Heading 3 Char"/>
    <w:basedOn w:val="DefaultParagraphFont"/>
    <w:link w:val="Heading3"/>
    <w:rsid w:val="009808B1"/>
    <w:rPr>
      <w:lang w:val="en-GB" w:eastAsia="en-US"/>
    </w:rPr>
  </w:style>
  <w:style w:type="character" w:customStyle="1" w:styleId="Heading4Char">
    <w:name w:val="Heading 4 Char"/>
    <w:basedOn w:val="DefaultParagraphFont"/>
    <w:link w:val="Heading4"/>
    <w:rsid w:val="009808B1"/>
    <w:rPr>
      <w:lang w:val="en-GB" w:eastAsia="en-US"/>
    </w:rPr>
  </w:style>
  <w:style w:type="character" w:customStyle="1" w:styleId="Heading6Char">
    <w:name w:val="Heading 6 Char"/>
    <w:basedOn w:val="DefaultParagraphFont"/>
    <w:link w:val="Heading6"/>
    <w:rsid w:val="009808B1"/>
    <w:rPr>
      <w:lang w:val="en-GB" w:eastAsia="en-US"/>
    </w:rPr>
  </w:style>
  <w:style w:type="character" w:customStyle="1" w:styleId="Heading7Char">
    <w:name w:val="Heading 7 Char"/>
    <w:basedOn w:val="DefaultParagraphFont"/>
    <w:link w:val="Heading7"/>
    <w:rsid w:val="009808B1"/>
    <w:rPr>
      <w:lang w:val="en-GB" w:eastAsia="en-US"/>
    </w:rPr>
  </w:style>
  <w:style w:type="character" w:customStyle="1" w:styleId="Heading8Char">
    <w:name w:val="Heading 8 Char"/>
    <w:basedOn w:val="DefaultParagraphFont"/>
    <w:link w:val="Heading8"/>
    <w:rsid w:val="009808B1"/>
    <w:rPr>
      <w:lang w:val="en-GB" w:eastAsia="en-US"/>
    </w:rPr>
  </w:style>
  <w:style w:type="character" w:customStyle="1" w:styleId="Heading9Char">
    <w:name w:val="Heading 9 Char"/>
    <w:basedOn w:val="DefaultParagraphFont"/>
    <w:link w:val="Heading9"/>
    <w:rsid w:val="009808B1"/>
    <w:rPr>
      <w:lang w:val="en-GB" w:eastAsia="en-US"/>
    </w:rPr>
  </w:style>
  <w:style w:type="numbering" w:customStyle="1" w:styleId="NoList1">
    <w:name w:val="No List1"/>
    <w:next w:val="NoList"/>
    <w:semiHidden/>
    <w:rsid w:val="009808B1"/>
  </w:style>
  <w:style w:type="character" w:customStyle="1" w:styleId="EndnoteTextChar">
    <w:name w:val="Endnote Text Char"/>
    <w:aliases w:val="2_G Char"/>
    <w:basedOn w:val="DefaultParagraphFont"/>
    <w:link w:val="EndnoteText"/>
    <w:rsid w:val="009808B1"/>
    <w:rPr>
      <w:sz w:val="18"/>
      <w:lang w:val="en-GB" w:eastAsia="en-US"/>
    </w:rPr>
  </w:style>
  <w:style w:type="paragraph" w:customStyle="1" w:styleId="a1">
    <w:name w:val="Содержимое таблицы"/>
    <w:basedOn w:val="BodyText"/>
    <w:rsid w:val="009808B1"/>
    <w:pPr>
      <w:suppressLineNumbers/>
      <w:suppressAutoHyphens/>
      <w:spacing w:after="120"/>
    </w:pPr>
    <w:rPr>
      <w:sz w:val="24"/>
      <w:lang w:val="ru-RU" w:eastAsia="ar-SA"/>
    </w:rPr>
  </w:style>
  <w:style w:type="character" w:customStyle="1" w:styleId="WW8Num2z0">
    <w:name w:val="WW8Num2z0"/>
    <w:rsid w:val="009808B1"/>
    <w:rPr>
      <w:rFonts w:ascii="Symbol" w:hAnsi="Symbol"/>
    </w:rPr>
  </w:style>
  <w:style w:type="character" w:customStyle="1" w:styleId="H56GChar">
    <w:name w:val="_ H_5/6_G Char"/>
    <w:link w:val="H56G"/>
    <w:rsid w:val="009808B1"/>
    <w:rPr>
      <w:lang w:val="en-GB" w:eastAsia="en-US"/>
    </w:rPr>
  </w:style>
  <w:style w:type="paragraph" w:customStyle="1" w:styleId="CM1">
    <w:name w:val="CM1"/>
    <w:basedOn w:val="Default"/>
    <w:next w:val="Default"/>
    <w:uiPriority w:val="99"/>
    <w:rsid w:val="009808B1"/>
    <w:pPr>
      <w:widowControl/>
    </w:pPr>
    <w:rPr>
      <w:rFonts w:ascii="EUAlbertina" w:eastAsia="Times New Roman" w:hAnsi="EUAlbertina"/>
      <w:color w:val="auto"/>
      <w:lang w:val="de-DE" w:eastAsia="de-DE"/>
    </w:rPr>
  </w:style>
  <w:style w:type="table" w:customStyle="1" w:styleId="TableGrid10">
    <w:name w:val="Table Grid1"/>
    <w:basedOn w:val="TableNormal"/>
    <w:next w:val="TableGrid"/>
    <w:semiHidden/>
    <w:rsid w:val="009808B1"/>
    <w:pPr>
      <w:suppressAutoHyphens/>
      <w:spacing w:line="240" w:lineRule="atLeast"/>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rsid w:val="009808B1"/>
    <w:rPr>
      <w:b/>
      <w:lang w:val="en-GB" w:eastAsia="en-US"/>
    </w:rPr>
  </w:style>
  <w:style w:type="character" w:customStyle="1" w:styleId="CharChar4">
    <w:name w:val="Char Char4"/>
    <w:semiHidden/>
    <w:rsid w:val="009808B1"/>
    <w:rPr>
      <w:sz w:val="18"/>
      <w:lang w:val="en-GB" w:eastAsia="en-US" w:bidi="ar-SA"/>
    </w:rPr>
  </w:style>
  <w:style w:type="paragraph" w:customStyle="1" w:styleId="tablefootnote">
    <w:name w:val="table footnote"/>
    <w:basedOn w:val="SingleTxtG"/>
    <w:qFormat/>
    <w:rsid w:val="009808B1"/>
    <w:pPr>
      <w:spacing w:after="0" w:line="220" w:lineRule="exact"/>
      <w:ind w:firstLine="17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02A17-D784-4D7D-8A07-1A2A16B3615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8D05E8EC-E3CE-4BE6-AFE7-66317884A584}">
  <ds:schemaRefs>
    <ds:schemaRef ds:uri="http://schemas.openxmlformats.org/officeDocument/2006/bibliography"/>
  </ds:schemaRefs>
</ds:datastoreItem>
</file>

<file path=customXml/itemProps3.xml><?xml version="1.0" encoding="utf-8"?>
<ds:datastoreItem xmlns:ds="http://schemas.openxmlformats.org/officeDocument/2006/customXml" ds:itemID="{3DAE5B11-4A0F-43C5-9EE3-035FDAC63F6C}">
  <ds:schemaRefs>
    <ds:schemaRef ds:uri="http://schemas.microsoft.com/sharepoint/v3/contenttype/forms"/>
  </ds:schemaRefs>
</ds:datastoreItem>
</file>

<file path=customXml/itemProps4.xml><?xml version="1.0" encoding="utf-8"?>
<ds:datastoreItem xmlns:ds="http://schemas.openxmlformats.org/officeDocument/2006/customXml" ds:itemID="{1E879907-8EDF-4DD9-9AD7-D30D77935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1</TotalTime>
  <Pages>5</Pages>
  <Words>1000</Words>
  <Characters>5702</Characters>
  <Application>Microsoft Office Word</Application>
  <DocSecurity>0</DocSecurity>
  <Lines>47</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6689</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2010/38--</dc:creator>
  <cp:keywords/>
  <dc:description/>
  <cp:lastModifiedBy>Editorial ND</cp:lastModifiedBy>
  <cp:revision>4</cp:revision>
  <cp:lastPrinted>2019-11-25T07:37:00Z</cp:lastPrinted>
  <dcterms:created xsi:type="dcterms:W3CDTF">2024-02-29T10:21:00Z</dcterms:created>
  <dcterms:modified xsi:type="dcterms:W3CDTF">2024-02-29T10:22:00Z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2443800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