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0132E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09AA89" w14:textId="77777777" w:rsidR="002D5AAC" w:rsidRDefault="002D5AAC" w:rsidP="001B30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DFEAD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400B5F" w14:textId="23E548C1" w:rsidR="002D5AAC" w:rsidRDefault="001B3014" w:rsidP="001B3014">
            <w:pPr>
              <w:jc w:val="right"/>
            </w:pPr>
            <w:r w:rsidRPr="001B3014">
              <w:rPr>
                <w:sz w:val="40"/>
              </w:rPr>
              <w:t>ECE</w:t>
            </w:r>
            <w:r>
              <w:t>/TRANS/WP.29/GRE/2024/9</w:t>
            </w:r>
          </w:p>
        </w:tc>
      </w:tr>
      <w:tr w:rsidR="002D5AAC" w:rsidRPr="00710320" w14:paraId="5B6E8C5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0A345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BC92B0" wp14:editId="0B541C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879D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521C88" w14:textId="77777777" w:rsidR="001B3014" w:rsidRPr="001B3014" w:rsidRDefault="001B3014" w:rsidP="001B3014">
            <w:pPr>
              <w:spacing w:before="240" w:line="240" w:lineRule="exact"/>
              <w:rPr>
                <w:lang w:val="en-US"/>
              </w:rPr>
            </w:pPr>
            <w:r w:rsidRPr="001B3014">
              <w:rPr>
                <w:lang w:val="en-US"/>
              </w:rPr>
              <w:t>Distr.: General</w:t>
            </w:r>
          </w:p>
          <w:p w14:paraId="431D6333" w14:textId="77777777" w:rsidR="001B3014" w:rsidRPr="001B3014" w:rsidRDefault="001B3014" w:rsidP="001B3014">
            <w:pPr>
              <w:spacing w:line="240" w:lineRule="exact"/>
              <w:rPr>
                <w:lang w:val="en-US"/>
              </w:rPr>
            </w:pPr>
            <w:r w:rsidRPr="001B3014">
              <w:rPr>
                <w:lang w:val="en-US"/>
              </w:rPr>
              <w:t>13 February 2024</w:t>
            </w:r>
          </w:p>
          <w:p w14:paraId="5973748A" w14:textId="74D909F2" w:rsidR="001B3014" w:rsidRPr="008B2889" w:rsidRDefault="001B3014" w:rsidP="001B3014">
            <w:pPr>
              <w:spacing w:line="240" w:lineRule="exact"/>
              <w:rPr>
                <w:lang w:val="en-US"/>
              </w:rPr>
            </w:pPr>
            <w:r w:rsidRPr="008B2889">
              <w:rPr>
                <w:lang w:val="en-US"/>
              </w:rPr>
              <w:t>Russian</w:t>
            </w:r>
          </w:p>
          <w:p w14:paraId="1EC3DFD4" w14:textId="3D4ACA3E" w:rsidR="001B3014" w:rsidRPr="001B3014" w:rsidRDefault="001B3014" w:rsidP="001B3014">
            <w:pPr>
              <w:spacing w:line="240" w:lineRule="exact"/>
              <w:rPr>
                <w:lang w:val="en-US"/>
              </w:rPr>
            </w:pPr>
            <w:r w:rsidRPr="001B3014">
              <w:rPr>
                <w:lang w:val="en-US"/>
              </w:rPr>
              <w:t>Original: English</w:t>
            </w:r>
          </w:p>
        </w:tc>
      </w:tr>
    </w:tbl>
    <w:p w14:paraId="3B0B25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37532C" w14:textId="77777777" w:rsidR="001B3014" w:rsidRPr="00D937C9" w:rsidRDefault="001B3014" w:rsidP="001B3014">
      <w:pPr>
        <w:spacing w:before="120"/>
        <w:rPr>
          <w:sz w:val="28"/>
          <w:szCs w:val="28"/>
        </w:rPr>
      </w:pPr>
      <w:r w:rsidRPr="002519DC">
        <w:rPr>
          <w:sz w:val="28"/>
          <w:szCs w:val="28"/>
        </w:rPr>
        <w:t>Комитет по внутреннему транспорту</w:t>
      </w:r>
    </w:p>
    <w:p w14:paraId="5E7E9C32" w14:textId="2FDF81AE" w:rsidR="001B3014" w:rsidRPr="00D937C9" w:rsidRDefault="001B3014" w:rsidP="001B3014">
      <w:pPr>
        <w:spacing w:before="120"/>
        <w:rPr>
          <w:b/>
          <w:bCs/>
          <w:sz w:val="24"/>
          <w:szCs w:val="24"/>
        </w:rPr>
      </w:pPr>
      <w:r w:rsidRPr="002519D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80489">
        <w:rPr>
          <w:b/>
          <w:bCs/>
          <w:sz w:val="24"/>
          <w:szCs w:val="24"/>
        </w:rPr>
        <w:br/>
      </w:r>
      <w:r w:rsidRPr="002519DC">
        <w:rPr>
          <w:b/>
          <w:bCs/>
          <w:sz w:val="24"/>
          <w:szCs w:val="24"/>
        </w:rPr>
        <w:t>в области транспортных средств</w:t>
      </w:r>
    </w:p>
    <w:p w14:paraId="3A3B0281" w14:textId="2C7EAE41" w:rsidR="001B3014" w:rsidRPr="00D937C9" w:rsidRDefault="001B3014" w:rsidP="001B3014">
      <w:pPr>
        <w:spacing w:before="120" w:after="120"/>
        <w:rPr>
          <w:b/>
          <w:bCs/>
        </w:rPr>
      </w:pPr>
      <w:r w:rsidRPr="002519DC">
        <w:rPr>
          <w:b/>
          <w:bCs/>
        </w:rPr>
        <w:t xml:space="preserve">Рабочая группа по вопросам освещения </w:t>
      </w:r>
      <w:r w:rsidR="00C80489">
        <w:rPr>
          <w:b/>
          <w:bCs/>
        </w:rPr>
        <w:br/>
      </w:r>
      <w:r w:rsidRPr="002519DC">
        <w:rPr>
          <w:b/>
          <w:bCs/>
        </w:rPr>
        <w:t>и световой сигнализации</w:t>
      </w:r>
    </w:p>
    <w:p w14:paraId="04DBEEA0" w14:textId="77777777" w:rsidR="001B3014" w:rsidRPr="00D937C9" w:rsidRDefault="001B3014" w:rsidP="001B3014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045E28DA" w14:textId="77777777" w:rsidR="001B3014" w:rsidRPr="00D937C9" w:rsidRDefault="001B3014" w:rsidP="001B3014">
      <w:pPr>
        <w:ind w:right="1134"/>
      </w:pPr>
      <w:r>
        <w:t>Женева, 29 апреля — 3 мая 2024 года</w:t>
      </w:r>
    </w:p>
    <w:p w14:paraId="2B51D391" w14:textId="77777777" w:rsidR="001B3014" w:rsidRPr="00D937C9" w:rsidRDefault="001B3014" w:rsidP="001B3014">
      <w:pPr>
        <w:ind w:right="1134"/>
        <w:rPr>
          <w:bCs/>
        </w:rPr>
      </w:pPr>
      <w:r>
        <w:t>Пункт 6 b) предварительной повестки дня</w:t>
      </w:r>
    </w:p>
    <w:p w14:paraId="7D2E2722" w14:textId="4EF9154D" w:rsidR="001B3014" w:rsidRPr="00D937C9" w:rsidRDefault="001B3014" w:rsidP="001B3014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установки: </w:t>
      </w:r>
      <w:r w:rsidR="008B2889">
        <w:rPr>
          <w:b/>
          <w:bCs/>
        </w:rPr>
        <w:br/>
      </w:r>
      <w:r>
        <w:rPr>
          <w:b/>
          <w:bCs/>
        </w:rPr>
        <w:t xml:space="preserve">Правила № 74 ООН (установка устройств </w:t>
      </w:r>
      <w:r w:rsidR="008B2889">
        <w:rPr>
          <w:b/>
          <w:bCs/>
        </w:rPr>
        <w:br/>
      </w:r>
      <w:r>
        <w:rPr>
          <w:b/>
          <w:bCs/>
        </w:rPr>
        <w:t>освещения и световой сигнализации для мопедов)</w:t>
      </w:r>
    </w:p>
    <w:p w14:paraId="11BD3968" w14:textId="1FA01AA1" w:rsidR="001B3014" w:rsidRPr="00D937C9" w:rsidRDefault="001B3014" w:rsidP="001B3014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к поправкам серии 03 </w:t>
      </w:r>
      <w:r w:rsidR="00C80489">
        <w:rPr>
          <w:bCs/>
        </w:rPr>
        <w:br/>
      </w:r>
      <w:r>
        <w:rPr>
          <w:bCs/>
        </w:rPr>
        <w:t xml:space="preserve">к Правилам № 74 ООН и к поправкам серии 01 </w:t>
      </w:r>
      <w:r w:rsidR="00C80489">
        <w:rPr>
          <w:bCs/>
        </w:rPr>
        <w:br/>
      </w:r>
      <w:r>
        <w:rPr>
          <w:bCs/>
        </w:rPr>
        <w:t>к Правилам № 148 ООН</w:t>
      </w:r>
    </w:p>
    <w:p w14:paraId="23500DD8" w14:textId="77777777" w:rsidR="001B3014" w:rsidRPr="00D937C9" w:rsidRDefault="001B3014" w:rsidP="001B301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Германии</w:t>
      </w:r>
      <w:r w:rsidRPr="00C80489">
        <w:rPr>
          <w:b w:val="0"/>
          <w:bCs/>
          <w:sz w:val="20"/>
          <w:szCs w:val="16"/>
        </w:rPr>
        <w:t>*</w:t>
      </w:r>
    </w:p>
    <w:p w14:paraId="102953F6" w14:textId="77777777" w:rsidR="00C80489" w:rsidRDefault="001B3014" w:rsidP="00C80489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Германии.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64AB685" w14:textId="77777777" w:rsidR="00C80489" w:rsidRDefault="00C8048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4CDF1F4" w14:textId="28D17778" w:rsidR="001B3014" w:rsidRPr="00D937C9" w:rsidRDefault="001B3014" w:rsidP="00C80489">
      <w:pPr>
        <w:pStyle w:val="HChG"/>
      </w:pPr>
      <w:r>
        <w:lastRenderedPageBreak/>
        <w:tab/>
        <w:t>I.</w:t>
      </w:r>
      <w:r>
        <w:tab/>
        <w:t xml:space="preserve">Предложение по дополнению к поправкам серии 03 </w:t>
      </w:r>
      <w:r w:rsidR="00C80489">
        <w:br/>
      </w:r>
      <w:r>
        <w:t>к Правилам № 74 ООН</w:t>
      </w:r>
    </w:p>
    <w:p w14:paraId="5BC7ED10" w14:textId="77777777" w:rsidR="001B3014" w:rsidRPr="00D937C9" w:rsidRDefault="001B3014" w:rsidP="001B3014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>
        <w:rPr>
          <w:i/>
          <w:iCs/>
        </w:rPr>
        <w:t>Пункт 6.8.2</w:t>
      </w:r>
      <w:r>
        <w:t xml:space="preserve"> изменить следующим образом:</w:t>
      </w:r>
    </w:p>
    <w:p w14:paraId="1FDE6D56" w14:textId="77777777" w:rsidR="001B3014" w:rsidRPr="00D937C9" w:rsidRDefault="001B3014" w:rsidP="001B3014">
      <w:pPr>
        <w:spacing w:after="120"/>
        <w:ind w:left="2268" w:right="1134" w:hanging="1134"/>
        <w:jc w:val="both"/>
      </w:pPr>
      <w:r>
        <w:t>«6.8.2</w:t>
      </w:r>
      <w:r>
        <w:tab/>
        <w:t>Схема монтажа</w:t>
      </w:r>
    </w:p>
    <w:p w14:paraId="33152CA6" w14:textId="001E4815" w:rsidR="001B3014" w:rsidRPr="00D937C9" w:rsidRDefault="001B3014" w:rsidP="001B3014">
      <w:pPr>
        <w:spacing w:after="120"/>
        <w:ind w:left="2268" w:right="1134"/>
        <w:jc w:val="both"/>
        <w:rPr>
          <w:b/>
          <w:bCs/>
          <w:strike/>
        </w:rPr>
      </w:pPr>
      <w:r>
        <w:t xml:space="preserve">Два передних указателя поворота, официально утвержденные по типу конструкции в качестве категории 1, 1a или 1b в соответствии с поправками серии 01 или последующих серий к Правилам № 6 ООН либо серии 00 или последующих серий к Правилам № 148 ООН; или </w:t>
      </w:r>
      <w:r w:rsidR="00C80489">
        <w:br/>
      </w:r>
      <w:r>
        <w:t>категории 11, 11а, 11b или 11c в соответствии с поправками серии 00 либо последующих серий к правилам № 50 или 148 ООН.</w:t>
      </w:r>
    </w:p>
    <w:p w14:paraId="4E5E9CD1" w14:textId="06E0FB88" w:rsidR="001B3014" w:rsidRPr="00D937C9" w:rsidRDefault="001B3014" w:rsidP="001B3014">
      <w:pPr>
        <w:spacing w:after="120"/>
        <w:ind w:left="2268" w:right="1134"/>
        <w:jc w:val="both"/>
      </w:pPr>
      <w:r>
        <w:t xml:space="preserve">Два задних указателя поворота, официально утвержденные по типу конструкции в качестве категории 2 в соответствии с поправками </w:t>
      </w:r>
      <w:r w:rsidR="00C80489">
        <w:br/>
      </w:r>
      <w:r>
        <w:t>серии 01 или последующих серий к Правилам № 6 ООН либо серии 00 или последующих серий к Правилам № 148 ООН; или категории 12 в соответствии с поправками серии 00 либо последующих серий к правилам № 50 или 148 ООН.</w:t>
      </w:r>
    </w:p>
    <w:p w14:paraId="1EB2E6D4" w14:textId="77777777" w:rsidR="001B3014" w:rsidRPr="00D937C9" w:rsidRDefault="001B3014" w:rsidP="001B3014">
      <w:pPr>
        <w:spacing w:after="120"/>
        <w:ind w:left="2268" w:right="1134"/>
        <w:jc w:val="both"/>
      </w:pPr>
      <w:r>
        <w:rPr>
          <w:b/>
          <w:bCs/>
        </w:rPr>
        <w:t>Два факультативных передних указателя поворота категории 11 и два факультативных задних указателя поворота категории 12 в соответствии с поправками серии 01 или последующих серий к Правилам № 148 ООН</w:t>
      </w:r>
      <w:r>
        <w:t>».</w:t>
      </w:r>
    </w:p>
    <w:p w14:paraId="504E11E1" w14:textId="77777777" w:rsidR="001B3014" w:rsidRPr="00D937C9" w:rsidRDefault="001B3014" w:rsidP="001B3014">
      <w:pPr>
        <w:pStyle w:val="SingleTxtG"/>
        <w:ind w:left="2268" w:hanging="1134"/>
      </w:pPr>
      <w:r>
        <w:rPr>
          <w:i/>
          <w:iCs/>
        </w:rPr>
        <w:t>Пункт 6.8.3.3</w:t>
      </w:r>
      <w:r>
        <w:t xml:space="preserve"> изменить следующим образом:</w:t>
      </w:r>
    </w:p>
    <w:p w14:paraId="5E10CDC9" w14:textId="77777777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>
        <w:t>«6.8.3.3</w:t>
      </w:r>
      <w:r>
        <w:tab/>
        <w:t xml:space="preserve">по длине: расстояние между исходным центром задних указателей поворота и поперечной плоскостью, проходящей через заднюю габаритную точку транспортного средства, не должно превышать 300 мм. </w:t>
      </w:r>
      <w:r>
        <w:rPr>
          <w:b/>
          <w:bCs/>
        </w:rPr>
        <w:t>Это условие не применяют к факультативным задним указателям поворота</w:t>
      </w:r>
      <w:r>
        <w:t>».</w:t>
      </w:r>
    </w:p>
    <w:p w14:paraId="45B38B2F" w14:textId="77777777" w:rsidR="001B3014" w:rsidRPr="00D937C9" w:rsidRDefault="001B3014" w:rsidP="001B3014">
      <w:pPr>
        <w:pStyle w:val="SingleTxtG"/>
        <w:ind w:left="2268" w:hanging="1134"/>
      </w:pPr>
      <w:r>
        <w:rPr>
          <w:i/>
          <w:iCs/>
        </w:rPr>
        <w:t>Пункт 6.8.5</w:t>
      </w:r>
      <w:r>
        <w:t xml:space="preserve"> изменить следующим образом:</w:t>
      </w:r>
    </w:p>
    <w:p w14:paraId="13EF6AE2" w14:textId="24BFFF88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>
        <w:t>«6.8.5</w:t>
      </w:r>
      <w:r>
        <w:tab/>
      </w:r>
      <w:r w:rsidR="00C80489">
        <w:tab/>
      </w:r>
      <w:r>
        <w:t>Направление</w:t>
      </w:r>
    </w:p>
    <w:p w14:paraId="62E42DA7" w14:textId="74BADD32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>
        <w:tab/>
      </w:r>
      <w:r w:rsidR="00C80489">
        <w:tab/>
      </w:r>
      <w:r>
        <w:t xml:space="preserve">Направление передних указателей поворота </w:t>
      </w:r>
      <w:r>
        <w:rPr>
          <w:b/>
          <w:bCs/>
        </w:rPr>
        <w:t xml:space="preserve">и факультативных задних указателей поворота </w:t>
      </w:r>
      <w:r>
        <w:t>может изменяться в зависимости от угла поворота руля».</w:t>
      </w:r>
    </w:p>
    <w:p w14:paraId="66B8396E" w14:textId="77777777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>
        <w:rPr>
          <w:i/>
          <w:iCs/>
        </w:rPr>
        <w:t>Включить новый пункт 6.8.8</w:t>
      </w:r>
      <w:r>
        <w:t xml:space="preserve"> следующего содержания:</w:t>
      </w:r>
    </w:p>
    <w:p w14:paraId="44802207" w14:textId="3FC4B8C1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 w:rsidRPr="00664AF0">
        <w:t>«</w:t>
      </w:r>
      <w:r>
        <w:rPr>
          <w:b/>
          <w:bCs/>
        </w:rPr>
        <w:t>6.8.8</w:t>
      </w:r>
      <w:r>
        <w:tab/>
      </w:r>
      <w:r w:rsidR="00C80489">
        <w:tab/>
      </w:r>
      <w:r>
        <w:rPr>
          <w:b/>
          <w:bCs/>
        </w:rPr>
        <w:t>Передний указатель поворота категории 11 может быть сгруппирован или комбинирован с факультативным задним указателем поворота категории 12</w:t>
      </w:r>
      <w:r w:rsidRPr="00DE4A16">
        <w:rPr>
          <w:b/>
          <w:bCs/>
          <w:vertAlign w:val="superscript"/>
        </w:rPr>
        <w:t>1</w:t>
      </w:r>
      <w:r>
        <w:t>».</w:t>
      </w:r>
    </w:p>
    <w:p w14:paraId="02A6440F" w14:textId="77777777" w:rsidR="001B3014" w:rsidRPr="00D937C9" w:rsidRDefault="001B3014" w:rsidP="001B3014">
      <w:pPr>
        <w:pStyle w:val="SingleTxtG"/>
        <w:ind w:left="2268" w:hanging="1134"/>
        <w:rPr>
          <w:iCs/>
          <w:kern w:val="2"/>
        </w:rPr>
      </w:pPr>
      <w:r>
        <w:rPr>
          <w:i/>
          <w:iCs/>
        </w:rPr>
        <w:t xml:space="preserve">Включить новую сноску </w:t>
      </w:r>
      <w:r>
        <w:t>следующего содержания:</w:t>
      </w:r>
    </w:p>
    <w:p w14:paraId="3F8D9AF0" w14:textId="77777777" w:rsidR="001B3014" w:rsidRPr="00D937C9" w:rsidRDefault="001B3014" w:rsidP="001B3014">
      <w:pPr>
        <w:pStyle w:val="SingleTxtG"/>
        <w:ind w:hanging="567"/>
        <w:rPr>
          <w:iCs/>
          <w:kern w:val="2"/>
        </w:rPr>
      </w:pPr>
      <w:r>
        <w:tab/>
      </w:r>
      <w:r w:rsidRPr="00C80489">
        <w:t>«</w:t>
      </w:r>
      <w:r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ab/>
      </w:r>
      <w:r>
        <w:rPr>
          <w:b/>
          <w:bCs/>
        </w:rPr>
        <w:t>Минимальное расстояние между исходными центрами факультативных задних указателей поворота, установленных на руле, должно быть не менее 550  мм</w:t>
      </w:r>
      <w:r w:rsidRPr="00C80489">
        <w:t>».</w:t>
      </w:r>
    </w:p>
    <w:p w14:paraId="367DB877" w14:textId="77777777" w:rsidR="001B3014" w:rsidRPr="00D937C9" w:rsidRDefault="001B3014" w:rsidP="001B3014">
      <w:pPr>
        <w:pStyle w:val="para"/>
        <w:rPr>
          <w:bCs/>
          <w:lang w:val="ru-RU"/>
        </w:rPr>
      </w:pPr>
      <w:r>
        <w:rPr>
          <w:i/>
          <w:iCs/>
          <w:lang w:val="ru-RU"/>
        </w:rPr>
        <w:t>Пункт 6.8.8 и его подпункты</w:t>
      </w:r>
      <w:r>
        <w:rPr>
          <w:lang w:val="ru-RU"/>
        </w:rPr>
        <w:t xml:space="preserve">, изменить нумерацию следующим образом: </w:t>
      </w:r>
    </w:p>
    <w:p w14:paraId="101A7E75" w14:textId="09A722B7" w:rsidR="001B3014" w:rsidRPr="00D937C9" w:rsidRDefault="00C80489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«</w:t>
      </w:r>
      <w:r w:rsidR="001B3014">
        <w:t>6.8.</w:t>
      </w:r>
      <w:r w:rsidR="001B3014">
        <w:rPr>
          <w:strike/>
        </w:rPr>
        <w:t>8</w:t>
      </w:r>
      <w:r w:rsidR="001B3014">
        <w:rPr>
          <w:b/>
          <w:bCs/>
        </w:rPr>
        <w:t>9</w:t>
      </w:r>
      <w:r w:rsidR="001B3014">
        <w:tab/>
      </w:r>
      <w:r w:rsidR="001B3014" w:rsidRPr="002519DC">
        <w:t>Функциональная электрическая схема</w:t>
      </w:r>
    </w:p>
    <w:p w14:paraId="6371FE15" w14:textId="77777777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ab/>
        <w:t>Указатели поворота должны включаться независимо от других огней. Все указатели поворота, расположенные на одной и той же стороне транспортного средства, должны включаться и выключаться одним и тем же приводом.</w:t>
      </w:r>
    </w:p>
    <w:p w14:paraId="272D5295" w14:textId="77777777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ab/>
      </w:r>
      <w:r w:rsidRPr="002519DC">
        <w:t xml:space="preserve">Прочие </w:t>
      </w:r>
      <w:r>
        <w:t>требов</w:t>
      </w:r>
      <w:r w:rsidRPr="002519DC">
        <w:t>ания</w:t>
      </w:r>
    </w:p>
    <w:p w14:paraId="10C5E7A3" w14:textId="77777777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ab/>
        <w:t>Указанные ниже характеристики должны измеряться лишь тогда, когда на электросистему воздействует только та нагрузка, которая необходима для функционирования двигателя и устройств освещения.</w:t>
      </w:r>
    </w:p>
    <w:p w14:paraId="135412F6" w14:textId="0DD23FFA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lastRenderedPageBreak/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.1</w:t>
      </w:r>
      <w:r>
        <w:tab/>
        <w:t xml:space="preserve">В случае всех транспортных средств, на которых к указателям поворота подается постоянный ток, частота мигания должна составлять </w:t>
      </w:r>
      <w:r w:rsidR="00C80489">
        <w:br/>
      </w:r>
      <w:r>
        <w:t>90 ± 30 периодов в минуту.</w:t>
      </w:r>
    </w:p>
    <w:p w14:paraId="1B682A6E" w14:textId="55ED1516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.1.1</w:t>
      </w:r>
      <w:r>
        <w:tab/>
        <w:t xml:space="preserve">Мигание указателей поворота, расположенных на одной и той же стороне транспортного средства, должно происходить либо синхронно, либо попеременно. </w:t>
      </w:r>
    </w:p>
    <w:p w14:paraId="0630873F" w14:textId="034EE0D6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.1.2</w:t>
      </w:r>
      <w:r>
        <w:tab/>
        <w:t>После включения органа управления этого светового сигнала включение огня должно произойти с задержкой максимум в одну секунду, а первое выключение огня — с задержкой максимум в полторы секунды.</w:t>
      </w:r>
    </w:p>
    <w:p w14:paraId="0EC121BB" w14:textId="04141E2E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.2</w:t>
      </w:r>
      <w:r>
        <w:tab/>
        <w:t>В случае транспортного средства, на котором к указателям поворота подается переменный ток, а также в том случае, когда частота вращения двигателя составляет 50–100 % от частоты вращения, соответствующей максимальной расчетной скорости транспортного средства, частота мигания должна составлять 90 ± 30 периодов в минуту.</w:t>
      </w:r>
    </w:p>
    <w:p w14:paraId="2237ABFF" w14:textId="12D6732D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.2.1</w:t>
      </w:r>
      <w:r>
        <w:tab/>
        <w:t xml:space="preserve">Мигание указателей поворота, расположенных на одной и той же стороне транспортного средства, должно происходить либо синхронно, либо попеременно. </w:t>
      </w:r>
    </w:p>
    <w:p w14:paraId="4CCE1DCB" w14:textId="480D531D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.2.2</w:t>
      </w:r>
      <w:r>
        <w:tab/>
        <w:t>После включения органа управления этого светового сигнала включение огня должно произойти с задержкой максимум в одну секунду, а первое выключение огня — с задержкой максимум в полторы секунды.</w:t>
      </w:r>
    </w:p>
    <w:p w14:paraId="1A59CB84" w14:textId="51DC82B2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 xml:space="preserve">6.8. </w:t>
      </w:r>
      <w:r>
        <w:rPr>
          <w:strike/>
        </w:rPr>
        <w:t>9</w:t>
      </w:r>
      <w:r>
        <w:rPr>
          <w:b/>
          <w:bCs/>
        </w:rPr>
        <w:t>10</w:t>
      </w:r>
      <w:r>
        <w:t>.3</w:t>
      </w:r>
      <w:r>
        <w:tab/>
        <w:t>В случае транспортного средства, на котором к указателям поворота подается переменный ток, а также в том случае, когда частота вращения двигателя находится в пределах между холостым ходом, указанным изготовителем, и 50</w:t>
      </w:r>
      <w:r w:rsidR="00C80489">
        <w:t> </w:t>
      </w:r>
      <w:r>
        <w:t xml:space="preserve">% от частоты вращения, соответствующей максимальной скорости транспортного средства, частота мигания должна составлять от 90 + 30 до 90 </w:t>
      </w:r>
      <w:r w:rsidR="008C3850" w:rsidRPr="008C3850">
        <w:t>-</w:t>
      </w:r>
      <w:r>
        <w:t xml:space="preserve"> 45 периодов в минуту.</w:t>
      </w:r>
    </w:p>
    <w:p w14:paraId="01E14778" w14:textId="423A5EF5" w:rsidR="001B3014" w:rsidRPr="00D937C9" w:rsidRDefault="001B3014" w:rsidP="001B3014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.3.1</w:t>
      </w:r>
      <w:r>
        <w:tab/>
        <w:t xml:space="preserve">Мигание указателей поворота, расположенных на одной и той же стороне транспортного средства, должно происходить либо синхронно, либо попеременно. </w:t>
      </w:r>
    </w:p>
    <w:p w14:paraId="3A7F8921" w14:textId="5459AFE0" w:rsidR="001B3014" w:rsidRPr="00D937C9" w:rsidRDefault="001B3014" w:rsidP="00460001">
      <w:pPr>
        <w:tabs>
          <w:tab w:val="left" w:pos="-1242"/>
          <w:tab w:val="left" w:pos="-720"/>
          <w:tab w:val="left" w:pos="2268"/>
        </w:tabs>
        <w:spacing w:after="120"/>
        <w:ind w:left="2268" w:right="1134" w:hanging="1134"/>
        <w:jc w:val="both"/>
      </w:pPr>
      <w:r>
        <w:t>6.8.</w:t>
      </w:r>
      <w:r>
        <w:rPr>
          <w:strike/>
        </w:rPr>
        <w:t>9</w:t>
      </w:r>
      <w:r>
        <w:rPr>
          <w:b/>
          <w:bCs/>
        </w:rPr>
        <w:t>10</w:t>
      </w:r>
      <w:r>
        <w:t>.3.2</w:t>
      </w:r>
      <w:r>
        <w:tab/>
        <w:t>После включения органа управления этого светового сигнала включение огня должно произойти с задержкой максимум в одну секунду, а первое выключение огня — с задержкой максимум в полторы секунды</w:t>
      </w:r>
      <w:r w:rsidR="00C80489">
        <w:t>»</w:t>
      </w:r>
      <w:r>
        <w:t>.</w:t>
      </w:r>
    </w:p>
    <w:p w14:paraId="49BC9C38" w14:textId="2978CF59" w:rsidR="001B3014" w:rsidRPr="00D937C9" w:rsidRDefault="001B3014" w:rsidP="00C80489">
      <w:pPr>
        <w:pStyle w:val="HChG"/>
      </w:pPr>
      <w:r>
        <w:tab/>
        <w:t>II.</w:t>
      </w:r>
      <w:r>
        <w:tab/>
        <w:t xml:space="preserve">Предложение по </w:t>
      </w:r>
      <w:r w:rsidRPr="00C80489">
        <w:t>дополнению</w:t>
      </w:r>
      <w:r>
        <w:t xml:space="preserve"> к поправкам серии 01 </w:t>
      </w:r>
      <w:r w:rsidR="00C80489">
        <w:br/>
      </w:r>
      <w:r>
        <w:t>к Правилам № 148 ООН</w:t>
      </w:r>
    </w:p>
    <w:p w14:paraId="63C1EA08" w14:textId="15F8E78B" w:rsidR="001B3014" w:rsidRPr="00D937C9" w:rsidRDefault="001B3014" w:rsidP="00C80489">
      <w:pPr>
        <w:pStyle w:val="SingleTxtG"/>
      </w:pPr>
      <w:r w:rsidRPr="00C80489">
        <w:rPr>
          <w:i/>
          <w:iCs/>
        </w:rPr>
        <w:t>Включить новый пункт 3.3.2.5.1.4</w:t>
      </w:r>
      <w:r>
        <w:t xml:space="preserve"> следующего содержания:</w:t>
      </w:r>
    </w:p>
    <w:p w14:paraId="1A7E4AFF" w14:textId="77777777" w:rsidR="001B3014" w:rsidRPr="00D937C9" w:rsidRDefault="001B3014" w:rsidP="00567BE9">
      <w:pPr>
        <w:spacing w:after="120"/>
        <w:ind w:left="2259" w:right="1134" w:hanging="1125"/>
        <w:jc w:val="both"/>
      </w:pPr>
      <w:r w:rsidRPr="00C80489">
        <w:t>«</w:t>
      </w:r>
      <w:r>
        <w:rPr>
          <w:b/>
          <w:bCs/>
        </w:rPr>
        <w:t>3.3.2.5.1.4</w:t>
      </w:r>
      <w:r>
        <w:tab/>
      </w:r>
      <w:r>
        <w:rPr>
          <w:b/>
          <w:bCs/>
        </w:rPr>
        <w:t xml:space="preserve">На указателях поворота категорий 11 и 12 между символами, предписанными в пункте 3.3.2.4, ставится знак «-», обозначающий, что указатели обеих категорий можно включать </w:t>
      </w:r>
      <w:r w:rsidRPr="00C80489">
        <w:rPr>
          <w:b/>
          <w:bCs/>
        </w:rPr>
        <w:t>одновременно</w:t>
      </w:r>
      <w:r w:rsidRPr="00C80489">
        <w:t>».</w:t>
      </w:r>
    </w:p>
    <w:p w14:paraId="7A0FE61C" w14:textId="77777777" w:rsidR="001B3014" w:rsidRPr="00D937C9" w:rsidRDefault="001B3014" w:rsidP="001B3014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4EFBB955" w14:textId="77777777" w:rsidR="001B3014" w:rsidRPr="00D937C9" w:rsidRDefault="001B3014" w:rsidP="001B3014">
      <w:pPr>
        <w:pStyle w:val="Bullet1G"/>
        <w:numPr>
          <w:ilvl w:val="0"/>
          <w:numId w:val="0"/>
        </w:numPr>
        <w:ind w:left="1134"/>
      </w:pPr>
      <w:r>
        <w:t>1.</w:t>
      </w:r>
      <w:r>
        <w:tab/>
        <w:t>Настоящее предложение по поправкам к Правилам № 74 ООН (установка устройств освещения и световой сигнализации для мопедов) представлено экспертом от Германии с целью разрешить официальное утверждения переднего и заднего указателей, которые можно включать одновременно.</w:t>
      </w:r>
    </w:p>
    <w:p w14:paraId="2A01C0C8" w14:textId="77777777" w:rsidR="001B3014" w:rsidRPr="00D937C9" w:rsidRDefault="001B3014" w:rsidP="001B3014">
      <w:pPr>
        <w:pStyle w:val="Bullet1G"/>
        <w:numPr>
          <w:ilvl w:val="0"/>
          <w:numId w:val="0"/>
        </w:numPr>
        <w:ind w:left="1134"/>
      </w:pPr>
      <w:r>
        <w:t>2.</w:t>
      </w:r>
      <w:r>
        <w:tab/>
        <w:t>По соображениям безопасности и в соответствии с поправками серии 02 к Правилам № 74 ООН Германия считает необходимым разрешить на национальном уровне установку на велосипедах (включая транспортные средства, максимальная расчетная скорость которых не превышает 25 км/ч) факультативных указателей поворота.</w:t>
      </w:r>
    </w:p>
    <w:p w14:paraId="204D7666" w14:textId="77777777" w:rsidR="001B3014" w:rsidRPr="00D937C9" w:rsidRDefault="001B3014" w:rsidP="001B3014">
      <w:pPr>
        <w:pStyle w:val="Bullet1G"/>
        <w:numPr>
          <w:ilvl w:val="0"/>
          <w:numId w:val="0"/>
        </w:numPr>
        <w:ind w:left="1134"/>
      </w:pPr>
      <w:r>
        <w:lastRenderedPageBreak/>
        <w:t>3.</w:t>
      </w:r>
      <w:r>
        <w:tab/>
        <w:t>В некоторых договаривающихся сторонах Соглашения 1958 года к категории L</w:t>
      </w:r>
      <w:r>
        <w:rPr>
          <w:vertAlign w:val="subscript"/>
        </w:rPr>
        <w:t>1</w:t>
      </w:r>
      <w:r>
        <w:t xml:space="preserve"> также относятся велосипеды со вспомогательным электроприводом. Ввиду общей конструкции таких транспортных средств задние указатели поворота трудно установить в их задней части. В то же время результаты полевых испытаний показали, что при нормальных условиях эксплуатации углы поворота таких транспортных средств составляют не более 3°. Поэтому при условии надлежащего учета аспектов безопасности дорожного движения представляется допустимым устанавливать факультативные задние указатели поворота на концах руля. В целях обеспечения геометрической видимости для такого типа установки станет обязательным соблюдение минимального расстояния в 550 мм между исходными центрами факультативных задних указателей поворота, установленных на руле. Таким образом можно обеспечить распознавание и видимость.</w:t>
      </w:r>
    </w:p>
    <w:p w14:paraId="56C3F44E" w14:textId="517794E7" w:rsidR="001B3014" w:rsidRPr="00D937C9" w:rsidRDefault="001B3014" w:rsidP="001B3014">
      <w:pPr>
        <w:pStyle w:val="Bullet1G"/>
        <w:numPr>
          <w:ilvl w:val="0"/>
          <w:numId w:val="0"/>
        </w:numPr>
        <w:ind w:left="1134"/>
      </w:pPr>
      <w:r>
        <w:t>4.</w:t>
      </w:r>
      <w:r>
        <w:tab/>
        <w:t xml:space="preserve">Согласно требованию, содержащемуся в пункте 6.8.3.3 Правил № 74 ООН, установка заднего указателя не допускается, если расстояние между исходным центром этого устройства и поперечной плоскостью, проходящей через заднюю габаритную точку транспортного средства, превышает 300 мм. В связи с этим требованием официальное утверждение устройства, состоящего из переднего и заднего указателей, которые можно включать одновременно, на основании </w:t>
      </w:r>
      <w:r w:rsidR="00C80489">
        <w:br/>
      </w:r>
      <w:r>
        <w:t>Правил № 148 ООН не допускается. По этой причине в рамках настоящего предложения требование пункта 6.8.3.3 не является обязательным для факультативных задних указателей поворота.</w:t>
      </w:r>
    </w:p>
    <w:p w14:paraId="36803897" w14:textId="25E45364" w:rsidR="001B3014" w:rsidRPr="00D937C9" w:rsidRDefault="001B3014" w:rsidP="001B3014">
      <w:pPr>
        <w:pStyle w:val="Bullet1G"/>
        <w:numPr>
          <w:ilvl w:val="0"/>
          <w:numId w:val="0"/>
        </w:numPr>
        <w:ind w:left="1134"/>
      </w:pPr>
      <w:r>
        <w:t>5.</w:t>
      </w:r>
      <w:r>
        <w:tab/>
        <w:t xml:space="preserve">Для того чтобы отличить устройство, которое соответствует требованиям к переднему указателю поворота категории 11 и заднему указателю поворота </w:t>
      </w:r>
      <w:r w:rsidR="00567BE9">
        <w:br/>
      </w:r>
      <w:r>
        <w:t>категории 12, но не включается одновременно, от устройства, которое можно включить одновременно, эксперт от Германии считает необходимым добавить новый символ «-</w:t>
      </w:r>
      <w:r w:rsidRPr="00C02B5E">
        <w:t>»</w:t>
      </w:r>
      <w:r>
        <w:t xml:space="preserve"> между символами, обозначающими функции устройства, и представить предложение по поправкам к Правилам № 148 ООН.</w:t>
      </w:r>
    </w:p>
    <w:p w14:paraId="7007D40A" w14:textId="77777777" w:rsidR="001B3014" w:rsidRPr="00D937C9" w:rsidRDefault="001B3014" w:rsidP="001B3014">
      <w:pPr>
        <w:spacing w:before="240"/>
        <w:jc w:val="center"/>
        <w:rPr>
          <w:rFonts w:asciiTheme="majorBidi" w:hAnsiTheme="majorBidi"/>
          <w:u w:val="single"/>
        </w:rPr>
      </w:pPr>
      <w:bookmarkStart w:id="0" w:name="_Hlk116054367"/>
      <w:r w:rsidRPr="00D937C9">
        <w:rPr>
          <w:rFonts w:asciiTheme="majorBidi" w:hAnsiTheme="majorBidi"/>
          <w:u w:val="single"/>
        </w:rPr>
        <w:tab/>
      </w:r>
      <w:r w:rsidRPr="00D937C9">
        <w:rPr>
          <w:rFonts w:asciiTheme="majorBidi" w:hAnsiTheme="majorBidi"/>
          <w:u w:val="single"/>
        </w:rPr>
        <w:tab/>
      </w:r>
      <w:r w:rsidRPr="00D937C9">
        <w:rPr>
          <w:rFonts w:asciiTheme="majorBidi" w:hAnsiTheme="majorBidi"/>
          <w:u w:val="single"/>
        </w:rPr>
        <w:tab/>
      </w:r>
      <w:bookmarkEnd w:id="0"/>
    </w:p>
    <w:p w14:paraId="1DE58DBF" w14:textId="77777777" w:rsidR="00E12C5F" w:rsidRPr="008D53B6" w:rsidRDefault="00E12C5F" w:rsidP="00D9145B"/>
    <w:sectPr w:rsidR="00E12C5F" w:rsidRPr="008D53B6" w:rsidSect="001B30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C5E7" w14:textId="77777777" w:rsidR="00FD506E" w:rsidRPr="00A312BC" w:rsidRDefault="00FD506E" w:rsidP="00A312BC"/>
  </w:endnote>
  <w:endnote w:type="continuationSeparator" w:id="0">
    <w:p w14:paraId="0AA4940F" w14:textId="77777777" w:rsidR="00FD506E" w:rsidRPr="00A312BC" w:rsidRDefault="00FD50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2E82" w14:textId="724594EA" w:rsidR="001B3014" w:rsidRPr="001B3014" w:rsidRDefault="001B3014">
    <w:pPr>
      <w:pStyle w:val="a8"/>
    </w:pPr>
    <w:r w:rsidRPr="001B3014">
      <w:rPr>
        <w:b/>
        <w:sz w:val="18"/>
      </w:rPr>
      <w:fldChar w:fldCharType="begin"/>
    </w:r>
    <w:r w:rsidRPr="001B3014">
      <w:rPr>
        <w:b/>
        <w:sz w:val="18"/>
      </w:rPr>
      <w:instrText xml:space="preserve"> PAGE  \* MERGEFORMAT </w:instrText>
    </w:r>
    <w:r w:rsidRPr="001B3014">
      <w:rPr>
        <w:b/>
        <w:sz w:val="18"/>
      </w:rPr>
      <w:fldChar w:fldCharType="separate"/>
    </w:r>
    <w:r w:rsidRPr="001B3014">
      <w:rPr>
        <w:b/>
        <w:noProof/>
        <w:sz w:val="18"/>
      </w:rPr>
      <w:t>2</w:t>
    </w:r>
    <w:r w:rsidRPr="001B3014">
      <w:rPr>
        <w:b/>
        <w:sz w:val="18"/>
      </w:rPr>
      <w:fldChar w:fldCharType="end"/>
    </w:r>
    <w:r>
      <w:rPr>
        <w:b/>
        <w:sz w:val="18"/>
      </w:rPr>
      <w:tab/>
    </w:r>
    <w:r>
      <w:t>GE.24-02669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F51" w14:textId="21702AEA" w:rsidR="001B3014" w:rsidRPr="001B3014" w:rsidRDefault="001B3014" w:rsidP="001B3014">
    <w:pPr>
      <w:pStyle w:val="a8"/>
      <w:tabs>
        <w:tab w:val="clear" w:pos="9639"/>
        <w:tab w:val="right" w:pos="9638"/>
      </w:tabs>
      <w:rPr>
        <w:b/>
        <w:sz w:val="18"/>
      </w:rPr>
    </w:pPr>
    <w:r>
      <w:t>GE.24-02669</w:t>
    </w:r>
    <w:r>
      <w:tab/>
    </w:r>
    <w:r w:rsidRPr="001B3014">
      <w:rPr>
        <w:b/>
        <w:sz w:val="18"/>
      </w:rPr>
      <w:fldChar w:fldCharType="begin"/>
    </w:r>
    <w:r w:rsidRPr="001B3014">
      <w:rPr>
        <w:b/>
        <w:sz w:val="18"/>
      </w:rPr>
      <w:instrText xml:space="preserve"> PAGE  \* MERGEFORMAT </w:instrText>
    </w:r>
    <w:r w:rsidRPr="001B3014">
      <w:rPr>
        <w:b/>
        <w:sz w:val="18"/>
      </w:rPr>
      <w:fldChar w:fldCharType="separate"/>
    </w:r>
    <w:r w:rsidRPr="001B3014">
      <w:rPr>
        <w:b/>
        <w:noProof/>
        <w:sz w:val="18"/>
      </w:rPr>
      <w:t>3</w:t>
    </w:r>
    <w:r w:rsidRPr="001B30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6A6" w14:textId="32304217" w:rsidR="00042B72" w:rsidRPr="001B3014" w:rsidRDefault="001B3014" w:rsidP="001B301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BB0D2F" wp14:editId="437A6E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24-02669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EB2F73" wp14:editId="1CA7C5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230224  270224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5A4E" w14:textId="77777777" w:rsidR="00FD506E" w:rsidRPr="001075E9" w:rsidRDefault="00FD50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2CB72E" w14:textId="77777777" w:rsidR="00FD506E" w:rsidRDefault="00FD50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5E8601" w14:textId="4CE5D963" w:rsidR="001B3014" w:rsidRPr="004876E3" w:rsidRDefault="001B3014" w:rsidP="001B3014">
      <w:pPr>
        <w:pStyle w:val="ad"/>
      </w:pPr>
      <w:r>
        <w:tab/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 w:rsidR="00C80489">
        <w:br/>
      </w:r>
      <w:r>
        <w:t xml:space="preserve">таблица 20.5), Всемирный форум будет разрабатывать, согласовывать и обновлять </w:t>
      </w:r>
      <w:r w:rsidR="00C80489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5097" w14:textId="70BF98AD" w:rsidR="001B3014" w:rsidRPr="001B3014" w:rsidRDefault="00B50B4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C1F4" w14:textId="1E16175B" w:rsidR="001B3014" w:rsidRPr="001B3014" w:rsidRDefault="00B50B4A" w:rsidP="001B301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01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001"/>
    <w:rsid w:val="00464BDC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7BE9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AF0"/>
    <w:rsid w:val="00680D03"/>
    <w:rsid w:val="00681A10"/>
    <w:rsid w:val="006A1ED8"/>
    <w:rsid w:val="006C2031"/>
    <w:rsid w:val="006D461A"/>
    <w:rsid w:val="006F35EE"/>
    <w:rsid w:val="007021FF"/>
    <w:rsid w:val="00710320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2889"/>
    <w:rsid w:val="008B6909"/>
    <w:rsid w:val="008C3850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0B4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489"/>
    <w:rsid w:val="00C805C9"/>
    <w:rsid w:val="00C92939"/>
    <w:rsid w:val="00CA1679"/>
    <w:rsid w:val="00CB151C"/>
    <w:rsid w:val="00CE5A1A"/>
    <w:rsid w:val="00CF312B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A16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D506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28A71"/>
  <w15:docId w15:val="{4933A64C-83B1-4318-927A-C33DDD6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1B301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1B3014"/>
    <w:rPr>
      <w:lang w:val="ru-RU" w:eastAsia="en-US"/>
    </w:rPr>
  </w:style>
  <w:style w:type="character" w:customStyle="1" w:styleId="HChGChar">
    <w:name w:val="_ H _Ch_G Char"/>
    <w:link w:val="HChG"/>
    <w:rsid w:val="001B3014"/>
    <w:rPr>
      <w:b/>
      <w:sz w:val="28"/>
      <w:lang w:val="ru-RU" w:eastAsia="ru-RU"/>
    </w:rPr>
  </w:style>
  <w:style w:type="character" w:customStyle="1" w:styleId="paraChar">
    <w:name w:val="para Char"/>
    <w:link w:val="para"/>
    <w:rsid w:val="001B3014"/>
    <w:rPr>
      <w:snapToGrid w:val="0"/>
      <w:lang w:val="fr-FR" w:eastAsia="en-US"/>
    </w:rPr>
  </w:style>
  <w:style w:type="character" w:customStyle="1" w:styleId="H1GChar">
    <w:name w:val="_ H_1_G Char"/>
    <w:link w:val="H1G"/>
    <w:rsid w:val="001B301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B89D4-2B75-4310-92E6-3E1A451DFFF6}"/>
</file>

<file path=customXml/itemProps2.xml><?xml version="1.0" encoding="utf-8"?>
<ds:datastoreItem xmlns:ds="http://schemas.openxmlformats.org/officeDocument/2006/customXml" ds:itemID="{FC66C1AF-2AC6-4727-ABBF-C5C8AC7ED9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1103</Words>
  <Characters>7110</Characters>
  <Application>Microsoft Office Word</Application>
  <DocSecurity>0</DocSecurity>
  <Lines>155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ECE/TRANS/WP.29/GRE/2024/9</vt:lpstr>
      <vt:lpstr>A/</vt:lpstr>
      <vt:lpstr>A/</vt:lpstr>
    </vt:vector>
  </TitlesOfParts>
  <Company>DCM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ECE/TRANS/WP.29/GRE/2024/9</dc:title>
  <dc:subject/>
  <dc:creator>Ekaterina SALYNSKAYA</dc:creator>
  <cp:keywords/>
  <cp:lastModifiedBy>Ekaterina Salynskaya</cp:lastModifiedBy>
  <cp:revision>3</cp:revision>
  <cp:lastPrinted>2024-02-27T12:36:00Z</cp:lastPrinted>
  <dcterms:created xsi:type="dcterms:W3CDTF">2024-02-27T12:36:00Z</dcterms:created>
  <dcterms:modified xsi:type="dcterms:W3CDTF">2024-02-27T12:37:00Z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