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4B79DC" w:rsidRPr="004B79DC"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4B79DC"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18A07547" w:rsidR="008B60F7" w:rsidRPr="004B79DC" w:rsidRDefault="008B60F7" w:rsidP="006050E5">
            <w:pPr>
              <w:jc w:val="right"/>
            </w:pPr>
            <w:r w:rsidRPr="004B79DC">
              <w:rPr>
                <w:sz w:val="40"/>
              </w:rPr>
              <w:t>E</w:t>
            </w:r>
            <w:r w:rsidRPr="004B79DC">
              <w:t>/ECE/324/</w:t>
            </w:r>
            <w:r w:rsidR="000E6FB0" w:rsidRPr="004B79DC">
              <w:t>Rev.1/</w:t>
            </w:r>
            <w:r w:rsidRPr="004B79DC">
              <w:t>Add.</w:t>
            </w:r>
            <w:r w:rsidR="00146F3E" w:rsidRPr="004B79DC">
              <w:t>82</w:t>
            </w:r>
            <w:r w:rsidRPr="004B79DC">
              <w:t>/</w:t>
            </w:r>
            <w:r w:rsidR="003F5657" w:rsidRPr="004B79DC">
              <w:t>Rev.</w:t>
            </w:r>
            <w:r w:rsidR="006050E5" w:rsidRPr="004B79DC">
              <w:t>4</w:t>
            </w:r>
            <w:r w:rsidR="003F5657" w:rsidRPr="004B79DC">
              <w:t>/</w:t>
            </w:r>
            <w:r w:rsidRPr="004B79DC">
              <w:t>Amend.</w:t>
            </w:r>
            <w:r w:rsidR="006050E5" w:rsidRPr="004B79DC">
              <w:t>1</w:t>
            </w:r>
            <w:r w:rsidR="00E42D54" w:rsidRPr="004B79DC">
              <w:t>9</w:t>
            </w:r>
            <w:r w:rsidRPr="004B79DC">
              <w:t>−</w:t>
            </w:r>
            <w:r w:rsidRPr="004B79DC">
              <w:rPr>
                <w:sz w:val="40"/>
              </w:rPr>
              <w:t>E</w:t>
            </w:r>
            <w:r w:rsidRPr="004B79DC">
              <w:t>/ECE/TRANS/505/</w:t>
            </w:r>
            <w:r w:rsidR="000E6FB0" w:rsidRPr="004B79DC">
              <w:t>Rev.1</w:t>
            </w:r>
            <w:r w:rsidR="003F5657" w:rsidRPr="004B79DC">
              <w:t>/Add.</w:t>
            </w:r>
            <w:r w:rsidR="008500BE" w:rsidRPr="004B79DC">
              <w:t>8</w:t>
            </w:r>
            <w:r w:rsidR="00146F3E" w:rsidRPr="004B79DC">
              <w:t>2</w:t>
            </w:r>
            <w:r w:rsidR="003F5657" w:rsidRPr="004B79DC">
              <w:t>/Rev.</w:t>
            </w:r>
            <w:r w:rsidR="006050E5" w:rsidRPr="004B79DC">
              <w:t>4</w:t>
            </w:r>
            <w:r w:rsidR="003F5657" w:rsidRPr="004B79DC">
              <w:t>/Amend.</w:t>
            </w:r>
            <w:r w:rsidR="006050E5" w:rsidRPr="004B79DC">
              <w:t>1</w:t>
            </w:r>
            <w:r w:rsidR="00E42D54" w:rsidRPr="004B79DC">
              <w:t>9</w:t>
            </w:r>
          </w:p>
        </w:tc>
      </w:tr>
      <w:tr w:rsidR="004B79DC" w:rsidRPr="004B79DC" w14:paraId="75E098F7" w14:textId="77777777" w:rsidTr="004B79DC">
        <w:trPr>
          <w:cantSplit/>
          <w:trHeight w:hRule="exact" w:val="1855"/>
        </w:trPr>
        <w:tc>
          <w:tcPr>
            <w:tcW w:w="1276" w:type="dxa"/>
            <w:tcBorders>
              <w:top w:val="single" w:sz="4" w:space="0" w:color="auto"/>
              <w:bottom w:val="single" w:sz="12" w:space="0" w:color="auto"/>
            </w:tcBorders>
          </w:tcPr>
          <w:p w14:paraId="78499250" w14:textId="77777777" w:rsidR="008B60F7" w:rsidRPr="004B79DC"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4B79DC"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4B79DC" w:rsidRDefault="008B60F7" w:rsidP="008B60F7">
            <w:pPr>
              <w:spacing w:before="120"/>
              <w:rPr>
                <w:highlight w:val="yellow"/>
              </w:rPr>
            </w:pPr>
          </w:p>
          <w:p w14:paraId="5F566627" w14:textId="77777777" w:rsidR="008B60F7" w:rsidRPr="004B79DC" w:rsidRDefault="008B60F7" w:rsidP="008B60F7">
            <w:pPr>
              <w:spacing w:before="120"/>
              <w:rPr>
                <w:highlight w:val="yellow"/>
              </w:rPr>
            </w:pPr>
          </w:p>
          <w:p w14:paraId="1099C328" w14:textId="2C4B98CE" w:rsidR="008B60F7" w:rsidRPr="004B79DC" w:rsidRDefault="00B348C5" w:rsidP="002B7397">
            <w:pPr>
              <w:spacing w:before="120"/>
              <w:rPr>
                <w:highlight w:val="yellow"/>
              </w:rPr>
            </w:pPr>
            <w:r>
              <w:t>13 Febr</w:t>
            </w:r>
            <w:r w:rsidR="00E42D54" w:rsidRPr="004B79DC">
              <w:t>uary 2024</w:t>
            </w:r>
          </w:p>
        </w:tc>
      </w:tr>
    </w:tbl>
    <w:p w14:paraId="445927DA" w14:textId="77777777" w:rsidR="008B60F7" w:rsidRPr="004B79DC" w:rsidRDefault="008B60F7" w:rsidP="008B60F7">
      <w:pPr>
        <w:pStyle w:val="HChG"/>
        <w:spacing w:before="240" w:after="120"/>
      </w:pPr>
      <w:r w:rsidRPr="004B79DC">
        <w:tab/>
      </w:r>
      <w:r w:rsidRPr="004B79DC">
        <w:tab/>
      </w:r>
      <w:bookmarkStart w:id="3" w:name="_Toc340666199"/>
      <w:bookmarkStart w:id="4" w:name="_Toc340745062"/>
      <w:r w:rsidRPr="004B79DC">
        <w:t>Agreement</w:t>
      </w:r>
      <w:bookmarkEnd w:id="3"/>
      <w:bookmarkEnd w:id="4"/>
    </w:p>
    <w:p w14:paraId="2B5AB43B" w14:textId="77777777" w:rsidR="008B60F7" w:rsidRPr="004B79DC" w:rsidRDefault="008B60F7" w:rsidP="008B60F7">
      <w:pPr>
        <w:pStyle w:val="H1G"/>
        <w:spacing w:before="240"/>
      </w:pPr>
      <w:r w:rsidRPr="004B79DC">
        <w:rPr>
          <w:rStyle w:val="H1GChar"/>
        </w:rPr>
        <w:tab/>
      </w:r>
      <w:r w:rsidRPr="004B79DC">
        <w:rPr>
          <w:rStyle w:val="H1GChar"/>
        </w:rPr>
        <w:tab/>
      </w:r>
      <w:r w:rsidRPr="004B79DC">
        <w:t>Concerning the</w:t>
      </w:r>
      <w:r w:rsidRPr="004B79DC">
        <w:rPr>
          <w:smallCaps/>
        </w:rPr>
        <w:t xml:space="preserve"> </w:t>
      </w:r>
      <w:r w:rsidRPr="004B79DC">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4B79DC">
        <w:rPr>
          <w:rStyle w:val="FootnoteReference"/>
          <w:b w:val="0"/>
          <w:sz w:val="20"/>
          <w:vertAlign w:val="baseline"/>
        </w:rPr>
        <w:footnoteReference w:customMarkFollows="1" w:id="2"/>
        <w:t>*</w:t>
      </w:r>
    </w:p>
    <w:p w14:paraId="51C113B3" w14:textId="77777777" w:rsidR="008B60F7" w:rsidRPr="004B79DC" w:rsidRDefault="008B60F7" w:rsidP="008B60F7">
      <w:pPr>
        <w:pStyle w:val="SingleTxtG"/>
        <w:spacing w:before="120"/>
      </w:pPr>
      <w:r w:rsidRPr="004B79DC">
        <w:t>(Revision 3, including the amendments which entered into force on 14 September 2017)</w:t>
      </w:r>
    </w:p>
    <w:p w14:paraId="771D92D0" w14:textId="77777777" w:rsidR="008B60F7" w:rsidRPr="004B79DC" w:rsidRDefault="008B60F7" w:rsidP="008B60F7">
      <w:pPr>
        <w:pStyle w:val="H1G"/>
        <w:spacing w:before="120"/>
        <w:ind w:left="0" w:right="0" w:firstLine="0"/>
        <w:jc w:val="center"/>
      </w:pPr>
      <w:r w:rsidRPr="004B79DC">
        <w:t>_________</w:t>
      </w:r>
    </w:p>
    <w:p w14:paraId="44963F22" w14:textId="28AA6765" w:rsidR="008B60F7" w:rsidRPr="004B79DC" w:rsidRDefault="008B60F7" w:rsidP="008B60F7">
      <w:pPr>
        <w:pStyle w:val="H1G"/>
        <w:spacing w:before="240" w:after="120"/>
      </w:pPr>
      <w:r w:rsidRPr="004B79DC">
        <w:tab/>
      </w:r>
      <w:r w:rsidRPr="004B79DC">
        <w:tab/>
        <w:t xml:space="preserve">Addendum </w:t>
      </w:r>
      <w:r w:rsidR="00ED7EFB" w:rsidRPr="004B79DC">
        <w:t>8</w:t>
      </w:r>
      <w:r w:rsidR="00413591" w:rsidRPr="004B79DC">
        <w:t>2</w:t>
      </w:r>
      <w:r w:rsidRPr="004B79DC">
        <w:t xml:space="preserve"> – UN Regulation No. </w:t>
      </w:r>
      <w:r w:rsidR="00ED7EFB" w:rsidRPr="004B79DC">
        <w:t>83</w:t>
      </w:r>
    </w:p>
    <w:p w14:paraId="5300C1B5" w14:textId="461565BD" w:rsidR="008B60F7" w:rsidRPr="004B79DC" w:rsidRDefault="008B60F7" w:rsidP="008B60F7">
      <w:pPr>
        <w:pStyle w:val="H1G"/>
        <w:spacing w:before="240"/>
      </w:pPr>
      <w:r w:rsidRPr="004B79DC">
        <w:tab/>
      </w:r>
      <w:r w:rsidRPr="004B79DC">
        <w:tab/>
      </w:r>
      <w:r w:rsidR="003F5657" w:rsidRPr="004B79DC">
        <w:t xml:space="preserve">Revision </w:t>
      </w:r>
      <w:r w:rsidR="006050E5" w:rsidRPr="004B79DC">
        <w:t>4</w:t>
      </w:r>
      <w:r w:rsidR="003F5657" w:rsidRPr="004B79DC">
        <w:t xml:space="preserve"> - </w:t>
      </w:r>
      <w:r w:rsidRPr="004B79DC">
        <w:t xml:space="preserve">Amendment </w:t>
      </w:r>
      <w:r w:rsidR="006050E5" w:rsidRPr="004B79DC">
        <w:t>1</w:t>
      </w:r>
      <w:r w:rsidR="00E42D54" w:rsidRPr="004B79DC">
        <w:t>9</w:t>
      </w:r>
    </w:p>
    <w:p w14:paraId="5F142C19" w14:textId="4BAB2BA7" w:rsidR="008B60F7" w:rsidRPr="004B79DC" w:rsidRDefault="005860C5" w:rsidP="008B60F7">
      <w:pPr>
        <w:pStyle w:val="SingleTxtG"/>
        <w:spacing w:after="360"/>
        <w:rPr>
          <w:spacing w:val="-2"/>
        </w:rPr>
      </w:pPr>
      <w:r w:rsidRPr="004B79DC">
        <w:rPr>
          <w:spacing w:val="-2"/>
        </w:rPr>
        <w:t xml:space="preserve">Supplement </w:t>
      </w:r>
      <w:r w:rsidR="00ED7EFB" w:rsidRPr="004B79DC">
        <w:rPr>
          <w:spacing w:val="-2"/>
        </w:rPr>
        <w:t>1</w:t>
      </w:r>
      <w:r w:rsidR="00F02812" w:rsidRPr="004B79DC">
        <w:rPr>
          <w:spacing w:val="-2"/>
        </w:rPr>
        <w:t xml:space="preserve">9 </w:t>
      </w:r>
      <w:r w:rsidRPr="004B79DC">
        <w:rPr>
          <w:spacing w:val="-2"/>
        </w:rPr>
        <w:t xml:space="preserve">to the </w:t>
      </w:r>
      <w:r w:rsidR="003F5657" w:rsidRPr="004B79DC">
        <w:rPr>
          <w:spacing w:val="-2"/>
        </w:rPr>
        <w:t>0</w:t>
      </w:r>
      <w:r w:rsidR="006050E5" w:rsidRPr="004B79DC">
        <w:rPr>
          <w:spacing w:val="-2"/>
        </w:rPr>
        <w:t>6</w:t>
      </w:r>
      <w:r w:rsidR="003F5657" w:rsidRPr="004B79DC">
        <w:rPr>
          <w:spacing w:val="-2"/>
        </w:rPr>
        <w:t xml:space="preserve"> series of amendments</w:t>
      </w:r>
      <w:r w:rsidR="008B60F7" w:rsidRPr="004B79DC">
        <w:rPr>
          <w:spacing w:val="-2"/>
        </w:rPr>
        <w:t xml:space="preserve"> – Date of entry into force: </w:t>
      </w:r>
      <w:r w:rsidR="00411C75" w:rsidRPr="004B79DC">
        <w:t>5</w:t>
      </w:r>
      <w:r w:rsidR="00371C7C" w:rsidRPr="004B79DC">
        <w:t xml:space="preserve"> </w:t>
      </w:r>
      <w:r w:rsidR="00F02812" w:rsidRPr="004B79DC">
        <w:t>January 2024</w:t>
      </w:r>
    </w:p>
    <w:p w14:paraId="285A6550" w14:textId="7859DD87" w:rsidR="007842B3" w:rsidRPr="004B79DC" w:rsidRDefault="008B60F7" w:rsidP="00461688">
      <w:pPr>
        <w:pStyle w:val="H1G"/>
        <w:spacing w:before="120" w:after="120" w:line="240" w:lineRule="exact"/>
        <w:ind w:left="1138" w:right="1138" w:hanging="1138"/>
      </w:pPr>
      <w:r w:rsidRPr="004B79DC">
        <w:rPr>
          <w:lang w:val="en-US"/>
        </w:rPr>
        <w:tab/>
      </w:r>
      <w:r w:rsidRPr="004B79DC">
        <w:rPr>
          <w:lang w:val="en-US"/>
        </w:rPr>
        <w:tab/>
      </w:r>
      <w:r w:rsidR="00ED7EFB" w:rsidRPr="004B79DC">
        <w:t>Uniform provisions concerning the approval of vehicles with regard to the emission of pollutants according to engine fuel requirements</w:t>
      </w:r>
    </w:p>
    <w:p w14:paraId="45A138D6" w14:textId="6075CCC9" w:rsidR="008B60F7" w:rsidRPr="004B79DC" w:rsidRDefault="008B60F7" w:rsidP="008B60F7">
      <w:pPr>
        <w:pStyle w:val="SingleTxtG"/>
        <w:spacing w:after="40"/>
        <w:rPr>
          <w:lang w:eastAsia="en-GB"/>
        </w:rPr>
      </w:pPr>
      <w:r w:rsidRPr="004B79DC">
        <w:rPr>
          <w:spacing w:val="-4"/>
          <w:lang w:eastAsia="en-GB"/>
        </w:rPr>
        <w:t>This document is meant purely as documentation tool. The authentic and legal binding text is:</w:t>
      </w:r>
      <w:r w:rsidRPr="004B79DC">
        <w:rPr>
          <w:lang w:eastAsia="en-GB"/>
        </w:rPr>
        <w:t xml:space="preserve"> </w:t>
      </w:r>
      <w:r w:rsidRPr="004B79DC">
        <w:rPr>
          <w:spacing w:val="-6"/>
          <w:lang w:eastAsia="en-GB"/>
        </w:rPr>
        <w:t>ECE/TRANS/WP.29/</w:t>
      </w:r>
      <w:r w:rsidR="00813D7E" w:rsidRPr="004B79DC">
        <w:rPr>
          <w:spacing w:val="-6"/>
          <w:lang w:eastAsia="en-GB"/>
        </w:rPr>
        <w:t>202</w:t>
      </w:r>
      <w:r w:rsidR="00633155" w:rsidRPr="004B79DC">
        <w:rPr>
          <w:spacing w:val="-6"/>
          <w:lang w:eastAsia="en-GB"/>
        </w:rPr>
        <w:t>3/62</w:t>
      </w:r>
      <w:r w:rsidR="00BF62AB" w:rsidRPr="004B79DC">
        <w:rPr>
          <w:spacing w:val="-6"/>
          <w:lang w:eastAsia="en-GB"/>
        </w:rPr>
        <w:t>.</w:t>
      </w:r>
    </w:p>
    <w:p w14:paraId="550E56C3" w14:textId="77777777" w:rsidR="008B60F7" w:rsidRPr="004B79DC" w:rsidRDefault="008B60F7" w:rsidP="008B60F7">
      <w:pPr>
        <w:suppressAutoHyphens w:val="0"/>
        <w:spacing w:line="240" w:lineRule="auto"/>
        <w:jc w:val="center"/>
        <w:rPr>
          <w:b/>
          <w:sz w:val="24"/>
        </w:rPr>
      </w:pPr>
      <w:r w:rsidRPr="004B79DC">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4B79DC">
        <w:rPr>
          <w:b/>
          <w:sz w:val="24"/>
        </w:rPr>
        <w:t>_________</w:t>
      </w:r>
    </w:p>
    <w:p w14:paraId="3C642F16" w14:textId="77777777" w:rsidR="00D51D38" w:rsidRPr="004B79DC" w:rsidRDefault="008B60F7" w:rsidP="004F5FAF">
      <w:pPr>
        <w:spacing w:after="120"/>
        <w:ind w:left="1134" w:right="1134"/>
        <w:jc w:val="center"/>
        <w:rPr>
          <w:b/>
          <w:sz w:val="24"/>
        </w:rPr>
      </w:pPr>
      <w:r w:rsidRPr="004B79DC">
        <w:rPr>
          <w:b/>
          <w:sz w:val="24"/>
        </w:rPr>
        <w:t>UNITED NATIONS</w:t>
      </w:r>
      <w:bookmarkEnd w:id="1"/>
    </w:p>
    <w:p w14:paraId="46FD88D7" w14:textId="77777777" w:rsidR="00A378C4" w:rsidRPr="004B79DC" w:rsidRDefault="007B1EC7" w:rsidP="00797565">
      <w:pPr>
        <w:spacing w:after="120"/>
        <w:ind w:left="1134" w:right="1134"/>
        <w:rPr>
          <w:b/>
          <w:sz w:val="24"/>
        </w:rPr>
      </w:pPr>
      <w:r w:rsidRPr="004B79DC">
        <w:rPr>
          <w:b/>
          <w:sz w:val="24"/>
        </w:rPr>
        <w:br w:type="page"/>
      </w:r>
      <w:bookmarkEnd w:id="2"/>
    </w:p>
    <w:p w14:paraId="4885EC92" w14:textId="77777777" w:rsidR="00A378C4" w:rsidRDefault="00A378C4" w:rsidP="00A378C4">
      <w:pPr>
        <w:adjustRightInd w:val="0"/>
        <w:spacing w:after="120"/>
        <w:ind w:left="2268" w:right="1134" w:hanging="1134"/>
        <w:jc w:val="both"/>
        <w:rPr>
          <w:i/>
          <w:iCs/>
          <w:lang w:val="en-US"/>
        </w:rPr>
      </w:pPr>
      <w:r w:rsidRPr="005467A8">
        <w:rPr>
          <w:i/>
          <w:iCs/>
          <w:lang w:val="en-US"/>
        </w:rPr>
        <w:lastRenderedPageBreak/>
        <w:t xml:space="preserve">Annex </w:t>
      </w:r>
      <w:r>
        <w:rPr>
          <w:i/>
          <w:iCs/>
          <w:lang w:val="en-US"/>
        </w:rPr>
        <w:t>4A,</w:t>
      </w:r>
    </w:p>
    <w:p w14:paraId="54D16FC2" w14:textId="77777777" w:rsidR="00A378C4" w:rsidRDefault="00A378C4" w:rsidP="00A378C4">
      <w:pPr>
        <w:adjustRightInd w:val="0"/>
        <w:spacing w:after="120"/>
        <w:ind w:left="2268" w:right="1134" w:hanging="1134"/>
        <w:jc w:val="both"/>
        <w:rPr>
          <w:lang w:val="en-US"/>
        </w:rPr>
      </w:pPr>
      <w:r w:rsidRPr="00E23B6A">
        <w:rPr>
          <w:lang w:val="en-US"/>
        </w:rPr>
        <w:t xml:space="preserve">add </w:t>
      </w:r>
      <w:r>
        <w:rPr>
          <w:lang w:val="en-US"/>
        </w:rPr>
        <w:t>a new p</w:t>
      </w:r>
      <w:r w:rsidRPr="00E23B6A">
        <w:rPr>
          <w:lang w:val="en-US"/>
        </w:rPr>
        <w:t>aragraph 3.2.7.</w:t>
      </w:r>
      <w:r>
        <w:rPr>
          <w:i/>
          <w:iCs/>
          <w:lang w:val="en-US"/>
        </w:rPr>
        <w:t xml:space="preserve"> </w:t>
      </w:r>
      <w:r w:rsidRPr="00AE3C95">
        <w:rPr>
          <w:lang w:val="en-US"/>
        </w:rPr>
        <w:t>to read:</w:t>
      </w:r>
    </w:p>
    <w:p w14:paraId="01B953B3" w14:textId="77777777" w:rsidR="00A378C4" w:rsidRPr="002644BF" w:rsidRDefault="00A378C4" w:rsidP="00A378C4">
      <w:pPr>
        <w:pStyle w:val="SingleTxtG"/>
        <w:ind w:left="2268" w:hanging="1134"/>
        <w:rPr>
          <w:rFonts w:eastAsia="MS Mincho"/>
        </w:rPr>
      </w:pPr>
      <w:r w:rsidRPr="002644BF">
        <w:rPr>
          <w:rFonts w:eastAsia="MS Mincho"/>
        </w:rPr>
        <w:t xml:space="preserve">"3.2.7. </w:t>
      </w:r>
      <w:r w:rsidRPr="002644BF">
        <w:rPr>
          <w:rFonts w:eastAsia="MS Mincho"/>
        </w:rPr>
        <w:tab/>
        <w:t>The vehicle to be tested shall be equipped with the daytime running lamp system that has the highest electrical energy consumption of the daytime running lamp systems, which are fitted by the manufacturer to vehicles in the group represented by the type-approved vehicle. The manufacturer shall supply appropriate technical documentation to the type-approval authorities in this respect.</w:t>
      </w:r>
    </w:p>
    <w:p w14:paraId="3DCCB4EC" w14:textId="77777777" w:rsidR="00A378C4" w:rsidRPr="002644BF" w:rsidRDefault="00A378C4" w:rsidP="00A378C4">
      <w:pPr>
        <w:pStyle w:val="SingleTxtG"/>
        <w:ind w:left="2268"/>
        <w:rPr>
          <w:rFonts w:eastAsia="MS Mincho"/>
        </w:rPr>
      </w:pPr>
      <w:r w:rsidRPr="002644BF">
        <w:rPr>
          <w:rFonts w:eastAsia="MS Mincho"/>
        </w:rPr>
        <w:t xml:space="preserve">The daytime running lamps as defined in paragraph 2. of Regulation </w:t>
      </w:r>
      <w:r w:rsidRPr="002644BF">
        <w:rPr>
          <w:rFonts w:eastAsia="MS Mincho"/>
        </w:rPr>
        <w:br/>
        <w:t>No. 48 shall be switched ON during the test cycle."</w:t>
      </w:r>
    </w:p>
    <w:p w14:paraId="714592BB" w14:textId="77777777" w:rsidR="00A378C4" w:rsidRPr="002644BF" w:rsidRDefault="00A378C4" w:rsidP="00A378C4">
      <w:pPr>
        <w:spacing w:after="120"/>
        <w:ind w:left="1134" w:right="1134"/>
        <w:rPr>
          <w:lang w:val="en-US"/>
        </w:rPr>
      </w:pPr>
      <w:r>
        <w:rPr>
          <w:lang w:val="en-US"/>
        </w:rPr>
        <w:t>add</w:t>
      </w:r>
      <w:r w:rsidRPr="002644BF">
        <w:rPr>
          <w:lang w:val="en-US"/>
        </w:rPr>
        <w:t xml:space="preserve"> a new paragraph 3.2.8.</w:t>
      </w:r>
      <w:r w:rsidRPr="002644BF">
        <w:rPr>
          <w:i/>
          <w:iCs/>
          <w:lang w:val="en-US"/>
        </w:rPr>
        <w:t xml:space="preserve"> </w:t>
      </w:r>
      <w:r w:rsidRPr="002644BF">
        <w:rPr>
          <w:lang w:val="en-US"/>
        </w:rPr>
        <w:t>to read:</w:t>
      </w:r>
    </w:p>
    <w:p w14:paraId="151B0E57" w14:textId="77777777" w:rsidR="00A378C4" w:rsidRPr="002644BF" w:rsidRDefault="00A378C4" w:rsidP="00A378C4">
      <w:pPr>
        <w:spacing w:after="120"/>
        <w:ind w:left="2268" w:right="1134" w:hanging="1134"/>
        <w:jc w:val="both"/>
      </w:pPr>
      <w:r w:rsidRPr="002644BF">
        <w:rPr>
          <w:rFonts w:eastAsia="MS Mincho"/>
        </w:rPr>
        <w:t>"</w:t>
      </w:r>
      <w:r w:rsidRPr="002644BF">
        <w:t>3.2.8.</w:t>
      </w:r>
      <w:r w:rsidRPr="002644BF">
        <w:tab/>
      </w:r>
      <w:bookmarkStart w:id="5" w:name="_Hlk128062134"/>
      <w:r w:rsidRPr="002644BF">
        <w:t xml:space="preserve">For tests according to this Regulation performed </w:t>
      </w:r>
      <w:bookmarkEnd w:id="5"/>
      <w:r w:rsidRPr="00A378C4">
        <w:t>after [xx-xx-20xx</w:t>
      </w:r>
      <w:r w:rsidRPr="00943423">
        <w:rPr>
          <w:vertAlign w:val="superscript"/>
          <w:lang w:val="fr-CH"/>
        </w:rPr>
        <w:footnoteReference w:id="3"/>
      </w:r>
      <w:r w:rsidRPr="00A378C4">
        <w:t>]</w:t>
      </w:r>
      <w:r w:rsidRPr="002644BF">
        <w:t>, the rear position lamps shall be set to the operating condition which is applied at ambient lighting conditions exceeding 7,000 lux (e.g. by the vehicle's dynamometer operation mode).</w:t>
      </w:r>
      <w:bookmarkStart w:id="6" w:name="_Hlk116995894"/>
      <w:r w:rsidRPr="002644BF">
        <w:rPr>
          <w:rFonts w:eastAsia="MS Mincho"/>
        </w:rPr>
        <w:t>"</w:t>
      </w:r>
      <w:bookmarkEnd w:id="6"/>
    </w:p>
    <w:p w14:paraId="4A01E391" w14:textId="77777777" w:rsidR="00A378C4" w:rsidRPr="00442B13" w:rsidRDefault="00A378C4" w:rsidP="00A378C4">
      <w:pPr>
        <w:spacing w:after="120"/>
        <w:ind w:left="1134" w:right="1110"/>
        <w:jc w:val="both"/>
        <w:rPr>
          <w:rFonts w:eastAsia="MS Mincho"/>
          <w:iCs/>
        </w:rPr>
      </w:pPr>
      <w:r w:rsidRPr="00442B13">
        <w:rPr>
          <w:rFonts w:eastAsia="MS Mincho"/>
          <w:i/>
        </w:rPr>
        <w:t>Annex 11, paragraph 3.2.1.2</w:t>
      </w:r>
      <w:r>
        <w:rPr>
          <w:rFonts w:eastAsia="MS Mincho"/>
          <w:i/>
        </w:rPr>
        <w:t>.</w:t>
      </w:r>
      <w:r w:rsidRPr="00442B13">
        <w:rPr>
          <w:rFonts w:eastAsia="MS Mincho"/>
          <w:iCs/>
        </w:rPr>
        <w:t>, amend to read:</w:t>
      </w:r>
    </w:p>
    <w:p w14:paraId="458401D9" w14:textId="77777777" w:rsidR="00A378C4" w:rsidRPr="00442B13" w:rsidRDefault="00A378C4" w:rsidP="00A378C4">
      <w:pPr>
        <w:ind w:left="2268" w:right="1110" w:hanging="1134"/>
        <w:jc w:val="both"/>
      </w:pPr>
      <w:r w:rsidRPr="00442B13">
        <w:t>"3.2.1.2.</w:t>
      </w:r>
      <w:r w:rsidRPr="00442B13">
        <w:tab/>
        <w:t>A manufacturer may disable any specific OBD monitor for a given driving cycle for</w:t>
      </w:r>
      <w:bookmarkStart w:id="7" w:name="_Hlk116037249"/>
      <w:r w:rsidRPr="00442B13">
        <w:t xml:space="preserve"> ambient or </w:t>
      </w:r>
      <w:r w:rsidRPr="000A0BAE">
        <w:t>engine coolant temperatures</w:t>
      </w:r>
      <w:bookmarkEnd w:id="7"/>
      <w:r w:rsidRPr="00442B13">
        <w:t xml:space="preserve"> below 266 K (-7° C) or at elevations over 2,500 metres above sea level provided the manufacturer submits data and/or an engineering evaluation which adequately demonstrate that monitoring would be unreliable when such conditions exist. A manufacturer may also request disablement of any specific OBD monitor at other ambient </w:t>
      </w:r>
      <w:r w:rsidRPr="000A0BAE">
        <w:t>or engine coolant temperatures</w:t>
      </w:r>
      <w:r w:rsidRPr="00442B13">
        <w:t xml:space="preserve"> or other elevations if they demonstrate to the authority with data and/or an engineering evaluation that misdiagnosis would occur under such conditions. It is not necessary to illuminate the Malfunction Indicator (MI) if OBD thresholds are exceeded during a regeneration provided no defect is present.</w:t>
      </w:r>
    </w:p>
    <w:p w14:paraId="7447C94E" w14:textId="77777777" w:rsidR="00A378C4" w:rsidRPr="000A0BAE" w:rsidRDefault="00A378C4" w:rsidP="00A378C4">
      <w:pPr>
        <w:spacing w:after="120"/>
        <w:ind w:left="2268" w:right="1111"/>
        <w:jc w:val="both"/>
      </w:pPr>
      <w:r w:rsidRPr="000A0BAE">
        <w:t>Engine coolant temperature is only deemed subject to approval, if it is used as a substitute to ambient temperature."</w:t>
      </w:r>
    </w:p>
    <w:p w14:paraId="0102AFA0" w14:textId="77777777" w:rsidR="00A378C4" w:rsidRDefault="00A378C4" w:rsidP="00A378C4">
      <w:pPr>
        <w:spacing w:after="120"/>
        <w:ind w:left="1134" w:right="1110"/>
        <w:jc w:val="both"/>
        <w:rPr>
          <w:rFonts w:eastAsia="MS Mincho"/>
          <w:i/>
        </w:rPr>
      </w:pPr>
      <w:r w:rsidRPr="000D5B14">
        <w:rPr>
          <w:rFonts w:eastAsia="MS Mincho"/>
          <w:i/>
        </w:rPr>
        <w:t>Annex 11, Appendix 1</w:t>
      </w:r>
    </w:p>
    <w:p w14:paraId="5F182B05" w14:textId="77777777" w:rsidR="00A378C4" w:rsidRPr="00442B13" w:rsidRDefault="00A378C4" w:rsidP="00A378C4">
      <w:pPr>
        <w:spacing w:after="120"/>
        <w:ind w:left="1134" w:right="1110"/>
        <w:jc w:val="both"/>
        <w:rPr>
          <w:lang w:eastAsia="fr-FR"/>
        </w:rPr>
      </w:pPr>
      <w:r w:rsidRPr="00442B13">
        <w:rPr>
          <w:i/>
          <w:iCs/>
          <w:lang w:eastAsia="fr-FR"/>
        </w:rPr>
        <w:t>paragraph 6.5.1.3</w:t>
      </w:r>
      <w:r>
        <w:rPr>
          <w:i/>
          <w:iCs/>
          <w:lang w:eastAsia="fr-FR"/>
        </w:rPr>
        <w:t>.</w:t>
      </w:r>
      <w:r w:rsidRPr="00442B13">
        <w:rPr>
          <w:i/>
          <w:iCs/>
          <w:lang w:eastAsia="fr-FR"/>
        </w:rPr>
        <w:t xml:space="preserve">, </w:t>
      </w:r>
      <w:r w:rsidRPr="00442B13">
        <w:rPr>
          <w:lang w:eastAsia="fr-FR"/>
        </w:rPr>
        <w:t>amend to read:</w:t>
      </w:r>
    </w:p>
    <w:p w14:paraId="3D374ADD" w14:textId="77777777" w:rsidR="00A378C4" w:rsidRPr="00442B13" w:rsidRDefault="00A378C4" w:rsidP="00A378C4">
      <w:pPr>
        <w:spacing w:after="120"/>
        <w:ind w:left="2268" w:right="1111" w:hanging="1134"/>
        <w:jc w:val="both"/>
      </w:pPr>
      <w:r w:rsidRPr="00C51C38">
        <w:rPr>
          <w:rFonts w:asciiTheme="majorBidi" w:eastAsia="MS Mincho" w:hAnsiTheme="majorBidi" w:cstheme="majorBidi"/>
        </w:rPr>
        <w:t>"</w:t>
      </w:r>
      <w:r w:rsidRPr="00442B13">
        <w:t>6.5.1.3.</w:t>
      </w:r>
      <w:r w:rsidRPr="00442B13">
        <w:tab/>
        <w:t xml:space="preserve">For all emission control systems for which specific on-board evaluation tests are conducted </w:t>
      </w:r>
      <w:r w:rsidRPr="00F75F92">
        <w:t>according to this annex</w:t>
      </w:r>
      <w:r w:rsidRPr="00442B13">
        <w:t xml:space="preserve"> (catalyst, oxygen sensor, etc.), except misfire detection, fuel system monitoring and comprehensive component monitoring, the results of the most recent test performed by the vehicle and the limits to which the system is compared shall be made available through the serial data port on the standardised data link connector according to the specifications given in paragraph 6.5.3. of this appendix. For the monitored components and systems excepted above, a pass/fail indication for the most recent test results shall be available through the data link connector.</w:t>
      </w:r>
    </w:p>
    <w:p w14:paraId="0D3FE2BF" w14:textId="77777777" w:rsidR="00A378C4" w:rsidRDefault="00A378C4" w:rsidP="00A378C4">
      <w:pPr>
        <w:spacing w:after="120"/>
        <w:ind w:left="2268" w:right="1111"/>
        <w:jc w:val="both"/>
        <w:rPr>
          <w:bCs/>
          <w:lang w:eastAsia="ja-JP"/>
        </w:rPr>
      </w:pPr>
      <w:r w:rsidRPr="00442B13">
        <w:t>All data required to be stored in relation to OBD in-use performance according to the provisions of paragraph 7.6. of this appendix shall be available through the serial data port on the standardized data link connector according to the specifications given in paragraph 6.5.3. of this appendix.</w:t>
      </w:r>
      <w:r w:rsidRPr="00DE1EBA">
        <w:rPr>
          <w:bCs/>
          <w:lang w:eastAsia="ja-JP"/>
        </w:rPr>
        <w:t>"</w:t>
      </w:r>
    </w:p>
    <w:p w14:paraId="66EA606C" w14:textId="77777777" w:rsidR="00A378C4" w:rsidRPr="00442B13" w:rsidRDefault="00A378C4" w:rsidP="00A378C4">
      <w:pPr>
        <w:spacing w:after="120"/>
        <w:ind w:left="1134" w:right="1110"/>
        <w:jc w:val="both"/>
        <w:rPr>
          <w:rFonts w:eastAsia="MS Mincho"/>
          <w:iCs/>
        </w:rPr>
      </w:pPr>
      <w:r w:rsidRPr="00442B13">
        <w:rPr>
          <w:rFonts w:eastAsia="MS Mincho"/>
          <w:i/>
        </w:rPr>
        <w:t>paragraphs 6.5.3.3.</w:t>
      </w:r>
      <w:r w:rsidRPr="00442B13">
        <w:rPr>
          <w:rFonts w:eastAsia="MS Mincho"/>
          <w:iCs/>
        </w:rPr>
        <w:t>, amend to read:</w:t>
      </w:r>
    </w:p>
    <w:p w14:paraId="4882016D" w14:textId="77777777" w:rsidR="00A378C4" w:rsidRPr="00442B13" w:rsidRDefault="00A378C4" w:rsidP="00A378C4">
      <w:pPr>
        <w:adjustRightInd w:val="0"/>
        <w:spacing w:after="120"/>
        <w:ind w:left="2268" w:right="1111" w:hanging="1134"/>
        <w:jc w:val="both"/>
      </w:pPr>
      <w:r w:rsidRPr="00C51C38">
        <w:rPr>
          <w:rFonts w:asciiTheme="majorBidi" w:eastAsia="MS Mincho" w:hAnsiTheme="majorBidi" w:cstheme="majorBidi"/>
        </w:rPr>
        <w:t>"</w:t>
      </w:r>
      <w:r w:rsidRPr="00442B13">
        <w:t>6.5.3.3.</w:t>
      </w:r>
      <w:r w:rsidRPr="00442B13">
        <w:tab/>
        <w:t xml:space="preserve">Basic diagnostic data, (as specified in paragraph 6.5.1.) and bi -directional control information must be provided using the format and units described in ISO DIS 15031 -5 "Road vehicles – Communication between vehicle and external test equipment for emissions -related diagnostics – Part 5: Emissions - related diagnostic services", dated 1 November 2001, and must be available </w:t>
      </w:r>
      <w:r w:rsidRPr="00442B13">
        <w:lastRenderedPageBreak/>
        <w:t>using a diagnostic tool meeting the requirements of ISO DIS 15031 -4.</w:t>
      </w:r>
      <w:r w:rsidRPr="00442B13">
        <w:br/>
        <w:t xml:space="preserve">The vehicle manufacturer shall provide to </w:t>
      </w:r>
      <w:r w:rsidRPr="000A0BAE">
        <w:t xml:space="preserve">the responsible </w:t>
      </w:r>
      <w:r w:rsidRPr="00442B13">
        <w:t>standardisation body the details of any emission -related diagnostic data, e.g. PID’s, OBD monitor Id’s, Test Id’s not specified in ISO DIS 15031 -5 but related to this Regulation.</w:t>
      </w:r>
      <w:r w:rsidRPr="00C51C38">
        <w:rPr>
          <w:rFonts w:asciiTheme="majorBidi" w:eastAsia="MS Mincho" w:hAnsiTheme="majorBidi" w:cstheme="majorBidi"/>
        </w:rPr>
        <w:t>"</w:t>
      </w:r>
    </w:p>
    <w:p w14:paraId="3E7D858B" w14:textId="77777777" w:rsidR="00A378C4" w:rsidRDefault="00A378C4" w:rsidP="00A378C4">
      <w:pPr>
        <w:spacing w:after="120"/>
        <w:ind w:left="1134" w:right="1110"/>
        <w:jc w:val="both"/>
      </w:pPr>
      <w:r>
        <w:t>add a new paragraph 6.5.3.3.1.,</w:t>
      </w:r>
      <w:r>
        <w:rPr>
          <w:i/>
          <w:iCs/>
        </w:rPr>
        <w:t xml:space="preserve"> </w:t>
      </w:r>
      <w:r>
        <w:t>to read:</w:t>
      </w:r>
    </w:p>
    <w:p w14:paraId="70790241" w14:textId="77777777" w:rsidR="00A378C4" w:rsidRPr="000A0BAE" w:rsidRDefault="00A378C4" w:rsidP="00A378C4">
      <w:pPr>
        <w:pStyle w:val="SingleTxtG"/>
        <w:ind w:left="2268" w:right="1110" w:hanging="1134"/>
        <w:rPr>
          <w:rFonts w:eastAsia="MS Mincho"/>
        </w:rPr>
      </w:pPr>
      <w:r w:rsidRPr="000A0BAE">
        <w:rPr>
          <w:rFonts w:asciiTheme="majorBidi" w:eastAsia="MS Mincho" w:hAnsiTheme="majorBidi" w:cstheme="majorBidi"/>
        </w:rPr>
        <w:t>"</w:t>
      </w:r>
      <w:r w:rsidRPr="000A0BAE">
        <w:rPr>
          <w:rFonts w:eastAsia="MS Mincho"/>
        </w:rPr>
        <w:t>6.5.3.3.1.</w:t>
      </w:r>
      <w:r w:rsidRPr="000A0BAE">
        <w:rPr>
          <w:rFonts w:eastAsia="MS Mincho"/>
        </w:rPr>
        <w:tab/>
        <w:t xml:space="preserve">The standards ISO 27145 "Road vehicles – Implementation of World-Wide Harmonized On-Board Diagnostics (WWH-OBD)" dated 2012-08-15; or SAE J 1979-2 "E/E Diagnostic Test Modes: </w:t>
      </w:r>
      <w:proofErr w:type="spellStart"/>
      <w:r w:rsidRPr="000A0BAE">
        <w:rPr>
          <w:rFonts w:eastAsia="MS Mincho"/>
        </w:rPr>
        <w:t>OBDonUDS</w:t>
      </w:r>
      <w:proofErr w:type="spellEnd"/>
      <w:r w:rsidRPr="000A0BAE">
        <w:rPr>
          <w:rFonts w:eastAsia="MS Mincho"/>
        </w:rPr>
        <w:t>", dated April 2021, may be used as an option instead of ISO 15031-5 "Road vehicles - communication between vehicles and external test equipment for emissions-related diagnostics – Part 5: Emissions-related diagnostic services" for the transmission of OBD relevant information.</w:t>
      </w:r>
      <w:r w:rsidRPr="000A0BAE">
        <w:rPr>
          <w:rFonts w:asciiTheme="majorBidi" w:eastAsia="MS Mincho" w:hAnsiTheme="majorBidi" w:cstheme="majorBidi"/>
        </w:rPr>
        <w:t>"</w:t>
      </w:r>
    </w:p>
    <w:p w14:paraId="6D5872DE" w14:textId="77777777" w:rsidR="00A378C4" w:rsidRPr="00442B13" w:rsidRDefault="00A378C4" w:rsidP="00A378C4">
      <w:pPr>
        <w:spacing w:after="120"/>
        <w:ind w:left="1134" w:right="1110"/>
        <w:jc w:val="both"/>
        <w:rPr>
          <w:rFonts w:eastAsia="MS Mincho"/>
          <w:iCs/>
        </w:rPr>
      </w:pPr>
      <w:r w:rsidRPr="00442B13">
        <w:rPr>
          <w:rFonts w:eastAsia="MS Mincho"/>
          <w:i/>
        </w:rPr>
        <w:t>paragraphs 6.5.3.4.</w:t>
      </w:r>
      <w:r w:rsidRPr="00442B13">
        <w:rPr>
          <w:rFonts w:eastAsia="MS Mincho"/>
          <w:iCs/>
        </w:rPr>
        <w:t>, amend to read:</w:t>
      </w:r>
    </w:p>
    <w:p w14:paraId="753BA735" w14:textId="77777777" w:rsidR="00A378C4" w:rsidRPr="00442B13" w:rsidRDefault="00A378C4" w:rsidP="00A378C4">
      <w:pPr>
        <w:adjustRightInd w:val="0"/>
        <w:spacing w:after="120"/>
        <w:ind w:left="2268" w:right="1111" w:hanging="1134"/>
        <w:jc w:val="both"/>
      </w:pPr>
      <w:r w:rsidRPr="00442B13">
        <w:t>6.5.3.4.</w:t>
      </w:r>
      <w:r w:rsidRPr="00442B13">
        <w:tab/>
        <w:t xml:space="preserve">When a fault is registered, the manufacturer must identify the fault using an appropriate fault code consistent with those given in Section 6.3. of ISO DIS 15031 -6 </w:t>
      </w:r>
      <w:r>
        <w:t>"</w:t>
      </w:r>
      <w:r w:rsidRPr="00442B13">
        <w:t>Road vehicles – Communication between vehicle and external test equipment for emissions -related diagnostics – Part 6: Diagnostic trouble code definitions</w:t>
      </w:r>
      <w:r>
        <w:t>"</w:t>
      </w:r>
      <w:r w:rsidRPr="00442B13">
        <w:t xml:space="preserve">, relating to </w:t>
      </w:r>
      <w:r>
        <w:t>"</w:t>
      </w:r>
      <w:r w:rsidRPr="00442B13">
        <w:t>emission related system diagnostic trouble codes</w:t>
      </w:r>
      <w:r>
        <w:t>"</w:t>
      </w:r>
      <w:r w:rsidRPr="00442B13">
        <w:t>. If such identification is not possible, the manufacturer may use diagnostic trouble codes according to Sections 5.3. and 5.6. of ISO DIS 15031 -6. The fault codes must be fully accessible by standardised diagnostic equipment complying with the provisions of paragraph 6.5.3.2. of this annex.</w:t>
      </w:r>
      <w:r w:rsidRPr="00442B13">
        <w:br/>
        <w:t xml:space="preserve">The vehicle manufacturer shall provide to </w:t>
      </w:r>
      <w:r w:rsidRPr="000A0BAE">
        <w:t xml:space="preserve">the responsible </w:t>
      </w:r>
      <w:r w:rsidRPr="00442B13">
        <w:t>standardisation body the details of any emission -related diagnostic data, e.g. PID’s, OBD monitor Id’s, Test Id’s not specified in ISO DIS 15031 -5 but related to this Regulation.</w:t>
      </w:r>
      <w:r w:rsidRPr="00C51C38">
        <w:rPr>
          <w:rFonts w:asciiTheme="majorBidi" w:eastAsia="MS Mincho" w:hAnsiTheme="majorBidi" w:cstheme="majorBidi"/>
        </w:rPr>
        <w:t>"</w:t>
      </w:r>
    </w:p>
    <w:p w14:paraId="0C8A8023" w14:textId="77777777" w:rsidR="00A378C4" w:rsidRPr="00DD5FD9" w:rsidRDefault="00A378C4" w:rsidP="00A378C4">
      <w:pPr>
        <w:spacing w:before="240"/>
        <w:jc w:val="center"/>
        <w:rPr>
          <w:u w:val="single"/>
          <w:lang w:eastAsia="fr-FR"/>
        </w:rPr>
      </w:pPr>
      <w:r>
        <w:rPr>
          <w:u w:val="single"/>
          <w:lang w:eastAsia="fr-FR"/>
        </w:rPr>
        <w:tab/>
      </w:r>
      <w:r>
        <w:rPr>
          <w:u w:val="single"/>
          <w:lang w:eastAsia="fr-FR"/>
        </w:rPr>
        <w:tab/>
      </w:r>
      <w:r>
        <w:rPr>
          <w:u w:val="single"/>
          <w:lang w:eastAsia="fr-FR"/>
        </w:rPr>
        <w:tab/>
      </w:r>
    </w:p>
    <w:sectPr w:rsidR="00A378C4" w:rsidRPr="00DD5FD9" w:rsidSect="00413591">
      <w:headerReference w:type="even" r:id="rId12"/>
      <w:headerReference w:type="default" r:id="rId13"/>
      <w:footerReference w:type="even" r:id="rId14"/>
      <w:footerReference w:type="default" r:id="rId15"/>
      <w:headerReference w:type="first" r:id="rId16"/>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310F" w14:textId="77777777" w:rsidR="006056FE" w:rsidRDefault="006056FE"/>
  </w:endnote>
  <w:endnote w:type="continuationSeparator" w:id="0">
    <w:p w14:paraId="0C36AE99" w14:textId="77777777" w:rsidR="006056FE" w:rsidRDefault="006056FE"/>
  </w:endnote>
  <w:endnote w:type="continuationNotice" w:id="1">
    <w:p w14:paraId="071D59B4" w14:textId="77777777" w:rsidR="006056FE" w:rsidRDefault="0060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55370"/>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207144">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22572"/>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6050E5">
          <w:rPr>
            <w:b/>
            <w:bCs/>
            <w:noProof/>
            <w:sz w:val="18"/>
            <w:szCs w:val="22"/>
          </w:rPr>
          <w:t>3</w:t>
        </w:r>
        <w:r w:rsidRPr="003A2A84">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C875" w14:textId="77777777" w:rsidR="006056FE" w:rsidRPr="000B175B" w:rsidRDefault="006056FE" w:rsidP="000B175B">
      <w:pPr>
        <w:tabs>
          <w:tab w:val="right" w:pos="2155"/>
        </w:tabs>
        <w:spacing w:after="80"/>
        <w:ind w:left="680"/>
        <w:rPr>
          <w:u w:val="single"/>
        </w:rPr>
      </w:pPr>
      <w:r>
        <w:rPr>
          <w:u w:val="single"/>
        </w:rPr>
        <w:tab/>
      </w:r>
    </w:p>
  </w:footnote>
  <w:footnote w:type="continuationSeparator" w:id="0">
    <w:p w14:paraId="6BB2B202" w14:textId="77777777" w:rsidR="006056FE" w:rsidRPr="00FC68B7" w:rsidRDefault="006056FE" w:rsidP="00FC68B7">
      <w:pPr>
        <w:tabs>
          <w:tab w:val="left" w:pos="2155"/>
        </w:tabs>
        <w:spacing w:after="80"/>
        <w:ind w:left="680"/>
        <w:rPr>
          <w:u w:val="single"/>
        </w:rPr>
      </w:pPr>
      <w:r>
        <w:rPr>
          <w:u w:val="single"/>
        </w:rPr>
        <w:tab/>
      </w:r>
    </w:p>
  </w:footnote>
  <w:footnote w:type="continuationNotice" w:id="1">
    <w:p w14:paraId="33835485" w14:textId="77777777" w:rsidR="006056FE" w:rsidRDefault="006056FE"/>
  </w:footnote>
  <w:footnote w:id="2">
    <w:p w14:paraId="2421CCCF" w14:textId="77777777" w:rsidR="00E679C3" w:rsidRPr="004B79DC" w:rsidRDefault="00E679C3" w:rsidP="008B60F7">
      <w:pPr>
        <w:pStyle w:val="FootnoteText"/>
        <w:rPr>
          <w:lang w:val="en-US"/>
        </w:rPr>
      </w:pPr>
      <w:r w:rsidRPr="004B79DC">
        <w:tab/>
      </w:r>
      <w:r w:rsidRPr="004B79DC">
        <w:rPr>
          <w:rStyle w:val="FootnoteReference"/>
          <w:sz w:val="20"/>
          <w:lang w:val="en-US"/>
        </w:rPr>
        <w:t>*</w:t>
      </w:r>
      <w:r w:rsidRPr="004B79DC">
        <w:rPr>
          <w:sz w:val="20"/>
          <w:lang w:val="en-US"/>
        </w:rPr>
        <w:tab/>
      </w:r>
      <w:r w:rsidRPr="004B79DC">
        <w:rPr>
          <w:lang w:val="en-US"/>
        </w:rPr>
        <w:t>Former titles of the Agreement:</w:t>
      </w:r>
    </w:p>
    <w:p w14:paraId="3FBAD9FF" w14:textId="77777777" w:rsidR="00E679C3" w:rsidRPr="004B79DC" w:rsidRDefault="00E679C3" w:rsidP="008B60F7">
      <w:pPr>
        <w:pStyle w:val="FootnoteText"/>
        <w:rPr>
          <w:sz w:val="20"/>
          <w:lang w:val="en-US"/>
        </w:rPr>
      </w:pPr>
      <w:r w:rsidRPr="004B79DC">
        <w:rPr>
          <w:lang w:val="en-US"/>
        </w:rPr>
        <w:tab/>
      </w:r>
      <w:r w:rsidRPr="004B79DC">
        <w:rPr>
          <w:lang w:val="en-US"/>
        </w:rPr>
        <w:tab/>
      </w:r>
      <w:r w:rsidRPr="004B79DC">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4B79DC" w:rsidRDefault="00E679C3" w:rsidP="008B60F7">
      <w:pPr>
        <w:pStyle w:val="FootnoteText"/>
        <w:rPr>
          <w:lang w:val="en-US"/>
        </w:rPr>
      </w:pPr>
      <w:r w:rsidRPr="004B79DC">
        <w:rPr>
          <w:lang w:val="en-US"/>
        </w:rPr>
        <w:tab/>
      </w:r>
      <w:r w:rsidRPr="004B79DC">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38627723" w14:textId="094912D1" w:rsidR="00A378C4" w:rsidRPr="00A378C4" w:rsidRDefault="00B348C5" w:rsidP="00B348C5">
      <w:pPr>
        <w:pStyle w:val="FootnoteText"/>
        <w:rPr>
          <w:lang w:eastAsia="ja-JP"/>
        </w:rPr>
      </w:pPr>
      <w:r>
        <w:tab/>
      </w:r>
      <w:r w:rsidR="00A378C4">
        <w:rPr>
          <w:rStyle w:val="FootnoteReference"/>
        </w:rPr>
        <w:footnoteRef/>
      </w:r>
      <w:r>
        <w:tab/>
      </w:r>
      <w:r w:rsidR="00A378C4">
        <w:rPr>
          <w:lang w:eastAsia="ja-JP"/>
        </w:rPr>
        <w:t>Date to be replaced by the date of entry into force of this proposal when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0C1D03F0" w:rsidR="00AB3AA0" w:rsidRDefault="00AB3AA0" w:rsidP="00207144">
    <w:pPr>
      <w:pStyle w:val="Header"/>
      <w:pBdr>
        <w:bottom w:val="none" w:sz="0" w:space="0" w:color="auto"/>
      </w:pBdr>
    </w:pPr>
    <w:r w:rsidRPr="008B60F7">
      <w:t>E/ECE/324/</w:t>
    </w:r>
    <w:r w:rsidR="000E6FB0">
      <w:t>Rev.1/</w:t>
    </w:r>
    <w:r w:rsidR="003F5657" w:rsidRPr="003F5657">
      <w:t>Add.</w:t>
    </w:r>
    <w:r w:rsidR="00ED7EFB">
      <w:t>82</w:t>
    </w:r>
    <w:r w:rsidR="003F5657" w:rsidRPr="003F5657">
      <w:t>/Rev.</w:t>
    </w:r>
    <w:r w:rsidR="006050E5">
      <w:t>4</w:t>
    </w:r>
    <w:r w:rsidR="003F5657" w:rsidRPr="003F5657">
      <w:t>/Amend.</w:t>
    </w:r>
    <w:r w:rsidR="006050E5">
      <w:t>1</w:t>
    </w:r>
    <w:r w:rsidR="00633155">
      <w:t>9</w:t>
    </w:r>
  </w:p>
  <w:p w14:paraId="42A1D7E1" w14:textId="3AABA71B" w:rsidR="003F5657" w:rsidRDefault="00AB3AA0" w:rsidP="00207144">
    <w:pPr>
      <w:pStyle w:val="Header"/>
      <w:pBdr>
        <w:bottom w:val="single" w:sz="4" w:space="1" w:color="auto"/>
      </w:pBdr>
    </w:pPr>
    <w:r w:rsidRPr="008B60F7">
      <w:t>E/ECE/TRANS/505/</w:t>
    </w:r>
    <w:r w:rsidR="008422F1">
      <w:t>Rev.1/</w:t>
    </w:r>
    <w:r w:rsidR="003F5657" w:rsidRPr="003F5657">
      <w:t>Add.</w:t>
    </w:r>
    <w:r w:rsidR="00ED7EFB">
      <w:t>82</w:t>
    </w:r>
    <w:r w:rsidR="003F5657" w:rsidRPr="003F5657">
      <w:t>/Rev.</w:t>
    </w:r>
    <w:r w:rsidR="006050E5">
      <w:t>4</w:t>
    </w:r>
    <w:r w:rsidR="003F5657" w:rsidRPr="003F5657">
      <w:t>/Amend.</w:t>
    </w:r>
    <w:r w:rsidR="006050E5">
      <w:t>1</w:t>
    </w:r>
    <w:r w:rsidR="006D7164">
      <w:t>9</w:t>
    </w:r>
  </w:p>
  <w:p w14:paraId="7A13136C" w14:textId="77777777" w:rsidR="00207144" w:rsidRDefault="00207144" w:rsidP="002071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CE2" w14:textId="55A8A9DD" w:rsidR="00615800" w:rsidRDefault="00615800" w:rsidP="00615800">
    <w:pPr>
      <w:pStyle w:val="Header"/>
      <w:jc w:val="right"/>
    </w:pPr>
    <w:r w:rsidRPr="008B60F7">
      <w:t>E/ECE/324/</w:t>
    </w:r>
    <w:r>
      <w:t>Rev.1/</w:t>
    </w:r>
    <w:r w:rsidRPr="003F5657">
      <w:t>Add.</w:t>
    </w:r>
    <w:r>
      <w:t>82</w:t>
    </w:r>
    <w:r w:rsidRPr="003F5657">
      <w:t>/Rev.</w:t>
    </w:r>
    <w:r w:rsidR="006050E5">
      <w:t>4</w:t>
    </w:r>
    <w:r w:rsidRPr="003F5657">
      <w:t>/Amend.</w:t>
    </w:r>
    <w:r w:rsidR="006050E5">
      <w:t>1</w:t>
    </w:r>
    <w:r w:rsidR="006D7164">
      <w:t>9</w:t>
    </w:r>
  </w:p>
  <w:p w14:paraId="742A0BEF" w14:textId="2DE2A27A" w:rsidR="00E679C3" w:rsidRDefault="00615800" w:rsidP="00615800">
    <w:pPr>
      <w:pStyle w:val="Header"/>
      <w:jc w:val="right"/>
    </w:pPr>
    <w:r w:rsidRPr="008B60F7">
      <w:t>E/ECE/TRANS/505/</w:t>
    </w:r>
    <w:r w:rsidR="008422F1">
      <w:t>Rev.1/</w:t>
    </w:r>
    <w:r w:rsidRPr="003F5657">
      <w:t>Add.</w:t>
    </w:r>
    <w:r>
      <w:t>82</w:t>
    </w:r>
    <w:r w:rsidRPr="003F5657">
      <w:t>/Rev.</w:t>
    </w:r>
    <w:r w:rsidR="006050E5">
      <w:t>4</w:t>
    </w:r>
    <w:r w:rsidRPr="003F5657">
      <w:t>/Amend.</w:t>
    </w:r>
    <w:r w:rsidR="006050E5">
      <w:t>1</w:t>
    </w:r>
    <w:r w:rsidR="006D7164">
      <w:t>9</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80580340">
    <w:abstractNumId w:val="12"/>
  </w:num>
  <w:num w:numId="2" w16cid:durableId="126096164">
    <w:abstractNumId w:val="22"/>
  </w:num>
  <w:num w:numId="3" w16cid:durableId="541671709">
    <w:abstractNumId w:val="1"/>
  </w:num>
  <w:num w:numId="4" w16cid:durableId="2137214051">
    <w:abstractNumId w:val="2"/>
  </w:num>
  <w:num w:numId="5" w16cid:durableId="678311910">
    <w:abstractNumId w:val="3"/>
  </w:num>
  <w:num w:numId="6" w16cid:durableId="572008468">
    <w:abstractNumId w:val="4"/>
  </w:num>
  <w:num w:numId="7" w16cid:durableId="791747663">
    <w:abstractNumId w:val="5"/>
  </w:num>
  <w:num w:numId="8" w16cid:durableId="1484128910">
    <w:abstractNumId w:val="6"/>
  </w:num>
  <w:num w:numId="9" w16cid:durableId="1100566446">
    <w:abstractNumId w:val="7"/>
  </w:num>
  <w:num w:numId="10" w16cid:durableId="578755595">
    <w:abstractNumId w:val="8"/>
  </w:num>
  <w:num w:numId="11" w16cid:durableId="1679385399">
    <w:abstractNumId w:val="18"/>
  </w:num>
  <w:num w:numId="12" w16cid:durableId="1131168563">
    <w:abstractNumId w:val="11"/>
  </w:num>
  <w:num w:numId="13" w16cid:durableId="718550810">
    <w:abstractNumId w:val="10"/>
  </w:num>
  <w:num w:numId="14" w16cid:durableId="1569077984">
    <w:abstractNumId w:val="0"/>
  </w:num>
  <w:num w:numId="15" w16cid:durableId="1033269004">
    <w:abstractNumId w:val="15"/>
  </w:num>
  <w:num w:numId="16" w16cid:durableId="1002196081">
    <w:abstractNumId w:val="24"/>
  </w:num>
  <w:num w:numId="17" w16cid:durableId="1918006791">
    <w:abstractNumId w:val="19"/>
  </w:num>
  <w:num w:numId="18" w16cid:durableId="1006708703">
    <w:abstractNumId w:val="25"/>
  </w:num>
  <w:num w:numId="19" w16cid:durableId="1386097741">
    <w:abstractNumId w:val="9"/>
  </w:num>
  <w:num w:numId="20" w16cid:durableId="488638077">
    <w:abstractNumId w:val="13"/>
  </w:num>
  <w:num w:numId="21" w16cid:durableId="1168211747">
    <w:abstractNumId w:val="17"/>
  </w:num>
  <w:num w:numId="22" w16cid:durableId="1822765959">
    <w:abstractNumId w:val="23"/>
  </w:num>
  <w:num w:numId="23" w16cid:durableId="324675449">
    <w:abstractNumId w:val="20"/>
  </w:num>
  <w:num w:numId="24" w16cid:durableId="1923028276">
    <w:abstractNumId w:val="14"/>
  </w:num>
  <w:num w:numId="25" w16cid:durableId="861361971">
    <w:abstractNumId w:val="2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16cid:durableId="6373039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3184"/>
    <w:rsid w:val="000A3E49"/>
    <w:rsid w:val="000A401B"/>
    <w:rsid w:val="000A525E"/>
    <w:rsid w:val="000A55B3"/>
    <w:rsid w:val="000A72B1"/>
    <w:rsid w:val="000B120D"/>
    <w:rsid w:val="000B158B"/>
    <w:rsid w:val="000B15E7"/>
    <w:rsid w:val="000B175B"/>
    <w:rsid w:val="000B278C"/>
    <w:rsid w:val="000B3A0F"/>
    <w:rsid w:val="000B4504"/>
    <w:rsid w:val="000B4D8A"/>
    <w:rsid w:val="000B4E5D"/>
    <w:rsid w:val="000B5D2F"/>
    <w:rsid w:val="000B6768"/>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12"/>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4E6"/>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77F9D"/>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C42"/>
    <w:rsid w:val="001A4EF2"/>
    <w:rsid w:val="001A4F4C"/>
    <w:rsid w:val="001A52D7"/>
    <w:rsid w:val="001B177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7C4"/>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352D"/>
    <w:rsid w:val="002049E4"/>
    <w:rsid w:val="002051EB"/>
    <w:rsid w:val="00207144"/>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2EA5"/>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B7397"/>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03E3"/>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C7C"/>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1C75"/>
    <w:rsid w:val="00413591"/>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81C"/>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9DC"/>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5FAF"/>
    <w:rsid w:val="004F6833"/>
    <w:rsid w:val="004F6961"/>
    <w:rsid w:val="004F762E"/>
    <w:rsid w:val="005005E4"/>
    <w:rsid w:val="005009AC"/>
    <w:rsid w:val="0050166A"/>
    <w:rsid w:val="00501D1E"/>
    <w:rsid w:val="00501D28"/>
    <w:rsid w:val="005026C2"/>
    <w:rsid w:val="00503228"/>
    <w:rsid w:val="0050489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0E5"/>
    <w:rsid w:val="00605530"/>
    <w:rsid w:val="006056E3"/>
    <w:rsid w:val="006056FE"/>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155"/>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0173"/>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164"/>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6774"/>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565"/>
    <w:rsid w:val="00797A58"/>
    <w:rsid w:val="007A0276"/>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2CA0"/>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0F64"/>
    <w:rsid w:val="00803320"/>
    <w:rsid w:val="00803372"/>
    <w:rsid w:val="008048CE"/>
    <w:rsid w:val="00804A33"/>
    <w:rsid w:val="008051E5"/>
    <w:rsid w:val="00806606"/>
    <w:rsid w:val="0080792F"/>
    <w:rsid w:val="00807B47"/>
    <w:rsid w:val="008102E3"/>
    <w:rsid w:val="00811120"/>
    <w:rsid w:val="00811D77"/>
    <w:rsid w:val="00813D7E"/>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8F1"/>
    <w:rsid w:val="00827A9A"/>
    <w:rsid w:val="00827E05"/>
    <w:rsid w:val="008311A3"/>
    <w:rsid w:val="008313AA"/>
    <w:rsid w:val="00833693"/>
    <w:rsid w:val="008339EE"/>
    <w:rsid w:val="00833D4F"/>
    <w:rsid w:val="00833DCC"/>
    <w:rsid w:val="00834E82"/>
    <w:rsid w:val="00835C9D"/>
    <w:rsid w:val="0083635B"/>
    <w:rsid w:val="008367E3"/>
    <w:rsid w:val="00836F4D"/>
    <w:rsid w:val="00840920"/>
    <w:rsid w:val="008420BE"/>
    <w:rsid w:val="008422F1"/>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DE4"/>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565B"/>
    <w:rsid w:val="008A6B25"/>
    <w:rsid w:val="008A6C4F"/>
    <w:rsid w:val="008A7412"/>
    <w:rsid w:val="008A78BB"/>
    <w:rsid w:val="008A79B4"/>
    <w:rsid w:val="008A79FB"/>
    <w:rsid w:val="008B0B7B"/>
    <w:rsid w:val="008B13EB"/>
    <w:rsid w:val="008B151E"/>
    <w:rsid w:val="008B19D6"/>
    <w:rsid w:val="008B2083"/>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56E"/>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1B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8C4"/>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E7CC3"/>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48C5"/>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1D47"/>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28C"/>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1FB"/>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1A7"/>
    <w:rsid w:val="00D1755B"/>
    <w:rsid w:val="00D20285"/>
    <w:rsid w:val="00D2031B"/>
    <w:rsid w:val="00D209B2"/>
    <w:rsid w:val="00D209EE"/>
    <w:rsid w:val="00D21253"/>
    <w:rsid w:val="00D228B8"/>
    <w:rsid w:val="00D22C12"/>
    <w:rsid w:val="00D233E6"/>
    <w:rsid w:val="00D2370A"/>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6ED7"/>
    <w:rsid w:val="00D373FA"/>
    <w:rsid w:val="00D41119"/>
    <w:rsid w:val="00D41563"/>
    <w:rsid w:val="00D43252"/>
    <w:rsid w:val="00D442F7"/>
    <w:rsid w:val="00D44ECD"/>
    <w:rsid w:val="00D454DB"/>
    <w:rsid w:val="00D45AE4"/>
    <w:rsid w:val="00D47752"/>
    <w:rsid w:val="00D516D9"/>
    <w:rsid w:val="00D51A39"/>
    <w:rsid w:val="00D51D38"/>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087"/>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4C9A"/>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08"/>
    <w:rsid w:val="00E02AAA"/>
    <w:rsid w:val="00E02C81"/>
    <w:rsid w:val="00E02D06"/>
    <w:rsid w:val="00E02F10"/>
    <w:rsid w:val="00E04244"/>
    <w:rsid w:val="00E0679A"/>
    <w:rsid w:val="00E07075"/>
    <w:rsid w:val="00E12036"/>
    <w:rsid w:val="00E12FA0"/>
    <w:rsid w:val="00E130AB"/>
    <w:rsid w:val="00E13336"/>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2D54"/>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812"/>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438"/>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67F29"/>
    <w:rsid w:val="00F708C3"/>
    <w:rsid w:val="00F71C47"/>
    <w:rsid w:val="00F7275F"/>
    <w:rsid w:val="00F75BB2"/>
    <w:rsid w:val="00F7753D"/>
    <w:rsid w:val="00F83515"/>
    <w:rsid w:val="00F85F34"/>
    <w:rsid w:val="00F87606"/>
    <w:rsid w:val="00F905EE"/>
    <w:rsid w:val="00F95AB0"/>
    <w:rsid w:val="00F95E5F"/>
    <w:rsid w:val="00F95EC8"/>
    <w:rsid w:val="00F96249"/>
    <w:rsid w:val="00F96FB3"/>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07B0"/>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qForma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1"/>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BE946-9301-4340-A77E-9331EF65E49E}">
  <ds:schemaRefs>
    <ds:schemaRef ds:uri="http://schemas.microsoft.com/sharepoint/v3/contenttype/forms"/>
  </ds:schemaRefs>
</ds:datastoreItem>
</file>

<file path=customXml/itemProps2.xml><?xml version="1.0" encoding="utf-8"?>
<ds:datastoreItem xmlns:ds="http://schemas.openxmlformats.org/officeDocument/2006/customXml" ds:itemID="{31CA3CED-A032-4423-8018-B90F78E9983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97D5E57C-F723-49D9-9E13-28B098A42396}">
  <ds:schemaRefs>
    <ds:schemaRef ds:uri="http://schemas.openxmlformats.org/officeDocument/2006/bibliography"/>
  </ds:schemaRefs>
</ds:datastoreItem>
</file>

<file path=customXml/itemProps4.xml><?xml version="1.0" encoding="utf-8"?>
<ds:datastoreItem xmlns:ds="http://schemas.openxmlformats.org/officeDocument/2006/customXml" ds:itemID="{E43880C5-A813-4BAA-B4A3-1CCA9C84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5</TotalTime>
  <Pages>3</Pages>
  <Words>897</Words>
  <Characters>5119</Characters>
  <Application>Microsoft Office Word</Application>
  <DocSecurity>0</DocSecurity>
  <Lines>42</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6004</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Editorial ND</cp:lastModifiedBy>
  <cp:revision>4</cp:revision>
  <cp:lastPrinted>2019-11-25T07:37:00Z</cp:lastPrinted>
  <dcterms:created xsi:type="dcterms:W3CDTF">2024-02-13T11:17:00Z</dcterms:created>
  <dcterms:modified xsi:type="dcterms:W3CDTF">2024-02-13T11:22:00Z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2447000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