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E893E9" w14:textId="77777777" w:rsidTr="00C97039">
        <w:trPr>
          <w:trHeight w:hRule="exact" w:val="851"/>
        </w:trPr>
        <w:tc>
          <w:tcPr>
            <w:tcW w:w="1276" w:type="dxa"/>
            <w:tcBorders>
              <w:bottom w:val="single" w:sz="4" w:space="0" w:color="auto"/>
            </w:tcBorders>
          </w:tcPr>
          <w:p w14:paraId="1594AF54" w14:textId="77777777" w:rsidR="00F35BAF" w:rsidRPr="00DB58B5" w:rsidRDefault="00F35BAF" w:rsidP="009A68DF"/>
        </w:tc>
        <w:tc>
          <w:tcPr>
            <w:tcW w:w="2268" w:type="dxa"/>
            <w:tcBorders>
              <w:bottom w:val="single" w:sz="4" w:space="0" w:color="auto"/>
            </w:tcBorders>
            <w:vAlign w:val="bottom"/>
          </w:tcPr>
          <w:p w14:paraId="0416F1D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47E9FD" w14:textId="54029027" w:rsidR="00F35BAF" w:rsidRPr="00DB58B5" w:rsidRDefault="009A68DF" w:rsidP="009A68DF">
            <w:pPr>
              <w:jc w:val="right"/>
            </w:pPr>
            <w:r w:rsidRPr="009A68DF">
              <w:rPr>
                <w:sz w:val="40"/>
              </w:rPr>
              <w:t>ECE</w:t>
            </w:r>
            <w:r>
              <w:t>/TRANS/WP.29/GRE/88</w:t>
            </w:r>
          </w:p>
        </w:tc>
      </w:tr>
      <w:tr w:rsidR="00F35BAF" w:rsidRPr="00DB58B5" w14:paraId="0967F832" w14:textId="77777777" w:rsidTr="00C97039">
        <w:trPr>
          <w:trHeight w:hRule="exact" w:val="2835"/>
        </w:trPr>
        <w:tc>
          <w:tcPr>
            <w:tcW w:w="1276" w:type="dxa"/>
            <w:tcBorders>
              <w:top w:val="single" w:sz="4" w:space="0" w:color="auto"/>
              <w:bottom w:val="single" w:sz="12" w:space="0" w:color="auto"/>
            </w:tcBorders>
          </w:tcPr>
          <w:p w14:paraId="697F1501" w14:textId="77777777" w:rsidR="00F35BAF" w:rsidRPr="00DB58B5" w:rsidRDefault="00F35BAF" w:rsidP="00C97039">
            <w:pPr>
              <w:spacing w:before="120"/>
              <w:jc w:val="center"/>
            </w:pPr>
            <w:r>
              <w:rPr>
                <w:noProof/>
                <w:lang w:eastAsia="fr-CH"/>
              </w:rPr>
              <w:drawing>
                <wp:inline distT="0" distB="0" distL="0" distR="0" wp14:anchorId="63711D63" wp14:editId="058145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55AC8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6DB236" w14:textId="77777777" w:rsidR="00F35BAF" w:rsidRDefault="009A68DF" w:rsidP="00C97039">
            <w:pPr>
              <w:spacing w:before="240"/>
            </w:pPr>
            <w:r>
              <w:t>Distr. générale</w:t>
            </w:r>
          </w:p>
          <w:p w14:paraId="1118D32D" w14:textId="77777777" w:rsidR="009A68DF" w:rsidRDefault="009A68DF" w:rsidP="009A68DF">
            <w:pPr>
              <w:spacing w:line="240" w:lineRule="exact"/>
            </w:pPr>
            <w:r>
              <w:t>25 mai 2023</w:t>
            </w:r>
          </w:p>
          <w:p w14:paraId="35834BB8" w14:textId="77777777" w:rsidR="009A68DF" w:rsidRDefault="009A68DF" w:rsidP="009A68DF">
            <w:pPr>
              <w:spacing w:line="240" w:lineRule="exact"/>
            </w:pPr>
            <w:r>
              <w:t>Français</w:t>
            </w:r>
          </w:p>
          <w:p w14:paraId="30C82609" w14:textId="5C860F0E" w:rsidR="009A68DF" w:rsidRPr="00DB58B5" w:rsidRDefault="009A68DF" w:rsidP="009A68DF">
            <w:pPr>
              <w:spacing w:line="240" w:lineRule="exact"/>
            </w:pPr>
            <w:r>
              <w:t>Original : anglais</w:t>
            </w:r>
          </w:p>
        </w:tc>
      </w:tr>
    </w:tbl>
    <w:p w14:paraId="74A9503B" w14:textId="77777777" w:rsidR="007F20FA" w:rsidRPr="000312C0" w:rsidRDefault="007F20FA" w:rsidP="007F20FA">
      <w:pPr>
        <w:spacing w:before="120"/>
        <w:rPr>
          <w:b/>
          <w:sz w:val="28"/>
          <w:szCs w:val="28"/>
        </w:rPr>
      </w:pPr>
      <w:r w:rsidRPr="000312C0">
        <w:rPr>
          <w:b/>
          <w:sz w:val="28"/>
          <w:szCs w:val="28"/>
        </w:rPr>
        <w:t>Commission économique pour l’Europe</w:t>
      </w:r>
    </w:p>
    <w:p w14:paraId="1E77DEDF" w14:textId="77777777" w:rsidR="007F20FA" w:rsidRDefault="007F20FA" w:rsidP="007F20FA">
      <w:pPr>
        <w:spacing w:before="120"/>
        <w:rPr>
          <w:sz w:val="28"/>
          <w:szCs w:val="28"/>
        </w:rPr>
      </w:pPr>
      <w:r w:rsidRPr="00685843">
        <w:rPr>
          <w:sz w:val="28"/>
          <w:szCs w:val="28"/>
        </w:rPr>
        <w:t>Comité des transports intérieurs</w:t>
      </w:r>
    </w:p>
    <w:p w14:paraId="57C03DE1" w14:textId="77777777" w:rsidR="009A68DF" w:rsidRDefault="009A68D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512B63C" w14:textId="77777777" w:rsidR="009A68DF" w:rsidRDefault="009A68DF" w:rsidP="00257168">
      <w:pPr>
        <w:spacing w:before="120" w:after="120" w:line="240" w:lineRule="exact"/>
        <w:rPr>
          <w:b/>
        </w:rPr>
      </w:pPr>
      <w:r>
        <w:rPr>
          <w:b/>
        </w:rPr>
        <w:t>Groupe de travail de l’éclairage et de la signalisation lumineuse</w:t>
      </w:r>
    </w:p>
    <w:p w14:paraId="1BAB8912" w14:textId="77777777" w:rsidR="009A68DF" w:rsidRPr="00C1181B" w:rsidRDefault="009A68DF" w:rsidP="009A68DF">
      <w:pPr>
        <w:spacing w:before="120"/>
        <w:rPr>
          <w:b/>
        </w:rPr>
      </w:pPr>
      <w:r>
        <w:rPr>
          <w:b/>
          <w:bCs/>
          <w:lang w:val="fr-FR"/>
        </w:rPr>
        <w:t>Quatre-vingt-huitième session</w:t>
      </w:r>
    </w:p>
    <w:p w14:paraId="1EB6367B" w14:textId="77777777" w:rsidR="009A68DF" w:rsidRPr="00C1181B" w:rsidRDefault="009A68DF" w:rsidP="009A68DF">
      <w:r>
        <w:rPr>
          <w:lang w:val="fr-FR"/>
        </w:rPr>
        <w:t>Genève, 25-28 avril 2023</w:t>
      </w:r>
      <w:r>
        <w:rPr>
          <w:rStyle w:val="Lienhypertexte"/>
          <w:webHidden/>
          <w:lang w:val="fr-FR"/>
        </w:rPr>
        <w:t xml:space="preserve"> </w:t>
      </w:r>
    </w:p>
    <w:p w14:paraId="4F54D656" w14:textId="7F3175C1" w:rsidR="009A68DF" w:rsidRPr="00C1181B" w:rsidRDefault="009A68DF" w:rsidP="009A68DF">
      <w:pPr>
        <w:pStyle w:val="HChG"/>
      </w:pPr>
      <w:r>
        <w:rPr>
          <w:lang w:val="fr-FR"/>
        </w:rPr>
        <w:tab/>
      </w:r>
      <w:r>
        <w:rPr>
          <w:lang w:val="fr-FR"/>
        </w:rPr>
        <w:tab/>
        <w:t xml:space="preserve">Rapport du Groupe de travail de l’éclairage </w:t>
      </w:r>
      <w:r>
        <w:rPr>
          <w:lang w:val="fr-FR"/>
        </w:rPr>
        <w:br/>
      </w:r>
      <w:r>
        <w:rPr>
          <w:lang w:val="fr-FR"/>
        </w:rPr>
        <w:t xml:space="preserve">et de la signalisation lumineuse sur sa </w:t>
      </w:r>
      <w:r>
        <w:rPr>
          <w:lang w:val="fr-FR"/>
        </w:rPr>
        <w:br/>
      </w:r>
      <w:r>
        <w:rPr>
          <w:lang w:val="fr-FR"/>
        </w:rPr>
        <w:t>quatre-vingt-huitième session</w:t>
      </w:r>
      <w:bookmarkStart w:id="0" w:name="_Toc365898453"/>
      <w:bookmarkStart w:id="1" w:name="_Toc369772204"/>
      <w:bookmarkEnd w:id="0"/>
      <w:bookmarkEnd w:id="1"/>
    </w:p>
    <w:p w14:paraId="206F1073" w14:textId="7F4F3ECA" w:rsidR="00F9573C" w:rsidRPr="009A68DF" w:rsidRDefault="009A68DF" w:rsidP="009A68DF">
      <w:pPr>
        <w:spacing w:after="120"/>
        <w:rPr>
          <w:sz w:val="28"/>
        </w:rPr>
      </w:pPr>
      <w:r w:rsidRPr="009A68DF">
        <w:rPr>
          <w:sz w:val="28"/>
        </w:rPr>
        <w:t>Table des matières</w:t>
      </w:r>
    </w:p>
    <w:p w14:paraId="1E28D614" w14:textId="212EB063" w:rsidR="009A68DF" w:rsidRPr="009A68DF" w:rsidRDefault="009A68DF" w:rsidP="009A68DF">
      <w:pPr>
        <w:tabs>
          <w:tab w:val="right" w:pos="8929"/>
          <w:tab w:val="right" w:pos="9638"/>
        </w:tabs>
        <w:spacing w:after="120"/>
        <w:ind w:left="283"/>
        <w:rPr>
          <w:i/>
          <w:sz w:val="18"/>
        </w:rPr>
      </w:pPr>
      <w:r w:rsidRPr="009A68DF">
        <w:rPr>
          <w:i/>
          <w:sz w:val="18"/>
        </w:rPr>
        <w:tab/>
        <w:t>Paragraphes</w:t>
      </w:r>
      <w:r w:rsidRPr="009A68DF">
        <w:rPr>
          <w:i/>
          <w:sz w:val="18"/>
        </w:rPr>
        <w:tab/>
        <w:t>Page</w:t>
      </w:r>
    </w:p>
    <w:p w14:paraId="0DB9341B" w14:textId="77777777" w:rsidR="004E3861" w:rsidRDefault="004E3861" w:rsidP="004E3861">
      <w:pPr>
        <w:tabs>
          <w:tab w:val="right" w:pos="850"/>
          <w:tab w:val="right" w:leader="dot" w:pos="7654"/>
          <w:tab w:val="right" w:pos="8929"/>
          <w:tab w:val="right" w:pos="9638"/>
        </w:tabs>
        <w:spacing w:after="120"/>
        <w:ind w:left="1134" w:hanging="1134"/>
      </w:pPr>
      <w:bookmarkStart w:id="2" w:name="_GoBack"/>
      <w:bookmarkEnd w:id="2"/>
      <w:r>
        <w:tab/>
        <w:t>I.</w:t>
      </w:r>
      <w:r>
        <w:tab/>
      </w:r>
      <w:r>
        <w:rPr>
          <w:lang w:val="fr-FR"/>
        </w:rPr>
        <w:t>Participation</w:t>
      </w:r>
      <w:r>
        <w:tab/>
      </w:r>
      <w:r>
        <w:tab/>
        <w:t>1</w:t>
      </w:r>
      <w:r>
        <w:tab/>
        <w:t>3</w:t>
      </w:r>
    </w:p>
    <w:p w14:paraId="1510955A" w14:textId="77777777" w:rsidR="004E3861" w:rsidRDefault="004E3861" w:rsidP="004E3861">
      <w:pPr>
        <w:tabs>
          <w:tab w:val="right" w:pos="850"/>
          <w:tab w:val="right" w:leader="dot" w:pos="7654"/>
          <w:tab w:val="right" w:pos="8929"/>
          <w:tab w:val="right" w:pos="9638"/>
        </w:tabs>
        <w:spacing w:after="120"/>
        <w:ind w:left="1134" w:hanging="1134"/>
      </w:pPr>
      <w:r>
        <w:tab/>
        <w:t>II.</w:t>
      </w:r>
      <w:r>
        <w:tab/>
      </w:r>
      <w:r>
        <w:rPr>
          <w:lang w:val="fr-FR"/>
        </w:rPr>
        <w:t>Adoption de l’ordre du jour (point 1 de l’ordre du jour)</w:t>
      </w:r>
      <w:r>
        <w:tab/>
      </w:r>
      <w:r>
        <w:tab/>
        <w:t>2−4</w:t>
      </w:r>
      <w:r>
        <w:tab/>
        <w:t>3</w:t>
      </w:r>
    </w:p>
    <w:p w14:paraId="383E6840" w14:textId="77777777" w:rsidR="004E3861" w:rsidRDefault="004E3861" w:rsidP="004E3861">
      <w:pPr>
        <w:tabs>
          <w:tab w:val="right" w:pos="850"/>
          <w:tab w:val="right" w:leader="dot" w:pos="7654"/>
          <w:tab w:val="right" w:pos="8929"/>
          <w:tab w:val="right" w:pos="9638"/>
        </w:tabs>
        <w:spacing w:after="120"/>
        <w:ind w:left="1134" w:hanging="1134"/>
      </w:pPr>
      <w:r>
        <w:tab/>
        <w:t>III.</w:t>
      </w:r>
      <w:r>
        <w:tab/>
      </w:r>
      <w:r w:rsidRPr="00A963A7">
        <w:rPr>
          <w:lang w:val="fr-FR"/>
        </w:rPr>
        <w:t xml:space="preserve">Accord de 1998 − Règlements techniques mondiaux ONU : Élaboration </w:t>
      </w:r>
      <w:r>
        <w:rPr>
          <w:lang w:val="fr-FR"/>
        </w:rPr>
        <w:br/>
      </w:r>
      <w:r w:rsidRPr="00A963A7">
        <w:rPr>
          <w:lang w:val="fr-FR"/>
        </w:rPr>
        <w:t>(point 2 de l’ordre du jour)</w:t>
      </w:r>
      <w:r>
        <w:tab/>
      </w:r>
      <w:r>
        <w:tab/>
        <w:t>5</w:t>
      </w:r>
      <w:r>
        <w:tab/>
        <w:t>3</w:t>
      </w:r>
    </w:p>
    <w:p w14:paraId="4D322ED3" w14:textId="77777777" w:rsidR="004E3861" w:rsidRDefault="004E3861" w:rsidP="004E3861">
      <w:pPr>
        <w:tabs>
          <w:tab w:val="right" w:pos="850"/>
          <w:tab w:val="right" w:leader="dot" w:pos="7654"/>
          <w:tab w:val="right" w:pos="8929"/>
          <w:tab w:val="right" w:pos="9638"/>
        </w:tabs>
        <w:spacing w:after="120"/>
        <w:ind w:left="1134" w:hanging="1134"/>
      </w:pPr>
      <w:r>
        <w:tab/>
        <w:t>IV.</w:t>
      </w:r>
      <w:r>
        <w:tab/>
      </w:r>
      <w:r>
        <w:rPr>
          <w:lang w:val="fr-FR"/>
        </w:rPr>
        <w:t>Accord de 1997 − Règles : Élaboration (point 3 de l’ordre du jour)</w:t>
      </w:r>
      <w:r>
        <w:tab/>
      </w:r>
      <w:r>
        <w:tab/>
        <w:t>6</w:t>
      </w:r>
      <w:r>
        <w:tab/>
        <w:t>3</w:t>
      </w:r>
    </w:p>
    <w:p w14:paraId="193B2ABF" w14:textId="77777777" w:rsidR="004E3861" w:rsidRDefault="004E3861" w:rsidP="004E3861">
      <w:pPr>
        <w:tabs>
          <w:tab w:val="right" w:pos="850"/>
          <w:tab w:val="right" w:leader="dot" w:pos="7654"/>
          <w:tab w:val="right" w:pos="8929"/>
          <w:tab w:val="right" w:pos="9638"/>
        </w:tabs>
        <w:spacing w:after="120"/>
        <w:ind w:left="1134" w:hanging="1134"/>
      </w:pPr>
      <w:r>
        <w:tab/>
        <w:t>V.</w:t>
      </w:r>
      <w:r>
        <w:tab/>
      </w:r>
      <w:r>
        <w:rPr>
          <w:lang w:val="fr-FR"/>
        </w:rPr>
        <w:t xml:space="preserve">Simplification des Règlements ONU relatifs à l’éclairage et à la signalisation </w:t>
      </w:r>
      <w:r>
        <w:rPr>
          <w:lang w:val="fr-FR"/>
        </w:rPr>
        <w:br/>
        <w:t>lumineuse (point 4 de l’ordre du jour</w:t>
      </w:r>
      <w:r>
        <w:tab/>
      </w:r>
      <w:r>
        <w:tab/>
        <w:t>7−14</w:t>
      </w:r>
      <w:r>
        <w:tab/>
        <w:t>4</w:t>
      </w:r>
    </w:p>
    <w:p w14:paraId="0DE3AFEA" w14:textId="77777777" w:rsidR="004E3861" w:rsidRDefault="004E3861" w:rsidP="004E3861">
      <w:pPr>
        <w:tabs>
          <w:tab w:val="right" w:pos="850"/>
          <w:tab w:val="right" w:leader="dot" w:pos="7654"/>
          <w:tab w:val="right" w:pos="8929"/>
          <w:tab w:val="right" w:pos="9638"/>
        </w:tabs>
        <w:spacing w:after="120"/>
        <w:ind w:left="1134" w:hanging="1134"/>
      </w:pPr>
      <w:r>
        <w:tab/>
        <w:t>VI.</w:t>
      </w:r>
      <w:r>
        <w:tab/>
      </w:r>
      <w:r>
        <w:rPr>
          <w:lang w:val="fr-FR"/>
        </w:rPr>
        <w:t xml:space="preserve">Règlements ONU concernant les sources lumineuses et Résolution d’ensemble </w:t>
      </w:r>
      <w:r>
        <w:rPr>
          <w:lang w:val="fr-FR"/>
        </w:rPr>
        <w:br/>
        <w:t>sur une spécification commune des catégories de sources lumineuses</w:t>
      </w:r>
      <w:r>
        <w:tab/>
      </w:r>
      <w:r>
        <w:tab/>
        <w:t>15</w:t>
      </w:r>
      <w:r>
        <w:tab/>
        <w:t>5</w:t>
      </w:r>
    </w:p>
    <w:p w14:paraId="72E06544" w14:textId="77777777" w:rsidR="004E3861" w:rsidRDefault="004E3861" w:rsidP="004E3861">
      <w:pPr>
        <w:tabs>
          <w:tab w:val="right" w:pos="850"/>
          <w:tab w:val="right" w:leader="dot" w:pos="7654"/>
          <w:tab w:val="right" w:pos="8929"/>
          <w:tab w:val="right" w:pos="9638"/>
        </w:tabs>
        <w:spacing w:after="120"/>
        <w:ind w:left="1134" w:hanging="1134"/>
      </w:pPr>
      <w:r>
        <w:tab/>
        <w:t>VII.</w:t>
      </w:r>
      <w:r>
        <w:tab/>
      </w:r>
      <w:r>
        <w:rPr>
          <w:lang w:val="fr-FR"/>
        </w:rPr>
        <w:t>Règlements ONU concernant l’installation (point 6 de l’ordre du jour)</w:t>
      </w:r>
      <w:r>
        <w:tab/>
      </w:r>
      <w:r>
        <w:tab/>
        <w:t>16−29</w:t>
      </w:r>
      <w:r>
        <w:tab/>
        <w:t>5</w:t>
      </w:r>
    </w:p>
    <w:p w14:paraId="2599E9ED" w14:textId="77777777" w:rsidR="004E3861" w:rsidRDefault="004E3861" w:rsidP="004E3861">
      <w:pPr>
        <w:tabs>
          <w:tab w:val="right" w:leader="dot" w:pos="7654"/>
          <w:tab w:val="right" w:pos="8929"/>
          <w:tab w:val="right" w:pos="9638"/>
        </w:tabs>
        <w:spacing w:after="120"/>
        <w:ind w:left="1559" w:hanging="425"/>
      </w:pPr>
      <w:r>
        <w:t>A.</w:t>
      </w:r>
      <w:r>
        <w:tab/>
      </w:r>
      <w:r>
        <w:rPr>
          <w:lang w:val="fr-FR"/>
        </w:rPr>
        <w:t xml:space="preserve">Règlement ONU </w:t>
      </w:r>
      <w:r w:rsidRPr="00E40983">
        <w:rPr>
          <w:lang w:val="fr-FR"/>
        </w:rPr>
        <w:t>n</w:t>
      </w:r>
      <w:r w:rsidRPr="00E40983">
        <w:rPr>
          <w:vertAlign w:val="superscript"/>
          <w:lang w:val="fr-FR"/>
        </w:rPr>
        <w:t>o</w:t>
      </w:r>
      <w:r>
        <w:rPr>
          <w:vertAlign w:val="superscript"/>
          <w:lang w:val="fr-FR"/>
        </w:rPr>
        <w:t> </w:t>
      </w:r>
      <w:r>
        <w:rPr>
          <w:lang w:val="fr-FR"/>
        </w:rPr>
        <w:t xml:space="preserve">48 (Installation des dispositifs d’éclairage </w:t>
      </w:r>
      <w:r>
        <w:rPr>
          <w:lang w:val="fr-FR"/>
        </w:rPr>
        <w:br/>
        <w:t>et de signalisation lumineuse)</w:t>
      </w:r>
      <w:r>
        <w:tab/>
      </w:r>
      <w:r>
        <w:tab/>
        <w:t>16−27</w:t>
      </w:r>
      <w:r>
        <w:tab/>
        <w:t>5</w:t>
      </w:r>
    </w:p>
    <w:p w14:paraId="1CAFE544" w14:textId="77777777" w:rsidR="004E3861" w:rsidRDefault="004E3861" w:rsidP="004E3861">
      <w:pPr>
        <w:tabs>
          <w:tab w:val="right" w:leader="dot" w:pos="7654"/>
          <w:tab w:val="right" w:pos="8929"/>
          <w:tab w:val="right" w:pos="9638"/>
        </w:tabs>
        <w:spacing w:after="120"/>
        <w:ind w:left="1559" w:hanging="425"/>
      </w:pPr>
      <w:r>
        <w:t>B.</w:t>
      </w:r>
      <w:r>
        <w:tab/>
      </w:r>
      <w:r>
        <w:rPr>
          <w:lang w:val="fr-FR"/>
        </w:rPr>
        <w:t>Autres Règlements ONU concernant l’installation</w:t>
      </w:r>
      <w:r>
        <w:tab/>
      </w:r>
      <w:r>
        <w:tab/>
        <w:t>28−29</w:t>
      </w:r>
      <w:r>
        <w:tab/>
        <w:t>7</w:t>
      </w:r>
    </w:p>
    <w:p w14:paraId="22FB3613" w14:textId="77777777" w:rsidR="004E3861" w:rsidRDefault="004E3861" w:rsidP="004E3861">
      <w:pPr>
        <w:tabs>
          <w:tab w:val="right" w:pos="850"/>
          <w:tab w:val="right" w:leader="dot" w:pos="7654"/>
          <w:tab w:val="right" w:pos="8929"/>
          <w:tab w:val="right" w:pos="9638"/>
        </w:tabs>
        <w:spacing w:after="120"/>
        <w:ind w:left="1134" w:hanging="1134"/>
      </w:pPr>
      <w:r>
        <w:tab/>
        <w:t>VIII.</w:t>
      </w:r>
      <w:r>
        <w:tab/>
      </w:r>
      <w:r>
        <w:rPr>
          <w:lang w:val="fr-FR"/>
        </w:rPr>
        <w:t>Règlements ONU concernant les dispositifs (point 7 de l’ordre du jour)</w:t>
      </w:r>
      <w:r>
        <w:tab/>
      </w:r>
      <w:r>
        <w:tab/>
        <w:t>30−31</w:t>
      </w:r>
      <w:r>
        <w:tab/>
        <w:t>7</w:t>
      </w:r>
    </w:p>
    <w:p w14:paraId="1A563E9D" w14:textId="77777777" w:rsidR="004E3861" w:rsidRDefault="004E3861" w:rsidP="004E3861">
      <w:pPr>
        <w:tabs>
          <w:tab w:val="right" w:pos="850"/>
          <w:tab w:val="right" w:leader="dot" w:pos="7654"/>
          <w:tab w:val="right" w:pos="8929"/>
          <w:tab w:val="right" w:pos="9638"/>
        </w:tabs>
        <w:spacing w:after="120"/>
        <w:ind w:left="1134" w:hanging="1134"/>
      </w:pPr>
      <w:r>
        <w:tab/>
        <w:t>IX.</w:t>
      </w:r>
      <w:r>
        <w:tab/>
      </w:r>
      <w:r>
        <w:rPr>
          <w:lang w:val="fr-FR"/>
        </w:rPr>
        <w:t xml:space="preserve">Règlement ONU </w:t>
      </w:r>
      <w:r w:rsidRPr="00E40983">
        <w:rPr>
          <w:lang w:val="fr-FR"/>
        </w:rPr>
        <w:t>n</w:t>
      </w:r>
      <w:r w:rsidRPr="00E40983">
        <w:rPr>
          <w:vertAlign w:val="superscript"/>
          <w:lang w:val="fr-FR"/>
        </w:rPr>
        <w:t>o</w:t>
      </w:r>
      <w:r>
        <w:rPr>
          <w:vertAlign w:val="superscript"/>
          <w:lang w:val="fr-FR"/>
        </w:rPr>
        <w:t> </w:t>
      </w:r>
      <w:r>
        <w:rPr>
          <w:lang w:val="fr-FR"/>
        </w:rPr>
        <w:t xml:space="preserve">10 (Compatibilité électromagnétique) </w:t>
      </w:r>
      <w:r>
        <w:rPr>
          <w:lang w:val="fr-FR"/>
        </w:rPr>
        <w:br/>
        <w:t>(point 8 de l’ordre du jour)</w:t>
      </w:r>
      <w:r>
        <w:tab/>
      </w:r>
      <w:r>
        <w:tab/>
        <w:t>32</w:t>
      </w:r>
      <w:r>
        <w:tab/>
        <w:t>8</w:t>
      </w:r>
    </w:p>
    <w:p w14:paraId="79ACB9FD" w14:textId="77777777" w:rsidR="004E3861" w:rsidRDefault="004E3861" w:rsidP="004E3861">
      <w:pPr>
        <w:tabs>
          <w:tab w:val="right" w:pos="850"/>
          <w:tab w:val="right" w:leader="dot" w:pos="7654"/>
          <w:tab w:val="right" w:pos="8929"/>
          <w:tab w:val="right" w:pos="9638"/>
        </w:tabs>
        <w:spacing w:after="120"/>
        <w:ind w:left="1134" w:hanging="1134"/>
      </w:pPr>
      <w:r>
        <w:tab/>
        <w:t>X.</w:t>
      </w:r>
      <w:r>
        <w:tab/>
      </w:r>
      <w:r>
        <w:rPr>
          <w:lang w:val="fr-FR"/>
        </w:rPr>
        <w:t>Autres Règlements ONU (point 9 de l’ordre du jour)</w:t>
      </w:r>
      <w:r>
        <w:tab/>
      </w:r>
      <w:r>
        <w:tab/>
        <w:t>33</w:t>
      </w:r>
      <w:r>
        <w:tab/>
        <w:t>8</w:t>
      </w:r>
    </w:p>
    <w:p w14:paraId="72681E83" w14:textId="77777777" w:rsidR="004E3861" w:rsidRDefault="004E3861" w:rsidP="004E3861">
      <w:pPr>
        <w:tabs>
          <w:tab w:val="right" w:pos="850"/>
          <w:tab w:val="right" w:leader="dot" w:pos="7654"/>
          <w:tab w:val="right" w:pos="8929"/>
          <w:tab w:val="right" w:pos="9638"/>
        </w:tabs>
        <w:spacing w:after="120"/>
        <w:ind w:left="1134" w:hanging="1134"/>
      </w:pPr>
      <w:r>
        <w:tab/>
        <w:t>XI.</w:t>
      </w:r>
      <w:r>
        <w:tab/>
      </w:r>
      <w:r>
        <w:rPr>
          <w:lang w:val="fr-FR"/>
        </w:rPr>
        <w:t>Questions diverses (point 10 de l’ordre du jour)</w:t>
      </w:r>
      <w:r>
        <w:tab/>
      </w:r>
      <w:r>
        <w:tab/>
        <w:t>34−40</w:t>
      </w:r>
      <w:r>
        <w:tab/>
        <w:t>8</w:t>
      </w:r>
    </w:p>
    <w:p w14:paraId="1F676E52" w14:textId="77777777" w:rsidR="004E3861" w:rsidRDefault="004E3861" w:rsidP="004E3861">
      <w:pPr>
        <w:tabs>
          <w:tab w:val="right" w:leader="dot" w:pos="7654"/>
          <w:tab w:val="right" w:pos="8929"/>
          <w:tab w:val="right" w:pos="9638"/>
        </w:tabs>
        <w:spacing w:after="120"/>
        <w:ind w:left="1559" w:hanging="425"/>
      </w:pPr>
      <w:r>
        <w:t>A.</w:t>
      </w:r>
      <w:r>
        <w:tab/>
      </w:r>
      <w:r>
        <w:rPr>
          <w:lang w:val="fr-FR"/>
        </w:rPr>
        <w:t xml:space="preserve">Mise au point d’une homologation de type internationale de l’ensemble </w:t>
      </w:r>
      <w:r>
        <w:rPr>
          <w:lang w:val="fr-FR"/>
        </w:rPr>
        <w:br/>
        <w:t>du véhicule</w:t>
      </w:r>
      <w:r>
        <w:tab/>
      </w:r>
      <w:r>
        <w:tab/>
        <w:t>34</w:t>
      </w:r>
      <w:r>
        <w:tab/>
        <w:t>8</w:t>
      </w:r>
    </w:p>
    <w:p w14:paraId="5DFFF476" w14:textId="77777777" w:rsidR="004E3861" w:rsidRDefault="004E3861" w:rsidP="004E3861">
      <w:pPr>
        <w:keepNext/>
        <w:tabs>
          <w:tab w:val="right" w:leader="dot" w:pos="7654"/>
          <w:tab w:val="right" w:pos="8929"/>
          <w:tab w:val="right" w:pos="9638"/>
        </w:tabs>
        <w:spacing w:after="120"/>
        <w:ind w:left="1559" w:hanging="425"/>
      </w:pPr>
      <w:r>
        <w:lastRenderedPageBreak/>
        <w:t>B.</w:t>
      </w:r>
      <w:r>
        <w:tab/>
      </w:r>
      <w:r>
        <w:rPr>
          <w:lang w:val="fr-FR"/>
        </w:rPr>
        <w:t>Amendements à la Convention sur la circulation routière (Vienne, 1968)</w:t>
      </w:r>
      <w:r>
        <w:tab/>
      </w:r>
      <w:r>
        <w:tab/>
        <w:t>35−36</w:t>
      </w:r>
      <w:r>
        <w:tab/>
        <w:t>8</w:t>
      </w:r>
    </w:p>
    <w:p w14:paraId="3F52474E" w14:textId="77777777" w:rsidR="004E3861" w:rsidRDefault="004E3861" w:rsidP="004E3861">
      <w:pPr>
        <w:tabs>
          <w:tab w:val="right" w:leader="dot" w:pos="7654"/>
          <w:tab w:val="right" w:pos="8929"/>
          <w:tab w:val="right" w:pos="9638"/>
        </w:tabs>
        <w:spacing w:after="120"/>
        <w:ind w:left="1559" w:hanging="425"/>
      </w:pPr>
      <w:r>
        <w:t>C.</w:t>
      </w:r>
      <w:r>
        <w:tab/>
      </w:r>
      <w:r>
        <w:rPr>
          <w:lang w:val="fr-FR"/>
        </w:rPr>
        <w:t>Autres questions</w:t>
      </w:r>
      <w:r>
        <w:tab/>
      </w:r>
      <w:r>
        <w:tab/>
        <w:t>37−40</w:t>
      </w:r>
      <w:r>
        <w:tab/>
        <w:t>9</w:t>
      </w:r>
    </w:p>
    <w:p w14:paraId="52865F84" w14:textId="77777777" w:rsidR="004E3861" w:rsidRDefault="004E3861" w:rsidP="004E3861">
      <w:pPr>
        <w:tabs>
          <w:tab w:val="right" w:pos="850"/>
          <w:tab w:val="right" w:leader="dot" w:pos="7654"/>
          <w:tab w:val="right" w:pos="8929"/>
          <w:tab w:val="right" w:pos="9638"/>
        </w:tabs>
        <w:spacing w:after="120"/>
        <w:ind w:left="1134" w:hanging="1134"/>
      </w:pPr>
      <w:r>
        <w:tab/>
        <w:t>XII.</w:t>
      </w:r>
      <w:r>
        <w:tab/>
      </w:r>
      <w:r>
        <w:rPr>
          <w:lang w:val="fr-FR"/>
        </w:rPr>
        <w:t xml:space="preserve">Orientation des travaux futurs du Groupe de travail de l’éclairage </w:t>
      </w:r>
      <w:r>
        <w:rPr>
          <w:lang w:val="fr-FR"/>
        </w:rPr>
        <w:br/>
        <w:t>et de la signalisation lumineuse (point 11 de l’ordre du jour)</w:t>
      </w:r>
      <w:r>
        <w:tab/>
      </w:r>
      <w:r>
        <w:tab/>
        <w:t>41−42</w:t>
      </w:r>
      <w:r>
        <w:tab/>
        <w:t>9</w:t>
      </w:r>
    </w:p>
    <w:p w14:paraId="080B1F2D" w14:textId="77777777" w:rsidR="004E3861" w:rsidRDefault="004E3861" w:rsidP="004E3861">
      <w:pPr>
        <w:tabs>
          <w:tab w:val="right" w:pos="850"/>
          <w:tab w:val="right" w:leader="dot" w:pos="7654"/>
          <w:tab w:val="right" w:pos="8929"/>
          <w:tab w:val="right" w:pos="9638"/>
        </w:tabs>
        <w:spacing w:after="120"/>
        <w:ind w:left="1134" w:hanging="1134"/>
      </w:pPr>
      <w:r>
        <w:tab/>
        <w:t>XIII.</w:t>
      </w:r>
      <w:r>
        <w:tab/>
      </w:r>
      <w:r>
        <w:rPr>
          <w:lang w:val="fr-FR"/>
        </w:rPr>
        <w:t>Ordre du jour provisoire de la prochaine session (point 12 de l’ordre du jour)</w:t>
      </w:r>
      <w:r>
        <w:tab/>
      </w:r>
      <w:r>
        <w:tab/>
        <w:t>43</w:t>
      </w:r>
      <w:r>
        <w:tab/>
        <w:t>10</w:t>
      </w:r>
    </w:p>
    <w:p w14:paraId="2DB7BB1E" w14:textId="77777777" w:rsidR="004E3861" w:rsidRPr="009A68DF" w:rsidRDefault="004E3861" w:rsidP="004E3861">
      <w:pPr>
        <w:tabs>
          <w:tab w:val="right" w:pos="850"/>
        </w:tabs>
        <w:spacing w:after="120"/>
      </w:pPr>
      <w:r>
        <w:tab/>
        <w:t>Annexes</w:t>
      </w:r>
    </w:p>
    <w:p w14:paraId="7C924975" w14:textId="77777777" w:rsidR="004E3861" w:rsidRDefault="004E3861" w:rsidP="004E3861">
      <w:pPr>
        <w:tabs>
          <w:tab w:val="right" w:pos="850"/>
          <w:tab w:val="right" w:leader="dot" w:pos="8929"/>
          <w:tab w:val="right" w:pos="9638"/>
        </w:tabs>
        <w:spacing w:after="120"/>
        <w:ind w:left="1134" w:hanging="1134"/>
      </w:pPr>
      <w:r>
        <w:tab/>
        <w:t>I.</w:t>
      </w:r>
      <w:r>
        <w:tab/>
      </w:r>
      <w:r>
        <w:rPr>
          <w:lang w:val="fr-FR"/>
        </w:rPr>
        <w:t>Liste des documents informels publiés pour la session</w:t>
      </w:r>
      <w:r>
        <w:tab/>
      </w:r>
      <w:r>
        <w:tab/>
        <w:t>11</w:t>
      </w:r>
    </w:p>
    <w:p w14:paraId="13190C5C" w14:textId="77777777" w:rsidR="004E3861" w:rsidRDefault="004E3861" w:rsidP="004E3861">
      <w:pPr>
        <w:tabs>
          <w:tab w:val="right" w:pos="850"/>
          <w:tab w:val="right" w:leader="dot" w:pos="8929"/>
          <w:tab w:val="right" w:pos="9638"/>
        </w:tabs>
        <w:spacing w:after="120"/>
        <w:ind w:left="1134" w:hanging="1134"/>
      </w:pPr>
      <w:r>
        <w:tab/>
        <w:t>II.</w:t>
      </w:r>
      <w:r>
        <w:tab/>
      </w:r>
      <w:r>
        <w:rPr>
          <w:lang w:val="fr-FR"/>
        </w:rPr>
        <w:t xml:space="preserve">Dispositions transitoires pour la série 09 d’amendements au Règlement ONU </w:t>
      </w:r>
      <w:r w:rsidRPr="00541C83">
        <w:rPr>
          <w:lang w:val="fr-FR"/>
        </w:rPr>
        <w:t>n</w:t>
      </w:r>
      <w:r w:rsidRPr="00541C83">
        <w:rPr>
          <w:vertAlign w:val="superscript"/>
          <w:lang w:val="fr-FR"/>
        </w:rPr>
        <w:t>o</w:t>
      </w:r>
      <w:r>
        <w:rPr>
          <w:vertAlign w:val="superscript"/>
          <w:lang w:val="fr-FR"/>
        </w:rPr>
        <w:t> </w:t>
      </w:r>
      <w:r>
        <w:rPr>
          <w:lang w:val="fr-FR"/>
        </w:rPr>
        <w:t>48</w:t>
      </w:r>
      <w:r>
        <w:tab/>
      </w:r>
      <w:r>
        <w:tab/>
        <w:t>13</w:t>
      </w:r>
    </w:p>
    <w:p w14:paraId="42FBECD4" w14:textId="77777777" w:rsidR="004E3861" w:rsidRDefault="004E3861" w:rsidP="004E3861">
      <w:pPr>
        <w:tabs>
          <w:tab w:val="right" w:pos="850"/>
          <w:tab w:val="right" w:leader="dot" w:pos="8929"/>
          <w:tab w:val="right" w:pos="9638"/>
        </w:tabs>
        <w:spacing w:after="120"/>
        <w:ind w:left="1134" w:hanging="1134"/>
      </w:pPr>
      <w:r>
        <w:tab/>
        <w:t>III.</w:t>
      </w:r>
      <w:r>
        <w:tab/>
      </w:r>
      <w:r w:rsidRPr="00FB4D7B">
        <w:rPr>
          <w:bCs/>
          <w:lang w:val="fr-FR"/>
        </w:rPr>
        <w:t>Groupes informels du GRE</w:t>
      </w:r>
      <w:r>
        <w:tab/>
      </w:r>
      <w:r>
        <w:tab/>
        <w:t>15</w:t>
      </w:r>
    </w:p>
    <w:p w14:paraId="0E2AF611" w14:textId="273D0319" w:rsidR="009A68DF" w:rsidRDefault="009A68DF">
      <w:pPr>
        <w:suppressAutoHyphens w:val="0"/>
        <w:kinsoku/>
        <w:overflowPunct/>
        <w:autoSpaceDE/>
        <w:autoSpaceDN/>
        <w:adjustRightInd/>
        <w:snapToGrid/>
        <w:spacing w:after="200" w:line="276" w:lineRule="auto"/>
      </w:pPr>
      <w:r>
        <w:br w:type="page"/>
      </w:r>
    </w:p>
    <w:p w14:paraId="7ABF2052" w14:textId="77777777" w:rsidR="009A68DF" w:rsidRPr="00C1181B" w:rsidRDefault="009A68DF" w:rsidP="009A68DF">
      <w:pPr>
        <w:pStyle w:val="HChG"/>
      </w:pPr>
      <w:bookmarkStart w:id="3" w:name="_Toc360526240"/>
      <w:bookmarkStart w:id="4" w:name="_Toc360526836"/>
      <w:bookmarkStart w:id="5" w:name="_Toc369772205"/>
      <w:r>
        <w:rPr>
          <w:lang w:val="fr-FR"/>
        </w:rPr>
        <w:lastRenderedPageBreak/>
        <w:tab/>
        <w:t>I.</w:t>
      </w:r>
      <w:r>
        <w:rPr>
          <w:lang w:val="fr-FR"/>
        </w:rPr>
        <w:tab/>
      </w:r>
      <w:bookmarkStart w:id="6" w:name="_Hlk158357055"/>
      <w:r>
        <w:rPr>
          <w:lang w:val="fr-FR"/>
        </w:rPr>
        <w:t>Participation</w:t>
      </w:r>
      <w:bookmarkEnd w:id="3"/>
      <w:bookmarkEnd w:id="4"/>
      <w:bookmarkEnd w:id="5"/>
      <w:bookmarkEnd w:id="6"/>
    </w:p>
    <w:p w14:paraId="1147E9FF" w14:textId="5F6084DC" w:rsidR="009A68DF" w:rsidRPr="00C1181B" w:rsidRDefault="009A68DF" w:rsidP="009A68DF">
      <w:pPr>
        <w:pStyle w:val="SingleTxtG"/>
      </w:pPr>
      <w:r>
        <w:rPr>
          <w:lang w:val="fr-FR"/>
        </w:rPr>
        <w:t>1.</w:t>
      </w:r>
      <w:r>
        <w:rPr>
          <w:lang w:val="fr-FR"/>
        </w:rPr>
        <w:tab/>
        <w:t>Le Groupe de travail de l’éclairage et de la signalisation lumineuse (GRE) a tenu sa quatre-vingt-huitième session du 25 au 28 avril 2023 à Genève sous la présidence de M.</w:t>
      </w:r>
      <w:r>
        <w:rPr>
          <w:lang w:val="fr-FR"/>
        </w:rPr>
        <w:t> </w:t>
      </w:r>
      <w:r>
        <w:rPr>
          <w:lang w:val="fr-FR"/>
        </w:rPr>
        <w:t>T. </w:t>
      </w:r>
      <w:proofErr w:type="spellStart"/>
      <w:r>
        <w:rPr>
          <w:lang w:val="fr-FR"/>
        </w:rPr>
        <w:t>Kärkkäinen</w:t>
      </w:r>
      <w:proofErr w:type="spellEnd"/>
      <w:r>
        <w:rPr>
          <w:lang w:val="fr-FR"/>
        </w:rPr>
        <w:t xml:space="preserve"> (Finlande). Conformément à l’article 1 a) du Règlement intérieur du Forum mondial de l’harmonisation des Règlements concernant les véhicules (WP.29) (ECE/TRANS/WP.29/690/Rev.2), des experts des pays suivants ont participé à la session : Afrique du Sud, Allemagne, Australie, Canada, Chine, Espagne, États-Unis d’Amérique, Fédération de Russie, Finlande, France, Inde, Italie, Japon, Norvège, Pays-Bas, Pologne, République de Corée, Royaume-Uni de Grande-Bretagne et d’Irlande du Nord, Serbie et Tchéquie. Un expert de la Commission européenne (CE) était également présent. Ont également pris part à la session des experts des organisations non gouvernementales suivantes : American Automotive Policy Council (AAPC), Comité européen des groupements de constructeurs du machinisme agricole (CEMA), </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(CLEPA), Fédération internationale de motocyclisme (FIM), Association internationale de la construction de carrosseries et de remorques (CLCCR), Groupe de travail « Bruxelles 1952 » (GTB), Commission électrotechnique internationale (CEI), International </w:t>
      </w:r>
      <w:proofErr w:type="spellStart"/>
      <w:r>
        <w:rPr>
          <w:lang w:val="fr-FR"/>
        </w:rPr>
        <w:t>Motor</w:t>
      </w:r>
      <w:proofErr w:type="spellEnd"/>
      <w:r>
        <w:rPr>
          <w:lang w:val="fr-FR"/>
        </w:rPr>
        <w:t xml:space="preserve"> </w:t>
      </w:r>
      <w:proofErr w:type="spellStart"/>
      <w:r>
        <w:rPr>
          <w:lang w:val="fr-FR"/>
        </w:rPr>
        <w:t>Vehicle</w:t>
      </w:r>
      <w:proofErr w:type="spellEnd"/>
      <w:r>
        <w:rPr>
          <w:lang w:val="fr-FR"/>
        </w:rPr>
        <w:t xml:space="preserve"> Inspection Committee (CITA), 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Organisation internationale des constructeurs d’automobiles (OICA) et SAE International (SAE).</w:t>
      </w:r>
    </w:p>
    <w:p w14:paraId="0EE88706" w14:textId="77777777" w:rsidR="009A68DF" w:rsidRPr="00C1181B" w:rsidRDefault="009A68DF" w:rsidP="009A68DF">
      <w:pPr>
        <w:pStyle w:val="HChG"/>
      </w:pPr>
      <w:r>
        <w:rPr>
          <w:lang w:val="fr-FR"/>
        </w:rPr>
        <w:tab/>
        <w:t>II.</w:t>
      </w:r>
      <w:r>
        <w:rPr>
          <w:lang w:val="fr-FR"/>
        </w:rPr>
        <w:tab/>
      </w:r>
      <w:bookmarkStart w:id="7" w:name="_Hlk158357062"/>
      <w:r>
        <w:rPr>
          <w:lang w:val="fr-FR"/>
        </w:rPr>
        <w:t>Adoption de l’ordre du jour (point 1 de l’ordre du jour)</w:t>
      </w:r>
      <w:bookmarkStart w:id="8" w:name="_Toc360525455"/>
      <w:bookmarkStart w:id="9" w:name="_Toc360526241"/>
      <w:bookmarkStart w:id="10" w:name="_Toc360526837"/>
      <w:bookmarkStart w:id="11" w:name="_Toc369772206"/>
      <w:bookmarkEnd w:id="8"/>
      <w:bookmarkEnd w:id="9"/>
      <w:bookmarkEnd w:id="10"/>
      <w:bookmarkEnd w:id="11"/>
      <w:bookmarkEnd w:id="7"/>
    </w:p>
    <w:p w14:paraId="0990AB2E" w14:textId="096A0DD1" w:rsidR="009A68DF" w:rsidRPr="00C1181B" w:rsidRDefault="009A68DF" w:rsidP="00672320">
      <w:pPr>
        <w:pStyle w:val="SingleTxtG"/>
        <w:ind w:left="2835" w:hanging="1701"/>
        <w:jc w:val="left"/>
      </w:pPr>
      <w:r>
        <w:rPr>
          <w:i/>
          <w:iCs/>
          <w:lang w:val="fr-FR"/>
        </w:rPr>
        <w:t>Document(s) :</w:t>
      </w:r>
      <w:r>
        <w:rPr>
          <w:lang w:val="fr-FR"/>
        </w:rPr>
        <w:tab/>
      </w:r>
      <w:r w:rsidRPr="00672320">
        <w:rPr>
          <w:spacing w:val="-4"/>
          <w:lang w:val="fr-FR"/>
        </w:rPr>
        <w:t>ECE/TRANS/WP.29/GRE/2023/1 et documents informels GRE-88-01, GRE-88-</w:t>
      </w:r>
      <w:r>
        <w:rPr>
          <w:lang w:val="fr-FR"/>
        </w:rPr>
        <w:t xml:space="preserve">06 et GRE-88-12-Rev.1 </w:t>
      </w:r>
    </w:p>
    <w:p w14:paraId="0E03A775" w14:textId="77777777" w:rsidR="009A68DF" w:rsidRPr="00C1181B" w:rsidRDefault="009A68DF" w:rsidP="009A68DF">
      <w:pPr>
        <w:pStyle w:val="SingleTxtG"/>
      </w:pPr>
      <w:r>
        <w:rPr>
          <w:lang w:val="fr-FR"/>
        </w:rPr>
        <w:t>2.</w:t>
      </w:r>
      <w:r>
        <w:rPr>
          <w:lang w:val="fr-FR"/>
        </w:rPr>
        <w:tab/>
        <w:t xml:space="preserve">Le GRE a examiné et adopté l’ordre du jour (ECE/TRANS/WP.29/GRE/2023/1), tel que reproduit dans le document informel GRE-88-01 avec la liste des documents informels distribués pendant la session. Il a également pris note de l’ordre d’examen des points de l’ordre du jour proposé par le Président (GRE-88-06). </w:t>
      </w:r>
    </w:p>
    <w:p w14:paraId="3D3BD945" w14:textId="77777777" w:rsidR="009A68DF" w:rsidRPr="00C1181B" w:rsidRDefault="009A68DF" w:rsidP="009A68DF">
      <w:pPr>
        <w:pStyle w:val="SingleTxtG"/>
        <w:rPr>
          <w:bCs/>
        </w:rPr>
      </w:pPr>
      <w:r>
        <w:rPr>
          <w:lang w:val="fr-FR"/>
        </w:rPr>
        <w:t>3.</w:t>
      </w:r>
      <w:r>
        <w:rPr>
          <w:lang w:val="fr-FR"/>
        </w:rPr>
        <w:tab/>
        <w:t>La liste des documents informels figure à l’annexe I. On trouvera à l’annexe III la liste des groupes informels relevant du Groupe de travail.</w:t>
      </w:r>
    </w:p>
    <w:p w14:paraId="3C0AF486" w14:textId="7B917EE0" w:rsidR="009A68DF" w:rsidRPr="00C1181B" w:rsidRDefault="009A68DF" w:rsidP="009A68DF">
      <w:pPr>
        <w:pStyle w:val="SingleTxtG"/>
        <w:rPr>
          <w:bCs/>
        </w:rPr>
      </w:pPr>
      <w:r>
        <w:rPr>
          <w:lang w:val="fr-FR"/>
        </w:rPr>
        <w:t>4.</w:t>
      </w:r>
      <w:r>
        <w:rPr>
          <w:lang w:val="fr-FR"/>
        </w:rPr>
        <w:tab/>
        <w:t>Le GRE a pris note des principaux points évoqués pendant les sessions du WP.29 de novembre 2022 et mars 2023 (GRE-</w:t>
      </w:r>
      <w:r w:rsidRPr="00672320">
        <w:rPr>
          <w:lang w:val="fr-FR"/>
        </w:rPr>
        <w:t>8</w:t>
      </w:r>
      <w:r w:rsidR="00672320" w:rsidRPr="00672320">
        <w:rPr>
          <w:lang w:val="fr-FR"/>
        </w:rPr>
        <w:t>8</w:t>
      </w:r>
      <w:r>
        <w:rPr>
          <w:lang w:val="fr-FR"/>
        </w:rPr>
        <w:t>-12-Rev.1).</w:t>
      </w:r>
    </w:p>
    <w:p w14:paraId="0B5384F6" w14:textId="77777777" w:rsidR="009A68DF" w:rsidRPr="00C1181B" w:rsidRDefault="009A68DF" w:rsidP="009A68DF">
      <w:pPr>
        <w:pStyle w:val="HChG"/>
      </w:pPr>
      <w:r>
        <w:rPr>
          <w:lang w:val="fr-FR"/>
        </w:rPr>
        <w:tab/>
      </w:r>
      <w:r w:rsidRPr="00A963A7">
        <w:rPr>
          <w:lang w:val="fr-FR"/>
        </w:rPr>
        <w:t>III.</w:t>
      </w:r>
      <w:r w:rsidRPr="00A963A7">
        <w:rPr>
          <w:lang w:val="fr-FR"/>
        </w:rPr>
        <w:tab/>
      </w:r>
      <w:bookmarkStart w:id="12" w:name="_Hlk158357070"/>
      <w:r w:rsidRPr="00A963A7">
        <w:rPr>
          <w:lang w:val="fr-FR"/>
        </w:rPr>
        <w:t>Accord de 1998 − Règlements techniques mondiaux ONU : Élaboration (point 2 de l’ordre du jour)</w:t>
      </w:r>
      <w:bookmarkStart w:id="13" w:name="_Toc369772207"/>
      <w:bookmarkEnd w:id="13"/>
      <w:bookmarkEnd w:id="12"/>
    </w:p>
    <w:p w14:paraId="1E208166" w14:textId="77777777" w:rsidR="009A68DF" w:rsidRPr="00C1181B" w:rsidRDefault="009A68DF" w:rsidP="009A68DF">
      <w:pPr>
        <w:pStyle w:val="SingleTxtG"/>
      </w:pPr>
      <w:r>
        <w:rPr>
          <w:lang w:val="fr-FR"/>
        </w:rPr>
        <w:t>5.</w:t>
      </w:r>
      <w:r>
        <w:rPr>
          <w:lang w:val="fr-FR"/>
        </w:rPr>
        <w:tab/>
        <w:t xml:space="preserve">Aucune information n’a été communiquée au titre de ce point de l’ordre du jour.  </w:t>
      </w:r>
    </w:p>
    <w:p w14:paraId="6010EA17" w14:textId="64EB1A9E" w:rsidR="009A68DF" w:rsidRPr="00C1181B" w:rsidRDefault="009A68DF" w:rsidP="009A68DF">
      <w:pPr>
        <w:pStyle w:val="HChG"/>
      </w:pPr>
      <w:r>
        <w:rPr>
          <w:lang w:val="fr-FR"/>
        </w:rPr>
        <w:tab/>
        <w:t>IV.</w:t>
      </w:r>
      <w:r>
        <w:rPr>
          <w:lang w:val="fr-FR"/>
        </w:rPr>
        <w:tab/>
      </w:r>
      <w:bookmarkStart w:id="14" w:name="_Hlk158357079"/>
      <w:r>
        <w:rPr>
          <w:lang w:val="fr-FR"/>
        </w:rPr>
        <w:t xml:space="preserve">Accord de 1997 − Règles : Élaboration (point 3 de l’ordre </w:t>
      </w:r>
      <w:r w:rsidR="00A963A7">
        <w:rPr>
          <w:lang w:val="fr-FR"/>
        </w:rPr>
        <w:br/>
      </w:r>
      <w:r>
        <w:rPr>
          <w:lang w:val="fr-FR"/>
        </w:rPr>
        <w:t>du jour)</w:t>
      </w:r>
      <w:bookmarkEnd w:id="14"/>
    </w:p>
    <w:p w14:paraId="03F14B80" w14:textId="2A690348" w:rsidR="009A68DF" w:rsidRPr="00C1181B" w:rsidRDefault="009A68DF" w:rsidP="009A68DF">
      <w:pPr>
        <w:pStyle w:val="SingleTxtG"/>
      </w:pPr>
      <w:r>
        <w:rPr>
          <w:i/>
          <w:iCs/>
          <w:lang w:val="fr-FR"/>
        </w:rPr>
        <w:t>Document(s) :</w:t>
      </w:r>
      <w:r>
        <w:rPr>
          <w:lang w:val="fr-FR"/>
        </w:rPr>
        <w:tab/>
        <w:t xml:space="preserve">ECE/TRANS/WP.29/2022/145 </w:t>
      </w:r>
    </w:p>
    <w:p w14:paraId="5AEA2A7E" w14:textId="77777777" w:rsidR="009A68DF" w:rsidRPr="00C1181B" w:rsidRDefault="009A68DF" w:rsidP="009A68DF">
      <w:pPr>
        <w:pStyle w:val="SingleTxtG"/>
      </w:pPr>
      <w:r>
        <w:rPr>
          <w:lang w:val="fr-FR"/>
        </w:rPr>
        <w:t>6.</w:t>
      </w:r>
      <w:r>
        <w:rPr>
          <w:lang w:val="fr-FR"/>
        </w:rPr>
        <w:tab/>
        <w:t>Le GRE a rappelé qu’à sa quatre-vingt-sixième session, il avait soutenu la notion de conformité des véhicules pendant leur durée de vie, élaborée par le groupe de travail informel du contrôle technique périodique (groupe PTI) (ECE/TRANS/WP.29/2022/145). Il a noté qu’une version révisée de ce document devait être présentée à la session de juin 2023 du WP.29.</w:t>
      </w:r>
    </w:p>
    <w:p w14:paraId="646CF811" w14:textId="00A0B41F" w:rsidR="009A68DF" w:rsidRPr="00C1181B" w:rsidRDefault="009A68DF" w:rsidP="009A68DF">
      <w:pPr>
        <w:pStyle w:val="HChG"/>
      </w:pPr>
      <w:r>
        <w:rPr>
          <w:lang w:val="fr-FR"/>
        </w:rPr>
        <w:lastRenderedPageBreak/>
        <w:tab/>
        <w:t>V.</w:t>
      </w:r>
      <w:r>
        <w:rPr>
          <w:lang w:val="fr-FR"/>
        </w:rPr>
        <w:tab/>
      </w:r>
      <w:bookmarkStart w:id="15" w:name="_Hlk158357096"/>
      <w:r>
        <w:rPr>
          <w:lang w:val="fr-FR"/>
        </w:rPr>
        <w:t xml:space="preserve">Simplification des Règlements ONU relatifs à l’éclairage </w:t>
      </w:r>
      <w:r w:rsidR="00A963A7">
        <w:rPr>
          <w:lang w:val="fr-FR"/>
        </w:rPr>
        <w:br/>
      </w:r>
      <w:r>
        <w:rPr>
          <w:lang w:val="fr-FR"/>
        </w:rPr>
        <w:t>et à la signalisation lumineuse (point 4 de l’ordre du jour</w:t>
      </w:r>
      <w:r>
        <w:rPr>
          <w:lang w:val="fr-FR"/>
        </w:rPr>
        <w:tab/>
      </w:r>
      <w:bookmarkEnd w:id="15"/>
    </w:p>
    <w:p w14:paraId="43758B47" w14:textId="72A00FF1" w:rsidR="009A68DF" w:rsidRPr="00C1181B" w:rsidRDefault="009A68DF" w:rsidP="009A68DF">
      <w:pPr>
        <w:spacing w:after="120"/>
        <w:ind w:left="2835" w:right="1134" w:hanging="1701"/>
      </w:pPr>
      <w:r>
        <w:rPr>
          <w:i/>
          <w:iCs/>
          <w:lang w:val="fr-FR"/>
        </w:rPr>
        <w:t>Document(s) :</w:t>
      </w:r>
      <w:r>
        <w:rPr>
          <w:lang w:val="fr-FR"/>
        </w:rPr>
        <w:tab/>
        <w:t xml:space="preserve">ECE/TRANS/WP.29/GRE/2020/8/Rev.3, ECE/TRANS/WP.29/GRE/2022/13, ECE/TRANS/WP.29/GRE/2023/3, ECE/TRANS/WP.29/GRE/2023/4, ECE/TRANS/WP.29/GRE/2023/5, </w:t>
      </w:r>
      <w:r w:rsidR="00A963A7">
        <w:rPr>
          <w:lang w:val="fr-FR"/>
        </w:rPr>
        <w:br/>
      </w:r>
      <w:r>
        <w:rPr>
          <w:lang w:val="fr-FR"/>
        </w:rPr>
        <w:t xml:space="preserve">ECE/TRANS/WP.29/GRE/2023/6 et documents informels </w:t>
      </w:r>
      <w:r w:rsidR="00A963A7">
        <w:rPr>
          <w:lang w:val="fr-FR"/>
        </w:rPr>
        <w:br/>
      </w:r>
      <w:r>
        <w:rPr>
          <w:lang w:val="fr-FR"/>
        </w:rPr>
        <w:t>GRE-88-02-Rev.1, GRE-88-03-Rev.1, GRE-88-07, GRE-88-26 et GRE-88-27</w:t>
      </w:r>
    </w:p>
    <w:p w14:paraId="0F6CFA3D" w14:textId="77777777" w:rsidR="009A68DF" w:rsidRPr="00C1181B" w:rsidRDefault="009A68DF" w:rsidP="009A68DF">
      <w:pPr>
        <w:pStyle w:val="SingleTxtG"/>
      </w:pPr>
      <w:r>
        <w:rPr>
          <w:lang w:val="fr-FR"/>
        </w:rPr>
        <w:t>7.</w:t>
      </w:r>
      <w:r>
        <w:rPr>
          <w:lang w:val="fr-FR"/>
        </w:rPr>
        <w:tab/>
        <w:t xml:space="preserve">Le GRE a pris note de l’état d’avancement des travaux du groupe de travail informel de la simplification des Règlements relatifs à l’éclairage et à la signalisation lumineuse (groupe SLR) et des questions à examiner dans le cadre de la deuxième étape de la phase 2 du processus de simplification (GRE-88-07), notamment des questions suivantes : </w:t>
      </w:r>
    </w:p>
    <w:p w14:paraId="62C8A8A9" w14:textId="77777777" w:rsidR="009A68DF" w:rsidRPr="00C1181B" w:rsidRDefault="009A68DF" w:rsidP="009A68DF">
      <w:pPr>
        <w:pStyle w:val="Bullet1G"/>
        <w:numPr>
          <w:ilvl w:val="0"/>
          <w:numId w:val="20"/>
        </w:numPr>
        <w:kinsoku/>
        <w:overflowPunct/>
        <w:autoSpaceDE/>
        <w:autoSpaceDN/>
        <w:adjustRightInd/>
        <w:snapToGrid/>
      </w:pPr>
      <w:r>
        <w:rPr>
          <w:lang w:val="fr-FR"/>
        </w:rPr>
        <w:t>Simplification et amélioration de la définition d’une surface apparente ;</w:t>
      </w:r>
    </w:p>
    <w:p w14:paraId="46FB4591" w14:textId="77777777" w:rsidR="009A68DF" w:rsidRPr="00C1181B" w:rsidRDefault="009A68DF" w:rsidP="009A68DF">
      <w:pPr>
        <w:pStyle w:val="Bullet1G"/>
        <w:numPr>
          <w:ilvl w:val="0"/>
          <w:numId w:val="20"/>
        </w:numPr>
        <w:kinsoku/>
        <w:overflowPunct/>
        <w:autoSpaceDE/>
        <w:autoSpaceDN/>
        <w:adjustRightInd/>
        <w:snapToGrid/>
      </w:pPr>
      <w:r>
        <w:rPr>
          <w:lang w:val="fr-FR"/>
        </w:rPr>
        <w:t>Évaluation objective des fonctions installées à bord du véhicule ;</w:t>
      </w:r>
    </w:p>
    <w:p w14:paraId="30A8B447" w14:textId="77777777" w:rsidR="009A68DF" w:rsidRPr="00C1181B" w:rsidRDefault="009A68DF" w:rsidP="009A68DF">
      <w:pPr>
        <w:pStyle w:val="Bullet1G"/>
        <w:numPr>
          <w:ilvl w:val="0"/>
          <w:numId w:val="20"/>
        </w:numPr>
        <w:kinsoku/>
        <w:overflowPunct/>
        <w:autoSpaceDE/>
        <w:autoSpaceDN/>
        <w:adjustRightInd/>
        <w:snapToGrid/>
      </w:pPr>
      <w:r>
        <w:rPr>
          <w:lang w:val="fr-FR"/>
        </w:rPr>
        <w:t>Dans la mesure du possible, harmonisation des prescriptions avec d’autres régions ;</w:t>
      </w:r>
    </w:p>
    <w:p w14:paraId="5318D126" w14:textId="77777777" w:rsidR="009A68DF" w:rsidRPr="00C1181B" w:rsidRDefault="009A68DF" w:rsidP="009A68DF">
      <w:pPr>
        <w:pStyle w:val="Bullet1G"/>
        <w:numPr>
          <w:ilvl w:val="0"/>
          <w:numId w:val="20"/>
        </w:numPr>
        <w:kinsoku/>
        <w:overflowPunct/>
        <w:autoSpaceDE/>
        <w:autoSpaceDN/>
        <w:adjustRightInd/>
        <w:snapToGrid/>
      </w:pPr>
      <w:r>
        <w:rPr>
          <w:lang w:val="fr-FR"/>
        </w:rPr>
        <w:t>Cohérence avec les prescriptions et les définitions similaires figurant dans les Règlements relatifs à l’installation des dispositifs d’éclairage.</w:t>
      </w:r>
    </w:p>
    <w:p w14:paraId="7A1C71F9" w14:textId="77777777" w:rsidR="009A68DF" w:rsidRPr="00C1181B" w:rsidRDefault="009A68DF" w:rsidP="009A68DF">
      <w:pPr>
        <w:pStyle w:val="SingleTxtG"/>
      </w:pPr>
      <w:r>
        <w:rPr>
          <w:lang w:val="fr-FR"/>
        </w:rPr>
        <w:t>8.</w:t>
      </w:r>
      <w:r>
        <w:rPr>
          <w:lang w:val="fr-FR"/>
        </w:rPr>
        <w:tab/>
        <w:t xml:space="preserve">L’expert du groupe SLR a présenté une proposition révisée de nouvelle série 09 d’amendements au Règlement ONU </w:t>
      </w:r>
      <w:r w:rsidRPr="001031F9">
        <w:rPr>
          <w:lang w:val="fr-FR"/>
        </w:rPr>
        <w:t>n</w:t>
      </w:r>
      <w:r w:rsidRPr="001031F9">
        <w:rPr>
          <w:vertAlign w:val="superscript"/>
          <w:lang w:val="fr-FR"/>
        </w:rPr>
        <w:t>o</w:t>
      </w:r>
      <w:r>
        <w:rPr>
          <w:vertAlign w:val="superscript"/>
          <w:lang w:val="fr-FR"/>
        </w:rPr>
        <w:t> </w:t>
      </w:r>
      <w:r>
        <w:rPr>
          <w:lang w:val="fr-FR"/>
        </w:rPr>
        <w:t xml:space="preserve">48, qui vise à introduire de nouvelles prescriptions relatives au réglage des projecteurs (ECE/TRANS/WP.29/GRE/2020/8/Rev.3). Le GRE a adopté les dispositions techniques figurant dans la proposition. Étant donné que l’ordre du jour comprenait d’autres propositions qui pourraient faire partie de la nouvelle série 09 d’amendements au Règlement ONU </w:t>
      </w:r>
      <w:r w:rsidRPr="00862686">
        <w:rPr>
          <w:lang w:val="fr-FR"/>
        </w:rPr>
        <w:t>n</w:t>
      </w:r>
      <w:r w:rsidRPr="00862686">
        <w:rPr>
          <w:vertAlign w:val="superscript"/>
          <w:lang w:val="fr-FR"/>
        </w:rPr>
        <w:t>o</w:t>
      </w:r>
      <w:r>
        <w:rPr>
          <w:vertAlign w:val="superscript"/>
          <w:lang w:val="fr-FR"/>
        </w:rPr>
        <w:t> </w:t>
      </w:r>
      <w:r>
        <w:rPr>
          <w:lang w:val="fr-FR"/>
        </w:rPr>
        <w:t xml:space="preserve">48, le GRE a décidé d’examiner au titre du point 6 a) de l’ordre du jour les dispositions transitoires pour la nouvelle série. </w:t>
      </w:r>
    </w:p>
    <w:p w14:paraId="304D4F20" w14:textId="21DBC017" w:rsidR="009A68DF" w:rsidRPr="00C1181B" w:rsidRDefault="009A68DF" w:rsidP="009A68DF">
      <w:pPr>
        <w:pStyle w:val="SingleTxtG"/>
      </w:pPr>
      <w:r>
        <w:rPr>
          <w:lang w:val="fr-FR"/>
        </w:rPr>
        <w:t>9.</w:t>
      </w:r>
      <w:r>
        <w:rPr>
          <w:lang w:val="fr-FR"/>
        </w:rPr>
        <w:tab/>
        <w:t xml:space="preserve">Les experts du groupe SLR ont présenté des propositions d’amendements aux Règlements ONU </w:t>
      </w:r>
      <w:r w:rsidRPr="00D347A2">
        <w:rPr>
          <w:lang w:val="fr-FR"/>
        </w:rPr>
        <w:t>n</w:t>
      </w:r>
      <w:r w:rsidRPr="00D347A2">
        <w:rPr>
          <w:vertAlign w:val="superscript"/>
          <w:lang w:val="fr-FR"/>
        </w:rPr>
        <w:t>o</w:t>
      </w:r>
      <w:r>
        <w:rPr>
          <w:vertAlign w:val="superscript"/>
          <w:lang w:val="fr-FR"/>
        </w:rPr>
        <w:t xml:space="preserve">s </w:t>
      </w:r>
      <w:r>
        <w:rPr>
          <w:lang w:val="fr-FR"/>
        </w:rPr>
        <w:t>48, 53, 74 et 86 permettant l’élimination progressive des lampes et des dispositifs anciens (ECE/TRANS/WP.29/GRE/2023/3, ECE/TRANS/WP.29/GRE/2023/4, ECE/TRANS/WP.29/GRE/2023/5 et ECE/TRANS/WP.29/GRE/2023</w:t>
      </w:r>
      <w:r w:rsidR="00A963A7">
        <w:rPr>
          <w:lang w:val="fr-FR"/>
        </w:rPr>
        <w:t>/6</w:t>
      </w:r>
      <w:r>
        <w:rPr>
          <w:lang w:val="fr-FR"/>
        </w:rPr>
        <w:t xml:space="preserve"> respectivement). </w:t>
      </w:r>
      <w:bookmarkStart w:id="16" w:name="_Hlk134110862"/>
      <w:bookmarkEnd w:id="16"/>
    </w:p>
    <w:p w14:paraId="20E1473C" w14:textId="77777777" w:rsidR="009A68DF" w:rsidRPr="00C1181B" w:rsidRDefault="009A68DF" w:rsidP="009A68DF">
      <w:pPr>
        <w:pStyle w:val="SingleTxtG"/>
      </w:pPr>
      <w:r>
        <w:rPr>
          <w:lang w:val="fr-FR"/>
        </w:rPr>
        <w:t>10.</w:t>
      </w:r>
      <w:r>
        <w:rPr>
          <w:lang w:val="fr-FR"/>
        </w:rPr>
        <w:tab/>
        <w:t xml:space="preserve">Sous réserve de la suppression des crochets et de la conservation des parties du texte qu’ils encadraient, le GRE a adopté les documents ECE/TRANS/WP.29/GRE/2023/4, ECE/TRANS/WP.29/GRE/2023/5 et ECE/TRANS/WP.29/GRE/2023/6 et a demandé au secrétariat de les soumettre pour examen et mise aux voix aux sessions de novembre 2023 du WP.29 et du Comité d’administration de l’Accord de 1958 (AC.1) en tant que nouvelle série 04 d’amendements au Règlement ONU </w:t>
      </w:r>
      <w:r w:rsidRPr="000B1760">
        <w:rPr>
          <w:lang w:val="fr-FR"/>
        </w:rPr>
        <w:t>n</w:t>
      </w:r>
      <w:r w:rsidRPr="000B1760">
        <w:rPr>
          <w:vertAlign w:val="superscript"/>
          <w:lang w:val="fr-FR"/>
        </w:rPr>
        <w:t>o</w:t>
      </w:r>
      <w:r>
        <w:rPr>
          <w:vertAlign w:val="superscript"/>
          <w:lang w:val="fr-FR"/>
        </w:rPr>
        <w:t> </w:t>
      </w:r>
      <w:r>
        <w:rPr>
          <w:lang w:val="fr-FR"/>
        </w:rPr>
        <w:t xml:space="preserve">53, de nouvelle série 03 d’amendements au Règlement ONU </w:t>
      </w:r>
      <w:r w:rsidRPr="000B1760">
        <w:rPr>
          <w:lang w:val="fr-FR"/>
        </w:rPr>
        <w:t>n</w:t>
      </w:r>
      <w:r w:rsidRPr="000B1760">
        <w:rPr>
          <w:vertAlign w:val="superscript"/>
          <w:lang w:val="fr-FR"/>
        </w:rPr>
        <w:t>o</w:t>
      </w:r>
      <w:r>
        <w:rPr>
          <w:vertAlign w:val="superscript"/>
          <w:lang w:val="fr-FR"/>
        </w:rPr>
        <w:t> </w:t>
      </w:r>
      <w:r>
        <w:rPr>
          <w:lang w:val="fr-FR"/>
        </w:rPr>
        <w:t xml:space="preserve">74 et de nouvelle série 03 d’amendements au Règlement ONU </w:t>
      </w:r>
      <w:r w:rsidRPr="000B1760">
        <w:rPr>
          <w:lang w:val="fr-FR"/>
        </w:rPr>
        <w:t>n</w:t>
      </w:r>
      <w:r w:rsidRPr="000B1760">
        <w:rPr>
          <w:vertAlign w:val="superscript"/>
          <w:lang w:val="fr-FR"/>
        </w:rPr>
        <w:t>o</w:t>
      </w:r>
      <w:r>
        <w:rPr>
          <w:vertAlign w:val="superscript"/>
          <w:lang w:val="fr-FR"/>
        </w:rPr>
        <w:t> </w:t>
      </w:r>
      <w:r>
        <w:rPr>
          <w:lang w:val="fr-FR"/>
        </w:rPr>
        <w:t xml:space="preserve">86.  </w:t>
      </w:r>
    </w:p>
    <w:p w14:paraId="7D767CA5" w14:textId="77777777" w:rsidR="009A68DF" w:rsidRPr="00C1181B" w:rsidRDefault="009A68DF" w:rsidP="009A68DF">
      <w:pPr>
        <w:pStyle w:val="SingleTxtG"/>
      </w:pPr>
      <w:r>
        <w:rPr>
          <w:lang w:val="fr-FR"/>
        </w:rPr>
        <w:t>11.</w:t>
      </w:r>
      <w:r>
        <w:rPr>
          <w:lang w:val="fr-FR"/>
        </w:rPr>
        <w:tab/>
        <w:t xml:space="preserve">Le GRE a adopté le document informel GRE-88-27 à la place du document ECE/TRANS/WP.29/GRE/2023/3 et a décidé de l’inclure dans une nouvelle série 09 d’amendements au Règlement ONU </w:t>
      </w:r>
      <w:r w:rsidRPr="00BF23D5">
        <w:rPr>
          <w:lang w:val="fr-FR"/>
        </w:rPr>
        <w:t>n</w:t>
      </w:r>
      <w:r w:rsidRPr="00BF23D5">
        <w:rPr>
          <w:vertAlign w:val="superscript"/>
          <w:lang w:val="fr-FR"/>
        </w:rPr>
        <w:t>o</w:t>
      </w:r>
      <w:r>
        <w:rPr>
          <w:vertAlign w:val="superscript"/>
          <w:lang w:val="fr-FR"/>
        </w:rPr>
        <w:t> </w:t>
      </w:r>
      <w:r>
        <w:rPr>
          <w:lang w:val="fr-FR"/>
        </w:rPr>
        <w:t xml:space="preserve">48 (voir le paragraphe 21 ci-après).  </w:t>
      </w:r>
    </w:p>
    <w:p w14:paraId="4598BA74" w14:textId="3D5BA109" w:rsidR="009A68DF" w:rsidRPr="00C1181B" w:rsidRDefault="009A68DF" w:rsidP="009A68DF">
      <w:pPr>
        <w:pStyle w:val="SingleTxtG"/>
      </w:pPr>
      <w:r>
        <w:rPr>
          <w:lang w:val="fr-FR"/>
        </w:rPr>
        <w:t>12.</w:t>
      </w:r>
      <w:r>
        <w:rPr>
          <w:lang w:val="fr-FR"/>
        </w:rPr>
        <w:tab/>
        <w:t>Le GRE a pris note d’une demande du groupe de travail informel de la base de données pour l’échange d’informations concernant l’homologation de type (groupe de travail informel de la DETA) visant à préciser les Règlements ONU au titre desquels l’application de la marque de l’identifiant unique peut être autorisée (GRE-88-02-Rev.1 et GRE-88-03-Rev.1). L’expert du CITA a rappelé sa position antérieure sur la nécessité d’apposer des marques supplémentaires afin de garantir la disponibilité d’informations suffisantes sur le dispositif aux fins des contrôles périodiques et routiers (ECE/TRANS/WP.29/GRE/2022/13, GRE</w:t>
      </w:r>
      <w:r w:rsidR="00A963A7">
        <w:rPr>
          <w:lang w:val="fr-FR"/>
        </w:rPr>
        <w:noBreakHyphen/>
      </w:r>
      <w:r>
        <w:rPr>
          <w:lang w:val="fr-FR"/>
        </w:rPr>
        <w:t>87</w:t>
      </w:r>
      <w:r w:rsidR="00A963A7">
        <w:rPr>
          <w:lang w:val="fr-FR"/>
        </w:rPr>
        <w:noBreakHyphen/>
      </w:r>
      <w:r>
        <w:rPr>
          <w:lang w:val="fr-FR"/>
        </w:rPr>
        <w:t xml:space="preserve">07). Certains experts ont fait valoir que l’apposition de telles marques était contraire à l’idée même d’identifiant unique. </w:t>
      </w:r>
    </w:p>
    <w:p w14:paraId="0F35DF5E" w14:textId="77777777" w:rsidR="009A68DF" w:rsidRPr="00C1181B" w:rsidRDefault="009A68DF" w:rsidP="00A963A7">
      <w:pPr>
        <w:pStyle w:val="SingleTxtG"/>
        <w:keepNext/>
      </w:pPr>
      <w:r>
        <w:rPr>
          <w:lang w:val="fr-FR"/>
        </w:rPr>
        <w:lastRenderedPageBreak/>
        <w:t>13.</w:t>
      </w:r>
      <w:r>
        <w:rPr>
          <w:lang w:val="fr-FR"/>
        </w:rPr>
        <w:tab/>
        <w:t>Le GRE a classé les Règlements ONU relevant de sa compétence dans les catégories suivantes afin de les examiner dans la perspective de l’identifiant unique (GRE-88-26) :</w:t>
      </w:r>
    </w:p>
    <w:p w14:paraId="20C6C9DB" w14:textId="77777777" w:rsidR="009A68DF" w:rsidRPr="00C1181B" w:rsidRDefault="009A68DF" w:rsidP="009A68DF">
      <w:pPr>
        <w:pStyle w:val="SingleTxtG"/>
        <w:ind w:firstLine="567"/>
      </w:pPr>
      <w:r>
        <w:rPr>
          <w:lang w:val="fr-FR"/>
        </w:rPr>
        <w:t>a)</w:t>
      </w:r>
      <w:r>
        <w:rPr>
          <w:lang w:val="fr-FR"/>
        </w:rPr>
        <w:tab/>
        <w:t>Règlements ONU portant sur des dispositifs obsolètes qui ont été gelés au cours de deux cycles d’examen ;</w:t>
      </w:r>
    </w:p>
    <w:p w14:paraId="053A8C96" w14:textId="77777777" w:rsidR="009A68DF" w:rsidRPr="00C1181B" w:rsidRDefault="009A68DF" w:rsidP="009A68DF">
      <w:pPr>
        <w:pStyle w:val="SingleTxtG"/>
        <w:ind w:firstLine="567"/>
      </w:pPr>
      <w:r>
        <w:rPr>
          <w:lang w:val="fr-FR"/>
        </w:rPr>
        <w:t>b)</w:t>
      </w:r>
      <w:r>
        <w:rPr>
          <w:lang w:val="fr-FR"/>
        </w:rPr>
        <w:tab/>
        <w:t xml:space="preserve">Nouveaux Règlements ONU </w:t>
      </w:r>
      <w:r w:rsidRPr="00F76EAE">
        <w:rPr>
          <w:lang w:val="fr-FR"/>
        </w:rPr>
        <w:t>n</w:t>
      </w:r>
      <w:r w:rsidRPr="00F76EAE">
        <w:rPr>
          <w:vertAlign w:val="superscript"/>
          <w:lang w:val="fr-FR"/>
        </w:rPr>
        <w:t>o</w:t>
      </w:r>
      <w:r>
        <w:rPr>
          <w:vertAlign w:val="superscript"/>
          <w:lang w:val="fr-FR"/>
        </w:rPr>
        <w:t>s</w:t>
      </w:r>
      <w:r>
        <w:rPr>
          <w:lang w:val="fr-FR"/>
        </w:rPr>
        <w:t xml:space="preserve"> 148, 149 et 150 simplifiés concernant les dispositifs ;</w:t>
      </w:r>
    </w:p>
    <w:p w14:paraId="3230088C" w14:textId="77777777" w:rsidR="009A68DF" w:rsidRPr="00C1181B" w:rsidRDefault="009A68DF" w:rsidP="009A68DF">
      <w:pPr>
        <w:pStyle w:val="SingleTxtG"/>
        <w:ind w:firstLine="567"/>
      </w:pPr>
      <w:r>
        <w:rPr>
          <w:lang w:val="fr-FR"/>
        </w:rPr>
        <w:t>c)</w:t>
      </w:r>
      <w:r>
        <w:rPr>
          <w:lang w:val="fr-FR"/>
        </w:rPr>
        <w:tab/>
        <w:t xml:space="preserve">Règlements ONU </w:t>
      </w:r>
      <w:r w:rsidRPr="00F76EAE">
        <w:rPr>
          <w:lang w:val="fr-FR"/>
        </w:rPr>
        <w:t>n</w:t>
      </w:r>
      <w:r w:rsidRPr="00F76EAE">
        <w:rPr>
          <w:vertAlign w:val="superscript"/>
          <w:lang w:val="fr-FR"/>
        </w:rPr>
        <w:t>o</w:t>
      </w:r>
      <w:r>
        <w:rPr>
          <w:vertAlign w:val="superscript"/>
          <w:lang w:val="fr-FR"/>
        </w:rPr>
        <w:t>s</w:t>
      </w:r>
      <w:r>
        <w:rPr>
          <w:lang w:val="fr-FR"/>
        </w:rPr>
        <w:t xml:space="preserve"> 48, 53, 74 et 86 concernant l’installation ;</w:t>
      </w:r>
    </w:p>
    <w:p w14:paraId="77C4A338" w14:textId="77777777" w:rsidR="009A68DF" w:rsidRPr="00C1181B" w:rsidRDefault="009A68DF" w:rsidP="009A68DF">
      <w:pPr>
        <w:pStyle w:val="SingleTxtG"/>
        <w:ind w:firstLine="567"/>
      </w:pPr>
      <w:r>
        <w:rPr>
          <w:lang w:val="fr-FR"/>
        </w:rPr>
        <w:t>d)</w:t>
      </w:r>
      <w:r>
        <w:rPr>
          <w:lang w:val="fr-FR"/>
        </w:rPr>
        <w:tab/>
        <w:t xml:space="preserve">Règlements ONU </w:t>
      </w:r>
      <w:r w:rsidRPr="00F76EAE">
        <w:rPr>
          <w:lang w:val="fr-FR"/>
        </w:rPr>
        <w:t>n</w:t>
      </w:r>
      <w:r w:rsidRPr="00F76EAE">
        <w:rPr>
          <w:vertAlign w:val="superscript"/>
          <w:lang w:val="fr-FR"/>
        </w:rPr>
        <w:t>o</w:t>
      </w:r>
      <w:r>
        <w:rPr>
          <w:vertAlign w:val="superscript"/>
          <w:lang w:val="fr-FR"/>
        </w:rPr>
        <w:t>s</w:t>
      </w:r>
      <w:r>
        <w:rPr>
          <w:lang w:val="fr-FR"/>
        </w:rPr>
        <w:t xml:space="preserve"> 37, 99 et 128 concernant les sources lumineuses ; </w:t>
      </w:r>
    </w:p>
    <w:p w14:paraId="4DB69CAB" w14:textId="77777777" w:rsidR="009A68DF" w:rsidRPr="00C1181B" w:rsidRDefault="009A68DF" w:rsidP="009A68DF">
      <w:pPr>
        <w:pStyle w:val="SingleTxtG"/>
        <w:ind w:firstLine="567"/>
      </w:pPr>
      <w:r>
        <w:rPr>
          <w:lang w:val="fr-FR"/>
        </w:rPr>
        <w:t>e)</w:t>
      </w:r>
      <w:r>
        <w:rPr>
          <w:lang w:val="fr-FR"/>
        </w:rPr>
        <w:tab/>
        <w:t xml:space="preserve">Règlements ONU </w:t>
      </w:r>
      <w:r w:rsidRPr="00457ECE">
        <w:rPr>
          <w:lang w:val="fr-FR"/>
        </w:rPr>
        <w:t>n</w:t>
      </w:r>
      <w:r w:rsidRPr="00457ECE">
        <w:rPr>
          <w:vertAlign w:val="superscript"/>
          <w:lang w:val="fr-FR"/>
        </w:rPr>
        <w:t>o</w:t>
      </w:r>
      <w:r>
        <w:rPr>
          <w:vertAlign w:val="superscript"/>
          <w:lang w:val="fr-FR"/>
        </w:rPr>
        <w:t>s</w:t>
      </w:r>
      <w:r>
        <w:rPr>
          <w:lang w:val="fr-FR"/>
        </w:rPr>
        <w:t xml:space="preserve"> 10, 45 et 65.</w:t>
      </w:r>
    </w:p>
    <w:p w14:paraId="71A539BD" w14:textId="790ABCD6" w:rsidR="009A68DF" w:rsidRPr="00C1181B" w:rsidRDefault="009A68DF" w:rsidP="009A68DF">
      <w:pPr>
        <w:pStyle w:val="SingleTxtG"/>
      </w:pPr>
      <w:r>
        <w:rPr>
          <w:lang w:val="fr-FR"/>
        </w:rPr>
        <w:t>14.</w:t>
      </w:r>
      <w:r>
        <w:rPr>
          <w:lang w:val="fr-FR"/>
        </w:rPr>
        <w:tab/>
        <w:t>Le GRE a décidé que l’identifiant unique pouvait être utilisé pour le groupe b) ci</w:t>
      </w:r>
      <w:r w:rsidR="00A963A7">
        <w:rPr>
          <w:lang w:val="fr-FR"/>
        </w:rPr>
        <w:noBreakHyphen/>
      </w:r>
      <w:r>
        <w:rPr>
          <w:lang w:val="fr-FR"/>
        </w:rPr>
        <w:t>dessus, mais certainement pas pour le groupe a) et probablement pas pour les groupes c) et d). Pour le groupe e), il a invité le groupe SLR et le groupe de travail informel de la compatibilité électromagnétique (EMC) à élaborer des recommandations. Enfin, le GRE a décidé de revenir sur cette question, y compris sur la proposition concernant les marques supplémentaires,</w:t>
      </w:r>
      <w:r w:rsidRPr="00665D35">
        <w:rPr>
          <w:lang w:val="fr-FR"/>
        </w:rPr>
        <w:t xml:space="preserve"> </w:t>
      </w:r>
      <w:r>
        <w:rPr>
          <w:lang w:val="fr-FR"/>
        </w:rPr>
        <w:t xml:space="preserve">à la session suivante. </w:t>
      </w:r>
    </w:p>
    <w:p w14:paraId="6AA4FDE5" w14:textId="658F1BD0" w:rsidR="009A68DF" w:rsidRPr="00C1181B" w:rsidRDefault="009A68DF" w:rsidP="009A68DF">
      <w:pPr>
        <w:pStyle w:val="HChG"/>
      </w:pPr>
      <w:r>
        <w:rPr>
          <w:lang w:val="fr-FR"/>
        </w:rPr>
        <w:tab/>
        <w:t>VI.</w:t>
      </w:r>
      <w:r>
        <w:rPr>
          <w:lang w:val="fr-FR"/>
        </w:rPr>
        <w:tab/>
      </w:r>
      <w:bookmarkStart w:id="17" w:name="_Hlk158357121"/>
      <w:r>
        <w:rPr>
          <w:lang w:val="fr-FR"/>
        </w:rPr>
        <w:t xml:space="preserve">Règlements ONU concernant les sources lumineuses </w:t>
      </w:r>
      <w:r w:rsidR="00A963A7">
        <w:rPr>
          <w:lang w:val="fr-FR"/>
        </w:rPr>
        <w:br/>
      </w:r>
      <w:r>
        <w:rPr>
          <w:lang w:val="fr-FR"/>
        </w:rPr>
        <w:t xml:space="preserve">et Résolution d’ensemble sur une spécification </w:t>
      </w:r>
      <w:r w:rsidR="00A963A7">
        <w:rPr>
          <w:lang w:val="fr-FR"/>
        </w:rPr>
        <w:br/>
      </w:r>
      <w:r>
        <w:rPr>
          <w:lang w:val="fr-FR"/>
        </w:rPr>
        <w:t>commune des catégories de sources lumineuses</w:t>
      </w:r>
      <w:bookmarkEnd w:id="17"/>
    </w:p>
    <w:p w14:paraId="56AD2C4E" w14:textId="10C66FAE" w:rsidR="009A68DF" w:rsidRPr="00C1181B" w:rsidRDefault="009A68DF" w:rsidP="00A963A7">
      <w:pPr>
        <w:spacing w:after="120"/>
        <w:ind w:left="2835" w:right="1134" w:hanging="1701"/>
      </w:pPr>
      <w:r>
        <w:rPr>
          <w:i/>
          <w:iCs/>
          <w:lang w:val="fr-FR"/>
        </w:rPr>
        <w:t>Document(s)</w:t>
      </w:r>
      <w:r w:rsidR="00A963A7">
        <w:rPr>
          <w:i/>
          <w:iCs/>
          <w:lang w:val="fr-FR"/>
        </w:rPr>
        <w:t> </w:t>
      </w:r>
      <w:r>
        <w:rPr>
          <w:i/>
          <w:iCs/>
          <w:lang w:val="fr-FR"/>
        </w:rPr>
        <w:t>:</w:t>
      </w:r>
      <w:r>
        <w:rPr>
          <w:lang w:val="fr-FR"/>
        </w:rPr>
        <w:tab/>
        <w:t xml:space="preserve">Document informel GRE-88-13 </w:t>
      </w:r>
    </w:p>
    <w:p w14:paraId="4C899EAD" w14:textId="7CA17DB6" w:rsidR="009A68DF" w:rsidRPr="00C1181B" w:rsidRDefault="009A68DF" w:rsidP="009A68DF">
      <w:pPr>
        <w:pStyle w:val="SingleTxtG"/>
      </w:pPr>
      <w:r>
        <w:rPr>
          <w:lang w:val="fr-FR"/>
        </w:rPr>
        <w:t>15.</w:t>
      </w:r>
      <w:r>
        <w:rPr>
          <w:lang w:val="fr-FR"/>
        </w:rPr>
        <w:tab/>
        <w:t xml:space="preserve">L’expert de l’équipe spéciale des sources lumineuses de remplacement ou de conversion (équipe SR) a informé le GRE des activités de l’équipe (GRE-88-13) et a annoncé que sa réunion suivante se tiendrait le 14 juin 2023. Il a indiqué que l’équipe spéciale étudiait deux méthodes pour l’homologation des sources lumineuses à DEL de remplacement à haute puissance et leur prise en compte dans le Règlement ONU </w:t>
      </w:r>
      <w:r w:rsidRPr="00D154FA">
        <w:rPr>
          <w:lang w:val="fr-FR"/>
        </w:rPr>
        <w:t>n</w:t>
      </w:r>
      <w:r w:rsidRPr="00D154FA">
        <w:rPr>
          <w:vertAlign w:val="superscript"/>
          <w:lang w:val="fr-FR"/>
        </w:rPr>
        <w:t>o</w:t>
      </w:r>
      <w:r>
        <w:rPr>
          <w:vertAlign w:val="superscript"/>
          <w:lang w:val="fr-FR"/>
        </w:rPr>
        <w:t> </w:t>
      </w:r>
      <w:r>
        <w:rPr>
          <w:lang w:val="fr-FR"/>
        </w:rPr>
        <w:t>37 et dans la Résolution d’ensemble sur une spécification commune des catégories de sources lumineuses (R.E.5), à savoir « l’équivalence intelligente » au niveau de la source lumineuse et « l’équivalence au niveau de l’application ». Les experts des Pays-Bas et du Royaume-Uni ont soutenu la première approche.</w:t>
      </w:r>
    </w:p>
    <w:p w14:paraId="569933BB" w14:textId="77777777" w:rsidR="009A68DF" w:rsidRPr="00C1181B" w:rsidRDefault="009A68DF" w:rsidP="009A68DF">
      <w:pPr>
        <w:pStyle w:val="HChG"/>
      </w:pPr>
      <w:r>
        <w:rPr>
          <w:lang w:val="fr-FR"/>
        </w:rPr>
        <w:tab/>
        <w:t>VII.</w:t>
      </w:r>
      <w:r>
        <w:rPr>
          <w:lang w:val="fr-FR"/>
        </w:rPr>
        <w:tab/>
      </w:r>
      <w:bookmarkStart w:id="18" w:name="_Hlk158357133"/>
      <w:r>
        <w:rPr>
          <w:lang w:val="fr-FR"/>
        </w:rPr>
        <w:t>Règlements ONU concernant l’installation (point 6 de l’ordre du jour)</w:t>
      </w:r>
      <w:bookmarkEnd w:id="18"/>
    </w:p>
    <w:p w14:paraId="4E626174" w14:textId="5A60AD4C" w:rsidR="009A68DF" w:rsidRPr="00C1181B" w:rsidRDefault="009A68DF" w:rsidP="009A68DF">
      <w:pPr>
        <w:pStyle w:val="H1G"/>
      </w:pPr>
      <w:r>
        <w:rPr>
          <w:lang w:val="fr-FR"/>
        </w:rPr>
        <w:tab/>
        <w:t>A.</w:t>
      </w:r>
      <w:r>
        <w:rPr>
          <w:lang w:val="fr-FR"/>
        </w:rPr>
        <w:tab/>
      </w:r>
      <w:bookmarkStart w:id="19" w:name="_Hlk158357140"/>
      <w:r>
        <w:rPr>
          <w:lang w:val="fr-FR"/>
        </w:rPr>
        <w:t xml:space="preserve">Règlement ONU </w:t>
      </w:r>
      <w:r w:rsidRPr="00E40983">
        <w:rPr>
          <w:lang w:val="fr-FR"/>
        </w:rPr>
        <w:t>n</w:t>
      </w:r>
      <w:r w:rsidRPr="00E40983">
        <w:rPr>
          <w:vertAlign w:val="superscript"/>
          <w:lang w:val="fr-FR"/>
        </w:rPr>
        <w:t>o</w:t>
      </w:r>
      <w:r>
        <w:rPr>
          <w:vertAlign w:val="superscript"/>
          <w:lang w:val="fr-FR"/>
        </w:rPr>
        <w:t> </w:t>
      </w:r>
      <w:r>
        <w:rPr>
          <w:lang w:val="fr-FR"/>
        </w:rPr>
        <w:t xml:space="preserve">48 (Installation des dispositifs d’éclairage </w:t>
      </w:r>
      <w:r w:rsidR="00A963A7">
        <w:rPr>
          <w:lang w:val="fr-FR"/>
        </w:rPr>
        <w:br/>
      </w:r>
      <w:r>
        <w:rPr>
          <w:lang w:val="fr-FR"/>
        </w:rPr>
        <w:t>et de signalisation lumineuse)</w:t>
      </w:r>
      <w:bookmarkEnd w:id="19"/>
    </w:p>
    <w:p w14:paraId="2F4174C9" w14:textId="73EE9335" w:rsidR="009A68DF" w:rsidRPr="00C1181B" w:rsidRDefault="009A68DF" w:rsidP="00A963A7">
      <w:pPr>
        <w:pStyle w:val="SingleTxtG"/>
        <w:ind w:left="2835" w:hanging="1701"/>
        <w:jc w:val="left"/>
      </w:pPr>
      <w:r>
        <w:rPr>
          <w:i/>
          <w:iCs/>
          <w:lang w:val="fr-FR"/>
        </w:rPr>
        <w:t>Document(s) :</w:t>
      </w:r>
      <w:r>
        <w:rPr>
          <w:lang w:val="fr-FR"/>
        </w:rPr>
        <w:tab/>
        <w:t xml:space="preserve">ECE/TRANS/WP.29/GRE/2022/25/Rev.1, ECE/TRANS/WP.29/GRE/2023/2, ECE/TRANS/WP.29/GRE/2023/7, ECE/TRANS/WP.29/GRE/2023/8, ECE/TRANS/WP.29/GRE/2023/9, ECE/TRANS/WP.29/GRE/2023/10 et documents informels </w:t>
      </w:r>
      <w:r w:rsidR="00A963A7">
        <w:rPr>
          <w:lang w:val="fr-FR"/>
        </w:rPr>
        <w:br/>
      </w:r>
      <w:r>
        <w:rPr>
          <w:lang w:val="fr-FR"/>
        </w:rPr>
        <w:t xml:space="preserve">GRE-88-14, GRE-88-17, GRE-88-15-Rev.1, GRE-88-16-Rev.3, GRE-88-18, GRE-88-22-Rev.3, GRE-88-23-Rev.2, GRE-88-24 et GRE-88-25-Rev.1 </w:t>
      </w:r>
    </w:p>
    <w:p w14:paraId="7D2A0E18" w14:textId="3FAEC18A" w:rsidR="009A68DF" w:rsidRPr="00C1181B" w:rsidRDefault="009A68DF" w:rsidP="009A68DF">
      <w:pPr>
        <w:pStyle w:val="SingleTxtG"/>
        <w:rPr>
          <w:bCs/>
        </w:rPr>
      </w:pPr>
      <w:r>
        <w:rPr>
          <w:lang w:val="fr-FR"/>
        </w:rPr>
        <w:t>16.</w:t>
      </w:r>
      <w:r>
        <w:rPr>
          <w:lang w:val="fr-FR"/>
        </w:rPr>
        <w:tab/>
        <w:t>L’expert de la CLCCR a présenté une proposition révisée visant à augmenter le nombre de feux de manœuvre pouvant être montés sur les remorques en fonction de la longueur de celles-ci (ECE/TRANS/WP.29/GRE/2022/25/Rev.1 et GRE-88-24). À l’issue d’un débat approfondi, le GRE a adopté la proposition figurant dans le document informel GRE-88-24, sous réserve du remplacement de « must » par « </w:t>
      </w:r>
      <w:proofErr w:type="spellStart"/>
      <w:r>
        <w:rPr>
          <w:lang w:val="fr-FR"/>
        </w:rPr>
        <w:t>shall</w:t>
      </w:r>
      <w:proofErr w:type="spellEnd"/>
      <w:r>
        <w:rPr>
          <w:lang w:val="fr-FR"/>
        </w:rPr>
        <w:t xml:space="preserve"> » </w:t>
      </w:r>
      <w:r w:rsidR="009C2F1C" w:rsidRPr="009C2F1C">
        <w:rPr>
          <w:lang w:val="fr-FR"/>
        </w:rPr>
        <w:t>au paragraphe 6.26.2</w:t>
      </w:r>
      <w:r w:rsidR="009C2F1C">
        <w:rPr>
          <w:lang w:val="fr-FR"/>
        </w:rPr>
        <w:t xml:space="preserve"> </w:t>
      </w:r>
      <w:r>
        <w:rPr>
          <w:lang w:val="fr-FR"/>
        </w:rPr>
        <w:lastRenderedPageBreak/>
        <w:t xml:space="preserve">dans la version anglaise, et a décidé d’inclure la proposition dans la nouvelle série 09 d’amendements au Règlement ONU </w:t>
      </w:r>
      <w:r w:rsidRPr="007B225E">
        <w:rPr>
          <w:lang w:val="fr-FR"/>
        </w:rPr>
        <w:t>n</w:t>
      </w:r>
      <w:r w:rsidRPr="007B225E">
        <w:rPr>
          <w:vertAlign w:val="superscript"/>
          <w:lang w:val="fr-FR"/>
        </w:rPr>
        <w:t>o</w:t>
      </w:r>
      <w:r>
        <w:rPr>
          <w:vertAlign w:val="superscript"/>
          <w:lang w:val="fr-FR"/>
        </w:rPr>
        <w:t> </w:t>
      </w:r>
      <w:r>
        <w:rPr>
          <w:lang w:val="fr-FR"/>
        </w:rPr>
        <w:t xml:space="preserve">48. </w:t>
      </w:r>
    </w:p>
    <w:p w14:paraId="516BAF12" w14:textId="77777777" w:rsidR="009A68DF" w:rsidRPr="00C1181B" w:rsidRDefault="009A68DF" w:rsidP="009A68DF">
      <w:pPr>
        <w:pStyle w:val="SingleTxtG"/>
        <w:rPr>
          <w:bCs/>
        </w:rPr>
      </w:pPr>
      <w:r>
        <w:rPr>
          <w:lang w:val="fr-FR"/>
        </w:rPr>
        <w:t>17.</w:t>
      </w:r>
      <w:r>
        <w:rPr>
          <w:lang w:val="fr-FR"/>
        </w:rPr>
        <w:tab/>
        <w:t xml:space="preserve">L’expert de l’OICA a proposé d’aligner sur la série 01 d’amendements aux Règlements ONU </w:t>
      </w:r>
      <w:r w:rsidRPr="002364DE">
        <w:rPr>
          <w:lang w:val="fr-FR"/>
        </w:rPr>
        <w:t>n</w:t>
      </w:r>
      <w:r w:rsidRPr="002364DE">
        <w:rPr>
          <w:vertAlign w:val="superscript"/>
          <w:lang w:val="fr-FR"/>
        </w:rPr>
        <w:t>o</w:t>
      </w:r>
      <w:r>
        <w:rPr>
          <w:vertAlign w:val="superscript"/>
          <w:lang w:val="fr-FR"/>
        </w:rPr>
        <w:t>s </w:t>
      </w:r>
      <w:r>
        <w:rPr>
          <w:lang w:val="fr-FR"/>
        </w:rPr>
        <w:t xml:space="preserve">148 et 149 la prescription relative à la visibilité de la lumière rouge vers l’avant et/ou de la lumière blanche vers l’arrière du véhicule, qui figure dans plusieurs séries d’amendements au Règlement ONU </w:t>
      </w:r>
      <w:r w:rsidRPr="008C25AA">
        <w:rPr>
          <w:lang w:val="fr-FR"/>
        </w:rPr>
        <w:t>n</w:t>
      </w:r>
      <w:r w:rsidRPr="008C25AA">
        <w:rPr>
          <w:vertAlign w:val="superscript"/>
          <w:lang w:val="fr-FR"/>
        </w:rPr>
        <w:t>o</w:t>
      </w:r>
      <w:r>
        <w:rPr>
          <w:vertAlign w:val="superscript"/>
          <w:lang w:val="fr-FR"/>
        </w:rPr>
        <w:t> </w:t>
      </w:r>
      <w:r>
        <w:rPr>
          <w:lang w:val="fr-FR"/>
        </w:rPr>
        <w:t xml:space="preserve">48 (GRE-88-17 et GRE-88-18). </w:t>
      </w:r>
      <w:bookmarkStart w:id="20" w:name="_Hlk134112037"/>
      <w:bookmarkStart w:id="21" w:name="_Hlk134111825"/>
      <w:bookmarkEnd w:id="20"/>
      <w:bookmarkEnd w:id="21"/>
    </w:p>
    <w:p w14:paraId="2B282539" w14:textId="5109A681" w:rsidR="009A68DF" w:rsidRPr="00C1181B" w:rsidRDefault="009A68DF" w:rsidP="009A68DF">
      <w:pPr>
        <w:pStyle w:val="SingleTxtG"/>
        <w:rPr>
          <w:bCs/>
        </w:rPr>
      </w:pPr>
      <w:r w:rsidRPr="009C2F1C">
        <w:rPr>
          <w:lang w:val="fr-FR"/>
        </w:rPr>
        <w:t>18.</w:t>
      </w:r>
      <w:r w:rsidRPr="009C2F1C">
        <w:rPr>
          <w:lang w:val="fr-FR"/>
        </w:rPr>
        <w:tab/>
        <w:t>Le GRE a adopté le document informel GRE-88-18 et a décidé d’inclure la proposition qu’il contient dans la nouvelle série 09 d’amendements au Règlement ONU n</w:t>
      </w:r>
      <w:r w:rsidRPr="009C2F1C">
        <w:rPr>
          <w:vertAlign w:val="superscript"/>
          <w:lang w:val="fr-FR"/>
        </w:rPr>
        <w:t>o </w:t>
      </w:r>
      <w:r w:rsidRPr="009C2F1C">
        <w:rPr>
          <w:lang w:val="fr-FR"/>
        </w:rPr>
        <w:t>48. Il a également adopté le document informel GRE-88-17 en tant que complément aux séries d’amendements 03 à 08 au Règlement</w:t>
      </w:r>
      <w:r>
        <w:rPr>
          <w:lang w:val="fr-FR"/>
        </w:rPr>
        <w:t xml:space="preserve"> ONU </w:t>
      </w:r>
      <w:r w:rsidRPr="009E0DAB">
        <w:rPr>
          <w:lang w:val="fr-FR"/>
        </w:rPr>
        <w:t>n</w:t>
      </w:r>
      <w:r w:rsidRPr="009E0DAB">
        <w:rPr>
          <w:vertAlign w:val="superscript"/>
          <w:lang w:val="fr-FR"/>
        </w:rPr>
        <w:t>o</w:t>
      </w:r>
      <w:r>
        <w:rPr>
          <w:vertAlign w:val="superscript"/>
          <w:lang w:val="fr-FR"/>
        </w:rPr>
        <w:t> </w:t>
      </w:r>
      <w:r>
        <w:rPr>
          <w:lang w:val="fr-FR"/>
        </w:rPr>
        <w:t xml:space="preserve">48 et a demandé au secrétariat de le soumettre au WP.29 et à l’AC.1 en tant que projet de complément 19 à la série 06 d’amendements, de projet de complément 6 à la série 07 d’amendements et de projet de complément 4 à la série 08 d’amendements au Règlement ONU </w:t>
      </w:r>
      <w:r w:rsidRPr="00DA768C">
        <w:rPr>
          <w:lang w:val="fr-FR"/>
        </w:rPr>
        <w:t>n</w:t>
      </w:r>
      <w:r w:rsidRPr="00DA768C">
        <w:rPr>
          <w:vertAlign w:val="superscript"/>
          <w:lang w:val="fr-FR"/>
        </w:rPr>
        <w:t>o</w:t>
      </w:r>
      <w:r>
        <w:rPr>
          <w:vertAlign w:val="superscript"/>
          <w:lang w:val="fr-FR"/>
        </w:rPr>
        <w:t> </w:t>
      </w:r>
      <w:r>
        <w:rPr>
          <w:lang w:val="fr-FR"/>
        </w:rPr>
        <w:t xml:space="preserve">48, pour examen et mise aux voix à leurs sessions de novembre 2023. Le GRE a décidé de reporter la soumission de ces amendements pour les séries 03, 04 et 05, afin de les combiner avec de futures propositions. </w:t>
      </w:r>
      <w:bookmarkStart w:id="22" w:name="_Hlk135043484"/>
      <w:bookmarkEnd w:id="22"/>
    </w:p>
    <w:p w14:paraId="3E28D3D3" w14:textId="77777777" w:rsidR="009A68DF" w:rsidRPr="00DB045E" w:rsidRDefault="009A68DF" w:rsidP="009A68DF">
      <w:pPr>
        <w:pStyle w:val="SingleTxtG"/>
        <w:rPr>
          <w:bCs/>
        </w:rPr>
      </w:pPr>
      <w:r>
        <w:rPr>
          <w:lang w:val="fr-FR"/>
        </w:rPr>
        <w:t>19.</w:t>
      </w:r>
      <w:r>
        <w:rPr>
          <w:lang w:val="fr-FR"/>
        </w:rPr>
        <w:tab/>
        <w:t xml:space="preserve">L’expert du groupe d’intérêt spécial de la série 09 d’amendements au Règlement ONU </w:t>
      </w:r>
      <w:r w:rsidRPr="00DC768C">
        <w:rPr>
          <w:lang w:val="fr-FR"/>
        </w:rPr>
        <w:t>n</w:t>
      </w:r>
      <w:r w:rsidRPr="00DC768C">
        <w:rPr>
          <w:vertAlign w:val="superscript"/>
          <w:lang w:val="fr-FR"/>
        </w:rPr>
        <w:t>o</w:t>
      </w:r>
      <w:r>
        <w:rPr>
          <w:vertAlign w:val="superscript"/>
          <w:lang w:val="fr-FR"/>
        </w:rPr>
        <w:t> </w:t>
      </w:r>
      <w:r>
        <w:rPr>
          <w:lang w:val="fr-FR"/>
        </w:rPr>
        <w:t xml:space="preserve">48 a rendu compte des activités du groupe (GRE-88-15-Rev.1) et a présenté sa nouvelle proposition visant à ajouter dans le Règlement ONU </w:t>
      </w:r>
      <w:r w:rsidRPr="00DB045E">
        <w:rPr>
          <w:lang w:val="fr-FR"/>
        </w:rPr>
        <w:t>n</w:t>
      </w:r>
      <w:r w:rsidRPr="00DB045E">
        <w:rPr>
          <w:vertAlign w:val="superscript"/>
          <w:lang w:val="fr-FR"/>
        </w:rPr>
        <w:t>o</w:t>
      </w:r>
      <w:r>
        <w:rPr>
          <w:vertAlign w:val="superscript"/>
          <w:lang w:val="fr-FR"/>
        </w:rPr>
        <w:t> </w:t>
      </w:r>
      <w:r>
        <w:rPr>
          <w:lang w:val="fr-FR"/>
        </w:rPr>
        <w:t xml:space="preserve">48 des prescriptions relatives aux véhicules en stationnement (ECE/TRANS/WP.29/GRE/2023/2). Après un examen approfondi, le GRE a adopté les dispositions techniques figurant dans le document informel GRE-88-16-Rev.3. </w:t>
      </w:r>
    </w:p>
    <w:p w14:paraId="3F531082" w14:textId="1821EFE9" w:rsidR="009A68DF" w:rsidRPr="00C1181B" w:rsidRDefault="009A68DF" w:rsidP="009A68DF">
      <w:pPr>
        <w:pStyle w:val="SingleTxtG"/>
        <w:rPr>
          <w:bCs/>
        </w:rPr>
      </w:pPr>
      <w:r>
        <w:rPr>
          <w:lang w:val="fr-FR"/>
        </w:rPr>
        <w:t>20.</w:t>
      </w:r>
      <w:r>
        <w:rPr>
          <w:lang w:val="fr-FR"/>
        </w:rPr>
        <w:tab/>
        <w:t>L’expert de l’OICA a proposé de prolonger les dispositions transitoires pour la série</w:t>
      </w:r>
      <w:r w:rsidR="009C2F1C">
        <w:rPr>
          <w:lang w:val="fr-FR"/>
        </w:rPr>
        <w:t> </w:t>
      </w:r>
      <w:r>
        <w:rPr>
          <w:lang w:val="fr-FR"/>
        </w:rPr>
        <w:t xml:space="preserve">09 d’amendements au Règlement ONU </w:t>
      </w:r>
      <w:r w:rsidRPr="009D78E0">
        <w:rPr>
          <w:lang w:val="fr-FR"/>
        </w:rPr>
        <w:t>n</w:t>
      </w:r>
      <w:r w:rsidRPr="009D78E0">
        <w:rPr>
          <w:vertAlign w:val="superscript"/>
          <w:lang w:val="fr-FR"/>
        </w:rPr>
        <w:t>o</w:t>
      </w:r>
      <w:r>
        <w:rPr>
          <w:vertAlign w:val="superscript"/>
          <w:lang w:val="fr-FR"/>
        </w:rPr>
        <w:t> </w:t>
      </w:r>
      <w:r>
        <w:rPr>
          <w:lang w:val="fr-FR"/>
        </w:rPr>
        <w:t>48 (GRE-88-22-Rev.3 et GRE-88-23-Rev.2). À titre de compromis, le GRE a adopté les dispositions transitoires figurant à l’annexe II.</w:t>
      </w:r>
    </w:p>
    <w:p w14:paraId="70AD104F" w14:textId="77777777" w:rsidR="009A68DF" w:rsidRPr="00C1181B" w:rsidRDefault="009A68DF" w:rsidP="009A68DF">
      <w:pPr>
        <w:pStyle w:val="SingleTxtG"/>
        <w:rPr>
          <w:bCs/>
        </w:rPr>
      </w:pPr>
      <w:r>
        <w:rPr>
          <w:lang w:val="fr-FR"/>
        </w:rPr>
        <w:t>21.</w:t>
      </w:r>
      <w:r>
        <w:rPr>
          <w:lang w:val="fr-FR"/>
        </w:rPr>
        <w:tab/>
        <w:t xml:space="preserve">Le Président a indiqué que les projets d’amendements suivants avaient été adoptés à la session faisant l’objet du présent rapport et qu’ils feraient partie du projet de série 09 d’amendements au Règlement ONU </w:t>
      </w:r>
      <w:r w:rsidRPr="0023512E">
        <w:rPr>
          <w:lang w:val="fr-FR"/>
        </w:rPr>
        <w:t>n</w:t>
      </w:r>
      <w:r w:rsidRPr="0023512E">
        <w:rPr>
          <w:vertAlign w:val="superscript"/>
          <w:lang w:val="fr-FR"/>
        </w:rPr>
        <w:t>o</w:t>
      </w:r>
      <w:r>
        <w:rPr>
          <w:vertAlign w:val="superscript"/>
          <w:lang w:val="fr-FR"/>
        </w:rPr>
        <w:t> </w:t>
      </w:r>
      <w:r>
        <w:rPr>
          <w:lang w:val="fr-FR"/>
        </w:rPr>
        <w:t xml:space="preserve"> 48 :</w:t>
      </w:r>
    </w:p>
    <w:p w14:paraId="3A5792AC" w14:textId="612B1E6D" w:rsidR="009A68DF" w:rsidRPr="00C1181B" w:rsidRDefault="009A68DF" w:rsidP="009A68DF">
      <w:pPr>
        <w:pStyle w:val="SingleTxtG"/>
        <w:ind w:firstLine="567"/>
        <w:rPr>
          <w:bCs/>
        </w:rPr>
      </w:pPr>
      <w:r w:rsidRPr="00C1181B">
        <w:rPr>
          <w:bCs/>
        </w:rPr>
        <w:t>a)</w:t>
      </w:r>
      <w:r w:rsidRPr="00C1181B">
        <w:rPr>
          <w:bCs/>
        </w:rPr>
        <w:tab/>
      </w:r>
      <w:r>
        <w:rPr>
          <w:lang w:val="fr-FR"/>
        </w:rPr>
        <w:t>Réglage des projecteurs (par</w:t>
      </w:r>
      <w:r w:rsidR="009C2F1C">
        <w:rPr>
          <w:lang w:val="fr-FR"/>
        </w:rPr>
        <w:t>.</w:t>
      </w:r>
      <w:r>
        <w:rPr>
          <w:lang w:val="fr-FR"/>
        </w:rPr>
        <w:t xml:space="preserve"> 8 ci-dessus) ;</w:t>
      </w:r>
    </w:p>
    <w:p w14:paraId="4CA2A095" w14:textId="50808402" w:rsidR="009A68DF" w:rsidRPr="00C1181B" w:rsidRDefault="009A68DF" w:rsidP="009A68DF">
      <w:pPr>
        <w:pStyle w:val="SingleTxtG"/>
        <w:ind w:firstLine="567"/>
        <w:rPr>
          <w:bCs/>
        </w:rPr>
      </w:pPr>
      <w:r w:rsidRPr="00C1181B">
        <w:rPr>
          <w:bCs/>
        </w:rPr>
        <w:t>b)</w:t>
      </w:r>
      <w:r w:rsidRPr="00C1181B">
        <w:rPr>
          <w:bCs/>
        </w:rPr>
        <w:tab/>
      </w:r>
      <w:r>
        <w:rPr>
          <w:lang w:val="fr-FR"/>
        </w:rPr>
        <w:t>Dispositions transitoires relatives aux dispositifs (par</w:t>
      </w:r>
      <w:r w:rsidR="009C2F1C">
        <w:rPr>
          <w:lang w:val="fr-FR"/>
        </w:rPr>
        <w:t>.</w:t>
      </w:r>
      <w:r>
        <w:rPr>
          <w:lang w:val="fr-FR"/>
        </w:rPr>
        <w:t xml:space="preserve"> 11) ;</w:t>
      </w:r>
    </w:p>
    <w:p w14:paraId="15F754A4" w14:textId="74FA3D92" w:rsidR="009A68DF" w:rsidRPr="00766748" w:rsidRDefault="009A68DF" w:rsidP="009A68DF">
      <w:pPr>
        <w:pStyle w:val="SingleTxtG"/>
        <w:ind w:firstLine="567"/>
        <w:rPr>
          <w:bCs/>
        </w:rPr>
      </w:pPr>
      <w:r w:rsidRPr="00766748">
        <w:rPr>
          <w:bCs/>
        </w:rPr>
        <w:t>c)</w:t>
      </w:r>
      <w:r w:rsidRPr="00766748">
        <w:rPr>
          <w:bCs/>
        </w:rPr>
        <w:tab/>
      </w:r>
      <w:r>
        <w:rPr>
          <w:lang w:val="fr-FR"/>
        </w:rPr>
        <w:t>Véhicules en stationnement (par</w:t>
      </w:r>
      <w:r w:rsidR="009C2F1C">
        <w:rPr>
          <w:lang w:val="fr-FR"/>
        </w:rPr>
        <w:t>.</w:t>
      </w:r>
      <w:r>
        <w:rPr>
          <w:lang w:val="fr-FR"/>
        </w:rPr>
        <w:t xml:space="preserve"> 19) ;</w:t>
      </w:r>
    </w:p>
    <w:p w14:paraId="4C76C941" w14:textId="5F9FDF14" w:rsidR="009A68DF" w:rsidRPr="00C1181B" w:rsidRDefault="009A68DF" w:rsidP="009A68DF">
      <w:pPr>
        <w:pStyle w:val="SingleTxtG"/>
        <w:ind w:firstLine="567"/>
        <w:rPr>
          <w:bCs/>
        </w:rPr>
      </w:pPr>
      <w:r w:rsidRPr="00C1181B">
        <w:rPr>
          <w:bCs/>
        </w:rPr>
        <w:t>d)</w:t>
      </w:r>
      <w:r w:rsidRPr="00C1181B">
        <w:rPr>
          <w:bCs/>
        </w:rPr>
        <w:tab/>
      </w:r>
      <w:r>
        <w:rPr>
          <w:lang w:val="fr-FR"/>
        </w:rPr>
        <w:t>Feux de manœuvre montés sur des remorques (par</w:t>
      </w:r>
      <w:r w:rsidR="009C2F1C">
        <w:rPr>
          <w:lang w:val="fr-FR"/>
        </w:rPr>
        <w:t>.</w:t>
      </w:r>
      <w:r>
        <w:rPr>
          <w:lang w:val="fr-FR"/>
        </w:rPr>
        <w:t xml:space="preserve"> 16) ;</w:t>
      </w:r>
    </w:p>
    <w:p w14:paraId="0413ACDE" w14:textId="18DDEDEB" w:rsidR="009A68DF" w:rsidRPr="00C1181B" w:rsidRDefault="009A68DF" w:rsidP="009A68DF">
      <w:pPr>
        <w:pStyle w:val="SingleTxtG"/>
        <w:ind w:firstLine="567"/>
        <w:rPr>
          <w:bCs/>
        </w:rPr>
      </w:pPr>
      <w:r w:rsidRPr="00C1181B">
        <w:rPr>
          <w:bCs/>
        </w:rPr>
        <w:t>e)</w:t>
      </w:r>
      <w:r w:rsidRPr="00C1181B">
        <w:rPr>
          <w:bCs/>
        </w:rPr>
        <w:tab/>
      </w:r>
      <w:r>
        <w:rPr>
          <w:lang w:val="fr-FR"/>
        </w:rPr>
        <w:t>Visibilité de la lumière rouge vers l’avant et/ou de la lumière blanche vers l’arrière du véhicule (par</w:t>
      </w:r>
      <w:r w:rsidR="009C2F1C">
        <w:rPr>
          <w:lang w:val="fr-FR"/>
        </w:rPr>
        <w:t>.</w:t>
      </w:r>
      <w:r>
        <w:rPr>
          <w:lang w:val="fr-FR"/>
        </w:rPr>
        <w:t xml:space="preserve"> 1</w:t>
      </w:r>
      <w:r w:rsidR="009C2F1C">
        <w:rPr>
          <w:lang w:val="fr-FR"/>
        </w:rPr>
        <w:t>8</w:t>
      </w:r>
      <w:r>
        <w:rPr>
          <w:lang w:val="fr-FR"/>
        </w:rPr>
        <w:t xml:space="preserve">) ; </w:t>
      </w:r>
    </w:p>
    <w:p w14:paraId="01DB637F" w14:textId="4BC853A3" w:rsidR="009A68DF" w:rsidRDefault="009A68DF" w:rsidP="009A68DF">
      <w:pPr>
        <w:pStyle w:val="SingleTxtG"/>
        <w:ind w:firstLine="567"/>
        <w:rPr>
          <w:bCs/>
        </w:rPr>
      </w:pPr>
      <w:r>
        <w:rPr>
          <w:bCs/>
        </w:rPr>
        <w:t>f)</w:t>
      </w:r>
      <w:r>
        <w:rPr>
          <w:bCs/>
        </w:rPr>
        <w:tab/>
      </w:r>
      <w:r>
        <w:rPr>
          <w:lang w:val="fr-FR"/>
        </w:rPr>
        <w:t>Dispositions transitoires (par</w:t>
      </w:r>
      <w:r w:rsidR="009C2F1C">
        <w:rPr>
          <w:lang w:val="fr-FR"/>
        </w:rPr>
        <w:t>.</w:t>
      </w:r>
      <w:r>
        <w:rPr>
          <w:lang w:val="fr-FR"/>
        </w:rPr>
        <w:t xml:space="preserve"> 20).  </w:t>
      </w:r>
    </w:p>
    <w:p w14:paraId="58849E02" w14:textId="5F3D8162" w:rsidR="009A68DF" w:rsidRPr="00C1181B" w:rsidRDefault="009A68DF" w:rsidP="009A68DF">
      <w:pPr>
        <w:pStyle w:val="SingleTxtG"/>
        <w:rPr>
          <w:bCs/>
        </w:rPr>
      </w:pPr>
      <w:r>
        <w:rPr>
          <w:lang w:val="fr-FR"/>
        </w:rPr>
        <w:t>22.</w:t>
      </w:r>
      <w:r>
        <w:rPr>
          <w:lang w:val="fr-FR"/>
        </w:rPr>
        <w:tab/>
        <w:t xml:space="preserve">Le GRE a décidé de soumettre les propositions ci-dessus au WP.29 et à l’AC.1 en tant que nouvelle série 09 d’amendements au Règlement ONU </w:t>
      </w:r>
      <w:r w:rsidRPr="001245FA">
        <w:rPr>
          <w:lang w:val="fr-FR"/>
        </w:rPr>
        <w:t>n</w:t>
      </w:r>
      <w:r w:rsidRPr="001245FA">
        <w:rPr>
          <w:vertAlign w:val="superscript"/>
          <w:lang w:val="fr-FR"/>
        </w:rPr>
        <w:t>o</w:t>
      </w:r>
      <w:r>
        <w:rPr>
          <w:vertAlign w:val="superscript"/>
          <w:lang w:val="fr-FR"/>
        </w:rPr>
        <w:t> </w:t>
      </w:r>
      <w:r>
        <w:rPr>
          <w:lang w:val="fr-FR"/>
        </w:rPr>
        <w:t xml:space="preserve">48, pour examen et mise aux voix à leurs sessions de mars 2024. Il a décidé </w:t>
      </w:r>
      <w:r w:rsidRPr="00B00942">
        <w:rPr>
          <w:lang w:val="fr-FR"/>
        </w:rPr>
        <w:t xml:space="preserve">de confirmer ces propositions </w:t>
      </w:r>
      <w:r>
        <w:rPr>
          <w:lang w:val="fr-FR"/>
        </w:rPr>
        <w:t>sur le plan</w:t>
      </w:r>
      <w:r w:rsidRPr="00B00942">
        <w:rPr>
          <w:lang w:val="fr-FR"/>
        </w:rPr>
        <w:t xml:space="preserve"> rédactionnel</w:t>
      </w:r>
      <w:r>
        <w:rPr>
          <w:lang w:val="fr-FR"/>
        </w:rPr>
        <w:t xml:space="preserve"> à sa session suivante, en octobre 2023, sans </w:t>
      </w:r>
      <w:r w:rsidRPr="002D03E5">
        <w:rPr>
          <w:lang w:val="fr-FR"/>
        </w:rPr>
        <w:t>en modifier le contenu et les points essentiels</w:t>
      </w:r>
      <w:r>
        <w:rPr>
          <w:lang w:val="fr-FR"/>
        </w:rPr>
        <w:t xml:space="preserve">. À cette fin, il a suggéré qu’une version de synthèse du projet de série 09 d’amendements au Règlement ONU </w:t>
      </w:r>
      <w:r w:rsidRPr="00AD1D7B">
        <w:rPr>
          <w:lang w:val="fr-FR"/>
        </w:rPr>
        <w:t>n</w:t>
      </w:r>
      <w:r w:rsidRPr="00AD1D7B">
        <w:rPr>
          <w:vertAlign w:val="superscript"/>
          <w:lang w:val="fr-FR"/>
        </w:rPr>
        <w:t>o</w:t>
      </w:r>
      <w:r>
        <w:rPr>
          <w:vertAlign w:val="superscript"/>
          <w:lang w:val="fr-FR"/>
        </w:rPr>
        <w:t> </w:t>
      </w:r>
      <w:r>
        <w:rPr>
          <w:lang w:val="fr-FR"/>
        </w:rPr>
        <w:t xml:space="preserve">48 soit établie. </w:t>
      </w:r>
    </w:p>
    <w:p w14:paraId="72AE8645" w14:textId="10556D33" w:rsidR="009A68DF" w:rsidRPr="00C1181B" w:rsidRDefault="009A68DF" w:rsidP="009A68DF">
      <w:pPr>
        <w:pStyle w:val="SingleTxtG"/>
        <w:rPr>
          <w:bCs/>
        </w:rPr>
      </w:pPr>
      <w:r>
        <w:rPr>
          <w:lang w:val="fr-FR"/>
        </w:rPr>
        <w:t>23.</w:t>
      </w:r>
      <w:r>
        <w:rPr>
          <w:lang w:val="fr-FR"/>
        </w:rPr>
        <w:tab/>
        <w:t>L’expert de l’OICA a proposé d’autoriser la présence de logos d’une taille inférieure à 5 cm</w:t>
      </w:r>
      <w:r w:rsidRPr="000357B3">
        <w:rPr>
          <w:vertAlign w:val="superscript"/>
          <w:lang w:val="fr-FR"/>
        </w:rPr>
        <w:t>2</w:t>
      </w:r>
      <w:r>
        <w:rPr>
          <w:lang w:val="fr-FR"/>
        </w:rPr>
        <w:t xml:space="preserve"> (ECE/TRANS/WP.29/GRE/2023/10). Plusieurs experts des Parties contractantes ont formulé des critiques à l’égard de cette proposition et ne l’ont pas appuyée. </w:t>
      </w:r>
    </w:p>
    <w:p w14:paraId="2C620A37" w14:textId="2E2663DF" w:rsidR="009A68DF" w:rsidRPr="00C1181B" w:rsidRDefault="009A68DF" w:rsidP="009A68DF">
      <w:pPr>
        <w:pStyle w:val="SingleTxtG"/>
        <w:rPr>
          <w:bCs/>
        </w:rPr>
      </w:pPr>
      <w:r>
        <w:rPr>
          <w:lang w:val="fr-FR"/>
        </w:rPr>
        <w:t>24.</w:t>
      </w:r>
      <w:r>
        <w:rPr>
          <w:lang w:val="fr-FR"/>
        </w:rPr>
        <w:tab/>
        <w:t>L’expert du GTB a présenté une proposition visant à permettre la projection d’un motif correspondant à la trajectoire prédite (ECE/TRANS/WP.29/GRE/2023/7). L’expert de la France a proposé de modifier la limitation de vitesse pour l’aligner avec la limitation prévue dans le document ECE/TRANS/WP.29/GRE/2023/8 (voir paragraphe suivant). L’expert du Japon a réclamé des éléments prouvant que la projection de ce motif n’aurait pas d’incidence négative sur les autres usagers de la route. Le Président a invité le GTB à prendre contact avec le Japon à ce sujet.</w:t>
      </w:r>
    </w:p>
    <w:p w14:paraId="482EB147" w14:textId="5422423C" w:rsidR="009A68DF" w:rsidRPr="00C1181B" w:rsidRDefault="009A68DF" w:rsidP="009A68DF">
      <w:pPr>
        <w:pStyle w:val="SingleTxtG"/>
        <w:rPr>
          <w:bCs/>
        </w:rPr>
      </w:pPr>
      <w:r>
        <w:rPr>
          <w:lang w:val="fr-FR"/>
        </w:rPr>
        <w:t>25.</w:t>
      </w:r>
      <w:r>
        <w:rPr>
          <w:lang w:val="fr-FR"/>
        </w:rPr>
        <w:tab/>
        <w:t xml:space="preserve">L’expert du GTB a proposé des amendements visant à étendre aux feux de croisement du système d’éclairage avant adaptatif (AFS) la possibilité de projeter des symboles et motifs </w:t>
      </w:r>
      <w:r>
        <w:rPr>
          <w:lang w:val="fr-FR"/>
        </w:rPr>
        <w:lastRenderedPageBreak/>
        <w:t xml:space="preserve">d’aide à la conduite. Ces amendements s’accompagnaient d’un projet d’amendement correspondant au Règlement ONU </w:t>
      </w:r>
      <w:r w:rsidRPr="00847EF8">
        <w:rPr>
          <w:lang w:val="fr-FR"/>
        </w:rPr>
        <w:t>n</w:t>
      </w:r>
      <w:r w:rsidRPr="00847EF8">
        <w:rPr>
          <w:vertAlign w:val="superscript"/>
          <w:lang w:val="fr-FR"/>
        </w:rPr>
        <w:t>o</w:t>
      </w:r>
      <w:r>
        <w:rPr>
          <w:vertAlign w:val="superscript"/>
          <w:lang w:val="fr-FR"/>
        </w:rPr>
        <w:t> </w:t>
      </w:r>
      <w:r>
        <w:rPr>
          <w:lang w:val="fr-FR"/>
        </w:rPr>
        <w:t>149 (ECE/TRANS/WP.29/GRE/2023/8 et GRE</w:t>
      </w:r>
      <w:r w:rsidR="00A51EFA">
        <w:rPr>
          <w:lang w:val="fr-FR"/>
        </w:rPr>
        <w:noBreakHyphen/>
      </w:r>
      <w:r>
        <w:rPr>
          <w:lang w:val="fr-FR"/>
        </w:rPr>
        <w:t>88</w:t>
      </w:r>
      <w:r w:rsidR="00A51EFA">
        <w:rPr>
          <w:lang w:val="fr-FR"/>
        </w:rPr>
        <w:noBreakHyphen/>
      </w:r>
      <w:r>
        <w:rPr>
          <w:lang w:val="fr-FR"/>
        </w:rPr>
        <w:t>25</w:t>
      </w:r>
      <w:r w:rsidR="00A51EFA">
        <w:rPr>
          <w:lang w:val="fr-FR"/>
        </w:rPr>
        <w:noBreakHyphen/>
      </w:r>
      <w:r>
        <w:rPr>
          <w:lang w:val="fr-FR"/>
        </w:rPr>
        <w:t xml:space="preserve">Rev.1). Le GRE a adopté les propositions telles qu’elles figurent dans le document informel GRE-88-25-Rev.1 et a demandé au secrétariat de les soumettre au WP.29 et à l’AC.1 en tant que projet de complément 2 à la série 01 d’amendements au Règlement ONU </w:t>
      </w:r>
      <w:r w:rsidRPr="0060552A">
        <w:rPr>
          <w:lang w:val="fr-FR"/>
        </w:rPr>
        <w:t>n</w:t>
      </w:r>
      <w:r w:rsidRPr="0060552A">
        <w:rPr>
          <w:vertAlign w:val="superscript"/>
          <w:lang w:val="fr-FR"/>
        </w:rPr>
        <w:t>o</w:t>
      </w:r>
      <w:r>
        <w:rPr>
          <w:vertAlign w:val="superscript"/>
          <w:lang w:val="fr-FR"/>
        </w:rPr>
        <w:t> </w:t>
      </w:r>
      <w:r>
        <w:rPr>
          <w:lang w:val="fr-FR"/>
        </w:rPr>
        <w:t xml:space="preserve">149, de partie de complément 19 à la série 06 d’amendements, de partie de complément 6 à la série 07 d’amendements et de partie de complément 4 à la série 08 d’amendements au Règlement ONU </w:t>
      </w:r>
      <w:r w:rsidRPr="000A3B8A">
        <w:rPr>
          <w:lang w:val="fr-FR"/>
        </w:rPr>
        <w:t>n</w:t>
      </w:r>
      <w:r w:rsidRPr="000A3B8A">
        <w:rPr>
          <w:vertAlign w:val="superscript"/>
          <w:lang w:val="fr-FR"/>
        </w:rPr>
        <w:t>o</w:t>
      </w:r>
      <w:r>
        <w:rPr>
          <w:vertAlign w:val="superscript"/>
          <w:lang w:val="fr-FR"/>
        </w:rPr>
        <w:t> </w:t>
      </w:r>
      <w:r>
        <w:rPr>
          <w:lang w:val="fr-FR"/>
        </w:rPr>
        <w:t xml:space="preserve">48, pour examen et mise aux voix à leurs sessions de novembre 2023. </w:t>
      </w:r>
    </w:p>
    <w:p w14:paraId="4253CDB4" w14:textId="77777777" w:rsidR="009A68DF" w:rsidRPr="00C1181B" w:rsidRDefault="009A68DF" w:rsidP="009A68DF">
      <w:pPr>
        <w:pStyle w:val="SingleTxtG"/>
        <w:rPr>
          <w:bCs/>
        </w:rPr>
      </w:pPr>
      <w:r>
        <w:rPr>
          <w:lang w:val="fr-FR"/>
        </w:rPr>
        <w:t>26.</w:t>
      </w:r>
      <w:r>
        <w:rPr>
          <w:lang w:val="fr-FR"/>
        </w:rPr>
        <w:tab/>
        <w:t xml:space="preserve">L’expert de l’équipe spéciale des prescriptions de signalisation pour les véhicules automatisés/autonomes (équipe AVSR) a présenté des projets d’amendement visant à inclure les véhicules équipés de fonctions de conduite automatisée ou d’un système de conduite automatisé dans le Règlement ONU </w:t>
      </w:r>
      <w:r w:rsidRPr="005A44DA">
        <w:rPr>
          <w:lang w:val="fr-FR"/>
        </w:rPr>
        <w:t>n</w:t>
      </w:r>
      <w:r w:rsidRPr="005A44DA">
        <w:rPr>
          <w:vertAlign w:val="superscript"/>
          <w:lang w:val="fr-FR"/>
        </w:rPr>
        <w:t>o</w:t>
      </w:r>
      <w:r>
        <w:rPr>
          <w:vertAlign w:val="superscript"/>
          <w:lang w:val="fr-FR"/>
        </w:rPr>
        <w:t> </w:t>
      </w:r>
      <w:r>
        <w:rPr>
          <w:lang w:val="fr-FR"/>
        </w:rPr>
        <w:t xml:space="preserve">48 (ECE/TRANS/WP.29/GRE/2023/9). Les experts ont signalé que certaines questions, notamment l’ajout de deux nouvelles définitions (entre crochets), devaient être examinées de plus près. Le GRE a demandé à l’équipe AVSR de présenter les propositions au Groupe de travail des véhicules automatisés/autonomes et connectés (GRVA) en vue d’assurer la compatibilité des définitions. </w:t>
      </w:r>
    </w:p>
    <w:p w14:paraId="24075539" w14:textId="468A384D" w:rsidR="009A68DF" w:rsidRPr="00C1181B" w:rsidRDefault="009A68DF" w:rsidP="009A68DF">
      <w:pPr>
        <w:pStyle w:val="SingleTxtG"/>
        <w:rPr>
          <w:bCs/>
        </w:rPr>
      </w:pPr>
      <w:r>
        <w:rPr>
          <w:lang w:val="fr-FR"/>
        </w:rPr>
        <w:t>27.</w:t>
      </w:r>
      <w:r>
        <w:rPr>
          <w:lang w:val="fr-FR"/>
        </w:rPr>
        <w:tab/>
        <w:t xml:space="preserve">L’expert de l’Australie a demandé si le Règlement ONU </w:t>
      </w:r>
      <w:r w:rsidRPr="007C1C8F">
        <w:rPr>
          <w:lang w:val="fr-FR"/>
        </w:rPr>
        <w:t>n</w:t>
      </w:r>
      <w:r w:rsidRPr="007C1C8F">
        <w:rPr>
          <w:vertAlign w:val="superscript"/>
          <w:lang w:val="fr-FR"/>
        </w:rPr>
        <w:t>o</w:t>
      </w:r>
      <w:r>
        <w:rPr>
          <w:vertAlign w:val="superscript"/>
          <w:lang w:val="fr-FR"/>
        </w:rPr>
        <w:t> </w:t>
      </w:r>
      <w:r>
        <w:rPr>
          <w:lang w:val="fr-FR"/>
        </w:rPr>
        <w:t xml:space="preserve"> 48 autorisait ou non l’installation de feux autres que les feux obligatoires ou facultatifs énumérés dans le Règlement ou qui répondaient à la définition d’un témoin extérieur d’état, comme les feux à faible intensité, les feux pour les véhicules des services d’urgence ou d’autres types de témoins d’état (GRE-88-14). L’expert des Pays-Bas a estimé que l’installation de ces feux ne devait pas être autorisée (au motif que ce qui ne figurait pas dans le Règlement ne pouvait être installé). Le Président a rappelé que le Règlement ONU </w:t>
      </w:r>
      <w:r w:rsidRPr="00D8360A">
        <w:rPr>
          <w:lang w:val="fr-FR"/>
        </w:rPr>
        <w:t>n</w:t>
      </w:r>
      <w:r w:rsidRPr="00D8360A">
        <w:rPr>
          <w:vertAlign w:val="superscript"/>
          <w:lang w:val="fr-FR"/>
        </w:rPr>
        <w:t>o</w:t>
      </w:r>
      <w:r>
        <w:rPr>
          <w:lang w:val="fr-FR"/>
        </w:rPr>
        <w:t xml:space="preserve"> 48 ne contenait pas de dispositions renvoyant à la législation des Parties contractantes pour ce qui était de l’installation de certains feux comme c’était le cas, par exemple, des feux spéciaux d’avertissement dans le Règlement ONU </w:t>
      </w:r>
      <w:r w:rsidRPr="00D8360A">
        <w:rPr>
          <w:lang w:val="fr-FR"/>
        </w:rPr>
        <w:t>n</w:t>
      </w:r>
      <w:r w:rsidRPr="00D8360A">
        <w:rPr>
          <w:vertAlign w:val="superscript"/>
          <w:lang w:val="fr-FR"/>
        </w:rPr>
        <w:t>o</w:t>
      </w:r>
      <w:r>
        <w:rPr>
          <w:lang w:val="fr-FR"/>
        </w:rPr>
        <w:t> 65. L’expert australien a indiqué qu’il mènerait des consultations officieuses sur cette question.</w:t>
      </w:r>
    </w:p>
    <w:p w14:paraId="485D3596" w14:textId="77777777" w:rsidR="009A68DF" w:rsidRPr="00C1181B" w:rsidRDefault="009A68DF" w:rsidP="009A68DF">
      <w:pPr>
        <w:pStyle w:val="H1G"/>
      </w:pPr>
      <w:r>
        <w:rPr>
          <w:lang w:val="fr-FR"/>
        </w:rPr>
        <w:tab/>
        <w:t>B.</w:t>
      </w:r>
      <w:r>
        <w:rPr>
          <w:lang w:val="fr-FR"/>
        </w:rPr>
        <w:tab/>
      </w:r>
      <w:bookmarkStart w:id="23" w:name="_Hlk158357159"/>
      <w:r>
        <w:rPr>
          <w:lang w:val="fr-FR"/>
        </w:rPr>
        <w:t>Autres Règlements ONU concernant l’installation</w:t>
      </w:r>
      <w:bookmarkEnd w:id="23"/>
    </w:p>
    <w:p w14:paraId="3ADD9914" w14:textId="49529851" w:rsidR="009A68DF" w:rsidRPr="00C1181B" w:rsidRDefault="009A68DF" w:rsidP="009A68DF">
      <w:pPr>
        <w:pStyle w:val="SingleTxtG"/>
      </w:pPr>
      <w:r>
        <w:rPr>
          <w:i/>
          <w:iCs/>
          <w:lang w:val="fr-FR"/>
        </w:rPr>
        <w:t>Document(s) </w:t>
      </w:r>
      <w:r w:rsidRPr="00A51EFA">
        <w:rPr>
          <w:i/>
          <w:iCs/>
          <w:lang w:val="fr-FR"/>
        </w:rPr>
        <w:t>:</w:t>
      </w:r>
      <w:r w:rsidR="00A51EFA">
        <w:rPr>
          <w:lang w:val="fr-FR"/>
        </w:rPr>
        <w:tab/>
      </w:r>
      <w:r>
        <w:rPr>
          <w:lang w:val="fr-FR"/>
        </w:rPr>
        <w:t>Documents informels GRE-88-04 et GRE-88-19</w:t>
      </w:r>
    </w:p>
    <w:p w14:paraId="62466915" w14:textId="1F59A5E4" w:rsidR="009A68DF" w:rsidRPr="00C1181B" w:rsidRDefault="009A68DF" w:rsidP="009A68DF">
      <w:pPr>
        <w:pStyle w:val="SingleTxtG"/>
      </w:pPr>
      <w:r>
        <w:rPr>
          <w:lang w:val="fr-FR"/>
        </w:rPr>
        <w:t>28.</w:t>
      </w:r>
      <w:r>
        <w:rPr>
          <w:lang w:val="fr-FR"/>
        </w:rPr>
        <w:tab/>
        <w:t xml:space="preserve">L’expert du CEMA a présenté des propositions d’amendements au Règlement ONU </w:t>
      </w:r>
      <w:r w:rsidRPr="00D8360A">
        <w:rPr>
          <w:lang w:val="fr-FR"/>
        </w:rPr>
        <w:t>n</w:t>
      </w:r>
      <w:r w:rsidRPr="00D8360A">
        <w:rPr>
          <w:vertAlign w:val="superscript"/>
          <w:lang w:val="fr-FR"/>
        </w:rPr>
        <w:t>o</w:t>
      </w:r>
      <w:r>
        <w:rPr>
          <w:lang w:val="fr-FR"/>
        </w:rPr>
        <w:t> 86 (GRE-88-04 et GRE-88-19) visant à ajouter des dispositions concernant :</w:t>
      </w:r>
    </w:p>
    <w:p w14:paraId="423A3C25" w14:textId="77777777" w:rsidR="009A68DF" w:rsidRPr="00C1181B" w:rsidRDefault="009A68DF" w:rsidP="009A68DF">
      <w:pPr>
        <w:pStyle w:val="Bullet1G"/>
        <w:numPr>
          <w:ilvl w:val="0"/>
          <w:numId w:val="20"/>
        </w:numPr>
        <w:kinsoku/>
        <w:overflowPunct/>
        <w:autoSpaceDE/>
        <w:autoSpaceDN/>
        <w:adjustRightInd/>
        <w:snapToGrid/>
      </w:pPr>
      <w:r>
        <w:rPr>
          <w:lang w:val="fr-FR"/>
        </w:rPr>
        <w:t>Des véhicules plus larges des catégories R, S et T ;</w:t>
      </w:r>
    </w:p>
    <w:p w14:paraId="4F223866" w14:textId="77777777" w:rsidR="009A68DF" w:rsidRPr="00C1181B" w:rsidRDefault="009A68DF" w:rsidP="009A68DF">
      <w:pPr>
        <w:pStyle w:val="Bullet1G"/>
        <w:numPr>
          <w:ilvl w:val="0"/>
          <w:numId w:val="20"/>
        </w:numPr>
        <w:kinsoku/>
        <w:overflowPunct/>
        <w:autoSpaceDE/>
        <w:autoSpaceDN/>
        <w:adjustRightInd/>
        <w:snapToGrid/>
      </w:pPr>
      <w:r>
        <w:rPr>
          <w:lang w:val="fr-FR"/>
        </w:rPr>
        <w:t xml:space="preserve">Des matériaux </w:t>
      </w:r>
      <w:proofErr w:type="spellStart"/>
      <w:r>
        <w:rPr>
          <w:lang w:val="fr-FR"/>
        </w:rPr>
        <w:t>rétroréfléchissants</w:t>
      </w:r>
      <w:proofErr w:type="spellEnd"/>
      <w:r>
        <w:rPr>
          <w:lang w:val="fr-FR"/>
        </w:rPr>
        <w:t xml:space="preserve"> susceptibles de remplacer les catadioptres et les feux de position latéraux ;</w:t>
      </w:r>
    </w:p>
    <w:p w14:paraId="6EDA7C8A" w14:textId="77777777" w:rsidR="009A68DF" w:rsidRPr="00C1181B" w:rsidRDefault="009A68DF" w:rsidP="009A68DF">
      <w:pPr>
        <w:pStyle w:val="Bullet1G"/>
        <w:numPr>
          <w:ilvl w:val="0"/>
          <w:numId w:val="20"/>
        </w:numPr>
        <w:kinsoku/>
        <w:overflowPunct/>
        <w:autoSpaceDE/>
        <w:autoSpaceDN/>
        <w:adjustRightInd/>
        <w:snapToGrid/>
      </w:pPr>
      <w:r>
        <w:rPr>
          <w:lang w:val="fr-FR"/>
        </w:rPr>
        <w:t>Des avertisseurs spéciaux de couleur orange pour signaler les véhicules lents sur la route ;</w:t>
      </w:r>
    </w:p>
    <w:p w14:paraId="4EE8B204" w14:textId="05A78149" w:rsidR="009A68DF" w:rsidRPr="00C1181B" w:rsidRDefault="009A68DF" w:rsidP="009A68DF">
      <w:pPr>
        <w:pStyle w:val="Bullet1G"/>
        <w:numPr>
          <w:ilvl w:val="0"/>
          <w:numId w:val="20"/>
        </w:numPr>
        <w:kinsoku/>
        <w:overflowPunct/>
        <w:autoSpaceDE/>
        <w:autoSpaceDN/>
        <w:adjustRightInd/>
        <w:snapToGrid/>
        <w:rPr>
          <w:color w:val="000000"/>
        </w:rPr>
      </w:pPr>
      <w:r>
        <w:rPr>
          <w:lang w:val="fr-FR"/>
        </w:rPr>
        <w:t>L’utilisation du logo du fabricant.</w:t>
      </w:r>
    </w:p>
    <w:p w14:paraId="50023545" w14:textId="77777777" w:rsidR="009A68DF" w:rsidRPr="00C1181B" w:rsidRDefault="009A68DF" w:rsidP="009A68DF">
      <w:pPr>
        <w:pStyle w:val="SingleTxtG"/>
        <w:rPr>
          <w:color w:val="000000"/>
        </w:rPr>
      </w:pPr>
      <w:r>
        <w:rPr>
          <w:lang w:val="fr-FR"/>
        </w:rPr>
        <w:t>29.</w:t>
      </w:r>
      <w:r>
        <w:rPr>
          <w:lang w:val="fr-FR"/>
        </w:rPr>
        <w:tab/>
        <w:t xml:space="preserve">Après un bref échange de vues, le GRE a estimé que les feux spéciaux d’avertissement devaient rester dans le champ d’application du seul Règlement ONU </w:t>
      </w:r>
      <w:r w:rsidRPr="004C3170">
        <w:rPr>
          <w:lang w:val="fr-FR"/>
        </w:rPr>
        <w:t>n</w:t>
      </w:r>
      <w:r w:rsidRPr="004C3170">
        <w:rPr>
          <w:vertAlign w:val="superscript"/>
          <w:lang w:val="fr-FR"/>
        </w:rPr>
        <w:t>o</w:t>
      </w:r>
      <w:r>
        <w:rPr>
          <w:vertAlign w:val="superscript"/>
          <w:lang w:val="fr-FR"/>
        </w:rPr>
        <w:t> </w:t>
      </w:r>
      <w:r>
        <w:rPr>
          <w:lang w:val="fr-FR"/>
        </w:rPr>
        <w:t xml:space="preserve">65. Il a également exprimé des doutes quant à la possibilité de remplacer les catadioptres et les feux de position latéraux par des matériaux </w:t>
      </w:r>
      <w:proofErr w:type="spellStart"/>
      <w:r>
        <w:rPr>
          <w:lang w:val="fr-FR"/>
        </w:rPr>
        <w:t>rétroréfléchissants</w:t>
      </w:r>
      <w:proofErr w:type="spellEnd"/>
      <w:r>
        <w:rPr>
          <w:lang w:val="fr-FR"/>
        </w:rPr>
        <w:t xml:space="preserve">. Le Président a demandé au CEMA d’actualiser ses propositions et de les soumettre en tant que documents de travail à la session suivante. </w:t>
      </w:r>
    </w:p>
    <w:p w14:paraId="7FC26E88" w14:textId="4F69008C" w:rsidR="009A68DF" w:rsidRPr="00C1181B" w:rsidRDefault="009A68DF" w:rsidP="009A68DF">
      <w:pPr>
        <w:pStyle w:val="HChG"/>
      </w:pPr>
      <w:r>
        <w:rPr>
          <w:lang w:val="fr-FR"/>
        </w:rPr>
        <w:tab/>
        <w:t>VIII.</w:t>
      </w:r>
      <w:r>
        <w:rPr>
          <w:lang w:val="fr-FR"/>
        </w:rPr>
        <w:tab/>
      </w:r>
      <w:bookmarkStart w:id="24" w:name="_Hlk158357165"/>
      <w:r>
        <w:rPr>
          <w:lang w:val="fr-FR"/>
        </w:rPr>
        <w:t xml:space="preserve">Règlements ONU concernant les dispositifs </w:t>
      </w:r>
      <w:r w:rsidR="00A51EFA">
        <w:rPr>
          <w:lang w:val="fr-FR"/>
        </w:rPr>
        <w:br/>
      </w:r>
      <w:r>
        <w:rPr>
          <w:lang w:val="fr-FR"/>
        </w:rPr>
        <w:t>(point 7 de l’ordre du jour)</w:t>
      </w:r>
      <w:bookmarkEnd w:id="24"/>
    </w:p>
    <w:p w14:paraId="611748C5" w14:textId="237DB206" w:rsidR="009A68DF" w:rsidRPr="00C1181B" w:rsidRDefault="009A68DF" w:rsidP="009A68DF">
      <w:pPr>
        <w:pStyle w:val="SingleTxtG"/>
        <w:ind w:left="2835" w:hanging="1701"/>
      </w:pPr>
      <w:r>
        <w:rPr>
          <w:i/>
          <w:iCs/>
          <w:lang w:val="fr-FR"/>
        </w:rPr>
        <w:t>Document(s) :</w:t>
      </w:r>
      <w:r>
        <w:rPr>
          <w:lang w:val="fr-FR"/>
        </w:rPr>
        <w:tab/>
        <w:t>Documents informels GRE-88-09 et GRE-88-10</w:t>
      </w:r>
    </w:p>
    <w:p w14:paraId="554FA706" w14:textId="14E8A5B7" w:rsidR="009A68DF" w:rsidRPr="00C1181B" w:rsidRDefault="009A68DF" w:rsidP="009A68DF">
      <w:pPr>
        <w:pStyle w:val="SingleTxtG"/>
      </w:pPr>
      <w:r>
        <w:rPr>
          <w:lang w:val="fr-FR"/>
        </w:rPr>
        <w:t>30.</w:t>
      </w:r>
      <w:r>
        <w:rPr>
          <w:lang w:val="fr-FR"/>
        </w:rPr>
        <w:tab/>
        <w:t xml:space="preserve">L’expert du GTB a présenté une proposition visant à améliorer les dispositions applicables en cas de défaillance dans la série 01 d’amendements au Règlement ONU </w:t>
      </w:r>
      <w:r w:rsidRPr="00545C73">
        <w:rPr>
          <w:lang w:val="fr-FR"/>
        </w:rPr>
        <w:t>n</w:t>
      </w:r>
      <w:r w:rsidRPr="00545C73">
        <w:rPr>
          <w:vertAlign w:val="superscript"/>
          <w:lang w:val="fr-FR"/>
        </w:rPr>
        <w:t>o</w:t>
      </w:r>
      <w:r>
        <w:rPr>
          <w:vertAlign w:val="superscript"/>
          <w:lang w:val="fr-FR"/>
        </w:rPr>
        <w:t> </w:t>
      </w:r>
      <w:r>
        <w:rPr>
          <w:lang w:val="fr-FR"/>
        </w:rPr>
        <w:t>149, notamment s’agissant des projecteurs</w:t>
      </w:r>
      <w:r w:rsidR="00A51EFA">
        <w:rPr>
          <w:lang w:val="fr-FR"/>
        </w:rPr>
        <w:t xml:space="preserve"> </w:t>
      </w:r>
      <w:r>
        <w:rPr>
          <w:lang w:val="fr-FR"/>
        </w:rPr>
        <w:t xml:space="preserve">haute définition (GRE-88-10). Les experts de </w:t>
      </w:r>
      <w:r>
        <w:rPr>
          <w:lang w:val="fr-FR"/>
        </w:rPr>
        <w:lastRenderedPageBreak/>
        <w:t>l’Allemagne et du Royaume-Uni ont formulé des observations préliminaires sur la proposition et ont souligné la nécessité de l’étudier plus avant. Le Président a invité les experts du GRE à envoyer leurs contributions au GTB.</w:t>
      </w:r>
    </w:p>
    <w:p w14:paraId="6BC77BE0" w14:textId="5F64DF09" w:rsidR="009A68DF" w:rsidRPr="00C1181B" w:rsidRDefault="009A68DF" w:rsidP="009A68DF">
      <w:pPr>
        <w:pStyle w:val="SingleTxtG"/>
      </w:pPr>
      <w:r>
        <w:rPr>
          <w:lang w:val="fr-FR"/>
        </w:rPr>
        <w:t>31.</w:t>
      </w:r>
      <w:r>
        <w:rPr>
          <w:lang w:val="fr-FR"/>
        </w:rPr>
        <w:tab/>
        <w:t>L’expert de l’Allemagne a proposé d’indiquer, dans la fiche de communication de l’annexe</w:t>
      </w:r>
      <w:r w:rsidR="00A51EFA">
        <w:rPr>
          <w:lang w:val="fr-FR"/>
        </w:rPr>
        <w:t> </w:t>
      </w:r>
      <w:r>
        <w:rPr>
          <w:lang w:val="fr-FR"/>
        </w:rPr>
        <w:t xml:space="preserve">1 du Règlement ONU </w:t>
      </w:r>
      <w:r w:rsidRPr="00146FA4">
        <w:rPr>
          <w:lang w:val="fr-FR"/>
        </w:rPr>
        <w:t>n</w:t>
      </w:r>
      <w:r w:rsidRPr="00146FA4">
        <w:rPr>
          <w:vertAlign w:val="superscript"/>
          <w:lang w:val="fr-FR"/>
        </w:rPr>
        <w:t>o</w:t>
      </w:r>
      <w:r>
        <w:rPr>
          <w:vertAlign w:val="superscript"/>
          <w:lang w:val="fr-FR"/>
        </w:rPr>
        <w:t> </w:t>
      </w:r>
      <w:r>
        <w:rPr>
          <w:lang w:val="fr-FR"/>
        </w:rPr>
        <w:t xml:space="preserve">149, si les projecteurs étaient en mesure de produire une projection du système d’aide à la conduite conformément au Règlement ONU </w:t>
      </w:r>
      <w:r w:rsidRPr="00146FA4">
        <w:rPr>
          <w:lang w:val="fr-FR"/>
        </w:rPr>
        <w:t>n</w:t>
      </w:r>
      <w:r w:rsidRPr="00146FA4">
        <w:rPr>
          <w:vertAlign w:val="superscript"/>
          <w:lang w:val="fr-FR"/>
        </w:rPr>
        <w:t>o</w:t>
      </w:r>
      <w:r>
        <w:rPr>
          <w:vertAlign w:val="superscript"/>
          <w:lang w:val="fr-FR"/>
        </w:rPr>
        <w:t> </w:t>
      </w:r>
      <w:r>
        <w:rPr>
          <w:lang w:val="fr-FR"/>
        </w:rPr>
        <w:t>48 (GRE</w:t>
      </w:r>
      <w:r w:rsidR="00A51EFA">
        <w:rPr>
          <w:lang w:val="fr-FR"/>
        </w:rPr>
        <w:noBreakHyphen/>
      </w:r>
      <w:r>
        <w:rPr>
          <w:lang w:val="fr-FR"/>
        </w:rPr>
        <w:t>88</w:t>
      </w:r>
      <w:r w:rsidR="00A51EFA">
        <w:rPr>
          <w:lang w:val="fr-FR"/>
        </w:rPr>
        <w:noBreakHyphen/>
      </w:r>
      <w:r>
        <w:rPr>
          <w:lang w:val="fr-FR"/>
        </w:rPr>
        <w:t xml:space="preserve">09). Le GRE a adopté la proposition et a chargé le secrétariat de la soumettre au WP.29 et à l’AC.1 en tant que projet de complément 2 à la série 01 d’amendements au Règlement ONU </w:t>
      </w:r>
      <w:r w:rsidRPr="000F4385">
        <w:rPr>
          <w:lang w:val="fr-FR"/>
        </w:rPr>
        <w:t>n</w:t>
      </w:r>
      <w:r w:rsidRPr="000F4385">
        <w:rPr>
          <w:vertAlign w:val="superscript"/>
          <w:lang w:val="fr-FR"/>
        </w:rPr>
        <w:t>o</w:t>
      </w:r>
      <w:r>
        <w:rPr>
          <w:vertAlign w:val="superscript"/>
          <w:lang w:val="fr-FR"/>
        </w:rPr>
        <w:t> </w:t>
      </w:r>
      <w:r>
        <w:rPr>
          <w:lang w:val="fr-FR"/>
        </w:rPr>
        <w:t xml:space="preserve">149 pour examen et mise aux voix à leurs sessions de novembre 2023. </w:t>
      </w:r>
    </w:p>
    <w:p w14:paraId="5EE83363" w14:textId="77777777" w:rsidR="009A68DF" w:rsidRPr="00C1181B" w:rsidRDefault="009A68DF" w:rsidP="009A68DF">
      <w:pPr>
        <w:pStyle w:val="HChG"/>
      </w:pPr>
      <w:r>
        <w:rPr>
          <w:lang w:val="fr-FR"/>
        </w:rPr>
        <w:tab/>
        <w:t>IX.</w:t>
      </w:r>
      <w:r>
        <w:rPr>
          <w:lang w:val="fr-FR"/>
        </w:rPr>
        <w:tab/>
      </w:r>
      <w:bookmarkStart w:id="25" w:name="_Hlk158357184"/>
      <w:r>
        <w:rPr>
          <w:lang w:val="fr-FR"/>
        </w:rPr>
        <w:t xml:space="preserve">Règlement ONU </w:t>
      </w:r>
      <w:r w:rsidRPr="00E40983">
        <w:rPr>
          <w:lang w:val="fr-FR"/>
        </w:rPr>
        <w:t>n</w:t>
      </w:r>
      <w:r w:rsidRPr="00E40983">
        <w:rPr>
          <w:vertAlign w:val="superscript"/>
          <w:lang w:val="fr-FR"/>
        </w:rPr>
        <w:t>o</w:t>
      </w:r>
      <w:r>
        <w:rPr>
          <w:vertAlign w:val="superscript"/>
          <w:lang w:val="fr-FR"/>
        </w:rPr>
        <w:t> </w:t>
      </w:r>
      <w:r>
        <w:rPr>
          <w:lang w:val="fr-FR"/>
        </w:rPr>
        <w:t>10 (Compatibilité électromagnétique) (point 8 de l’ordre du jour)</w:t>
      </w:r>
      <w:bookmarkEnd w:id="25"/>
    </w:p>
    <w:p w14:paraId="0D085647" w14:textId="3BCD5893" w:rsidR="009A68DF" w:rsidRPr="00C1181B" w:rsidRDefault="009A68DF" w:rsidP="009A68DF">
      <w:pPr>
        <w:pStyle w:val="SingleTxtG"/>
        <w:ind w:left="2835" w:hanging="1701"/>
      </w:pPr>
      <w:r>
        <w:rPr>
          <w:i/>
          <w:iCs/>
          <w:lang w:val="fr-FR"/>
        </w:rPr>
        <w:t>Document(s) :</w:t>
      </w:r>
      <w:r>
        <w:rPr>
          <w:lang w:val="fr-FR"/>
        </w:rPr>
        <w:tab/>
        <w:t>Documents informels GRE-88-20 et GRE-88-21</w:t>
      </w:r>
    </w:p>
    <w:p w14:paraId="13E29832" w14:textId="4FCBE65A" w:rsidR="009A68DF" w:rsidRPr="00C1181B" w:rsidRDefault="009A68DF" w:rsidP="009A68DF">
      <w:pPr>
        <w:spacing w:after="120"/>
        <w:ind w:left="1134" w:right="1134"/>
        <w:jc w:val="both"/>
        <w:rPr>
          <w:color w:val="000000"/>
        </w:rPr>
      </w:pPr>
      <w:r>
        <w:rPr>
          <w:lang w:val="fr-FR"/>
        </w:rPr>
        <w:t>32.</w:t>
      </w:r>
      <w:r>
        <w:rPr>
          <w:lang w:val="fr-FR"/>
        </w:rPr>
        <w:tab/>
        <w:t xml:space="preserve">L’expert du groupe de travail informel de la compatibilité électromagnétique (EMC) a fait le point sur les activités du groupe et les questions en suspens (GRE-88-20). Le GRE a pris note du projet de série 07 d’amendements au Règlement ONU </w:t>
      </w:r>
      <w:r w:rsidRPr="00E6733A">
        <w:rPr>
          <w:lang w:val="fr-FR"/>
        </w:rPr>
        <w:t>n</w:t>
      </w:r>
      <w:r w:rsidRPr="00E6733A">
        <w:rPr>
          <w:vertAlign w:val="superscript"/>
          <w:lang w:val="fr-FR"/>
        </w:rPr>
        <w:t>o</w:t>
      </w:r>
      <w:r>
        <w:rPr>
          <w:vertAlign w:val="superscript"/>
          <w:lang w:val="fr-FR"/>
        </w:rPr>
        <w:t> </w:t>
      </w:r>
      <w:r>
        <w:rPr>
          <w:lang w:val="fr-FR"/>
        </w:rPr>
        <w:t xml:space="preserve">10 (GRE-88-21) actuel et a indiqué qu’un projet final serait soumis en tant que document de travail à sa session suivante. En outre, il a décidé que la série 07 d’amendements au Règlement ONU </w:t>
      </w:r>
      <w:r w:rsidRPr="00F66659">
        <w:rPr>
          <w:lang w:val="fr-FR"/>
        </w:rPr>
        <w:t>n</w:t>
      </w:r>
      <w:r w:rsidRPr="00F66659">
        <w:rPr>
          <w:vertAlign w:val="superscript"/>
          <w:lang w:val="fr-FR"/>
        </w:rPr>
        <w:t>o</w:t>
      </w:r>
      <w:r>
        <w:rPr>
          <w:vertAlign w:val="superscript"/>
          <w:lang w:val="fr-FR"/>
        </w:rPr>
        <w:t> </w:t>
      </w:r>
      <w:r>
        <w:rPr>
          <w:lang w:val="fr-FR"/>
        </w:rPr>
        <w:t xml:space="preserve">10 devait prendre en compte la question des conditions normales d’utilisation, ce qui constituerait une première étape dans le traitement de cette question. </w:t>
      </w:r>
    </w:p>
    <w:p w14:paraId="76F564B1" w14:textId="77777777" w:rsidR="009A68DF" w:rsidRPr="00C1181B" w:rsidRDefault="009A68DF" w:rsidP="009A68DF">
      <w:pPr>
        <w:pStyle w:val="HChG"/>
      </w:pPr>
      <w:r>
        <w:rPr>
          <w:lang w:val="fr-FR"/>
        </w:rPr>
        <w:tab/>
        <w:t>X.</w:t>
      </w:r>
      <w:r>
        <w:rPr>
          <w:lang w:val="fr-FR"/>
        </w:rPr>
        <w:tab/>
      </w:r>
      <w:bookmarkStart w:id="26" w:name="_Hlk158357195"/>
      <w:r>
        <w:rPr>
          <w:lang w:val="fr-FR"/>
        </w:rPr>
        <w:t xml:space="preserve">Autres Règlements ONU (point 9 de l’ordre du jour) </w:t>
      </w:r>
      <w:bookmarkEnd w:id="26"/>
    </w:p>
    <w:p w14:paraId="3F24D2C9" w14:textId="77777777" w:rsidR="009A68DF" w:rsidRPr="00C1181B" w:rsidRDefault="009A68DF" w:rsidP="009A68DF">
      <w:pPr>
        <w:pStyle w:val="SingleTxtG"/>
      </w:pPr>
      <w:r>
        <w:rPr>
          <w:lang w:val="fr-FR"/>
        </w:rPr>
        <w:t>33.</w:t>
      </w:r>
      <w:r>
        <w:rPr>
          <w:lang w:val="fr-FR"/>
        </w:rPr>
        <w:tab/>
        <w:t xml:space="preserve">Aucune question n’a été examinée au titre de ce point de l’ordre du jour. </w:t>
      </w:r>
    </w:p>
    <w:p w14:paraId="02B745DC" w14:textId="77777777" w:rsidR="009A68DF" w:rsidRPr="00C1181B" w:rsidRDefault="009A68DF" w:rsidP="009A68DF">
      <w:pPr>
        <w:pStyle w:val="HChG"/>
      </w:pPr>
      <w:r>
        <w:rPr>
          <w:lang w:val="fr-FR"/>
        </w:rPr>
        <w:tab/>
        <w:t>XI.</w:t>
      </w:r>
      <w:r>
        <w:rPr>
          <w:lang w:val="fr-FR"/>
        </w:rPr>
        <w:tab/>
      </w:r>
      <w:bookmarkStart w:id="27" w:name="_Hlk158357201"/>
      <w:r>
        <w:rPr>
          <w:lang w:val="fr-FR"/>
        </w:rPr>
        <w:t xml:space="preserve">Questions diverses (point 10 de l’ordre du jour) </w:t>
      </w:r>
      <w:bookmarkEnd w:id="27"/>
    </w:p>
    <w:p w14:paraId="4BFFBE6C" w14:textId="77777777" w:rsidR="009A68DF" w:rsidRPr="00C1181B" w:rsidRDefault="009A68DF" w:rsidP="009A68DF">
      <w:pPr>
        <w:pStyle w:val="H1G"/>
      </w:pPr>
      <w:r>
        <w:rPr>
          <w:bCs/>
          <w:lang w:val="fr-FR"/>
        </w:rPr>
        <w:tab/>
        <w:t>A.</w:t>
      </w:r>
      <w:r>
        <w:rPr>
          <w:lang w:val="fr-FR"/>
        </w:rPr>
        <w:tab/>
      </w:r>
      <w:bookmarkStart w:id="28" w:name="_Hlk158357208"/>
      <w:r>
        <w:rPr>
          <w:lang w:val="fr-FR"/>
        </w:rPr>
        <w:t>Mise au point d’une homologation de type internationale de l’ensemble du véhicule</w:t>
      </w:r>
      <w:bookmarkStart w:id="29" w:name="_Hlk8908511"/>
      <w:bookmarkEnd w:id="29"/>
      <w:bookmarkEnd w:id="28"/>
    </w:p>
    <w:p w14:paraId="2D39033D" w14:textId="77777777" w:rsidR="009A68DF" w:rsidRPr="00C1181B" w:rsidRDefault="009A68DF" w:rsidP="009A68DF">
      <w:pPr>
        <w:pStyle w:val="SingleTxtG"/>
      </w:pPr>
      <w:r>
        <w:rPr>
          <w:lang w:val="fr-FR"/>
        </w:rPr>
        <w:t>34.</w:t>
      </w:r>
      <w:r>
        <w:rPr>
          <w:lang w:val="fr-FR"/>
        </w:rPr>
        <w:tab/>
        <w:t>Le GRE a rappelé le débat tenu plus tôt sur les documents de synthèse et l’utilisation de la base DETA dans le contexte de l’identifiant unique (voir par. 12 à 14 ci-dessus).</w:t>
      </w:r>
    </w:p>
    <w:p w14:paraId="7F3E0902" w14:textId="5C50FA90" w:rsidR="009A68DF" w:rsidRPr="00C1181B" w:rsidRDefault="009A68DF" w:rsidP="009A68DF">
      <w:pPr>
        <w:pStyle w:val="H1G"/>
      </w:pPr>
      <w:r>
        <w:rPr>
          <w:lang w:val="fr-FR"/>
        </w:rPr>
        <w:tab/>
        <w:t>B.</w:t>
      </w:r>
      <w:r>
        <w:rPr>
          <w:lang w:val="fr-FR"/>
        </w:rPr>
        <w:tab/>
      </w:r>
      <w:bookmarkStart w:id="30" w:name="_Hlk158357220"/>
      <w:r>
        <w:rPr>
          <w:lang w:val="fr-FR"/>
        </w:rPr>
        <w:t xml:space="preserve">Amendements à la Convention sur la circulation routière </w:t>
      </w:r>
      <w:r w:rsidR="00A51EFA">
        <w:rPr>
          <w:lang w:val="fr-FR"/>
        </w:rPr>
        <w:br/>
      </w:r>
      <w:r>
        <w:rPr>
          <w:lang w:val="fr-FR"/>
        </w:rPr>
        <w:t>(Vienne, 1968)</w:t>
      </w:r>
      <w:bookmarkEnd w:id="30"/>
    </w:p>
    <w:p w14:paraId="09EC875E" w14:textId="77777777" w:rsidR="009A68DF" w:rsidRPr="00C1181B" w:rsidRDefault="009A68DF" w:rsidP="009A68DF">
      <w:pPr>
        <w:pStyle w:val="SingleTxtG"/>
      </w:pPr>
      <w:r>
        <w:rPr>
          <w:i/>
          <w:iCs/>
          <w:lang w:val="fr-FR"/>
        </w:rPr>
        <w:t>Document(s) :</w:t>
      </w:r>
      <w:r>
        <w:rPr>
          <w:lang w:val="fr-FR"/>
        </w:rPr>
        <w:tab/>
        <w:t>ECE/TRANS/WP.1/2017/1/Rev.3 et ECE/TRANS/WP.1/183</w:t>
      </w:r>
    </w:p>
    <w:p w14:paraId="5211DB84" w14:textId="77777777" w:rsidR="009A68DF" w:rsidRPr="00C1181B" w:rsidRDefault="009A68DF" w:rsidP="009A68DF">
      <w:pPr>
        <w:pStyle w:val="SingleTxtG"/>
      </w:pPr>
      <w:r>
        <w:rPr>
          <w:lang w:val="fr-FR"/>
        </w:rPr>
        <w:t>35.</w:t>
      </w:r>
      <w:r>
        <w:rPr>
          <w:lang w:val="fr-FR"/>
        </w:rPr>
        <w:tab/>
        <w:t>Le GRE a noté que le Forum mondial de la sécurité routière (WP.1), à sa session de mars 2023, avait adopté le document ECE/TRANS/WP.1/2017/1/Rev.3, qui contient une série de propositions d’amendements à la Convention de 1968 sur la circulation routière et aux dispositions de son annexe 5 sur les dispositifs d’éclairage et de signalisation lumineuse (ECE/TRANS/WP.1/183, par. 12). Le GRE a été informé du processus d’amendement et du calendrier prévus par l’article 49 de la Convention.</w:t>
      </w:r>
    </w:p>
    <w:p w14:paraId="121F43E7" w14:textId="5E25BD4B" w:rsidR="009A68DF" w:rsidRPr="00C1181B" w:rsidRDefault="009A68DF" w:rsidP="009A68DF">
      <w:pPr>
        <w:pStyle w:val="SingleTxtG"/>
      </w:pPr>
      <w:r>
        <w:rPr>
          <w:lang w:val="fr-FR"/>
        </w:rPr>
        <w:t>36.</w:t>
      </w:r>
      <w:r>
        <w:rPr>
          <w:lang w:val="fr-FR"/>
        </w:rPr>
        <w:tab/>
        <w:t>Sur la question des signaux optiques ou sonores dans les véhicules munis de systèmes de conduite automatisés, le GRE a noté que le WP.1 avait examiné un document informel des Pays-Bas sur la reconnaissance des systèmes de conduite automatisés par les agents de la force publique. À l’issue d’un échange de vues instructif, le WP.1 avait décidé qu’un débat devait être organisé sur ce thème à sa session suivante pour en examiner tous les aspects plus en détail (ECE/TRANS/WP.1/183, par. 23). En outre, le WP.1 avait reçu un rapport du Président du GRVA sur les activités du Groupe (ECE/TRANS/WP.1/183, par</w:t>
      </w:r>
      <w:r w:rsidR="00A51EFA">
        <w:rPr>
          <w:lang w:val="fr-FR"/>
        </w:rPr>
        <w:t>.</w:t>
      </w:r>
      <w:r>
        <w:rPr>
          <w:lang w:val="fr-FR"/>
        </w:rPr>
        <w:t xml:space="preserve"> 39).</w:t>
      </w:r>
    </w:p>
    <w:p w14:paraId="547CAC70" w14:textId="54A95807" w:rsidR="009A68DF" w:rsidRPr="00C1181B" w:rsidRDefault="009A68DF" w:rsidP="009A68DF">
      <w:pPr>
        <w:pStyle w:val="H1G"/>
      </w:pPr>
      <w:r>
        <w:rPr>
          <w:lang w:val="fr-FR"/>
        </w:rPr>
        <w:lastRenderedPageBreak/>
        <w:tab/>
        <w:t>C.</w:t>
      </w:r>
      <w:r>
        <w:rPr>
          <w:lang w:val="fr-FR"/>
        </w:rPr>
        <w:tab/>
      </w:r>
      <w:bookmarkStart w:id="31" w:name="_Hlk158357251"/>
      <w:r>
        <w:rPr>
          <w:lang w:val="fr-FR"/>
        </w:rPr>
        <w:t>Autres questions</w:t>
      </w:r>
      <w:bookmarkEnd w:id="31"/>
    </w:p>
    <w:p w14:paraId="4DF03561" w14:textId="7FA2FA54" w:rsidR="009A68DF" w:rsidRPr="00C1181B" w:rsidRDefault="009A68DF" w:rsidP="009A68DF">
      <w:pPr>
        <w:pStyle w:val="SingleTxtG"/>
        <w:ind w:left="2835" w:hanging="1701"/>
      </w:pPr>
      <w:r>
        <w:rPr>
          <w:i/>
          <w:iCs/>
          <w:lang w:val="fr-FR"/>
        </w:rPr>
        <w:t>Document(s) :</w:t>
      </w:r>
      <w:r>
        <w:rPr>
          <w:lang w:val="fr-FR"/>
        </w:rPr>
        <w:tab/>
        <w:t>Documents informels GRE-88-08-Rev.1 et GRE-88-11</w:t>
      </w:r>
    </w:p>
    <w:p w14:paraId="133CAB46" w14:textId="7A71EFE6" w:rsidR="009A68DF" w:rsidRPr="00C1181B" w:rsidRDefault="009A68DF" w:rsidP="009A68DF">
      <w:pPr>
        <w:pStyle w:val="SingleTxtG"/>
      </w:pPr>
      <w:r>
        <w:rPr>
          <w:lang w:val="fr-FR"/>
        </w:rPr>
        <w:t>37.</w:t>
      </w:r>
      <w:r>
        <w:rPr>
          <w:lang w:val="fr-FR"/>
        </w:rPr>
        <w:tab/>
        <w:t>L’expert de la France a invité le GRE à faire part de ses vues sur deux questions (GRE</w:t>
      </w:r>
      <w:r w:rsidR="00A51EFA">
        <w:rPr>
          <w:lang w:val="fr-FR"/>
        </w:rPr>
        <w:noBreakHyphen/>
      </w:r>
      <w:r>
        <w:rPr>
          <w:lang w:val="fr-FR"/>
        </w:rPr>
        <w:t>88-08-Rev.1) :</w:t>
      </w:r>
    </w:p>
    <w:p w14:paraId="19835886" w14:textId="77777777" w:rsidR="009A68DF" w:rsidRPr="00C1181B" w:rsidRDefault="009A68DF" w:rsidP="009A68DF">
      <w:pPr>
        <w:pStyle w:val="SingleTxtG"/>
        <w:ind w:firstLine="567"/>
      </w:pPr>
      <w:r>
        <w:rPr>
          <w:lang w:val="fr-FR"/>
        </w:rPr>
        <w:t>a)</w:t>
      </w:r>
      <w:r>
        <w:rPr>
          <w:lang w:val="fr-FR"/>
        </w:rPr>
        <w:tab/>
        <w:t xml:space="preserve">Les feux bleus dans les unités d’éclairage avant ; </w:t>
      </w:r>
    </w:p>
    <w:p w14:paraId="5EE7DA14" w14:textId="77777777" w:rsidR="009A68DF" w:rsidRPr="00C1181B" w:rsidRDefault="009A68DF" w:rsidP="009A68DF">
      <w:pPr>
        <w:pStyle w:val="SingleTxtG"/>
        <w:ind w:firstLine="567"/>
      </w:pPr>
      <w:r>
        <w:rPr>
          <w:lang w:val="fr-FR"/>
        </w:rPr>
        <w:t>b)</w:t>
      </w:r>
      <w:r>
        <w:rPr>
          <w:lang w:val="fr-FR"/>
        </w:rPr>
        <w:tab/>
        <w:t xml:space="preserve">L’éclairage des travaux (éclairage </w:t>
      </w:r>
      <w:r w:rsidRPr="00A36490">
        <w:rPr>
          <w:lang w:val="fr-FR"/>
        </w:rPr>
        <w:t xml:space="preserve">des engins routiers </w:t>
      </w:r>
      <w:r>
        <w:rPr>
          <w:lang w:val="fr-FR"/>
        </w:rPr>
        <w:t xml:space="preserve">effectuant des travaux de nuit, par exemple), qui peut éblouir les autres usagers de la route. </w:t>
      </w:r>
    </w:p>
    <w:p w14:paraId="7FA62374" w14:textId="77777777" w:rsidR="009A68DF" w:rsidRPr="00C1181B" w:rsidRDefault="009A68DF" w:rsidP="009A68DF">
      <w:pPr>
        <w:pStyle w:val="SingleTxtG"/>
      </w:pPr>
      <w:r>
        <w:rPr>
          <w:lang w:val="fr-FR"/>
        </w:rPr>
        <w:t>38.</w:t>
      </w:r>
      <w:r>
        <w:rPr>
          <w:lang w:val="fr-FR"/>
        </w:rPr>
        <w:tab/>
        <w:t xml:space="preserve">Plusieurs experts ont rappelé qu’en règle générale, seuls des feux blancs devaient être visibles à l’avant du véhicule, l’utilisation de feux bleus étant réservée aux véhicules spéciaux dans de nombreuses législations nationales. Plusieurs experts ont indiqué que, dans de rares cas, des feux blancs pouvaient être perçus comme « bleuâtres » par l’œil humain. Cependant, aucune méthode d’essai n’avait été mise au point pour mesurer ce phénomène. </w:t>
      </w:r>
    </w:p>
    <w:p w14:paraId="23AB1274" w14:textId="000D45BE" w:rsidR="009A68DF" w:rsidRPr="00C1181B" w:rsidRDefault="009A68DF" w:rsidP="009A68DF">
      <w:pPr>
        <w:pStyle w:val="SingleTxtG"/>
      </w:pPr>
      <w:r>
        <w:rPr>
          <w:lang w:val="fr-FR"/>
        </w:rPr>
        <w:t>39.</w:t>
      </w:r>
      <w:r>
        <w:rPr>
          <w:lang w:val="fr-FR"/>
        </w:rPr>
        <w:tab/>
        <w:t xml:space="preserve">Certains experts ont déclaré que l’éclairage des travaux visé au paragraphe 37 b) était régi par le droit national. Aucun consensus ne s’est dégagé sur la question de savoir si des dispositions spéciales sur cette question devaient être ajoutées aux Règlements ONU </w:t>
      </w:r>
      <w:r w:rsidRPr="00D8360A">
        <w:rPr>
          <w:lang w:val="fr-FR"/>
        </w:rPr>
        <w:t>n</w:t>
      </w:r>
      <w:r w:rsidRPr="00D8360A">
        <w:rPr>
          <w:vertAlign w:val="superscript"/>
          <w:lang w:val="fr-FR"/>
        </w:rPr>
        <w:t>o</w:t>
      </w:r>
      <w:r>
        <w:rPr>
          <w:vertAlign w:val="superscript"/>
          <w:lang w:val="fr-FR"/>
        </w:rPr>
        <w:t>s</w:t>
      </w:r>
      <w:r>
        <w:rPr>
          <w:lang w:val="fr-FR"/>
        </w:rPr>
        <w:t xml:space="preserve"> 48 ou 86. </w:t>
      </w:r>
    </w:p>
    <w:p w14:paraId="74EFA29C" w14:textId="77777777" w:rsidR="009A68DF" w:rsidRPr="00C1181B" w:rsidRDefault="009A68DF" w:rsidP="009A68DF">
      <w:pPr>
        <w:pStyle w:val="SingleTxtG"/>
      </w:pPr>
      <w:r>
        <w:rPr>
          <w:lang w:val="fr-FR"/>
        </w:rPr>
        <w:t>40.</w:t>
      </w:r>
      <w:r>
        <w:rPr>
          <w:lang w:val="fr-FR"/>
        </w:rPr>
        <w:tab/>
        <w:t xml:space="preserve">Le GRE a pris note avec intérêt des démonstrations dynamiques et statiques du « Signal Road </w:t>
      </w:r>
      <w:proofErr w:type="spellStart"/>
      <w:r>
        <w:rPr>
          <w:lang w:val="fr-FR"/>
        </w:rPr>
        <w:t>Projector</w:t>
      </w:r>
      <w:proofErr w:type="spellEnd"/>
      <w:r>
        <w:rPr>
          <w:lang w:val="fr-FR"/>
        </w:rPr>
        <w:t xml:space="preserve"> » (SRP) (projecteur de signalisation routière) organisées par le GTB en marge de la session et a examiné les principaux aspects de la proposition concernant ce dispositif (GRE-88-11). Plusieurs experts ont formulé des remarques d’ordre technique et réclamé d’autres éléments attestant des avantages de cette technologie pour la sécurité routière. L’expert du Japon a indiqué que son pays avait achevé une étude sur la distraction des autres usagers de la route provoquée par le SRP, qui serait communiquée au GRE dès que la traduction anglaise serait disponible. Le GRE a indiqué attendre avec impatience de recevoir cette étude ainsi que d’autres études sur la question et a décidé de reprendre l’examen de ce point à la session suivante. Le GTB a été invité à soumettre un document contenant des propositions d’amendements. </w:t>
      </w:r>
    </w:p>
    <w:p w14:paraId="283E3CE6" w14:textId="3375E7C5" w:rsidR="009A68DF" w:rsidRPr="00C1181B" w:rsidRDefault="009A68DF" w:rsidP="009A68DF">
      <w:pPr>
        <w:pStyle w:val="HChG"/>
      </w:pPr>
      <w:r>
        <w:rPr>
          <w:lang w:val="fr-FR"/>
        </w:rPr>
        <w:tab/>
        <w:t>XII.</w:t>
      </w:r>
      <w:r>
        <w:rPr>
          <w:lang w:val="fr-FR"/>
        </w:rPr>
        <w:tab/>
      </w:r>
      <w:bookmarkStart w:id="32" w:name="_Hlk158357259"/>
      <w:r>
        <w:rPr>
          <w:lang w:val="fr-FR"/>
        </w:rPr>
        <w:t xml:space="preserve">Orientation des travaux futurs du Groupe de travail </w:t>
      </w:r>
      <w:r w:rsidR="0029479C">
        <w:rPr>
          <w:lang w:val="fr-FR"/>
        </w:rPr>
        <w:br/>
      </w:r>
      <w:r>
        <w:rPr>
          <w:lang w:val="fr-FR"/>
        </w:rPr>
        <w:t xml:space="preserve">de l’éclairage et de la signalisation lumineuse </w:t>
      </w:r>
      <w:r w:rsidR="0029479C">
        <w:rPr>
          <w:lang w:val="fr-FR"/>
        </w:rPr>
        <w:br/>
      </w:r>
      <w:r>
        <w:rPr>
          <w:lang w:val="fr-FR"/>
        </w:rPr>
        <w:t>(point 1</w:t>
      </w:r>
      <w:r w:rsidR="0029479C">
        <w:rPr>
          <w:lang w:val="fr-FR"/>
        </w:rPr>
        <w:t>1</w:t>
      </w:r>
      <w:r>
        <w:rPr>
          <w:lang w:val="fr-FR"/>
        </w:rPr>
        <w:t xml:space="preserve"> de l’ordre du jour)</w:t>
      </w:r>
      <w:bookmarkEnd w:id="32"/>
    </w:p>
    <w:p w14:paraId="76B311B4" w14:textId="4D494A7B" w:rsidR="009A68DF" w:rsidRPr="00C1181B" w:rsidRDefault="009A68DF" w:rsidP="009A68DF">
      <w:pPr>
        <w:pStyle w:val="SingleTxtG"/>
        <w:ind w:left="2835" w:hanging="1701"/>
      </w:pPr>
      <w:r>
        <w:rPr>
          <w:i/>
          <w:iCs/>
          <w:lang w:val="fr-FR"/>
        </w:rPr>
        <w:t>Document(s) :</w:t>
      </w:r>
      <w:r>
        <w:rPr>
          <w:lang w:val="fr-FR"/>
        </w:rPr>
        <w:tab/>
        <w:t>Document informel GRE-88-05</w:t>
      </w:r>
    </w:p>
    <w:p w14:paraId="4EBB118A" w14:textId="0FBB2954" w:rsidR="009A68DF" w:rsidRPr="00C1181B" w:rsidRDefault="009A68DF" w:rsidP="009A68DF">
      <w:pPr>
        <w:spacing w:after="120"/>
        <w:ind w:left="1134" w:right="1134"/>
        <w:jc w:val="both"/>
      </w:pPr>
      <w:r>
        <w:rPr>
          <w:lang w:val="fr-FR"/>
        </w:rPr>
        <w:t>41.</w:t>
      </w:r>
      <w:r>
        <w:rPr>
          <w:lang w:val="fr-FR"/>
        </w:rPr>
        <w:tab/>
        <w:t>Les experts de l’équipe AVSR ont rendu compte de leurs activités (GRE-88-05). Le GRE a pris note des différentes positions des Parties contractantes concernant le témoin d’état d’un système de conduite automatisé. L’équipe spéciale avait estimé que ce témoin devait être facultatif, donnant ainsi à chaque Partie contractante la possibilité d’interdire son utilisation sur ses routes, par exemple au moyen d’une désactivation obligatoire. Cependant, l’équipe AVSR a souligné que, s’il était installé,</w:t>
      </w:r>
      <w:r w:rsidRPr="00A02CE6">
        <w:rPr>
          <w:lang w:val="fr-FR"/>
        </w:rPr>
        <w:t xml:space="preserve"> </w:t>
      </w:r>
      <w:r>
        <w:rPr>
          <w:lang w:val="fr-FR"/>
        </w:rPr>
        <w:t xml:space="preserve">le témoin d’état d’un système de conduite automatisé devait faire l’objet de prescriptions uniformes. À cette fin, l’équipe AVSR a préconisé la mise au point d’un nouveau Règlement ONU hybride, qui contiendrait à la fois des spécifications fonctionnelles et des prescriptions en matière d’installation d’un signal, sur le modèle du Règlement ONU </w:t>
      </w:r>
      <w:r w:rsidRPr="00E32D74">
        <w:rPr>
          <w:lang w:val="fr-FR"/>
        </w:rPr>
        <w:t>n</w:t>
      </w:r>
      <w:r w:rsidRPr="00E32D74">
        <w:rPr>
          <w:vertAlign w:val="superscript"/>
          <w:lang w:val="fr-FR"/>
        </w:rPr>
        <w:t>o</w:t>
      </w:r>
      <w:r>
        <w:rPr>
          <w:lang w:val="fr-FR"/>
        </w:rPr>
        <w:t xml:space="preserve"> 65 (Feux spéciaux d’avertissement). L’équipe AVSR a également souhaité savoir si le GRE accepterait qu’elle devienne un groupe de travail informel. </w:t>
      </w:r>
    </w:p>
    <w:p w14:paraId="799CAB61" w14:textId="77777777" w:rsidR="009A68DF" w:rsidRPr="00C1181B" w:rsidRDefault="009A68DF" w:rsidP="009A68DF">
      <w:pPr>
        <w:spacing w:after="120"/>
        <w:ind w:left="1134" w:right="1134"/>
        <w:jc w:val="both"/>
      </w:pPr>
      <w:r>
        <w:rPr>
          <w:lang w:val="fr-FR"/>
        </w:rPr>
        <w:t>42.</w:t>
      </w:r>
      <w:r>
        <w:rPr>
          <w:lang w:val="fr-FR"/>
        </w:rPr>
        <w:tab/>
        <w:t xml:space="preserve">Les experts ont dans l’ensemble appuyé l’élaboration d’un nouveau Règlement ONU sur le témoin d’état d’un système de conduite automatisé. Certains experts ont estimé qu’il fallait également envisager la possibilité d’élaborer un nouveau Règlement technique mondial ONU. Le Président a invité l’équipe AVSR à établir, pour la session suivante du GRE, un projet de mandat pour un éventuel groupe de travail informel des prescriptions de signalisation pour les véhicules automatisés/autonomes. Le GRE a noté qu’en juin 2023, le Président rendrait compte des résultats de la discussion au Comité de gestion pour la coordination des travaux (AC.2) ou au WP.29, auxquels il demanderait des orientations. </w:t>
      </w:r>
    </w:p>
    <w:p w14:paraId="0A6796B0" w14:textId="0322F44D" w:rsidR="009A68DF" w:rsidRPr="00C1181B" w:rsidRDefault="009A68DF" w:rsidP="009A68DF">
      <w:pPr>
        <w:pStyle w:val="HChG"/>
      </w:pPr>
      <w:r>
        <w:rPr>
          <w:lang w:val="fr-FR"/>
        </w:rPr>
        <w:lastRenderedPageBreak/>
        <w:tab/>
        <w:t>XIII.</w:t>
      </w:r>
      <w:r>
        <w:rPr>
          <w:lang w:val="fr-FR"/>
        </w:rPr>
        <w:tab/>
      </w:r>
      <w:bookmarkStart w:id="33" w:name="_Hlk158357286"/>
      <w:r>
        <w:rPr>
          <w:lang w:val="fr-FR"/>
        </w:rPr>
        <w:t xml:space="preserve">Ordre du jour provisoire de la prochaine session (point 12 </w:t>
      </w:r>
      <w:r w:rsidR="004E3861">
        <w:rPr>
          <w:lang w:val="fr-FR"/>
        </w:rPr>
        <w:br/>
      </w:r>
      <w:r>
        <w:rPr>
          <w:lang w:val="fr-FR"/>
        </w:rPr>
        <w:t>de l’ordre du jour)</w:t>
      </w:r>
      <w:bookmarkEnd w:id="33"/>
    </w:p>
    <w:p w14:paraId="430C8786" w14:textId="77777777" w:rsidR="009A68DF" w:rsidRPr="00C1181B" w:rsidRDefault="009A68DF" w:rsidP="009A68DF">
      <w:pPr>
        <w:pStyle w:val="SingleTxtG"/>
      </w:pPr>
      <w:r>
        <w:rPr>
          <w:lang w:val="fr-FR"/>
        </w:rPr>
        <w:t>43.</w:t>
      </w:r>
      <w:r>
        <w:rPr>
          <w:lang w:val="fr-FR"/>
        </w:rPr>
        <w:tab/>
        <w:t xml:space="preserve">Le GRE a indiqué que la session suivante devrait se tenir du 24 au 27 octobre 2023 et que la date limite de soumission des documents de travail était fixée au 31 juillet 2023. Il a décidé que l’ordre du jour provisoire de cette session devait être organisé comme suit : </w:t>
      </w:r>
    </w:p>
    <w:p w14:paraId="52B7F240" w14:textId="77777777" w:rsidR="009A68DF" w:rsidRPr="00C1181B" w:rsidRDefault="009A68DF" w:rsidP="009A68DF">
      <w:pPr>
        <w:pStyle w:val="SingleTxtG"/>
        <w:ind w:left="2268" w:hanging="567"/>
      </w:pPr>
      <w:r>
        <w:rPr>
          <w:lang w:val="fr-FR"/>
        </w:rPr>
        <w:t>1.</w:t>
      </w:r>
      <w:r>
        <w:rPr>
          <w:lang w:val="fr-FR"/>
        </w:rPr>
        <w:tab/>
        <w:t>Adoption de l’ordre du jour.</w:t>
      </w:r>
    </w:p>
    <w:p w14:paraId="75D56188" w14:textId="77777777" w:rsidR="009A68DF" w:rsidRPr="00C1181B" w:rsidRDefault="009A68DF" w:rsidP="009A68DF">
      <w:pPr>
        <w:pStyle w:val="SingleTxtG"/>
        <w:ind w:left="2268" w:hanging="567"/>
      </w:pPr>
      <w:r>
        <w:rPr>
          <w:lang w:val="fr-FR"/>
        </w:rPr>
        <w:t>2.</w:t>
      </w:r>
      <w:r>
        <w:rPr>
          <w:lang w:val="fr-FR"/>
        </w:rPr>
        <w:tab/>
        <w:t>Accord de 1998 − Règlements techniques mondiaux ONU : Élaboration.</w:t>
      </w:r>
    </w:p>
    <w:p w14:paraId="160B87E8" w14:textId="77777777" w:rsidR="009A68DF" w:rsidRPr="00C1181B" w:rsidRDefault="009A68DF" w:rsidP="009A68DF">
      <w:pPr>
        <w:pStyle w:val="SingleTxtG"/>
        <w:ind w:left="2268" w:hanging="567"/>
      </w:pPr>
      <w:r>
        <w:rPr>
          <w:lang w:val="fr-FR"/>
        </w:rPr>
        <w:t>3.</w:t>
      </w:r>
      <w:r>
        <w:rPr>
          <w:lang w:val="fr-FR"/>
        </w:rPr>
        <w:tab/>
        <w:t>Accord de 1997 − Règles : Élaboration.</w:t>
      </w:r>
    </w:p>
    <w:p w14:paraId="53699F87" w14:textId="77777777" w:rsidR="009A68DF" w:rsidRPr="00C1181B" w:rsidRDefault="009A68DF" w:rsidP="009A68DF">
      <w:pPr>
        <w:pStyle w:val="SingleTxtG"/>
        <w:ind w:left="2268" w:hanging="567"/>
      </w:pPr>
      <w:r>
        <w:rPr>
          <w:lang w:val="fr-FR"/>
        </w:rPr>
        <w:t>4.</w:t>
      </w:r>
      <w:r>
        <w:rPr>
          <w:lang w:val="fr-FR"/>
        </w:rPr>
        <w:tab/>
        <w:t>Simplification des Règlements ONU relatifs à l’éclairage et à la signalisation lumineuse.</w:t>
      </w:r>
    </w:p>
    <w:p w14:paraId="1619EC7D" w14:textId="77777777" w:rsidR="009A68DF" w:rsidRPr="00C1181B" w:rsidRDefault="009A68DF" w:rsidP="009A68DF">
      <w:pPr>
        <w:pStyle w:val="SingleTxtG"/>
        <w:ind w:left="2268" w:hanging="567"/>
      </w:pPr>
      <w:r>
        <w:rPr>
          <w:lang w:val="fr-FR"/>
        </w:rPr>
        <w:t>5.</w:t>
      </w:r>
      <w:r>
        <w:rPr>
          <w:lang w:val="fr-FR"/>
        </w:rPr>
        <w:tab/>
        <w:t xml:space="preserve">Règlements ONU concernant les sources lumineuses et Résolution d’ensemble sur une spécification commune des catégories de sources lumineuses. </w:t>
      </w:r>
    </w:p>
    <w:p w14:paraId="7B924735" w14:textId="77777777" w:rsidR="009A68DF" w:rsidRPr="00C1181B" w:rsidRDefault="009A68DF" w:rsidP="009A68DF">
      <w:pPr>
        <w:pStyle w:val="SingleTxtG"/>
        <w:ind w:left="2268" w:hanging="567"/>
      </w:pPr>
      <w:r>
        <w:rPr>
          <w:lang w:val="fr-FR"/>
        </w:rPr>
        <w:t>6.</w:t>
      </w:r>
      <w:r>
        <w:rPr>
          <w:lang w:val="fr-FR"/>
        </w:rPr>
        <w:tab/>
        <w:t>Règlements ONU concernant l’installation.</w:t>
      </w:r>
    </w:p>
    <w:p w14:paraId="35C2A741" w14:textId="77777777" w:rsidR="009A68DF" w:rsidRPr="00C1181B" w:rsidRDefault="009A68DF" w:rsidP="009A68DF">
      <w:pPr>
        <w:pStyle w:val="SingleTxtG"/>
        <w:ind w:left="2268" w:hanging="567"/>
      </w:pPr>
      <w:r>
        <w:rPr>
          <w:lang w:val="fr-FR"/>
        </w:rPr>
        <w:t>7.</w:t>
      </w:r>
      <w:r>
        <w:rPr>
          <w:lang w:val="fr-FR"/>
        </w:rPr>
        <w:tab/>
        <w:t>Règlements ONU concernant les dispositifs.</w:t>
      </w:r>
    </w:p>
    <w:p w14:paraId="07972AC7" w14:textId="51C13FD5" w:rsidR="009A68DF" w:rsidRPr="00C1181B" w:rsidRDefault="009A68DF" w:rsidP="009A68DF">
      <w:pPr>
        <w:pStyle w:val="SingleTxtG"/>
        <w:ind w:left="2268" w:hanging="567"/>
      </w:pPr>
      <w:r>
        <w:rPr>
          <w:lang w:val="fr-FR"/>
        </w:rPr>
        <w:t>8.</w:t>
      </w:r>
      <w:r>
        <w:rPr>
          <w:lang w:val="fr-FR"/>
        </w:rPr>
        <w:tab/>
        <w:t xml:space="preserve">Règlement ONU </w:t>
      </w:r>
      <w:r w:rsidRPr="007511EB">
        <w:rPr>
          <w:lang w:val="fr-FR"/>
        </w:rPr>
        <w:t>n</w:t>
      </w:r>
      <w:r w:rsidRPr="007511EB">
        <w:rPr>
          <w:vertAlign w:val="superscript"/>
          <w:lang w:val="fr-FR"/>
        </w:rPr>
        <w:t>o</w:t>
      </w:r>
      <w:r>
        <w:rPr>
          <w:vertAlign w:val="superscript"/>
          <w:lang w:val="fr-FR"/>
        </w:rPr>
        <w:t> </w:t>
      </w:r>
      <w:r>
        <w:rPr>
          <w:lang w:val="fr-FR"/>
        </w:rPr>
        <w:t>10 (Compatibilité électromagnétique).</w:t>
      </w:r>
    </w:p>
    <w:p w14:paraId="4D50D6AE" w14:textId="77777777" w:rsidR="009A68DF" w:rsidRPr="00C1181B" w:rsidRDefault="009A68DF" w:rsidP="009A68DF">
      <w:pPr>
        <w:pStyle w:val="SingleTxtG"/>
        <w:ind w:left="2268" w:hanging="567"/>
      </w:pPr>
      <w:r>
        <w:rPr>
          <w:lang w:val="fr-FR"/>
        </w:rPr>
        <w:t>9.</w:t>
      </w:r>
      <w:r>
        <w:rPr>
          <w:lang w:val="fr-FR"/>
        </w:rPr>
        <w:tab/>
        <w:t>Autres Règlements ONU.</w:t>
      </w:r>
    </w:p>
    <w:p w14:paraId="3148A881" w14:textId="7DBABCF8" w:rsidR="009A68DF" w:rsidRPr="00C1181B" w:rsidRDefault="009A68DF" w:rsidP="009A68DF">
      <w:pPr>
        <w:pStyle w:val="SingleTxtG"/>
        <w:ind w:left="2268" w:hanging="567"/>
      </w:pPr>
      <w:r>
        <w:rPr>
          <w:lang w:val="fr-FR"/>
        </w:rPr>
        <w:t>10.</w:t>
      </w:r>
      <w:r>
        <w:rPr>
          <w:lang w:val="fr-FR"/>
        </w:rPr>
        <w:tab/>
        <w:t>Propositions d’amendements en cours d’examen.</w:t>
      </w:r>
    </w:p>
    <w:p w14:paraId="4B7527CB" w14:textId="77777777" w:rsidR="009A68DF" w:rsidRPr="00C1181B" w:rsidRDefault="009A68DF" w:rsidP="009A68DF">
      <w:pPr>
        <w:pStyle w:val="SingleTxtG"/>
        <w:ind w:left="2268" w:hanging="567"/>
      </w:pPr>
      <w:r>
        <w:rPr>
          <w:lang w:val="fr-FR"/>
        </w:rPr>
        <w:t>11.</w:t>
      </w:r>
      <w:r>
        <w:rPr>
          <w:lang w:val="fr-FR"/>
        </w:rPr>
        <w:tab/>
        <w:t xml:space="preserve">Questions diverses. </w:t>
      </w:r>
    </w:p>
    <w:p w14:paraId="688462CC" w14:textId="77777777" w:rsidR="009A68DF" w:rsidRPr="00C1181B" w:rsidRDefault="009A68DF" w:rsidP="009A68DF">
      <w:pPr>
        <w:pStyle w:val="SingleTxtG"/>
        <w:ind w:left="2268" w:hanging="567"/>
      </w:pPr>
      <w:r>
        <w:rPr>
          <w:lang w:val="fr-FR"/>
        </w:rPr>
        <w:t>12.</w:t>
      </w:r>
      <w:r>
        <w:rPr>
          <w:lang w:val="fr-FR"/>
        </w:rPr>
        <w:tab/>
        <w:t>Orientation des travaux futurs du Groupe de travail de l’éclairage et de la signalisation lumineuse.</w:t>
      </w:r>
    </w:p>
    <w:p w14:paraId="39CF13F6" w14:textId="7FF07A30" w:rsidR="009A68DF" w:rsidRPr="00C1181B" w:rsidRDefault="009A68DF" w:rsidP="009A68DF">
      <w:pPr>
        <w:pStyle w:val="SingleTxtG"/>
        <w:ind w:left="2268" w:hanging="567"/>
      </w:pPr>
      <w:r>
        <w:rPr>
          <w:lang w:val="fr-FR"/>
        </w:rPr>
        <w:t>13.</w:t>
      </w:r>
      <w:r>
        <w:rPr>
          <w:lang w:val="fr-FR"/>
        </w:rPr>
        <w:tab/>
        <w:t xml:space="preserve">Ordre du jour provisoire de la prochaine session. </w:t>
      </w:r>
    </w:p>
    <w:p w14:paraId="583D94C4" w14:textId="77777777" w:rsidR="009A68DF" w:rsidRPr="00C1181B" w:rsidRDefault="009A68DF" w:rsidP="009A68DF">
      <w:pPr>
        <w:pStyle w:val="SingleTxtG"/>
        <w:ind w:left="2268" w:hanging="567"/>
      </w:pPr>
      <w:r>
        <w:rPr>
          <w:lang w:val="fr-FR"/>
        </w:rPr>
        <w:t>14.</w:t>
      </w:r>
      <w:r>
        <w:rPr>
          <w:lang w:val="fr-FR"/>
        </w:rPr>
        <w:tab/>
        <w:t>Élection du Bureau.</w:t>
      </w:r>
    </w:p>
    <w:p w14:paraId="4D80F938" w14:textId="77777777" w:rsidR="009A68DF" w:rsidRPr="00C1181B" w:rsidRDefault="009A68DF" w:rsidP="009A68DF">
      <w:pPr>
        <w:ind w:left="1134" w:right="1134"/>
        <w:jc w:val="both"/>
      </w:pPr>
      <w:bookmarkStart w:id="34" w:name="_Toc360526929"/>
      <w:bookmarkStart w:id="35" w:name="_Toc369772239"/>
      <w:r w:rsidRPr="00C1181B">
        <w:br w:type="page"/>
      </w:r>
    </w:p>
    <w:p w14:paraId="67E5C743" w14:textId="77777777" w:rsidR="009A68DF" w:rsidRPr="00C1181B" w:rsidRDefault="009A68DF" w:rsidP="009A68DF">
      <w:pPr>
        <w:pStyle w:val="HChG"/>
      </w:pPr>
      <w:r>
        <w:rPr>
          <w:lang w:val="fr-FR"/>
        </w:rPr>
        <w:lastRenderedPageBreak/>
        <w:t>Annexe I</w:t>
      </w:r>
      <w:bookmarkEnd w:id="34"/>
      <w:bookmarkEnd w:id="35"/>
    </w:p>
    <w:p w14:paraId="751A4115" w14:textId="77777777" w:rsidR="009A68DF" w:rsidRPr="00C1181B" w:rsidRDefault="009A68DF" w:rsidP="009A68DF">
      <w:pPr>
        <w:pStyle w:val="HChG"/>
      </w:pPr>
      <w:r>
        <w:rPr>
          <w:lang w:val="fr-FR"/>
        </w:rPr>
        <w:tab/>
      </w:r>
      <w:r>
        <w:rPr>
          <w:lang w:val="fr-FR"/>
        </w:rPr>
        <w:tab/>
      </w:r>
      <w:bookmarkStart w:id="36" w:name="_Hlk158357305"/>
      <w:r>
        <w:rPr>
          <w:lang w:val="fr-FR"/>
        </w:rPr>
        <w:t>Liste des documents informels publiés pour la session</w:t>
      </w:r>
      <w:bookmarkStart w:id="37" w:name="_Toc369772240"/>
      <w:bookmarkEnd w:id="37"/>
      <w:bookmarkEnd w:id="36"/>
    </w:p>
    <w:p w14:paraId="0B3FCA7A" w14:textId="478C8CA2" w:rsidR="009A68DF" w:rsidRPr="0039573A" w:rsidRDefault="009A68DF" w:rsidP="009A68DF">
      <w:pPr>
        <w:pStyle w:val="SingleTxtG"/>
      </w:pPr>
      <w:r>
        <w:rPr>
          <w:lang w:val="fr-FR"/>
        </w:rPr>
        <w:t>Documents informels GRE-88-…</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5"/>
        <w:gridCol w:w="6791"/>
        <w:gridCol w:w="849"/>
      </w:tblGrid>
      <w:tr w:rsidR="009A68DF" w:rsidRPr="009A4716" w14:paraId="5B48316E" w14:textId="77777777" w:rsidTr="009A68DF">
        <w:trPr>
          <w:tblHeader/>
        </w:trPr>
        <w:tc>
          <w:tcPr>
            <w:tcW w:w="865" w:type="dxa"/>
            <w:vAlign w:val="bottom"/>
          </w:tcPr>
          <w:p w14:paraId="294769F0" w14:textId="77777777" w:rsidR="009A68DF" w:rsidRPr="009A4716" w:rsidRDefault="009A68DF" w:rsidP="009A68DF">
            <w:pPr>
              <w:pStyle w:val="Notedebasdepage"/>
              <w:keepNext/>
              <w:keepLines/>
              <w:spacing w:before="80" w:after="80" w:line="200" w:lineRule="exact"/>
              <w:ind w:left="57" w:right="57" w:firstLine="0"/>
              <w:rPr>
                <w:i/>
                <w:sz w:val="16"/>
                <w:szCs w:val="16"/>
              </w:rPr>
            </w:pPr>
            <w:r>
              <w:rPr>
                <w:i/>
                <w:iCs/>
                <w:lang w:val="fr-FR"/>
              </w:rPr>
              <w:t>N</w:t>
            </w:r>
            <w:r w:rsidRPr="0029479C">
              <w:rPr>
                <w:i/>
                <w:iCs/>
                <w:vertAlign w:val="superscript"/>
                <w:lang w:val="fr-FR"/>
              </w:rPr>
              <w:t>o</w:t>
            </w:r>
          </w:p>
        </w:tc>
        <w:tc>
          <w:tcPr>
            <w:tcW w:w="6791" w:type="dxa"/>
            <w:vAlign w:val="bottom"/>
          </w:tcPr>
          <w:p w14:paraId="33B7D7D5" w14:textId="77777777" w:rsidR="009A68DF" w:rsidRPr="009A4716" w:rsidRDefault="009A68DF" w:rsidP="009A68DF">
            <w:pPr>
              <w:pStyle w:val="Notedebasdepage"/>
              <w:keepNext/>
              <w:keepLines/>
              <w:spacing w:before="80" w:after="80" w:line="200" w:lineRule="exact"/>
              <w:ind w:left="57" w:right="57" w:firstLine="0"/>
              <w:rPr>
                <w:rFonts w:asciiTheme="majorBidi" w:hAnsiTheme="majorBidi" w:cstheme="majorBidi"/>
                <w:i/>
                <w:sz w:val="16"/>
                <w:szCs w:val="16"/>
              </w:rPr>
            </w:pPr>
            <w:r>
              <w:rPr>
                <w:i/>
                <w:iCs/>
                <w:lang w:val="fr-FR"/>
              </w:rPr>
              <w:t>(Auteur) Titre</w:t>
            </w:r>
          </w:p>
        </w:tc>
        <w:tc>
          <w:tcPr>
            <w:tcW w:w="849" w:type="dxa"/>
            <w:vAlign w:val="bottom"/>
          </w:tcPr>
          <w:p w14:paraId="2EDFD056" w14:textId="08168D21" w:rsidR="009A68DF" w:rsidRPr="009A4716" w:rsidRDefault="009A68DF" w:rsidP="009A68DF">
            <w:pPr>
              <w:pStyle w:val="Notedebasdepage"/>
              <w:keepNext/>
              <w:keepLines/>
              <w:spacing w:before="80" w:after="80" w:line="200" w:lineRule="exact"/>
              <w:ind w:left="57" w:right="57" w:hanging="113"/>
              <w:jc w:val="center"/>
              <w:rPr>
                <w:i/>
                <w:sz w:val="16"/>
                <w:szCs w:val="16"/>
              </w:rPr>
            </w:pPr>
            <w:r>
              <w:rPr>
                <w:i/>
                <w:iCs/>
                <w:lang w:val="fr-FR"/>
              </w:rPr>
              <w:t>Suite donnée/</w:t>
            </w:r>
            <w:r w:rsidR="0029479C">
              <w:rPr>
                <w:i/>
                <w:iCs/>
                <w:lang w:val="fr-FR"/>
              </w:rPr>
              <w:br/>
            </w:r>
            <w:r>
              <w:rPr>
                <w:i/>
                <w:iCs/>
                <w:lang w:val="fr-FR"/>
              </w:rPr>
              <w:t>à donner</w:t>
            </w:r>
          </w:p>
        </w:tc>
      </w:tr>
      <w:tr w:rsidR="009A68DF" w:rsidRPr="0039573A" w14:paraId="54A840AF" w14:textId="77777777" w:rsidTr="009A68DF">
        <w:tc>
          <w:tcPr>
            <w:tcW w:w="865" w:type="dxa"/>
          </w:tcPr>
          <w:p w14:paraId="7B9D4005" w14:textId="77777777" w:rsidR="009A68DF" w:rsidRPr="00390600" w:rsidRDefault="009A68DF" w:rsidP="009A68DF">
            <w:pPr>
              <w:widowControl w:val="0"/>
              <w:spacing w:before="40" w:after="40"/>
              <w:ind w:left="57" w:right="57"/>
            </w:pPr>
            <w:r>
              <w:rPr>
                <w:lang w:val="fr-FR"/>
              </w:rPr>
              <w:t>1</w:t>
            </w:r>
          </w:p>
        </w:tc>
        <w:tc>
          <w:tcPr>
            <w:tcW w:w="6791" w:type="dxa"/>
            <w:vAlign w:val="center"/>
          </w:tcPr>
          <w:p w14:paraId="5AADF1B5" w14:textId="77777777" w:rsidR="009A68DF" w:rsidRPr="00390600" w:rsidRDefault="009A68DF" w:rsidP="009A68DF">
            <w:pPr>
              <w:spacing w:before="40" w:after="40"/>
              <w:ind w:left="57" w:right="57"/>
            </w:pPr>
            <w:r w:rsidRPr="00390600">
              <w:t>(</w:t>
            </w:r>
            <w:proofErr w:type="spellStart"/>
            <w:r w:rsidRPr="00390600">
              <w:t>secretariat</w:t>
            </w:r>
            <w:proofErr w:type="spellEnd"/>
            <w:r w:rsidRPr="00390600">
              <w:t xml:space="preserve">) </w:t>
            </w:r>
            <w:proofErr w:type="spellStart"/>
            <w:r w:rsidRPr="00390600">
              <w:t>Updated</w:t>
            </w:r>
            <w:proofErr w:type="spellEnd"/>
            <w:r w:rsidRPr="00390600">
              <w:t xml:space="preserve"> </w:t>
            </w:r>
            <w:proofErr w:type="spellStart"/>
            <w:r w:rsidRPr="00390600">
              <w:t>provisional</w:t>
            </w:r>
            <w:proofErr w:type="spellEnd"/>
            <w:r w:rsidRPr="00390600">
              <w:t xml:space="preserve"> agenda </w:t>
            </w:r>
          </w:p>
        </w:tc>
        <w:tc>
          <w:tcPr>
            <w:tcW w:w="849" w:type="dxa"/>
          </w:tcPr>
          <w:p w14:paraId="5E1E8A30" w14:textId="77777777" w:rsidR="009A68DF" w:rsidRPr="00390600" w:rsidRDefault="009A68DF" w:rsidP="009A68DF">
            <w:pPr>
              <w:widowControl w:val="0"/>
              <w:spacing w:before="40" w:after="40"/>
              <w:ind w:left="57" w:right="57"/>
              <w:jc w:val="center"/>
            </w:pPr>
            <w:r>
              <w:t>b</w:t>
            </w:r>
          </w:p>
        </w:tc>
      </w:tr>
      <w:tr w:rsidR="009A68DF" w:rsidRPr="0039573A" w14:paraId="10F2BB3C" w14:textId="77777777" w:rsidTr="009A68DF">
        <w:tc>
          <w:tcPr>
            <w:tcW w:w="865" w:type="dxa"/>
          </w:tcPr>
          <w:p w14:paraId="55C64CF8" w14:textId="77777777" w:rsidR="009A68DF" w:rsidRPr="00390600" w:rsidRDefault="009A68DF" w:rsidP="009A68DF">
            <w:pPr>
              <w:widowControl w:val="0"/>
              <w:spacing w:before="40" w:after="40"/>
              <w:ind w:left="57" w:right="57"/>
            </w:pPr>
            <w:r>
              <w:t>2-Rev.1</w:t>
            </w:r>
          </w:p>
        </w:tc>
        <w:tc>
          <w:tcPr>
            <w:tcW w:w="6791" w:type="dxa"/>
            <w:vAlign w:val="center"/>
          </w:tcPr>
          <w:p w14:paraId="3383A64E" w14:textId="6430E0C9" w:rsidR="009A68DF" w:rsidRPr="009A68DF" w:rsidRDefault="009A68DF" w:rsidP="009A68DF">
            <w:pPr>
              <w:spacing w:before="40" w:after="40"/>
              <w:ind w:left="57" w:right="57"/>
              <w:rPr>
                <w:lang w:val="en-US"/>
              </w:rPr>
            </w:pPr>
            <w:r w:rsidRPr="009A68DF">
              <w:rPr>
                <w:lang w:val="en-US"/>
              </w:rPr>
              <w:t>(IWG DETA) 1958 Agreement - Unique Identifier: Proposed actions for IWG DETA, Working Parties (GRs) and WP.29</w:t>
            </w:r>
          </w:p>
        </w:tc>
        <w:tc>
          <w:tcPr>
            <w:tcW w:w="849" w:type="dxa"/>
          </w:tcPr>
          <w:p w14:paraId="5C8FBA80" w14:textId="77777777" w:rsidR="009A68DF" w:rsidRPr="00B71AD7" w:rsidRDefault="009A68DF" w:rsidP="009A68DF">
            <w:pPr>
              <w:widowControl w:val="0"/>
              <w:spacing w:before="40" w:after="40"/>
              <w:ind w:left="57" w:right="57"/>
              <w:jc w:val="center"/>
              <w:rPr>
                <w:lang w:val="en-US"/>
              </w:rPr>
            </w:pPr>
            <w:r>
              <w:rPr>
                <w:lang w:val="en-US"/>
              </w:rPr>
              <w:t>d</w:t>
            </w:r>
          </w:p>
        </w:tc>
      </w:tr>
      <w:tr w:rsidR="009A68DF" w:rsidRPr="0039573A" w14:paraId="0EAEA3B8" w14:textId="77777777" w:rsidTr="009A68DF">
        <w:tc>
          <w:tcPr>
            <w:tcW w:w="865" w:type="dxa"/>
          </w:tcPr>
          <w:p w14:paraId="4B05B481" w14:textId="77777777" w:rsidR="009A68DF" w:rsidRPr="00390600" w:rsidRDefault="009A68DF" w:rsidP="009A68DF">
            <w:pPr>
              <w:widowControl w:val="0"/>
              <w:spacing w:before="40" w:after="40"/>
              <w:ind w:left="57" w:right="57"/>
            </w:pPr>
            <w:r>
              <w:t>3-Rev.1</w:t>
            </w:r>
          </w:p>
        </w:tc>
        <w:tc>
          <w:tcPr>
            <w:tcW w:w="6791" w:type="dxa"/>
            <w:vAlign w:val="center"/>
          </w:tcPr>
          <w:p w14:paraId="34EA8C2F" w14:textId="77777777" w:rsidR="009A68DF" w:rsidRPr="009A68DF" w:rsidRDefault="009A68DF" w:rsidP="009A68DF">
            <w:pPr>
              <w:spacing w:before="40" w:after="40"/>
              <w:ind w:left="57" w:right="57"/>
              <w:rPr>
                <w:lang w:val="en-US"/>
              </w:rPr>
            </w:pPr>
            <w:r w:rsidRPr="009A68DF">
              <w:rPr>
                <w:lang w:val="en-US"/>
              </w:rPr>
              <w:t>(IWG DETA) Request of IWG DETA to Working Parties (GRs) to provide clarity on the UN Regulations for which the UI marking may be applied</w:t>
            </w:r>
          </w:p>
        </w:tc>
        <w:tc>
          <w:tcPr>
            <w:tcW w:w="849" w:type="dxa"/>
          </w:tcPr>
          <w:p w14:paraId="2510C051" w14:textId="77777777" w:rsidR="009A68DF" w:rsidRPr="00E724A6" w:rsidRDefault="009A68DF" w:rsidP="009A68DF">
            <w:pPr>
              <w:widowControl w:val="0"/>
              <w:spacing w:before="40" w:after="40"/>
              <w:ind w:left="57" w:right="57"/>
              <w:jc w:val="center"/>
              <w:rPr>
                <w:lang w:val="en-US"/>
              </w:rPr>
            </w:pPr>
            <w:r>
              <w:rPr>
                <w:lang w:val="en-US"/>
              </w:rPr>
              <w:t>d</w:t>
            </w:r>
          </w:p>
        </w:tc>
      </w:tr>
      <w:tr w:rsidR="009A68DF" w:rsidRPr="0039573A" w14:paraId="41644E63" w14:textId="77777777" w:rsidTr="009A68DF">
        <w:tc>
          <w:tcPr>
            <w:tcW w:w="865" w:type="dxa"/>
          </w:tcPr>
          <w:p w14:paraId="5CCB7779" w14:textId="77777777" w:rsidR="009A68DF" w:rsidRPr="00390600" w:rsidRDefault="009A68DF" w:rsidP="009A68DF">
            <w:pPr>
              <w:widowControl w:val="0"/>
              <w:spacing w:before="40" w:after="40"/>
              <w:ind w:left="57" w:right="57"/>
            </w:pPr>
            <w:r>
              <w:rPr>
                <w:lang w:val="fr-FR"/>
              </w:rPr>
              <w:t>4</w:t>
            </w:r>
          </w:p>
        </w:tc>
        <w:tc>
          <w:tcPr>
            <w:tcW w:w="6791" w:type="dxa"/>
            <w:vAlign w:val="center"/>
          </w:tcPr>
          <w:p w14:paraId="04B34E8D" w14:textId="77777777" w:rsidR="009A68DF" w:rsidRPr="0029479C" w:rsidRDefault="009A68DF" w:rsidP="009A68DF">
            <w:pPr>
              <w:spacing w:before="40" w:after="40"/>
              <w:ind w:left="57" w:right="57"/>
              <w:rPr>
                <w:lang w:val="en-US"/>
              </w:rPr>
            </w:pPr>
            <w:hyperlink r:id="rId9" w:history="1">
              <w:r w:rsidRPr="0029479C">
                <w:rPr>
                  <w:rStyle w:val="Lienhypertexte"/>
                  <w:color w:val="auto"/>
                  <w:lang w:val="en-US"/>
                </w:rPr>
                <w:t>(CEMA) Proposal for a draft amendment to UN Regulation No. 86</w:t>
              </w:r>
            </w:hyperlink>
          </w:p>
        </w:tc>
        <w:tc>
          <w:tcPr>
            <w:tcW w:w="849" w:type="dxa"/>
          </w:tcPr>
          <w:p w14:paraId="6DD938C8" w14:textId="77777777" w:rsidR="009A68DF" w:rsidRPr="00390600" w:rsidRDefault="009A68DF" w:rsidP="009A68DF">
            <w:pPr>
              <w:widowControl w:val="0"/>
              <w:spacing w:before="40" w:after="40"/>
              <w:ind w:left="57" w:right="57"/>
              <w:jc w:val="center"/>
            </w:pPr>
            <w:r>
              <w:t>c</w:t>
            </w:r>
          </w:p>
        </w:tc>
      </w:tr>
      <w:tr w:rsidR="009A68DF" w:rsidRPr="0039573A" w14:paraId="351FB389" w14:textId="77777777" w:rsidTr="009A68DF">
        <w:tc>
          <w:tcPr>
            <w:tcW w:w="865" w:type="dxa"/>
          </w:tcPr>
          <w:p w14:paraId="401FFE03" w14:textId="77777777" w:rsidR="009A68DF" w:rsidRPr="00390600" w:rsidRDefault="009A68DF" w:rsidP="009A68DF">
            <w:pPr>
              <w:widowControl w:val="0"/>
              <w:spacing w:before="40" w:after="40"/>
              <w:ind w:left="57" w:right="57"/>
            </w:pPr>
            <w:r>
              <w:rPr>
                <w:lang w:val="fr-FR"/>
              </w:rPr>
              <w:t>5</w:t>
            </w:r>
          </w:p>
        </w:tc>
        <w:tc>
          <w:tcPr>
            <w:tcW w:w="6791" w:type="dxa"/>
            <w:vAlign w:val="center"/>
          </w:tcPr>
          <w:p w14:paraId="26608EF6" w14:textId="77777777" w:rsidR="009A68DF" w:rsidRPr="00390600" w:rsidRDefault="009A68DF" w:rsidP="009A68DF">
            <w:pPr>
              <w:spacing w:before="40" w:after="40"/>
              <w:ind w:left="57" w:right="57"/>
            </w:pPr>
            <w:r w:rsidRPr="00832110">
              <w:t>(TF AVSR) Progress report</w:t>
            </w:r>
          </w:p>
        </w:tc>
        <w:tc>
          <w:tcPr>
            <w:tcW w:w="849" w:type="dxa"/>
          </w:tcPr>
          <w:p w14:paraId="61592CFC" w14:textId="77777777" w:rsidR="009A68DF" w:rsidRPr="00390600" w:rsidRDefault="009A68DF" w:rsidP="009A68DF">
            <w:pPr>
              <w:widowControl w:val="0"/>
              <w:spacing w:before="40" w:after="40"/>
              <w:ind w:left="57" w:right="57"/>
              <w:jc w:val="center"/>
            </w:pPr>
            <w:r>
              <w:t>f</w:t>
            </w:r>
          </w:p>
        </w:tc>
      </w:tr>
      <w:tr w:rsidR="009A68DF" w:rsidRPr="0039573A" w14:paraId="64FCF94D" w14:textId="77777777" w:rsidTr="009A68DF">
        <w:tc>
          <w:tcPr>
            <w:tcW w:w="865" w:type="dxa"/>
          </w:tcPr>
          <w:p w14:paraId="1C376F81" w14:textId="77777777" w:rsidR="009A68DF" w:rsidRPr="00390600" w:rsidRDefault="009A68DF" w:rsidP="009A68DF">
            <w:pPr>
              <w:widowControl w:val="0"/>
              <w:spacing w:before="40" w:after="40"/>
              <w:ind w:left="57" w:right="57"/>
            </w:pPr>
            <w:r>
              <w:rPr>
                <w:lang w:val="fr-FR"/>
              </w:rPr>
              <w:t>6</w:t>
            </w:r>
          </w:p>
        </w:tc>
        <w:tc>
          <w:tcPr>
            <w:tcW w:w="6791" w:type="dxa"/>
            <w:vAlign w:val="center"/>
          </w:tcPr>
          <w:p w14:paraId="15BD6E73" w14:textId="77777777" w:rsidR="009A68DF" w:rsidRPr="00390600" w:rsidRDefault="009A68DF" w:rsidP="009A68DF">
            <w:pPr>
              <w:spacing w:before="40" w:after="40"/>
              <w:ind w:left="57" w:right="57"/>
            </w:pPr>
            <w:r w:rsidRPr="00350A13">
              <w:t xml:space="preserve">(Chair) Running </w:t>
            </w:r>
            <w:proofErr w:type="spellStart"/>
            <w:r w:rsidRPr="00350A13">
              <w:t>order</w:t>
            </w:r>
            <w:proofErr w:type="spellEnd"/>
          </w:p>
        </w:tc>
        <w:tc>
          <w:tcPr>
            <w:tcW w:w="849" w:type="dxa"/>
          </w:tcPr>
          <w:p w14:paraId="1F42E94D" w14:textId="77777777" w:rsidR="009A68DF" w:rsidRPr="00390600" w:rsidRDefault="009A68DF" w:rsidP="009A68DF">
            <w:pPr>
              <w:widowControl w:val="0"/>
              <w:spacing w:before="40" w:after="40"/>
              <w:ind w:left="57" w:right="57"/>
              <w:jc w:val="center"/>
            </w:pPr>
            <w:r>
              <w:t>b</w:t>
            </w:r>
          </w:p>
        </w:tc>
      </w:tr>
      <w:tr w:rsidR="009A68DF" w:rsidRPr="0039573A" w14:paraId="07660B22" w14:textId="77777777" w:rsidTr="009A68DF">
        <w:tc>
          <w:tcPr>
            <w:tcW w:w="865" w:type="dxa"/>
          </w:tcPr>
          <w:p w14:paraId="57F4E001" w14:textId="77777777" w:rsidR="009A68DF" w:rsidRDefault="009A68DF" w:rsidP="009A68DF">
            <w:pPr>
              <w:widowControl w:val="0"/>
              <w:spacing w:before="40" w:after="40"/>
              <w:ind w:left="57" w:right="57"/>
            </w:pPr>
            <w:r>
              <w:rPr>
                <w:lang w:val="fr-FR"/>
              </w:rPr>
              <w:t>7</w:t>
            </w:r>
          </w:p>
        </w:tc>
        <w:tc>
          <w:tcPr>
            <w:tcW w:w="6791" w:type="dxa"/>
            <w:vAlign w:val="center"/>
          </w:tcPr>
          <w:p w14:paraId="684268D1" w14:textId="77777777" w:rsidR="009A68DF" w:rsidRDefault="009A68DF" w:rsidP="009A68DF">
            <w:pPr>
              <w:spacing w:before="40" w:after="40"/>
              <w:ind w:left="57" w:right="57"/>
            </w:pPr>
            <w:r w:rsidRPr="005554F1">
              <w:t>(IWG SLR) Progress report</w:t>
            </w:r>
          </w:p>
        </w:tc>
        <w:tc>
          <w:tcPr>
            <w:tcW w:w="849" w:type="dxa"/>
          </w:tcPr>
          <w:p w14:paraId="56BC0DB0" w14:textId="77777777" w:rsidR="009A68DF" w:rsidRPr="00390600" w:rsidRDefault="009A68DF" w:rsidP="009A68DF">
            <w:pPr>
              <w:widowControl w:val="0"/>
              <w:spacing w:before="40" w:after="40"/>
              <w:ind w:left="57" w:right="57"/>
              <w:jc w:val="center"/>
            </w:pPr>
            <w:r>
              <w:t>f</w:t>
            </w:r>
          </w:p>
        </w:tc>
      </w:tr>
      <w:tr w:rsidR="009A68DF" w:rsidRPr="0039573A" w14:paraId="7DD4BEE6" w14:textId="77777777" w:rsidTr="009A68DF">
        <w:tc>
          <w:tcPr>
            <w:tcW w:w="865" w:type="dxa"/>
          </w:tcPr>
          <w:p w14:paraId="70C5C3EE" w14:textId="77777777" w:rsidR="009A68DF" w:rsidRDefault="009A68DF" w:rsidP="009A68DF">
            <w:pPr>
              <w:widowControl w:val="0"/>
              <w:spacing w:before="40" w:after="40"/>
              <w:ind w:left="57" w:right="57"/>
            </w:pPr>
            <w:r>
              <w:t>8-Rev.1</w:t>
            </w:r>
          </w:p>
        </w:tc>
        <w:tc>
          <w:tcPr>
            <w:tcW w:w="6791" w:type="dxa"/>
            <w:vAlign w:val="center"/>
          </w:tcPr>
          <w:p w14:paraId="6DFA8495" w14:textId="77777777" w:rsidR="009A68DF" w:rsidRPr="009A68DF" w:rsidRDefault="009A68DF" w:rsidP="009A68DF">
            <w:pPr>
              <w:spacing w:before="40" w:after="40"/>
              <w:ind w:left="57" w:right="57"/>
              <w:rPr>
                <w:lang w:val="en-US"/>
              </w:rPr>
            </w:pPr>
            <w:r w:rsidRPr="009A68DF">
              <w:rPr>
                <w:lang w:val="en-US"/>
              </w:rPr>
              <w:t xml:space="preserve">(France) </w:t>
            </w:r>
            <w:proofErr w:type="spellStart"/>
            <w:r w:rsidRPr="009A68DF">
              <w:rPr>
                <w:lang w:val="en-US"/>
              </w:rPr>
              <w:t>Colour</w:t>
            </w:r>
            <w:proofErr w:type="spellEnd"/>
            <w:r w:rsidRPr="009A68DF">
              <w:rPr>
                <w:lang w:val="en-US"/>
              </w:rPr>
              <w:t xml:space="preserve"> of the light emitted</w:t>
            </w:r>
          </w:p>
        </w:tc>
        <w:tc>
          <w:tcPr>
            <w:tcW w:w="849" w:type="dxa"/>
          </w:tcPr>
          <w:p w14:paraId="3EBD4389" w14:textId="77777777" w:rsidR="009A68DF" w:rsidRPr="00390600" w:rsidRDefault="009A68DF" w:rsidP="009A68DF">
            <w:pPr>
              <w:widowControl w:val="0"/>
              <w:spacing w:before="40" w:after="40"/>
              <w:ind w:left="57" w:right="57"/>
              <w:jc w:val="center"/>
            </w:pPr>
            <w:r>
              <w:t>d</w:t>
            </w:r>
          </w:p>
        </w:tc>
      </w:tr>
      <w:tr w:rsidR="009A68DF" w:rsidRPr="0039573A" w14:paraId="7C1948D5" w14:textId="77777777" w:rsidTr="009A68DF">
        <w:tc>
          <w:tcPr>
            <w:tcW w:w="865" w:type="dxa"/>
          </w:tcPr>
          <w:p w14:paraId="65AC7F7A" w14:textId="77777777" w:rsidR="009A68DF" w:rsidRPr="00390600" w:rsidRDefault="009A68DF" w:rsidP="009A68DF">
            <w:pPr>
              <w:widowControl w:val="0"/>
              <w:spacing w:before="40" w:after="40"/>
              <w:ind w:left="57" w:right="57"/>
            </w:pPr>
            <w:r>
              <w:rPr>
                <w:lang w:val="fr-FR"/>
              </w:rPr>
              <w:t>9</w:t>
            </w:r>
          </w:p>
        </w:tc>
        <w:tc>
          <w:tcPr>
            <w:tcW w:w="6791" w:type="dxa"/>
            <w:vAlign w:val="center"/>
          </w:tcPr>
          <w:p w14:paraId="25A36A53" w14:textId="77777777" w:rsidR="009A68DF" w:rsidRPr="009A68DF" w:rsidRDefault="009A68DF" w:rsidP="009A68DF">
            <w:pPr>
              <w:spacing w:before="40" w:after="40"/>
              <w:ind w:left="57" w:right="57"/>
              <w:rPr>
                <w:lang w:val="en-US"/>
              </w:rPr>
            </w:pPr>
            <w:r w:rsidRPr="009A68DF">
              <w:rPr>
                <w:lang w:val="en-US"/>
              </w:rPr>
              <w:t>(Germany) Proposal for a Supplement to the 01 series of amendments to UN Regulation No. 149</w:t>
            </w:r>
          </w:p>
        </w:tc>
        <w:tc>
          <w:tcPr>
            <w:tcW w:w="849" w:type="dxa"/>
          </w:tcPr>
          <w:p w14:paraId="0932C76D" w14:textId="77777777" w:rsidR="009A68DF" w:rsidRPr="00390600" w:rsidRDefault="009A68DF" w:rsidP="009A68DF">
            <w:pPr>
              <w:widowControl w:val="0"/>
              <w:spacing w:before="40" w:after="40"/>
              <w:ind w:left="57" w:right="57"/>
              <w:jc w:val="center"/>
            </w:pPr>
            <w:r>
              <w:t>a</w:t>
            </w:r>
          </w:p>
        </w:tc>
      </w:tr>
      <w:tr w:rsidR="009A68DF" w:rsidRPr="0039573A" w14:paraId="137A45CF" w14:textId="77777777" w:rsidTr="009A68DF">
        <w:tc>
          <w:tcPr>
            <w:tcW w:w="865" w:type="dxa"/>
          </w:tcPr>
          <w:p w14:paraId="710C01F8" w14:textId="77777777" w:rsidR="009A68DF" w:rsidRPr="00390600" w:rsidRDefault="009A68DF" w:rsidP="009A68DF">
            <w:pPr>
              <w:widowControl w:val="0"/>
              <w:spacing w:before="40" w:after="40"/>
              <w:ind w:left="57" w:right="57"/>
            </w:pPr>
            <w:r>
              <w:rPr>
                <w:lang w:val="fr-FR"/>
              </w:rPr>
              <w:t>10</w:t>
            </w:r>
          </w:p>
        </w:tc>
        <w:tc>
          <w:tcPr>
            <w:tcW w:w="6791" w:type="dxa"/>
            <w:vAlign w:val="center"/>
          </w:tcPr>
          <w:p w14:paraId="74B48B30" w14:textId="77777777" w:rsidR="009A68DF" w:rsidRPr="009A68DF" w:rsidRDefault="009A68DF" w:rsidP="009A68DF">
            <w:pPr>
              <w:spacing w:before="40" w:after="40"/>
              <w:ind w:left="57" w:right="57"/>
              <w:rPr>
                <w:lang w:val="en-US"/>
              </w:rPr>
            </w:pPr>
            <w:r w:rsidRPr="009A68DF">
              <w:rPr>
                <w:lang w:val="en-US"/>
              </w:rPr>
              <w:t>(GTB) Improved failure provisions for the 01 series of amendments to UN Regulation No. 149 and including “high definition” headlamps</w:t>
            </w:r>
          </w:p>
        </w:tc>
        <w:tc>
          <w:tcPr>
            <w:tcW w:w="849" w:type="dxa"/>
          </w:tcPr>
          <w:p w14:paraId="4D4CB9A1" w14:textId="77777777" w:rsidR="009A68DF" w:rsidRPr="00390600" w:rsidRDefault="009A68DF" w:rsidP="009A68DF">
            <w:pPr>
              <w:widowControl w:val="0"/>
              <w:spacing w:before="40" w:after="40"/>
              <w:ind w:left="57" w:right="57"/>
              <w:jc w:val="center"/>
            </w:pPr>
            <w:r>
              <w:t>d</w:t>
            </w:r>
          </w:p>
        </w:tc>
      </w:tr>
      <w:tr w:rsidR="009A68DF" w:rsidRPr="0039573A" w14:paraId="691C20F9" w14:textId="77777777" w:rsidTr="009A68DF">
        <w:tc>
          <w:tcPr>
            <w:tcW w:w="865" w:type="dxa"/>
          </w:tcPr>
          <w:p w14:paraId="54D4D464" w14:textId="77777777" w:rsidR="009A68DF" w:rsidRPr="00390600" w:rsidRDefault="009A68DF" w:rsidP="009A68DF">
            <w:pPr>
              <w:widowControl w:val="0"/>
              <w:spacing w:before="40" w:after="40"/>
              <w:ind w:left="57" w:right="57"/>
            </w:pPr>
            <w:r>
              <w:rPr>
                <w:lang w:val="fr-FR"/>
              </w:rPr>
              <w:t>11</w:t>
            </w:r>
          </w:p>
        </w:tc>
        <w:tc>
          <w:tcPr>
            <w:tcW w:w="6791" w:type="dxa"/>
            <w:vAlign w:val="center"/>
          </w:tcPr>
          <w:p w14:paraId="03E4D108" w14:textId="77777777" w:rsidR="009A68DF" w:rsidRPr="009A68DF" w:rsidRDefault="009A68DF" w:rsidP="009A68DF">
            <w:pPr>
              <w:spacing w:before="40" w:after="40"/>
              <w:ind w:left="57" w:right="57"/>
              <w:rPr>
                <w:lang w:val="en-US"/>
              </w:rPr>
            </w:pPr>
            <w:r w:rsidRPr="009A68DF">
              <w:rPr>
                <w:lang w:val="en-US"/>
              </w:rPr>
              <w:t>(GTB) “Signal Road Projector” (SRP)</w:t>
            </w:r>
          </w:p>
        </w:tc>
        <w:tc>
          <w:tcPr>
            <w:tcW w:w="849" w:type="dxa"/>
          </w:tcPr>
          <w:p w14:paraId="7C33C511" w14:textId="77777777" w:rsidR="009A68DF" w:rsidRPr="00390600" w:rsidRDefault="009A68DF" w:rsidP="009A68DF">
            <w:pPr>
              <w:widowControl w:val="0"/>
              <w:spacing w:before="40" w:after="40"/>
              <w:ind w:left="57" w:right="57"/>
              <w:jc w:val="center"/>
            </w:pPr>
            <w:r>
              <w:t>c</w:t>
            </w:r>
          </w:p>
        </w:tc>
      </w:tr>
      <w:tr w:rsidR="009A68DF" w:rsidRPr="0039573A" w14:paraId="7634C38B" w14:textId="77777777" w:rsidTr="009A68DF">
        <w:tc>
          <w:tcPr>
            <w:tcW w:w="865" w:type="dxa"/>
          </w:tcPr>
          <w:p w14:paraId="7729DDC6" w14:textId="77777777" w:rsidR="009A68DF" w:rsidRPr="00390600" w:rsidRDefault="009A68DF" w:rsidP="009A68DF">
            <w:pPr>
              <w:widowControl w:val="0"/>
              <w:spacing w:before="40" w:after="40"/>
              <w:ind w:left="57" w:right="57"/>
            </w:pPr>
            <w:r>
              <w:t>12-Rev.1</w:t>
            </w:r>
          </w:p>
        </w:tc>
        <w:tc>
          <w:tcPr>
            <w:tcW w:w="6791" w:type="dxa"/>
            <w:vAlign w:val="center"/>
          </w:tcPr>
          <w:p w14:paraId="1C2DF5A9" w14:textId="77777777" w:rsidR="009A68DF" w:rsidRPr="009A68DF" w:rsidRDefault="009A68DF" w:rsidP="009A68DF">
            <w:pPr>
              <w:spacing w:before="40" w:after="40"/>
              <w:ind w:left="57" w:right="57"/>
              <w:rPr>
                <w:lang w:val="en-US"/>
              </w:rPr>
            </w:pPr>
            <w:r w:rsidRPr="009A68DF">
              <w:rPr>
                <w:lang w:val="en-US"/>
              </w:rPr>
              <w:t>(secretariat) General information and WP.29 highlights</w:t>
            </w:r>
          </w:p>
        </w:tc>
        <w:tc>
          <w:tcPr>
            <w:tcW w:w="849" w:type="dxa"/>
          </w:tcPr>
          <w:p w14:paraId="2A360A45" w14:textId="77777777" w:rsidR="009A68DF" w:rsidRPr="00390600" w:rsidRDefault="009A68DF" w:rsidP="009A68DF">
            <w:pPr>
              <w:widowControl w:val="0"/>
              <w:spacing w:before="40" w:after="40"/>
              <w:ind w:left="57" w:right="57"/>
              <w:jc w:val="center"/>
            </w:pPr>
            <w:r>
              <w:t>f</w:t>
            </w:r>
          </w:p>
        </w:tc>
      </w:tr>
      <w:tr w:rsidR="009A68DF" w:rsidRPr="0039573A" w14:paraId="12C9C95B" w14:textId="77777777" w:rsidTr="009A68DF">
        <w:tc>
          <w:tcPr>
            <w:tcW w:w="865" w:type="dxa"/>
          </w:tcPr>
          <w:p w14:paraId="613E9A77" w14:textId="77777777" w:rsidR="009A68DF" w:rsidRPr="00390600" w:rsidRDefault="009A68DF" w:rsidP="009A68DF">
            <w:pPr>
              <w:widowControl w:val="0"/>
              <w:spacing w:before="40" w:after="40"/>
              <w:ind w:left="57" w:right="57"/>
            </w:pPr>
            <w:r>
              <w:rPr>
                <w:lang w:val="fr-FR"/>
              </w:rPr>
              <w:t>13</w:t>
            </w:r>
          </w:p>
        </w:tc>
        <w:tc>
          <w:tcPr>
            <w:tcW w:w="6791" w:type="dxa"/>
            <w:vAlign w:val="center"/>
          </w:tcPr>
          <w:p w14:paraId="39B8A185" w14:textId="77777777" w:rsidR="009A68DF" w:rsidRPr="00390600" w:rsidRDefault="009A68DF" w:rsidP="009A68DF">
            <w:pPr>
              <w:spacing w:before="40" w:after="40"/>
              <w:ind w:left="57" w:right="57"/>
            </w:pPr>
            <w:r>
              <w:t>(</w:t>
            </w:r>
            <w:r w:rsidRPr="00981CF5">
              <w:t xml:space="preserve">TF SR) </w:t>
            </w:r>
            <w:proofErr w:type="spellStart"/>
            <w:r w:rsidRPr="00981CF5">
              <w:t>Status</w:t>
            </w:r>
            <w:proofErr w:type="spellEnd"/>
            <w:r w:rsidRPr="00981CF5">
              <w:t xml:space="preserve"> report</w:t>
            </w:r>
          </w:p>
        </w:tc>
        <w:tc>
          <w:tcPr>
            <w:tcW w:w="849" w:type="dxa"/>
          </w:tcPr>
          <w:p w14:paraId="7B19406F" w14:textId="77777777" w:rsidR="009A68DF" w:rsidRPr="00390600" w:rsidRDefault="009A68DF" w:rsidP="009A68DF">
            <w:pPr>
              <w:widowControl w:val="0"/>
              <w:spacing w:before="40" w:after="40"/>
              <w:ind w:left="57" w:right="57"/>
              <w:jc w:val="center"/>
            </w:pPr>
            <w:r>
              <w:t>f</w:t>
            </w:r>
          </w:p>
        </w:tc>
      </w:tr>
      <w:tr w:rsidR="009A68DF" w:rsidRPr="0039573A" w14:paraId="3DDC3422" w14:textId="77777777" w:rsidTr="009A68DF">
        <w:trPr>
          <w:trHeight w:val="359"/>
        </w:trPr>
        <w:tc>
          <w:tcPr>
            <w:tcW w:w="865" w:type="dxa"/>
            <w:shd w:val="clear" w:color="auto" w:fill="FFFFFF" w:themeFill="background1"/>
          </w:tcPr>
          <w:p w14:paraId="623E523E" w14:textId="77777777" w:rsidR="009A68DF" w:rsidRPr="00390600" w:rsidRDefault="009A68DF" w:rsidP="009A68DF">
            <w:pPr>
              <w:widowControl w:val="0"/>
              <w:spacing w:before="40" w:after="40"/>
              <w:ind w:left="57" w:right="57"/>
            </w:pPr>
            <w:r>
              <w:rPr>
                <w:lang w:val="fr-FR"/>
              </w:rPr>
              <w:t>14</w:t>
            </w:r>
          </w:p>
        </w:tc>
        <w:tc>
          <w:tcPr>
            <w:tcW w:w="6791" w:type="dxa"/>
            <w:shd w:val="clear" w:color="auto" w:fill="FFFFFF" w:themeFill="background1"/>
            <w:vAlign w:val="center"/>
          </w:tcPr>
          <w:p w14:paraId="0BE5F87B" w14:textId="77777777" w:rsidR="009A68DF" w:rsidRPr="009A68DF" w:rsidRDefault="009A68DF" w:rsidP="009A68DF">
            <w:pPr>
              <w:spacing w:before="40" w:after="40"/>
              <w:ind w:left="57" w:right="57"/>
              <w:rPr>
                <w:lang w:val="en-US"/>
              </w:rPr>
            </w:pPr>
            <w:r w:rsidRPr="009A68DF">
              <w:rPr>
                <w:lang w:val="en-US"/>
              </w:rPr>
              <w:t>(Australia) Questions regarding the interpretation of UN Regulation No. 48</w:t>
            </w:r>
          </w:p>
        </w:tc>
        <w:tc>
          <w:tcPr>
            <w:tcW w:w="849" w:type="dxa"/>
          </w:tcPr>
          <w:p w14:paraId="107A4600" w14:textId="77777777" w:rsidR="009A68DF" w:rsidRPr="00390600" w:rsidRDefault="009A68DF" w:rsidP="009A68DF">
            <w:pPr>
              <w:widowControl w:val="0"/>
              <w:spacing w:before="40" w:after="40"/>
              <w:ind w:left="57" w:right="57"/>
              <w:jc w:val="center"/>
            </w:pPr>
            <w:r>
              <w:t>d</w:t>
            </w:r>
          </w:p>
        </w:tc>
      </w:tr>
      <w:tr w:rsidR="009A68DF" w:rsidRPr="0039573A" w14:paraId="0135342F" w14:textId="77777777" w:rsidTr="009A68DF">
        <w:tc>
          <w:tcPr>
            <w:tcW w:w="865" w:type="dxa"/>
          </w:tcPr>
          <w:p w14:paraId="43C8D6CA" w14:textId="77777777" w:rsidR="009A68DF" w:rsidRPr="00390600" w:rsidRDefault="009A68DF" w:rsidP="009A68DF">
            <w:pPr>
              <w:widowControl w:val="0"/>
              <w:spacing w:before="40" w:after="40"/>
              <w:ind w:left="57" w:right="57"/>
            </w:pPr>
            <w:r>
              <w:t>15-Rev.1</w:t>
            </w:r>
          </w:p>
        </w:tc>
        <w:tc>
          <w:tcPr>
            <w:tcW w:w="6791" w:type="dxa"/>
            <w:vAlign w:val="center"/>
          </w:tcPr>
          <w:p w14:paraId="0AE4E671" w14:textId="77777777" w:rsidR="009A68DF" w:rsidRPr="00390600" w:rsidRDefault="009A68DF" w:rsidP="009A68DF">
            <w:pPr>
              <w:spacing w:before="40" w:after="40"/>
              <w:ind w:left="57" w:right="57"/>
            </w:pPr>
            <w:r w:rsidRPr="00E236D6">
              <w:t xml:space="preserve">(SIG) </w:t>
            </w:r>
            <w:proofErr w:type="spellStart"/>
            <w:r w:rsidRPr="00E236D6">
              <w:t>Status</w:t>
            </w:r>
            <w:proofErr w:type="spellEnd"/>
            <w:r w:rsidRPr="00E236D6">
              <w:t xml:space="preserve"> report</w:t>
            </w:r>
          </w:p>
        </w:tc>
        <w:tc>
          <w:tcPr>
            <w:tcW w:w="849" w:type="dxa"/>
          </w:tcPr>
          <w:p w14:paraId="0A69357A" w14:textId="77777777" w:rsidR="009A68DF" w:rsidRPr="00390600" w:rsidRDefault="009A68DF" w:rsidP="009A68DF">
            <w:pPr>
              <w:widowControl w:val="0"/>
              <w:spacing w:before="40" w:after="40"/>
              <w:ind w:left="57" w:right="57"/>
              <w:jc w:val="center"/>
            </w:pPr>
            <w:r>
              <w:t>f</w:t>
            </w:r>
          </w:p>
        </w:tc>
      </w:tr>
      <w:tr w:rsidR="009A68DF" w:rsidRPr="0039573A" w14:paraId="2F3AF1E5" w14:textId="77777777" w:rsidTr="009A68DF">
        <w:tc>
          <w:tcPr>
            <w:tcW w:w="865" w:type="dxa"/>
          </w:tcPr>
          <w:p w14:paraId="711F9EA7" w14:textId="77777777" w:rsidR="009A68DF" w:rsidRPr="00390600" w:rsidRDefault="009A68DF" w:rsidP="009A68DF">
            <w:pPr>
              <w:widowControl w:val="0"/>
              <w:spacing w:before="40" w:after="40"/>
              <w:ind w:left="57" w:right="57"/>
            </w:pPr>
            <w:r>
              <w:t>16-Rev.3</w:t>
            </w:r>
          </w:p>
        </w:tc>
        <w:tc>
          <w:tcPr>
            <w:tcW w:w="6791" w:type="dxa"/>
            <w:vAlign w:val="center"/>
          </w:tcPr>
          <w:p w14:paraId="6516539E" w14:textId="77777777" w:rsidR="009A68DF" w:rsidRPr="009A68DF" w:rsidRDefault="009A68DF" w:rsidP="009A68DF">
            <w:pPr>
              <w:spacing w:before="40" w:after="40"/>
              <w:ind w:left="57" w:right="57"/>
              <w:rPr>
                <w:lang w:val="en-US"/>
              </w:rPr>
            </w:pPr>
            <w:r w:rsidRPr="009A68DF">
              <w:rPr>
                <w:lang w:val="en-US"/>
              </w:rPr>
              <w:t xml:space="preserve">(SIG) Proposal for a new series of amendments to UN Regulation No. 48 to supersede ECE/TRANS/WP.29/GRE/2023/2 </w:t>
            </w:r>
          </w:p>
        </w:tc>
        <w:tc>
          <w:tcPr>
            <w:tcW w:w="849" w:type="dxa"/>
          </w:tcPr>
          <w:p w14:paraId="2492CFCF" w14:textId="77777777" w:rsidR="009A68DF" w:rsidRPr="00390600" w:rsidRDefault="009A68DF" w:rsidP="009A68DF">
            <w:pPr>
              <w:widowControl w:val="0"/>
              <w:spacing w:before="40" w:after="40"/>
              <w:ind w:left="57" w:right="57"/>
              <w:jc w:val="center"/>
            </w:pPr>
            <w:r>
              <w:t>a</w:t>
            </w:r>
          </w:p>
        </w:tc>
      </w:tr>
      <w:tr w:rsidR="009A68DF" w:rsidRPr="0039573A" w14:paraId="0E872591" w14:textId="77777777" w:rsidTr="009A68DF">
        <w:tc>
          <w:tcPr>
            <w:tcW w:w="865" w:type="dxa"/>
          </w:tcPr>
          <w:p w14:paraId="035EB2CA" w14:textId="77777777" w:rsidR="009A68DF" w:rsidRPr="00390600" w:rsidRDefault="009A68DF" w:rsidP="009A68DF">
            <w:pPr>
              <w:widowControl w:val="0"/>
              <w:spacing w:before="40" w:after="40"/>
              <w:ind w:left="57" w:right="57"/>
            </w:pPr>
            <w:r>
              <w:rPr>
                <w:lang w:val="fr-FR"/>
              </w:rPr>
              <w:t>17</w:t>
            </w:r>
          </w:p>
        </w:tc>
        <w:tc>
          <w:tcPr>
            <w:tcW w:w="6791" w:type="dxa"/>
            <w:vAlign w:val="center"/>
          </w:tcPr>
          <w:p w14:paraId="62FDA5A1" w14:textId="77777777" w:rsidR="009A68DF" w:rsidRPr="009A68DF" w:rsidRDefault="009A68DF" w:rsidP="009A68DF">
            <w:pPr>
              <w:spacing w:before="40" w:after="40"/>
              <w:ind w:left="57" w:right="57"/>
              <w:rPr>
                <w:lang w:val="en-US"/>
              </w:rPr>
            </w:pPr>
            <w:r w:rsidRPr="009A68DF">
              <w:rPr>
                <w:lang w:val="en-US"/>
              </w:rPr>
              <w:t>(OICA) Proposal for Supplements from the 03 to 08 series of amendments to UN Regulation No. 48</w:t>
            </w:r>
          </w:p>
        </w:tc>
        <w:tc>
          <w:tcPr>
            <w:tcW w:w="849" w:type="dxa"/>
          </w:tcPr>
          <w:p w14:paraId="37C7FECF" w14:textId="77777777" w:rsidR="009A68DF" w:rsidRPr="00390600" w:rsidRDefault="009A68DF" w:rsidP="009A68DF">
            <w:pPr>
              <w:widowControl w:val="0"/>
              <w:spacing w:before="40" w:after="40"/>
              <w:ind w:left="57" w:right="57"/>
              <w:jc w:val="center"/>
            </w:pPr>
            <w:r>
              <w:t>a</w:t>
            </w:r>
          </w:p>
        </w:tc>
      </w:tr>
      <w:tr w:rsidR="009A68DF" w:rsidRPr="0039573A" w14:paraId="21367572" w14:textId="77777777" w:rsidTr="009A68DF">
        <w:tc>
          <w:tcPr>
            <w:tcW w:w="865" w:type="dxa"/>
          </w:tcPr>
          <w:p w14:paraId="71B8E166" w14:textId="77777777" w:rsidR="009A68DF" w:rsidRPr="00390600" w:rsidRDefault="009A68DF" w:rsidP="009A68DF">
            <w:pPr>
              <w:widowControl w:val="0"/>
              <w:spacing w:before="40" w:after="40"/>
              <w:ind w:left="57" w:right="57"/>
            </w:pPr>
            <w:r>
              <w:rPr>
                <w:lang w:val="fr-FR"/>
              </w:rPr>
              <w:t>18</w:t>
            </w:r>
          </w:p>
        </w:tc>
        <w:tc>
          <w:tcPr>
            <w:tcW w:w="6791" w:type="dxa"/>
            <w:vAlign w:val="center"/>
          </w:tcPr>
          <w:p w14:paraId="5CABE8F5" w14:textId="77777777" w:rsidR="009A68DF" w:rsidRPr="009A68DF" w:rsidRDefault="009A68DF" w:rsidP="009A68DF">
            <w:pPr>
              <w:spacing w:before="40" w:after="40"/>
              <w:ind w:left="57" w:right="57"/>
              <w:rPr>
                <w:lang w:val="en-US"/>
              </w:rPr>
            </w:pPr>
            <w:r w:rsidRPr="009A68DF">
              <w:rPr>
                <w:lang w:val="en-US"/>
              </w:rPr>
              <w:t>(OICA) Proposal for a Supplement to the 09 series of amendments to UN Regulation No. 48</w:t>
            </w:r>
          </w:p>
        </w:tc>
        <w:tc>
          <w:tcPr>
            <w:tcW w:w="849" w:type="dxa"/>
          </w:tcPr>
          <w:p w14:paraId="4A14F637" w14:textId="77777777" w:rsidR="009A68DF" w:rsidRPr="00390600" w:rsidRDefault="009A68DF" w:rsidP="009A68DF">
            <w:pPr>
              <w:widowControl w:val="0"/>
              <w:spacing w:before="40" w:after="40"/>
              <w:ind w:left="57" w:right="57"/>
              <w:jc w:val="center"/>
            </w:pPr>
            <w:r>
              <w:t>a</w:t>
            </w:r>
          </w:p>
        </w:tc>
      </w:tr>
      <w:tr w:rsidR="009A68DF" w:rsidRPr="0039573A" w14:paraId="594DC85F" w14:textId="77777777" w:rsidTr="009A68DF">
        <w:tc>
          <w:tcPr>
            <w:tcW w:w="865" w:type="dxa"/>
          </w:tcPr>
          <w:p w14:paraId="41446B9C" w14:textId="77777777" w:rsidR="009A68DF" w:rsidRPr="00390600" w:rsidRDefault="009A68DF" w:rsidP="009A68DF">
            <w:pPr>
              <w:widowControl w:val="0"/>
              <w:spacing w:before="40" w:after="40"/>
              <w:ind w:left="57" w:right="57"/>
            </w:pPr>
            <w:r>
              <w:rPr>
                <w:lang w:val="fr-FR"/>
              </w:rPr>
              <w:t>19</w:t>
            </w:r>
          </w:p>
        </w:tc>
        <w:tc>
          <w:tcPr>
            <w:tcW w:w="6791" w:type="dxa"/>
            <w:vAlign w:val="center"/>
          </w:tcPr>
          <w:p w14:paraId="78E1074D" w14:textId="77777777" w:rsidR="009A68DF" w:rsidRPr="00390600" w:rsidRDefault="009A68DF" w:rsidP="009A68DF">
            <w:pPr>
              <w:spacing w:before="40" w:after="40"/>
              <w:ind w:left="57" w:right="57"/>
            </w:pPr>
            <w:r w:rsidRPr="00AD00F3">
              <w:t xml:space="preserve">(CEMA) </w:t>
            </w:r>
            <w:proofErr w:type="spellStart"/>
            <w:r w:rsidRPr="00AD00F3">
              <w:t>Amendment</w:t>
            </w:r>
            <w:proofErr w:type="spellEnd"/>
            <w:r w:rsidRPr="00AD00F3">
              <w:t xml:space="preserve"> to UN </w:t>
            </w:r>
            <w:proofErr w:type="spellStart"/>
            <w:r w:rsidRPr="00AD00F3">
              <w:t>Regulation</w:t>
            </w:r>
            <w:proofErr w:type="spellEnd"/>
            <w:r w:rsidRPr="00AD00F3">
              <w:t xml:space="preserve"> No. 86</w:t>
            </w:r>
          </w:p>
        </w:tc>
        <w:tc>
          <w:tcPr>
            <w:tcW w:w="849" w:type="dxa"/>
          </w:tcPr>
          <w:p w14:paraId="6BE207AF" w14:textId="77777777" w:rsidR="009A68DF" w:rsidRDefault="009A68DF" w:rsidP="009A68DF">
            <w:pPr>
              <w:widowControl w:val="0"/>
              <w:spacing w:before="40" w:after="40"/>
              <w:ind w:left="57" w:right="57"/>
              <w:jc w:val="center"/>
            </w:pPr>
            <w:r>
              <w:t>c</w:t>
            </w:r>
          </w:p>
        </w:tc>
      </w:tr>
      <w:tr w:rsidR="009A68DF" w:rsidRPr="0039573A" w14:paraId="38D2B814" w14:textId="77777777" w:rsidTr="009A68DF">
        <w:tc>
          <w:tcPr>
            <w:tcW w:w="865" w:type="dxa"/>
          </w:tcPr>
          <w:p w14:paraId="180CD1D6" w14:textId="77777777" w:rsidR="009A68DF" w:rsidRPr="00390600" w:rsidRDefault="009A68DF" w:rsidP="009A68DF">
            <w:pPr>
              <w:widowControl w:val="0"/>
              <w:spacing w:before="40" w:after="40"/>
              <w:ind w:left="57" w:right="57"/>
            </w:pPr>
            <w:r>
              <w:rPr>
                <w:lang w:val="fr-FR"/>
              </w:rPr>
              <w:t>20</w:t>
            </w:r>
          </w:p>
        </w:tc>
        <w:tc>
          <w:tcPr>
            <w:tcW w:w="6791" w:type="dxa"/>
            <w:vAlign w:val="center"/>
          </w:tcPr>
          <w:p w14:paraId="3EDAB2BE" w14:textId="77777777" w:rsidR="009A68DF" w:rsidRPr="00390600" w:rsidRDefault="009A68DF" w:rsidP="009A68DF">
            <w:pPr>
              <w:spacing w:before="40" w:after="40"/>
              <w:ind w:left="57" w:right="57"/>
            </w:pPr>
            <w:r w:rsidRPr="00E236D6">
              <w:t xml:space="preserve">(IWG EMC) </w:t>
            </w:r>
            <w:proofErr w:type="spellStart"/>
            <w:r w:rsidRPr="00E236D6">
              <w:t>Status</w:t>
            </w:r>
            <w:proofErr w:type="spellEnd"/>
            <w:r w:rsidRPr="00E236D6">
              <w:t xml:space="preserve"> report</w:t>
            </w:r>
          </w:p>
        </w:tc>
        <w:tc>
          <w:tcPr>
            <w:tcW w:w="849" w:type="dxa"/>
          </w:tcPr>
          <w:p w14:paraId="6707FF1C" w14:textId="77777777" w:rsidR="009A68DF" w:rsidRDefault="009A68DF" w:rsidP="009A68DF">
            <w:pPr>
              <w:widowControl w:val="0"/>
              <w:spacing w:before="40" w:after="40"/>
              <w:ind w:left="57" w:right="57"/>
              <w:jc w:val="center"/>
            </w:pPr>
            <w:r>
              <w:t>f</w:t>
            </w:r>
          </w:p>
        </w:tc>
      </w:tr>
      <w:tr w:rsidR="009A68DF" w:rsidRPr="0039573A" w14:paraId="14A530CC" w14:textId="77777777" w:rsidTr="009A68DF">
        <w:tc>
          <w:tcPr>
            <w:tcW w:w="865" w:type="dxa"/>
          </w:tcPr>
          <w:p w14:paraId="06ECA81E" w14:textId="77777777" w:rsidR="009A68DF" w:rsidRPr="00390600" w:rsidRDefault="009A68DF" w:rsidP="009A68DF">
            <w:pPr>
              <w:widowControl w:val="0"/>
              <w:spacing w:before="40" w:after="40"/>
              <w:ind w:left="57" w:right="57"/>
            </w:pPr>
            <w:r>
              <w:rPr>
                <w:lang w:val="fr-FR"/>
              </w:rPr>
              <w:t>21</w:t>
            </w:r>
          </w:p>
        </w:tc>
        <w:tc>
          <w:tcPr>
            <w:tcW w:w="6791" w:type="dxa"/>
            <w:vAlign w:val="center"/>
          </w:tcPr>
          <w:p w14:paraId="3FFA3A00" w14:textId="77777777" w:rsidR="009A68DF" w:rsidRPr="009A68DF" w:rsidRDefault="009A68DF" w:rsidP="009A68DF">
            <w:pPr>
              <w:spacing w:before="40" w:after="40"/>
              <w:ind w:left="57" w:right="57"/>
              <w:rPr>
                <w:lang w:val="en-US"/>
              </w:rPr>
            </w:pPr>
            <w:r w:rsidRPr="009A68DF">
              <w:rPr>
                <w:lang w:val="en-US"/>
              </w:rPr>
              <w:t>(IWG EMC) Working draft of a new 07 series of amendments to UN Regulation No. 10</w:t>
            </w:r>
          </w:p>
        </w:tc>
        <w:tc>
          <w:tcPr>
            <w:tcW w:w="849" w:type="dxa"/>
          </w:tcPr>
          <w:p w14:paraId="7D8FE731" w14:textId="77777777" w:rsidR="009A68DF" w:rsidRDefault="009A68DF" w:rsidP="009A68DF">
            <w:pPr>
              <w:widowControl w:val="0"/>
              <w:spacing w:before="40" w:after="40"/>
              <w:ind w:left="57" w:right="57"/>
              <w:jc w:val="center"/>
            </w:pPr>
            <w:r>
              <w:t>c</w:t>
            </w:r>
          </w:p>
        </w:tc>
      </w:tr>
      <w:tr w:rsidR="009A68DF" w:rsidRPr="0039573A" w14:paraId="2728FADA" w14:textId="77777777" w:rsidTr="009A68DF">
        <w:tc>
          <w:tcPr>
            <w:tcW w:w="865" w:type="dxa"/>
          </w:tcPr>
          <w:p w14:paraId="204DCE77" w14:textId="77777777" w:rsidR="009A68DF" w:rsidRPr="00390600" w:rsidRDefault="009A68DF" w:rsidP="009A68DF">
            <w:pPr>
              <w:widowControl w:val="0"/>
              <w:spacing w:before="40" w:after="40"/>
              <w:ind w:left="57" w:right="57"/>
            </w:pPr>
            <w:r>
              <w:t>22-Rev.3</w:t>
            </w:r>
          </w:p>
        </w:tc>
        <w:tc>
          <w:tcPr>
            <w:tcW w:w="6791" w:type="dxa"/>
            <w:vAlign w:val="center"/>
          </w:tcPr>
          <w:p w14:paraId="63F6623A" w14:textId="77777777" w:rsidR="009A68DF" w:rsidRPr="009A68DF" w:rsidRDefault="009A68DF" w:rsidP="009A68DF">
            <w:pPr>
              <w:spacing w:before="40" w:after="40"/>
              <w:ind w:left="57" w:right="57"/>
              <w:rPr>
                <w:lang w:val="en-US"/>
              </w:rPr>
            </w:pPr>
            <w:r w:rsidRPr="009A68DF">
              <w:rPr>
                <w:lang w:val="en-US"/>
              </w:rPr>
              <w:t>(OICA) Proposal for transitional provisions of the [09] series of amendments to UN Regulation No. 48</w:t>
            </w:r>
          </w:p>
        </w:tc>
        <w:tc>
          <w:tcPr>
            <w:tcW w:w="849" w:type="dxa"/>
          </w:tcPr>
          <w:p w14:paraId="7E233158" w14:textId="77777777" w:rsidR="009A68DF" w:rsidRDefault="009A68DF" w:rsidP="009A68DF">
            <w:pPr>
              <w:widowControl w:val="0"/>
              <w:spacing w:before="40" w:after="40"/>
              <w:ind w:left="57" w:right="57"/>
              <w:jc w:val="center"/>
            </w:pPr>
            <w:r>
              <w:t>b</w:t>
            </w:r>
          </w:p>
        </w:tc>
      </w:tr>
      <w:tr w:rsidR="009A68DF" w:rsidRPr="0039573A" w14:paraId="24AD9F2F" w14:textId="77777777" w:rsidTr="009A68DF">
        <w:tc>
          <w:tcPr>
            <w:tcW w:w="865" w:type="dxa"/>
          </w:tcPr>
          <w:p w14:paraId="6A2C36AA" w14:textId="77777777" w:rsidR="009A68DF" w:rsidRPr="00390600" w:rsidRDefault="009A68DF" w:rsidP="009A68DF">
            <w:pPr>
              <w:widowControl w:val="0"/>
              <w:spacing w:before="40" w:after="40"/>
              <w:ind w:left="57" w:right="57"/>
            </w:pPr>
            <w:r>
              <w:t>23-Rev.2</w:t>
            </w:r>
          </w:p>
        </w:tc>
        <w:tc>
          <w:tcPr>
            <w:tcW w:w="6791" w:type="dxa"/>
            <w:vAlign w:val="center"/>
          </w:tcPr>
          <w:p w14:paraId="3D39FDD0" w14:textId="77777777" w:rsidR="009A68DF" w:rsidRPr="009A68DF" w:rsidRDefault="009A68DF" w:rsidP="009A68DF">
            <w:pPr>
              <w:spacing w:before="40" w:after="40"/>
              <w:ind w:left="57" w:right="57"/>
              <w:rPr>
                <w:lang w:val="en-US"/>
              </w:rPr>
            </w:pPr>
            <w:r w:rsidRPr="009A68DF">
              <w:rPr>
                <w:lang w:val="en-US"/>
              </w:rPr>
              <w:t>(OICA) Overview of transitional provisions</w:t>
            </w:r>
          </w:p>
        </w:tc>
        <w:tc>
          <w:tcPr>
            <w:tcW w:w="849" w:type="dxa"/>
          </w:tcPr>
          <w:p w14:paraId="74CAD72C" w14:textId="77777777" w:rsidR="009A68DF" w:rsidRDefault="009A68DF" w:rsidP="009A68DF">
            <w:pPr>
              <w:widowControl w:val="0"/>
              <w:spacing w:before="40" w:after="40"/>
              <w:ind w:left="57" w:right="57"/>
              <w:jc w:val="center"/>
            </w:pPr>
            <w:r>
              <w:t>b</w:t>
            </w:r>
          </w:p>
        </w:tc>
      </w:tr>
      <w:tr w:rsidR="009A68DF" w:rsidRPr="0039573A" w14:paraId="097B4971" w14:textId="77777777" w:rsidTr="009A68DF">
        <w:tc>
          <w:tcPr>
            <w:tcW w:w="865" w:type="dxa"/>
          </w:tcPr>
          <w:p w14:paraId="33C08CA4" w14:textId="77777777" w:rsidR="009A68DF" w:rsidRPr="00390600" w:rsidRDefault="009A68DF" w:rsidP="009A68DF">
            <w:pPr>
              <w:widowControl w:val="0"/>
              <w:spacing w:before="40" w:after="40"/>
              <w:ind w:left="57" w:right="57"/>
            </w:pPr>
            <w:r>
              <w:rPr>
                <w:lang w:val="fr-FR"/>
              </w:rPr>
              <w:t>24</w:t>
            </w:r>
          </w:p>
        </w:tc>
        <w:tc>
          <w:tcPr>
            <w:tcW w:w="6791" w:type="dxa"/>
            <w:vAlign w:val="center"/>
          </w:tcPr>
          <w:p w14:paraId="7CE03CC0" w14:textId="77777777" w:rsidR="009A68DF" w:rsidRPr="009A68DF" w:rsidRDefault="009A68DF" w:rsidP="009A68DF">
            <w:pPr>
              <w:spacing w:before="40" w:after="40"/>
              <w:ind w:left="57" w:right="57"/>
              <w:rPr>
                <w:lang w:val="en-US"/>
              </w:rPr>
            </w:pPr>
            <w:r w:rsidRPr="009A68DF">
              <w:rPr>
                <w:lang w:val="en-US"/>
              </w:rPr>
              <w:t>(CLCCR) Revised proposal for a new series of amendments to UN Regulation No. 48</w:t>
            </w:r>
          </w:p>
        </w:tc>
        <w:tc>
          <w:tcPr>
            <w:tcW w:w="849" w:type="dxa"/>
          </w:tcPr>
          <w:p w14:paraId="41879566" w14:textId="77777777" w:rsidR="009A68DF" w:rsidRDefault="009A68DF" w:rsidP="009A68DF">
            <w:pPr>
              <w:widowControl w:val="0"/>
              <w:spacing w:before="40" w:after="40"/>
              <w:ind w:left="57" w:right="57"/>
              <w:jc w:val="center"/>
            </w:pPr>
            <w:r>
              <w:t>b</w:t>
            </w:r>
          </w:p>
        </w:tc>
      </w:tr>
      <w:tr w:rsidR="009A68DF" w:rsidRPr="0039573A" w14:paraId="47E620F6" w14:textId="77777777" w:rsidTr="009A68DF">
        <w:tc>
          <w:tcPr>
            <w:tcW w:w="865" w:type="dxa"/>
          </w:tcPr>
          <w:p w14:paraId="59BD304B" w14:textId="77777777" w:rsidR="009A68DF" w:rsidRPr="00390600" w:rsidRDefault="009A68DF" w:rsidP="009A68DF">
            <w:pPr>
              <w:widowControl w:val="0"/>
              <w:spacing w:before="40" w:after="40"/>
              <w:ind w:left="57" w:right="57"/>
            </w:pPr>
            <w:r>
              <w:t>25-Rev.1</w:t>
            </w:r>
          </w:p>
        </w:tc>
        <w:tc>
          <w:tcPr>
            <w:tcW w:w="6791" w:type="dxa"/>
            <w:vAlign w:val="center"/>
          </w:tcPr>
          <w:p w14:paraId="49F28895" w14:textId="77777777" w:rsidR="009A68DF" w:rsidRPr="009A68DF" w:rsidRDefault="009A68DF" w:rsidP="009A68DF">
            <w:pPr>
              <w:spacing w:before="40" w:after="40"/>
              <w:ind w:left="57" w:right="57"/>
              <w:rPr>
                <w:lang w:val="en-US"/>
              </w:rPr>
            </w:pPr>
            <w:r w:rsidRPr="009A68DF">
              <w:rPr>
                <w:lang w:val="en-US"/>
              </w:rPr>
              <w:t>(GTB) Proposal to replace ECE/TRANS/WP.29/GRE/2023/8</w:t>
            </w:r>
          </w:p>
        </w:tc>
        <w:tc>
          <w:tcPr>
            <w:tcW w:w="849" w:type="dxa"/>
          </w:tcPr>
          <w:p w14:paraId="786EA613" w14:textId="77777777" w:rsidR="009A68DF" w:rsidRDefault="009A68DF" w:rsidP="009A68DF">
            <w:pPr>
              <w:widowControl w:val="0"/>
              <w:spacing w:before="40" w:after="40"/>
              <w:ind w:left="57" w:right="57"/>
              <w:jc w:val="center"/>
            </w:pPr>
            <w:r>
              <w:t>a</w:t>
            </w:r>
          </w:p>
        </w:tc>
      </w:tr>
      <w:tr w:rsidR="009A68DF" w:rsidRPr="0039573A" w14:paraId="499D6CB0" w14:textId="77777777" w:rsidTr="009A68DF">
        <w:tc>
          <w:tcPr>
            <w:tcW w:w="865" w:type="dxa"/>
          </w:tcPr>
          <w:p w14:paraId="628B5329" w14:textId="77777777" w:rsidR="009A68DF" w:rsidRPr="00390600" w:rsidRDefault="009A68DF" w:rsidP="009A68DF">
            <w:pPr>
              <w:widowControl w:val="0"/>
              <w:spacing w:before="40" w:after="40"/>
              <w:ind w:left="57" w:right="57"/>
            </w:pPr>
            <w:r>
              <w:rPr>
                <w:lang w:val="fr-FR"/>
              </w:rPr>
              <w:t>26</w:t>
            </w:r>
          </w:p>
        </w:tc>
        <w:tc>
          <w:tcPr>
            <w:tcW w:w="6791" w:type="dxa"/>
            <w:vAlign w:val="center"/>
          </w:tcPr>
          <w:p w14:paraId="160224EA" w14:textId="77777777" w:rsidR="009A68DF" w:rsidRPr="009A68DF" w:rsidRDefault="009A68DF" w:rsidP="009A68DF">
            <w:pPr>
              <w:spacing w:before="40" w:after="40"/>
              <w:ind w:left="57" w:right="57"/>
              <w:rPr>
                <w:lang w:val="en-US"/>
              </w:rPr>
            </w:pPr>
            <w:r w:rsidRPr="009A68DF">
              <w:rPr>
                <w:lang w:val="en-US"/>
              </w:rPr>
              <w:t>(secretariat) Review of UN Regulations under the purview of GRE</w:t>
            </w:r>
          </w:p>
        </w:tc>
        <w:tc>
          <w:tcPr>
            <w:tcW w:w="849" w:type="dxa"/>
          </w:tcPr>
          <w:p w14:paraId="6B4ED064" w14:textId="77777777" w:rsidR="009A68DF" w:rsidRDefault="009A68DF" w:rsidP="009A68DF">
            <w:pPr>
              <w:widowControl w:val="0"/>
              <w:spacing w:before="40" w:after="40"/>
              <w:ind w:left="57" w:right="57"/>
              <w:jc w:val="center"/>
            </w:pPr>
            <w:r>
              <w:t>d</w:t>
            </w:r>
          </w:p>
        </w:tc>
      </w:tr>
      <w:tr w:rsidR="009A68DF" w:rsidRPr="0039573A" w14:paraId="3811D650" w14:textId="77777777" w:rsidTr="009A68DF">
        <w:tc>
          <w:tcPr>
            <w:tcW w:w="865" w:type="dxa"/>
          </w:tcPr>
          <w:p w14:paraId="375F6631" w14:textId="77777777" w:rsidR="009A68DF" w:rsidRPr="00390600" w:rsidRDefault="009A68DF" w:rsidP="009A68DF">
            <w:pPr>
              <w:widowControl w:val="0"/>
              <w:spacing w:before="40" w:after="40"/>
              <w:ind w:left="57" w:right="57"/>
            </w:pPr>
            <w:r>
              <w:rPr>
                <w:lang w:val="fr-FR"/>
              </w:rPr>
              <w:t>27</w:t>
            </w:r>
          </w:p>
        </w:tc>
        <w:tc>
          <w:tcPr>
            <w:tcW w:w="6791" w:type="dxa"/>
            <w:vAlign w:val="center"/>
          </w:tcPr>
          <w:p w14:paraId="61E03FDD" w14:textId="77777777" w:rsidR="009A68DF" w:rsidRPr="009A68DF" w:rsidRDefault="009A68DF" w:rsidP="009A68DF">
            <w:pPr>
              <w:spacing w:before="40" w:after="40"/>
              <w:ind w:left="57" w:right="57"/>
              <w:rPr>
                <w:lang w:val="en-US"/>
              </w:rPr>
            </w:pPr>
            <w:r w:rsidRPr="009A68DF">
              <w:rPr>
                <w:lang w:val="en-US"/>
              </w:rPr>
              <w:t>(IWG SLR) Proposal to amend ECE/TRANS/WP.29/GRE/2023/3</w:t>
            </w:r>
          </w:p>
        </w:tc>
        <w:tc>
          <w:tcPr>
            <w:tcW w:w="849" w:type="dxa"/>
          </w:tcPr>
          <w:p w14:paraId="72FEE7DC" w14:textId="77777777" w:rsidR="009A68DF" w:rsidRPr="00390600" w:rsidRDefault="009A68DF" w:rsidP="009A68DF">
            <w:pPr>
              <w:widowControl w:val="0"/>
              <w:spacing w:before="40" w:after="40"/>
              <w:ind w:left="57" w:right="57"/>
              <w:jc w:val="center"/>
            </w:pPr>
            <w:r>
              <w:t>a</w:t>
            </w:r>
          </w:p>
        </w:tc>
      </w:tr>
    </w:tbl>
    <w:p w14:paraId="1F578A6A" w14:textId="78CA426B" w:rsidR="009A68DF" w:rsidRPr="009A68DF" w:rsidRDefault="009A68DF" w:rsidP="009A68DF">
      <w:pPr>
        <w:widowControl w:val="0"/>
        <w:tabs>
          <w:tab w:val="center" w:pos="4735"/>
          <w:tab w:val="left" w:pos="5040"/>
          <w:tab w:val="left" w:pos="5760"/>
          <w:tab w:val="left" w:pos="6480"/>
          <w:tab w:val="left" w:pos="7200"/>
          <w:tab w:val="left" w:pos="7920"/>
          <w:tab w:val="left" w:pos="8640"/>
          <w:tab w:val="left" w:pos="9360"/>
        </w:tabs>
        <w:spacing w:before="120" w:line="220" w:lineRule="exact"/>
        <w:ind w:left="1134" w:firstLine="170"/>
        <w:rPr>
          <w:i/>
          <w:sz w:val="18"/>
          <w:szCs w:val="18"/>
        </w:rPr>
      </w:pPr>
      <w:r w:rsidRPr="009A68DF">
        <w:rPr>
          <w:i/>
          <w:iCs/>
          <w:sz w:val="18"/>
          <w:lang w:val="fr-FR"/>
        </w:rPr>
        <w:t>Notes :</w:t>
      </w:r>
    </w:p>
    <w:p w14:paraId="7C65C5B1" w14:textId="0AB98BC1"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29479C">
        <w:rPr>
          <w:sz w:val="18"/>
          <w:lang w:val="fr-FR"/>
        </w:rPr>
        <w:t>a</w:t>
      </w:r>
      <w:r>
        <w:rPr>
          <w:sz w:val="18"/>
          <w:lang w:val="fr-FR"/>
        </w:rPr>
        <w:t xml:space="preserve">  </w:t>
      </w:r>
      <w:r w:rsidRPr="009A68DF">
        <w:rPr>
          <w:sz w:val="18"/>
          <w:lang w:val="fr-FR"/>
        </w:rPr>
        <w:t>Document approuvé ou adopté sans modifications.</w:t>
      </w:r>
    </w:p>
    <w:p w14:paraId="675E188D" w14:textId="35F40A53"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29479C">
        <w:rPr>
          <w:sz w:val="18"/>
          <w:lang w:val="fr-FR"/>
        </w:rPr>
        <w:lastRenderedPageBreak/>
        <w:t>b</w:t>
      </w:r>
      <w:r>
        <w:rPr>
          <w:sz w:val="18"/>
          <w:lang w:val="fr-FR"/>
        </w:rPr>
        <w:t xml:space="preserve">  </w:t>
      </w:r>
      <w:r w:rsidRPr="009A68DF">
        <w:rPr>
          <w:sz w:val="18"/>
          <w:lang w:val="fr-FR"/>
        </w:rPr>
        <w:t>Document approuvé ou adopté après modifications.</w:t>
      </w:r>
    </w:p>
    <w:p w14:paraId="1FE0BFCD" w14:textId="6B679D8D"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29479C">
        <w:rPr>
          <w:sz w:val="18"/>
          <w:lang w:val="fr-FR"/>
        </w:rPr>
        <w:t>c</w:t>
      </w:r>
      <w:r>
        <w:rPr>
          <w:sz w:val="18"/>
          <w:lang w:val="fr-FR"/>
        </w:rPr>
        <w:t xml:space="preserve">  </w:t>
      </w:r>
      <w:r w:rsidRPr="009A68DF">
        <w:rPr>
          <w:sz w:val="18"/>
          <w:lang w:val="fr-FR"/>
        </w:rPr>
        <w:t>Document dont l’examen sera repris sous une cote officielle.</w:t>
      </w:r>
    </w:p>
    <w:p w14:paraId="0C2AE881" w14:textId="5862DD7D"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29479C">
        <w:rPr>
          <w:sz w:val="18"/>
          <w:lang w:val="fr-FR"/>
        </w:rPr>
        <w:t>d</w:t>
      </w:r>
      <w:r>
        <w:rPr>
          <w:sz w:val="18"/>
          <w:lang w:val="fr-FR"/>
        </w:rPr>
        <w:t xml:space="preserve">  </w:t>
      </w:r>
      <w:r w:rsidRPr="009A68DF">
        <w:rPr>
          <w:sz w:val="18"/>
          <w:lang w:val="fr-FR"/>
        </w:rPr>
        <w:t>Document conservé à titre de référence/document dont l’examen doit se poursuivre.</w:t>
      </w:r>
    </w:p>
    <w:p w14:paraId="652645D9" w14:textId="5E0F3AF6"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29479C">
        <w:rPr>
          <w:sz w:val="18"/>
          <w:lang w:val="fr-FR"/>
        </w:rPr>
        <w:t>e</w:t>
      </w:r>
      <w:r>
        <w:rPr>
          <w:sz w:val="18"/>
          <w:lang w:val="fr-FR"/>
        </w:rPr>
        <w:t xml:space="preserve">  </w:t>
      </w:r>
      <w:r w:rsidRPr="009A68DF">
        <w:rPr>
          <w:sz w:val="18"/>
          <w:lang w:val="fr-FR"/>
        </w:rPr>
        <w:t>Proposition révisée destinée à la session suivante.</w:t>
      </w:r>
    </w:p>
    <w:p w14:paraId="08527D63" w14:textId="707A0E17"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D733CE">
        <w:rPr>
          <w:sz w:val="18"/>
          <w:lang w:val="fr-FR"/>
        </w:rPr>
        <w:t>f</w:t>
      </w:r>
      <w:r>
        <w:rPr>
          <w:sz w:val="18"/>
          <w:lang w:val="fr-FR"/>
        </w:rPr>
        <w:t xml:space="preserve">  </w:t>
      </w:r>
      <w:r w:rsidRPr="009A68DF">
        <w:rPr>
          <w:sz w:val="18"/>
          <w:lang w:val="fr-FR"/>
        </w:rPr>
        <w:t>Document dont l’examen est achevé ou qui doit être remplacé.</w:t>
      </w:r>
    </w:p>
    <w:p w14:paraId="5FA0F37D" w14:textId="0AA37284" w:rsidR="009A68DF" w:rsidRPr="009A68DF" w:rsidRDefault="009A68DF" w:rsidP="009A68DF">
      <w:pPr>
        <w:widowControl w:val="0"/>
        <w:tabs>
          <w:tab w:val="left" w:pos="561"/>
          <w:tab w:val="left" w:pos="1500"/>
          <w:tab w:val="center" w:pos="4735"/>
          <w:tab w:val="left" w:pos="5040"/>
          <w:tab w:val="left" w:pos="5760"/>
          <w:tab w:val="left" w:pos="6480"/>
          <w:tab w:val="left" w:pos="7200"/>
          <w:tab w:val="left" w:pos="7920"/>
          <w:tab w:val="left" w:pos="8640"/>
          <w:tab w:val="left" w:pos="9360"/>
        </w:tabs>
        <w:spacing w:line="220" w:lineRule="exact"/>
        <w:ind w:left="1134" w:firstLine="170"/>
        <w:rPr>
          <w:sz w:val="18"/>
          <w:szCs w:val="18"/>
        </w:rPr>
      </w:pPr>
      <w:r w:rsidRPr="00D733CE">
        <w:rPr>
          <w:sz w:val="18"/>
          <w:lang w:val="fr-FR"/>
        </w:rPr>
        <w:t>g</w:t>
      </w:r>
      <w:r>
        <w:rPr>
          <w:sz w:val="18"/>
          <w:lang w:val="fr-FR"/>
        </w:rPr>
        <w:t xml:space="preserve">  </w:t>
      </w:r>
      <w:r w:rsidRPr="009A68DF">
        <w:rPr>
          <w:sz w:val="18"/>
          <w:lang w:val="fr-FR"/>
        </w:rPr>
        <w:t>Document retiré.</w:t>
      </w:r>
    </w:p>
    <w:p w14:paraId="3CA9E8EA" w14:textId="77777777" w:rsidR="009A68DF" w:rsidRPr="00C1181B" w:rsidRDefault="009A68DF" w:rsidP="009A68DF">
      <w:pPr>
        <w:pStyle w:val="HChG"/>
        <w:spacing w:before="320" w:after="200"/>
        <w:rPr>
          <w:b w:val="0"/>
        </w:rPr>
      </w:pPr>
      <w:r w:rsidRPr="00C1181B">
        <w:rPr>
          <w:u w:val="single"/>
        </w:rPr>
        <w:br w:type="page"/>
      </w:r>
      <w:bookmarkStart w:id="38" w:name="_Toc360526931"/>
      <w:bookmarkStart w:id="39" w:name="_Toc369772241"/>
    </w:p>
    <w:p w14:paraId="5D591F10" w14:textId="77777777" w:rsidR="009A68DF" w:rsidRPr="00C1181B" w:rsidRDefault="009A68DF" w:rsidP="009A68DF">
      <w:pPr>
        <w:pStyle w:val="HChG"/>
      </w:pPr>
      <w:r>
        <w:rPr>
          <w:lang w:val="fr-FR"/>
        </w:rPr>
        <w:lastRenderedPageBreak/>
        <w:t>Annexe II</w:t>
      </w:r>
    </w:p>
    <w:p w14:paraId="3F09A2A5" w14:textId="6B8D16AB" w:rsidR="009A68DF" w:rsidRPr="00C1181B" w:rsidRDefault="009A68DF" w:rsidP="009A68DF">
      <w:pPr>
        <w:pStyle w:val="HChG"/>
      </w:pPr>
      <w:r>
        <w:rPr>
          <w:lang w:val="fr-FR"/>
        </w:rPr>
        <w:tab/>
      </w:r>
      <w:r>
        <w:rPr>
          <w:lang w:val="fr-FR"/>
        </w:rPr>
        <w:tab/>
      </w:r>
      <w:bookmarkStart w:id="40" w:name="_Hlk158357316"/>
      <w:r>
        <w:rPr>
          <w:lang w:val="fr-FR"/>
        </w:rPr>
        <w:t xml:space="preserve">Dispositions transitoires pour la série 09 d’amendements </w:t>
      </w:r>
      <w:r w:rsidR="00D733CE">
        <w:rPr>
          <w:lang w:val="fr-FR"/>
        </w:rPr>
        <w:br/>
      </w:r>
      <w:r>
        <w:rPr>
          <w:lang w:val="fr-FR"/>
        </w:rPr>
        <w:t xml:space="preserve">au Règlement ONU </w:t>
      </w:r>
      <w:r w:rsidRPr="00541C83">
        <w:rPr>
          <w:lang w:val="fr-FR"/>
        </w:rPr>
        <w:t>n</w:t>
      </w:r>
      <w:r w:rsidRPr="00541C83">
        <w:rPr>
          <w:vertAlign w:val="superscript"/>
          <w:lang w:val="fr-FR"/>
        </w:rPr>
        <w:t>o</w:t>
      </w:r>
      <w:r>
        <w:rPr>
          <w:vertAlign w:val="superscript"/>
          <w:lang w:val="fr-FR"/>
        </w:rPr>
        <w:t> </w:t>
      </w:r>
      <w:r>
        <w:rPr>
          <w:lang w:val="fr-FR"/>
        </w:rPr>
        <w:t>48</w:t>
      </w:r>
      <w:bookmarkEnd w:id="40"/>
    </w:p>
    <w:p w14:paraId="6FB17B1D" w14:textId="77777777" w:rsidR="009A68DF" w:rsidRPr="00C1181B" w:rsidRDefault="009A68DF" w:rsidP="009A68DF">
      <w:pPr>
        <w:pStyle w:val="SingleTxtG"/>
        <w:tabs>
          <w:tab w:val="left" w:pos="8505"/>
        </w:tabs>
        <w:spacing w:before="120"/>
        <w:rPr>
          <w:rFonts w:eastAsia="MS Mincho"/>
        </w:rPr>
      </w:pPr>
      <w:r>
        <w:rPr>
          <w:i/>
          <w:iCs/>
          <w:lang w:val="fr-FR"/>
        </w:rPr>
        <w:t>Ajouter le nouveau paragraphe 12.8, libellé comme suit :</w:t>
      </w:r>
    </w:p>
    <w:p w14:paraId="06CD0C50" w14:textId="77777777" w:rsidR="009A68DF" w:rsidRPr="00C1181B" w:rsidRDefault="009A68DF" w:rsidP="009A68DF">
      <w:pPr>
        <w:pStyle w:val="SingleTxtG"/>
        <w:tabs>
          <w:tab w:val="left" w:pos="8505"/>
        </w:tabs>
        <w:ind w:left="2268" w:hanging="1134"/>
        <w:outlineLvl w:val="0"/>
        <w:rPr>
          <w:rFonts w:eastAsia="MS Mincho"/>
          <w:bCs/>
        </w:rPr>
      </w:pPr>
      <w:r>
        <w:rPr>
          <w:lang w:val="fr-FR"/>
        </w:rPr>
        <w:t>« 12.8</w:t>
      </w:r>
      <w:r>
        <w:rPr>
          <w:lang w:val="fr-FR"/>
        </w:rPr>
        <w:tab/>
        <w:t>Dispositions transitoires applicables à la série 09 d’amendements</w:t>
      </w:r>
    </w:p>
    <w:p w14:paraId="035E0772" w14:textId="77777777" w:rsidR="009A68DF" w:rsidRPr="00C1181B" w:rsidRDefault="009A68DF" w:rsidP="009A68DF">
      <w:pPr>
        <w:pStyle w:val="SingleTxtG"/>
        <w:tabs>
          <w:tab w:val="left" w:pos="8505"/>
        </w:tabs>
        <w:spacing w:line="240" w:lineRule="auto"/>
        <w:ind w:left="2268" w:hanging="1134"/>
        <w:rPr>
          <w:rFonts w:eastAsia="MS Mincho"/>
          <w:bCs/>
        </w:rPr>
      </w:pPr>
      <w:r>
        <w:rPr>
          <w:lang w:val="fr-FR"/>
        </w:rPr>
        <w:t>12.8.1</w:t>
      </w:r>
      <w:r>
        <w:rPr>
          <w:lang w:val="fr-FR"/>
        </w:rPr>
        <w:tab/>
        <w:t>À compter de la date officielle d’entrée en vigueur de la série 09 d’amendements, aucune Partie contractante appliquant le présent Règlement ne pourra refuser d’accorder ou d’accepter une homologation de type en vertu dudit Règlement tel que modifié par la série 09 d’amendements.</w:t>
      </w:r>
    </w:p>
    <w:p w14:paraId="49506499" w14:textId="77777777" w:rsidR="009A68DF" w:rsidRPr="00C1181B" w:rsidRDefault="009A68DF" w:rsidP="009A68DF">
      <w:pPr>
        <w:pStyle w:val="SingleTxtG"/>
        <w:tabs>
          <w:tab w:val="left" w:pos="8505"/>
        </w:tabs>
        <w:spacing w:line="240" w:lineRule="auto"/>
        <w:ind w:left="2268" w:hanging="1134"/>
        <w:rPr>
          <w:rFonts w:eastAsia="MS Mincho"/>
          <w:bCs/>
        </w:rPr>
      </w:pPr>
      <w:r>
        <w:rPr>
          <w:lang w:val="fr-FR"/>
        </w:rPr>
        <w:t>12.8.2</w:t>
      </w:r>
      <w:r>
        <w:rPr>
          <w:lang w:val="fr-FR"/>
        </w:rPr>
        <w:tab/>
        <w:t>Dans le cas des véhicules des catégories M</w:t>
      </w:r>
      <w:r w:rsidRPr="00077648">
        <w:rPr>
          <w:vertAlign w:val="subscript"/>
          <w:lang w:val="fr-FR"/>
        </w:rPr>
        <w:t>1</w:t>
      </w:r>
      <w:r>
        <w:rPr>
          <w:lang w:val="fr-FR"/>
        </w:rPr>
        <w:t>, N</w:t>
      </w:r>
      <w:r w:rsidRPr="00077648">
        <w:rPr>
          <w:vertAlign w:val="subscript"/>
          <w:lang w:val="fr-FR"/>
        </w:rPr>
        <w:t>1</w:t>
      </w:r>
      <w:r>
        <w:rPr>
          <w:lang w:val="fr-FR"/>
        </w:rPr>
        <w:t>, O</w:t>
      </w:r>
      <w:r w:rsidRPr="00077648">
        <w:rPr>
          <w:vertAlign w:val="subscript"/>
          <w:lang w:val="fr-FR"/>
        </w:rPr>
        <w:t>1</w:t>
      </w:r>
      <w:r>
        <w:rPr>
          <w:lang w:val="fr-FR"/>
        </w:rPr>
        <w:t xml:space="preserve"> et O</w:t>
      </w:r>
      <w:r w:rsidRPr="00077648">
        <w:rPr>
          <w:vertAlign w:val="subscript"/>
          <w:lang w:val="fr-FR"/>
        </w:rPr>
        <w:t>2</w:t>
      </w:r>
      <w:r>
        <w:rPr>
          <w:lang w:val="fr-FR"/>
        </w:rPr>
        <w:t> :</w:t>
      </w:r>
      <w:bookmarkStart w:id="41" w:name="_Hlk133417572"/>
      <w:bookmarkEnd w:id="41"/>
    </w:p>
    <w:p w14:paraId="2C3026A9" w14:textId="77777777" w:rsidR="009A68DF" w:rsidRPr="00C1181B" w:rsidRDefault="009A68DF" w:rsidP="009A68DF">
      <w:pPr>
        <w:pStyle w:val="SingleTxtG"/>
        <w:tabs>
          <w:tab w:val="left" w:pos="8505"/>
        </w:tabs>
        <w:spacing w:line="240" w:lineRule="auto"/>
        <w:ind w:left="2268" w:hanging="1134"/>
        <w:rPr>
          <w:rFonts w:eastAsia="MS Mincho"/>
          <w:bCs/>
        </w:rPr>
      </w:pPr>
      <w:r>
        <w:rPr>
          <w:lang w:val="fr-FR"/>
        </w:rPr>
        <w:t>12.8.2.1</w:t>
      </w:r>
      <w:r>
        <w:rPr>
          <w:lang w:val="fr-FR"/>
        </w:rPr>
        <w:tab/>
        <w:t>À compter du 1</w:t>
      </w:r>
      <w:r w:rsidRPr="00077648">
        <w:rPr>
          <w:vertAlign w:val="superscript"/>
          <w:lang w:val="fr-FR"/>
        </w:rPr>
        <w:t>er</w:t>
      </w:r>
      <w:r>
        <w:rPr>
          <w:lang w:val="fr-FR"/>
        </w:rPr>
        <w:t> septembre 2027, les Parties contractantes appliquant le présent Règlement ne seront plus tenues d’accepter les homologations de type établies conformément aux précédentes séries d’amendements, délivrées pour la première fois après le 1</w:t>
      </w:r>
      <w:r w:rsidRPr="00077648">
        <w:rPr>
          <w:vertAlign w:val="superscript"/>
          <w:lang w:val="fr-FR"/>
        </w:rPr>
        <w:t>er</w:t>
      </w:r>
      <w:r>
        <w:rPr>
          <w:lang w:val="fr-FR"/>
        </w:rPr>
        <w:t> septembre 2027.</w:t>
      </w:r>
      <w:bookmarkStart w:id="42" w:name="_Hlk132268311"/>
      <w:bookmarkEnd w:id="42"/>
    </w:p>
    <w:p w14:paraId="4E47FC82" w14:textId="77777777" w:rsidR="009A68DF" w:rsidRPr="00C1181B" w:rsidRDefault="009A68DF" w:rsidP="009A68DF">
      <w:pPr>
        <w:tabs>
          <w:tab w:val="left" w:pos="8505"/>
        </w:tabs>
        <w:spacing w:after="120" w:line="240" w:lineRule="auto"/>
        <w:ind w:left="2268" w:right="1134" w:hanging="1134"/>
        <w:jc w:val="both"/>
        <w:rPr>
          <w:rFonts w:eastAsia="MS Mincho"/>
          <w:bCs/>
        </w:rPr>
      </w:pPr>
      <w:r>
        <w:rPr>
          <w:lang w:val="fr-FR"/>
        </w:rPr>
        <w:t>12.8.2.2</w:t>
      </w:r>
      <w:r>
        <w:rPr>
          <w:lang w:val="fr-FR"/>
        </w:rPr>
        <w:tab/>
        <w:t>Jusqu’au 1</w:t>
      </w:r>
      <w:r w:rsidRPr="00077648">
        <w:rPr>
          <w:vertAlign w:val="superscript"/>
          <w:lang w:val="fr-FR"/>
        </w:rPr>
        <w:t>er</w:t>
      </w:r>
      <w:r>
        <w:rPr>
          <w:lang w:val="fr-FR"/>
        </w:rPr>
        <w:t> septembre 2030, les Parties contractantes appliquant le présent Règlement seront tenues d’accepter les homologations de type établies conformément aux précédentes séries d’amendements, délivrées pour la première fois avant le 1</w:t>
      </w:r>
      <w:r w:rsidRPr="00077648">
        <w:rPr>
          <w:vertAlign w:val="superscript"/>
          <w:lang w:val="fr-FR"/>
        </w:rPr>
        <w:t>er</w:t>
      </w:r>
      <w:r>
        <w:rPr>
          <w:lang w:val="fr-FR"/>
        </w:rPr>
        <w:t> septembre 2027.</w:t>
      </w:r>
    </w:p>
    <w:p w14:paraId="3AAEDC45" w14:textId="77777777" w:rsidR="009A68DF" w:rsidRPr="00C1181B" w:rsidRDefault="009A68DF" w:rsidP="009A68DF">
      <w:pPr>
        <w:tabs>
          <w:tab w:val="left" w:pos="8505"/>
        </w:tabs>
        <w:spacing w:after="120" w:line="240" w:lineRule="auto"/>
        <w:ind w:left="2268" w:right="1134" w:hanging="1134"/>
        <w:jc w:val="both"/>
        <w:rPr>
          <w:rFonts w:eastAsia="MS Mincho"/>
          <w:bCs/>
        </w:rPr>
      </w:pPr>
      <w:r>
        <w:rPr>
          <w:lang w:val="fr-FR"/>
        </w:rPr>
        <w:t>12.8.2.3</w:t>
      </w:r>
      <w:r>
        <w:rPr>
          <w:lang w:val="fr-FR"/>
        </w:rPr>
        <w:tab/>
        <w:t>À compter du 1</w:t>
      </w:r>
      <w:r w:rsidRPr="00077648">
        <w:rPr>
          <w:vertAlign w:val="superscript"/>
          <w:lang w:val="fr-FR"/>
        </w:rPr>
        <w:t>er</w:t>
      </w:r>
      <w:r>
        <w:rPr>
          <w:lang w:val="fr-FR"/>
        </w:rPr>
        <w:t> septembre 2030, les Parties contractantes appliquant le présent Règlement ne seront plus tenues d’accepter les homologations de type, et leurs extensions, délivrées en vertu des précédentes séries d’amendements audit Règlement.</w:t>
      </w:r>
    </w:p>
    <w:p w14:paraId="6145231F" w14:textId="77777777" w:rsidR="009A68DF" w:rsidRPr="00C1181B" w:rsidRDefault="009A68DF" w:rsidP="009A68DF">
      <w:pPr>
        <w:tabs>
          <w:tab w:val="left" w:pos="8505"/>
        </w:tabs>
        <w:spacing w:after="120" w:line="240" w:lineRule="auto"/>
        <w:ind w:left="2268" w:right="1134" w:hanging="1134"/>
        <w:jc w:val="both"/>
        <w:rPr>
          <w:rFonts w:eastAsia="MS Mincho"/>
          <w:bCs/>
        </w:rPr>
      </w:pPr>
      <w:r>
        <w:rPr>
          <w:lang w:val="fr-FR"/>
        </w:rPr>
        <w:t>12.8.3</w:t>
      </w:r>
      <w:r>
        <w:rPr>
          <w:lang w:val="fr-FR"/>
        </w:rPr>
        <w:tab/>
        <w:t>Dans le cas des véhicules des catégories N</w:t>
      </w:r>
      <w:r w:rsidRPr="002B1591">
        <w:rPr>
          <w:vertAlign w:val="subscript"/>
          <w:lang w:val="fr-FR"/>
        </w:rPr>
        <w:t>2</w:t>
      </w:r>
      <w:r>
        <w:rPr>
          <w:lang w:val="fr-FR"/>
        </w:rPr>
        <w:t>, N</w:t>
      </w:r>
      <w:r w:rsidRPr="002B1591">
        <w:rPr>
          <w:vertAlign w:val="subscript"/>
          <w:lang w:val="fr-FR"/>
        </w:rPr>
        <w:t>3</w:t>
      </w:r>
      <w:r>
        <w:rPr>
          <w:lang w:val="fr-FR"/>
        </w:rPr>
        <w:t>, O</w:t>
      </w:r>
      <w:r w:rsidRPr="002B1591">
        <w:rPr>
          <w:vertAlign w:val="subscript"/>
          <w:lang w:val="fr-FR"/>
        </w:rPr>
        <w:t>3</w:t>
      </w:r>
      <w:r>
        <w:rPr>
          <w:lang w:val="fr-FR"/>
        </w:rPr>
        <w:t xml:space="preserve"> et O</w:t>
      </w:r>
      <w:r w:rsidRPr="002B1591">
        <w:rPr>
          <w:vertAlign w:val="subscript"/>
          <w:lang w:val="fr-FR"/>
        </w:rPr>
        <w:t>4</w:t>
      </w:r>
      <w:r>
        <w:rPr>
          <w:lang w:val="fr-FR"/>
        </w:rPr>
        <w:t> :</w:t>
      </w:r>
    </w:p>
    <w:p w14:paraId="34615738" w14:textId="77777777" w:rsidR="009A68DF" w:rsidRPr="00C1181B" w:rsidRDefault="009A68DF" w:rsidP="009A68DF">
      <w:pPr>
        <w:pStyle w:val="SingleTxtG"/>
        <w:tabs>
          <w:tab w:val="left" w:pos="8505"/>
        </w:tabs>
        <w:spacing w:line="240" w:lineRule="auto"/>
        <w:ind w:left="2268" w:hanging="1134"/>
        <w:rPr>
          <w:rFonts w:eastAsia="MS Mincho"/>
          <w:bCs/>
        </w:rPr>
      </w:pPr>
      <w:r>
        <w:rPr>
          <w:lang w:val="fr-FR"/>
        </w:rPr>
        <w:t>12.8.3.1</w:t>
      </w:r>
      <w:r>
        <w:rPr>
          <w:lang w:val="fr-FR"/>
        </w:rPr>
        <w:tab/>
        <w:t>À compter du 1</w:t>
      </w:r>
      <w:r w:rsidRPr="00077648">
        <w:rPr>
          <w:vertAlign w:val="superscript"/>
          <w:lang w:val="fr-FR"/>
        </w:rPr>
        <w:t>er</w:t>
      </w:r>
      <w:r>
        <w:rPr>
          <w:lang w:val="fr-FR"/>
        </w:rPr>
        <w:t> septembre 2028, les Parties contractantes appliquant le présent Règlement ne seront plus tenues d’accepter les homologations de type établies conformément aux précédentes séries d’amendements, délivrées pour la première fois après le 1</w:t>
      </w:r>
      <w:r w:rsidRPr="00077648">
        <w:rPr>
          <w:vertAlign w:val="superscript"/>
          <w:lang w:val="fr-FR"/>
        </w:rPr>
        <w:t>er</w:t>
      </w:r>
      <w:r>
        <w:rPr>
          <w:lang w:val="fr-FR"/>
        </w:rPr>
        <w:t> septembre 2028.</w:t>
      </w:r>
    </w:p>
    <w:p w14:paraId="155BDBF5" w14:textId="77777777" w:rsidR="009A68DF" w:rsidRPr="00C1181B" w:rsidRDefault="009A68DF" w:rsidP="009A68DF">
      <w:pPr>
        <w:tabs>
          <w:tab w:val="left" w:pos="8505"/>
        </w:tabs>
        <w:spacing w:after="120" w:line="240" w:lineRule="auto"/>
        <w:ind w:left="2268" w:right="1134" w:hanging="1134"/>
        <w:jc w:val="both"/>
        <w:rPr>
          <w:rFonts w:eastAsia="MS Mincho"/>
          <w:bCs/>
        </w:rPr>
      </w:pPr>
      <w:r>
        <w:rPr>
          <w:lang w:val="fr-FR"/>
        </w:rPr>
        <w:t>12.8.3.2</w:t>
      </w:r>
      <w:r>
        <w:rPr>
          <w:lang w:val="fr-FR"/>
        </w:rPr>
        <w:tab/>
        <w:t>Jusqu’au 1</w:t>
      </w:r>
      <w:r w:rsidRPr="00077648">
        <w:rPr>
          <w:vertAlign w:val="superscript"/>
          <w:lang w:val="fr-FR"/>
        </w:rPr>
        <w:t>er</w:t>
      </w:r>
      <w:r>
        <w:rPr>
          <w:lang w:val="fr-FR"/>
        </w:rPr>
        <w:t> septembre 2031, les Parties contractantes appliquant le présent Règlement seront tenues d’accepter les homologations de type établies conformément aux précédentes séries d’amendements, délivrées pour la première fois avant le 1</w:t>
      </w:r>
      <w:r w:rsidRPr="00077648">
        <w:rPr>
          <w:vertAlign w:val="superscript"/>
          <w:lang w:val="fr-FR"/>
        </w:rPr>
        <w:t>er</w:t>
      </w:r>
      <w:r>
        <w:rPr>
          <w:lang w:val="fr-FR"/>
        </w:rPr>
        <w:t> septembre 2028.</w:t>
      </w:r>
    </w:p>
    <w:p w14:paraId="00120CF7" w14:textId="77777777" w:rsidR="009A68DF" w:rsidRPr="00C1181B" w:rsidRDefault="009A68DF" w:rsidP="009A68DF">
      <w:pPr>
        <w:tabs>
          <w:tab w:val="left" w:pos="8505"/>
        </w:tabs>
        <w:spacing w:after="120" w:line="240" w:lineRule="auto"/>
        <w:ind w:left="2268" w:right="1134" w:hanging="1134"/>
        <w:jc w:val="both"/>
        <w:rPr>
          <w:rFonts w:eastAsia="MS Mincho"/>
          <w:bCs/>
        </w:rPr>
      </w:pPr>
      <w:r>
        <w:rPr>
          <w:lang w:val="fr-FR"/>
        </w:rPr>
        <w:t>12.8.3.3</w:t>
      </w:r>
      <w:r>
        <w:rPr>
          <w:lang w:val="fr-FR"/>
        </w:rPr>
        <w:tab/>
        <w:t>À compter du 1</w:t>
      </w:r>
      <w:r w:rsidRPr="005262C6">
        <w:rPr>
          <w:vertAlign w:val="superscript"/>
          <w:lang w:val="fr-FR"/>
        </w:rPr>
        <w:t>er</w:t>
      </w:r>
      <w:r>
        <w:rPr>
          <w:lang w:val="fr-FR"/>
        </w:rPr>
        <w:t> septembre 2031, les Parties contractantes appliquant le présent Règlement ne seront plus tenues d’accepter les homologations de type, et leurs extensions, délivrées en vertu des précédentes séries d’amendements audit Règlement.</w:t>
      </w:r>
    </w:p>
    <w:p w14:paraId="4F8813BB" w14:textId="77777777" w:rsidR="009A68DF" w:rsidRPr="00C1181B" w:rsidRDefault="009A68DF" w:rsidP="009A68DF">
      <w:pPr>
        <w:pStyle w:val="SingleTxtG"/>
        <w:tabs>
          <w:tab w:val="left" w:pos="8505"/>
        </w:tabs>
        <w:spacing w:before="120"/>
        <w:ind w:left="2268" w:hanging="1134"/>
        <w:rPr>
          <w:rFonts w:eastAsia="MS Mincho"/>
          <w:bCs/>
          <w:iCs/>
        </w:rPr>
      </w:pPr>
      <w:r>
        <w:rPr>
          <w:lang w:val="fr-FR"/>
        </w:rPr>
        <w:t>12.8.4</w:t>
      </w:r>
      <w:r>
        <w:rPr>
          <w:lang w:val="fr-FR"/>
        </w:rPr>
        <w:tab/>
        <w:t>Nonobstant les dispositions transitoires énoncées ci-dessus, les Parties contractantes qui commencent à appliquer le présent Règlement après la date d’entrée en vigueur de la série d’amendements la plus récente ne seront pas tenues de reconnaître les homologations de type délivrées au titre de l’une quelconque des précédentes séries d’amendements audit Règlement.</w:t>
      </w:r>
    </w:p>
    <w:p w14:paraId="3269C906" w14:textId="77777777" w:rsidR="009A68DF" w:rsidRPr="00C1181B" w:rsidRDefault="009A68DF" w:rsidP="009A68DF">
      <w:pPr>
        <w:pStyle w:val="SingleTxtG"/>
        <w:tabs>
          <w:tab w:val="left" w:pos="8505"/>
        </w:tabs>
        <w:spacing w:before="120"/>
        <w:ind w:left="2268" w:hanging="1134"/>
        <w:rPr>
          <w:rFonts w:eastAsia="MS Mincho"/>
          <w:bCs/>
        </w:rPr>
      </w:pPr>
      <w:r>
        <w:rPr>
          <w:lang w:val="fr-FR"/>
        </w:rPr>
        <w:t>12.8.5</w:t>
      </w:r>
      <w:r>
        <w:rPr>
          <w:lang w:val="fr-FR"/>
        </w:rPr>
        <w:tab/>
        <w:t>Nonobstant les dispositions des paragraphes 12.8.2.3 et 12.8.3.3, les Parties contractantes appliquant le présent Règlement continueront de reconnaître les homologations de type délivrées au titre des précédentes séries d’amendements audit Règlement pour les types de véhicules non concernés par les modifications apportées par la série 09 d’amendements.</w:t>
      </w:r>
    </w:p>
    <w:p w14:paraId="1F51B55C" w14:textId="77777777" w:rsidR="009A68DF" w:rsidRPr="00C1181B" w:rsidRDefault="009A68DF" w:rsidP="009A68DF">
      <w:pPr>
        <w:pStyle w:val="SingleTxtG"/>
        <w:tabs>
          <w:tab w:val="left" w:pos="8505"/>
        </w:tabs>
        <w:spacing w:before="120"/>
        <w:ind w:left="2268" w:hanging="1134"/>
        <w:rPr>
          <w:rFonts w:eastAsia="MS Mincho"/>
          <w:bCs/>
          <w:strike/>
        </w:rPr>
      </w:pPr>
      <w:r>
        <w:rPr>
          <w:lang w:val="fr-FR"/>
        </w:rPr>
        <w:t>12.8.6</w:t>
      </w:r>
      <w:r>
        <w:rPr>
          <w:lang w:val="fr-FR"/>
        </w:rPr>
        <w:tab/>
        <w:t>Les Parties contractantes appliquant le présent Règlement peuvent accorder des homologations de type en vertu de l’une quelconque des précédentes séries d’amendements audit Règlement.</w:t>
      </w:r>
    </w:p>
    <w:p w14:paraId="1CA75D85" w14:textId="77777777" w:rsidR="009A68DF" w:rsidRDefault="009A68DF" w:rsidP="009A68DF">
      <w:pPr>
        <w:spacing w:after="120"/>
        <w:ind w:left="2268" w:right="1134" w:hanging="1134"/>
        <w:jc w:val="both"/>
      </w:pPr>
      <w:r>
        <w:rPr>
          <w:lang w:val="fr-FR"/>
        </w:rPr>
        <w:lastRenderedPageBreak/>
        <w:t>12.8.7</w:t>
      </w:r>
      <w:r>
        <w:rPr>
          <w:lang w:val="fr-FR"/>
        </w:rPr>
        <w:tab/>
        <w:t>Les Parties contractantes appliquant le présent Règlement continueront d’accorder des extensions pour les homologations déjà délivrées au titre de l’une quelconque des précédentes séries d’amendements audit Règlement. ».</w:t>
      </w:r>
    </w:p>
    <w:p w14:paraId="5BBB7BA6" w14:textId="77777777" w:rsidR="009A68DF" w:rsidRPr="00C1181B" w:rsidRDefault="009A68DF" w:rsidP="009A68DF">
      <w:pPr>
        <w:suppressAutoHyphens w:val="0"/>
        <w:spacing w:line="240" w:lineRule="auto"/>
      </w:pPr>
      <w:r w:rsidRPr="00C1181B">
        <w:br w:type="page"/>
      </w:r>
    </w:p>
    <w:bookmarkEnd w:id="38"/>
    <w:bookmarkEnd w:id="39"/>
    <w:p w14:paraId="42838252" w14:textId="77777777" w:rsidR="009A68DF" w:rsidRPr="00C1181B" w:rsidRDefault="009A68DF" w:rsidP="009A68DF">
      <w:pPr>
        <w:pStyle w:val="HChG"/>
      </w:pPr>
      <w:r>
        <w:rPr>
          <w:lang w:val="fr-FR"/>
        </w:rPr>
        <w:lastRenderedPageBreak/>
        <w:t>Annexe III</w:t>
      </w:r>
    </w:p>
    <w:p w14:paraId="4A2B56A9" w14:textId="77777777" w:rsidR="009A68DF" w:rsidRPr="00C1181B" w:rsidRDefault="009A68DF" w:rsidP="009A68DF">
      <w:pPr>
        <w:pStyle w:val="HChG"/>
      </w:pPr>
      <w:r>
        <w:rPr>
          <w:lang w:val="fr-FR"/>
        </w:rPr>
        <w:tab/>
      </w:r>
      <w:r>
        <w:rPr>
          <w:lang w:val="fr-FR"/>
        </w:rPr>
        <w:tab/>
      </w:r>
      <w:bookmarkStart w:id="43" w:name="_Hlk158357330"/>
      <w:r>
        <w:rPr>
          <w:lang w:val="fr-FR"/>
        </w:rPr>
        <w:t>Groupes informels du GRE</w:t>
      </w:r>
      <w:bookmarkEnd w:id="43"/>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2"/>
        <w:gridCol w:w="3094"/>
        <w:gridCol w:w="2554"/>
      </w:tblGrid>
      <w:tr w:rsidR="009A68DF" w:rsidRPr="009A68DF" w14:paraId="549948D2" w14:textId="77777777" w:rsidTr="009A68DF">
        <w:trPr>
          <w:tblHeader/>
        </w:trPr>
        <w:tc>
          <w:tcPr>
            <w:tcW w:w="1722" w:type="dxa"/>
            <w:shd w:val="clear" w:color="auto" w:fill="auto"/>
            <w:tcMar>
              <w:top w:w="0" w:type="dxa"/>
              <w:left w:w="0" w:type="dxa"/>
              <w:bottom w:w="0" w:type="dxa"/>
            </w:tcMar>
            <w:vAlign w:val="bottom"/>
          </w:tcPr>
          <w:p w14:paraId="7BA8672F" w14:textId="77777777" w:rsidR="009A68DF" w:rsidRPr="009A68DF" w:rsidRDefault="009A68DF" w:rsidP="009A68DF">
            <w:pPr>
              <w:spacing w:before="80" w:after="80" w:line="200" w:lineRule="exact"/>
              <w:ind w:left="57" w:right="57"/>
              <w:rPr>
                <w:i/>
                <w:sz w:val="16"/>
                <w:szCs w:val="18"/>
              </w:rPr>
            </w:pPr>
            <w:r w:rsidRPr="009A68DF">
              <w:rPr>
                <w:i/>
                <w:sz w:val="16"/>
                <w:lang w:val="fr-FR"/>
              </w:rPr>
              <w:t>Groupe informel</w:t>
            </w:r>
          </w:p>
        </w:tc>
        <w:tc>
          <w:tcPr>
            <w:tcW w:w="3094" w:type="dxa"/>
            <w:shd w:val="clear" w:color="auto" w:fill="auto"/>
            <w:tcMar>
              <w:top w:w="0" w:type="dxa"/>
              <w:left w:w="0" w:type="dxa"/>
              <w:bottom w:w="0" w:type="dxa"/>
            </w:tcMar>
            <w:vAlign w:val="bottom"/>
          </w:tcPr>
          <w:p w14:paraId="068B7575" w14:textId="77777777" w:rsidR="009A68DF" w:rsidRPr="009A68DF" w:rsidRDefault="009A68DF" w:rsidP="009A68DF">
            <w:pPr>
              <w:spacing w:before="80" w:after="80" w:line="200" w:lineRule="exact"/>
              <w:ind w:left="57" w:right="57"/>
              <w:rPr>
                <w:i/>
                <w:sz w:val="16"/>
                <w:szCs w:val="18"/>
              </w:rPr>
            </w:pPr>
            <w:r w:rsidRPr="009A68DF">
              <w:rPr>
                <w:i/>
                <w:sz w:val="16"/>
                <w:lang w:val="fr-FR"/>
              </w:rPr>
              <w:t>Président(e) et coprésident(e)(s)</w:t>
            </w:r>
          </w:p>
        </w:tc>
        <w:tc>
          <w:tcPr>
            <w:tcW w:w="2554" w:type="dxa"/>
            <w:shd w:val="clear" w:color="auto" w:fill="auto"/>
            <w:tcMar>
              <w:top w:w="0" w:type="dxa"/>
              <w:left w:w="0" w:type="dxa"/>
              <w:bottom w:w="0" w:type="dxa"/>
            </w:tcMar>
            <w:vAlign w:val="bottom"/>
          </w:tcPr>
          <w:p w14:paraId="2F25B4E4" w14:textId="77777777" w:rsidR="009A68DF" w:rsidRPr="009A68DF" w:rsidRDefault="009A68DF" w:rsidP="009A68DF">
            <w:pPr>
              <w:spacing w:before="80" w:after="80" w:line="200" w:lineRule="exact"/>
              <w:ind w:left="57" w:right="57"/>
              <w:rPr>
                <w:i/>
                <w:sz w:val="16"/>
                <w:szCs w:val="18"/>
              </w:rPr>
            </w:pPr>
            <w:r w:rsidRPr="009A68DF">
              <w:rPr>
                <w:i/>
                <w:sz w:val="16"/>
                <w:lang w:val="fr-FR"/>
              </w:rPr>
              <w:t>Secrétaire</w:t>
            </w:r>
          </w:p>
        </w:tc>
      </w:tr>
      <w:tr w:rsidR="009A68DF" w:rsidRPr="009A68DF" w14:paraId="3D4C741D" w14:textId="77777777" w:rsidTr="009A68DF">
        <w:tc>
          <w:tcPr>
            <w:tcW w:w="1722" w:type="dxa"/>
            <w:shd w:val="clear" w:color="auto" w:fill="auto"/>
            <w:tcMar>
              <w:top w:w="0" w:type="dxa"/>
              <w:left w:w="0" w:type="dxa"/>
              <w:bottom w:w="0" w:type="dxa"/>
            </w:tcMar>
          </w:tcPr>
          <w:p w14:paraId="178B90C2" w14:textId="77777777" w:rsidR="009A68DF" w:rsidRPr="009A68DF" w:rsidRDefault="009A68DF" w:rsidP="009A68DF">
            <w:pPr>
              <w:spacing w:before="40" w:after="40"/>
              <w:ind w:left="57" w:right="57"/>
            </w:pPr>
            <w:r w:rsidRPr="009A68DF">
              <w:rPr>
                <w:lang w:val="fr-FR"/>
              </w:rPr>
              <w:t>Simplification des Règlements ONU relatifs à l’éclairage et à la signalisation lumineuse (SLR)</w:t>
            </w:r>
          </w:p>
        </w:tc>
        <w:tc>
          <w:tcPr>
            <w:tcW w:w="3094" w:type="dxa"/>
            <w:shd w:val="clear" w:color="auto" w:fill="auto"/>
            <w:tcMar>
              <w:top w:w="0" w:type="dxa"/>
              <w:left w:w="0" w:type="dxa"/>
              <w:bottom w:w="0" w:type="dxa"/>
            </w:tcMar>
          </w:tcPr>
          <w:p w14:paraId="603D2E9A" w14:textId="77777777" w:rsidR="009A68DF" w:rsidRPr="009A68DF" w:rsidRDefault="009A68DF" w:rsidP="009A68DF">
            <w:pPr>
              <w:spacing w:before="40" w:after="40"/>
              <w:ind w:left="57" w:right="57"/>
            </w:pPr>
            <w:proofErr w:type="spellStart"/>
            <w:r w:rsidRPr="009A68DF">
              <w:rPr>
                <w:lang w:val="fr-FR"/>
              </w:rPr>
              <w:t>Derwin</w:t>
            </w:r>
            <w:proofErr w:type="spellEnd"/>
            <w:r w:rsidRPr="009A68DF">
              <w:rPr>
                <w:lang w:val="fr-FR"/>
              </w:rPr>
              <w:t xml:space="preserve"> Rovers (Pays-Bas)</w:t>
            </w:r>
          </w:p>
          <w:p w14:paraId="5C8A037B" w14:textId="422CCC91" w:rsidR="009A68DF" w:rsidRPr="009A68DF" w:rsidRDefault="009A68DF" w:rsidP="009A68DF">
            <w:pPr>
              <w:spacing w:before="40" w:after="40"/>
              <w:ind w:left="57" w:right="57"/>
            </w:pPr>
            <w:r w:rsidRPr="009A68DF">
              <w:rPr>
                <w:lang w:val="fr-FR"/>
              </w:rPr>
              <w:t>Aleksander Lazarevic (CE)</w:t>
            </w:r>
          </w:p>
        </w:tc>
        <w:tc>
          <w:tcPr>
            <w:tcW w:w="2554" w:type="dxa"/>
            <w:shd w:val="clear" w:color="auto" w:fill="auto"/>
            <w:tcMar>
              <w:top w:w="0" w:type="dxa"/>
              <w:left w:w="0" w:type="dxa"/>
              <w:bottom w:w="0" w:type="dxa"/>
            </w:tcMar>
          </w:tcPr>
          <w:p w14:paraId="633D2F4C" w14:textId="75109F8E" w:rsidR="009A68DF" w:rsidRPr="009A68DF" w:rsidRDefault="009A68DF" w:rsidP="00D733CE">
            <w:pPr>
              <w:spacing w:before="40" w:after="40"/>
              <w:ind w:left="57" w:right="57"/>
            </w:pPr>
            <w:r w:rsidRPr="009A68DF">
              <w:rPr>
                <w:lang w:val="fr-FR"/>
              </w:rPr>
              <w:t xml:space="preserve">Davide </w:t>
            </w:r>
            <w:proofErr w:type="spellStart"/>
            <w:r w:rsidRPr="009A68DF">
              <w:rPr>
                <w:lang w:val="fr-FR"/>
              </w:rPr>
              <w:t>Puglisi</w:t>
            </w:r>
            <w:proofErr w:type="spellEnd"/>
            <w:r w:rsidRPr="009A68DF">
              <w:rPr>
                <w:lang w:val="fr-FR"/>
              </w:rPr>
              <w:t xml:space="preserve"> (GTB)</w:t>
            </w:r>
          </w:p>
        </w:tc>
      </w:tr>
      <w:tr w:rsidR="009A68DF" w:rsidRPr="009A68DF" w14:paraId="73FB7CDE" w14:textId="77777777" w:rsidTr="009A68DF">
        <w:tc>
          <w:tcPr>
            <w:tcW w:w="1722" w:type="dxa"/>
            <w:shd w:val="clear" w:color="auto" w:fill="auto"/>
            <w:tcMar>
              <w:top w:w="0" w:type="dxa"/>
              <w:left w:w="0" w:type="dxa"/>
              <w:bottom w:w="0" w:type="dxa"/>
            </w:tcMar>
          </w:tcPr>
          <w:p w14:paraId="390F5FE4" w14:textId="77777777" w:rsidR="009A68DF" w:rsidRPr="009A68DF" w:rsidRDefault="009A68DF" w:rsidP="009A68DF">
            <w:pPr>
              <w:spacing w:before="40" w:after="40"/>
              <w:ind w:left="57" w:right="57"/>
            </w:pPr>
            <w:r w:rsidRPr="009A68DF">
              <w:rPr>
                <w:lang w:val="fr-FR"/>
              </w:rPr>
              <w:t xml:space="preserve">Compatibilité électromagnétique (EMC) </w:t>
            </w:r>
          </w:p>
        </w:tc>
        <w:tc>
          <w:tcPr>
            <w:tcW w:w="3094" w:type="dxa"/>
            <w:shd w:val="clear" w:color="auto" w:fill="auto"/>
            <w:tcMar>
              <w:top w:w="0" w:type="dxa"/>
              <w:left w:w="0" w:type="dxa"/>
              <w:bottom w:w="0" w:type="dxa"/>
            </w:tcMar>
          </w:tcPr>
          <w:p w14:paraId="7C32C65C" w14:textId="4BB0B11D" w:rsidR="009A68DF" w:rsidRPr="009A68DF" w:rsidRDefault="009A68DF" w:rsidP="009A68DF">
            <w:pPr>
              <w:spacing w:before="40" w:after="40"/>
              <w:ind w:left="57" w:right="57"/>
            </w:pPr>
            <w:proofErr w:type="spellStart"/>
            <w:r w:rsidRPr="009A68DF">
              <w:rPr>
                <w:lang w:val="fr-FR"/>
              </w:rPr>
              <w:t>Zissis</w:t>
            </w:r>
            <w:proofErr w:type="spellEnd"/>
            <w:r w:rsidRPr="009A68DF">
              <w:rPr>
                <w:lang w:val="fr-FR"/>
              </w:rPr>
              <w:t xml:space="preserve"> </w:t>
            </w:r>
            <w:proofErr w:type="spellStart"/>
            <w:r w:rsidRPr="009A68DF">
              <w:rPr>
                <w:lang w:val="fr-FR"/>
              </w:rPr>
              <w:t>Tsakiridis</w:t>
            </w:r>
            <w:proofErr w:type="spellEnd"/>
            <w:r w:rsidRPr="009A68DF">
              <w:rPr>
                <w:lang w:val="fr-FR"/>
              </w:rPr>
              <w:t xml:space="preserve"> (Allemagne)</w:t>
            </w:r>
          </w:p>
        </w:tc>
        <w:tc>
          <w:tcPr>
            <w:tcW w:w="2554" w:type="dxa"/>
            <w:shd w:val="clear" w:color="auto" w:fill="auto"/>
            <w:tcMar>
              <w:top w:w="0" w:type="dxa"/>
              <w:left w:w="0" w:type="dxa"/>
              <w:bottom w:w="0" w:type="dxa"/>
            </w:tcMar>
          </w:tcPr>
          <w:p w14:paraId="27654B03" w14:textId="23AC5F22" w:rsidR="009A68DF" w:rsidRPr="009A68DF" w:rsidRDefault="009A68DF" w:rsidP="009A68DF">
            <w:pPr>
              <w:spacing w:before="40" w:after="40"/>
              <w:ind w:left="57" w:right="57"/>
            </w:pPr>
            <w:r w:rsidRPr="009A68DF">
              <w:rPr>
                <w:lang w:val="fr-FR"/>
              </w:rPr>
              <w:t>Jean-Marc Prigent (OICA)</w:t>
            </w:r>
          </w:p>
        </w:tc>
      </w:tr>
    </w:tbl>
    <w:p w14:paraId="6AAC9A0A" w14:textId="33BD7A44" w:rsidR="009A68DF" w:rsidRPr="009A68DF" w:rsidRDefault="009A68DF" w:rsidP="009A68DF">
      <w:pPr>
        <w:pStyle w:val="SingleTxtG"/>
        <w:spacing w:before="240" w:after="0"/>
        <w:jc w:val="center"/>
        <w:rPr>
          <w:u w:val="single"/>
        </w:rPr>
      </w:pPr>
      <w:r w:rsidRPr="004B522E">
        <w:rPr>
          <w:u w:val="single"/>
        </w:rPr>
        <w:tab/>
      </w:r>
      <w:r w:rsidRPr="004B522E">
        <w:rPr>
          <w:u w:val="single"/>
        </w:rPr>
        <w:tab/>
      </w:r>
      <w:r w:rsidRPr="004B522E">
        <w:rPr>
          <w:u w:val="single"/>
        </w:rPr>
        <w:tab/>
      </w:r>
      <w:r w:rsidRPr="004B522E">
        <w:rPr>
          <w:u w:val="single"/>
        </w:rPr>
        <w:tab/>
      </w:r>
    </w:p>
    <w:sectPr w:rsidR="009A68DF" w:rsidRPr="009A68DF" w:rsidSect="009A68D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0A83" w14:textId="77777777" w:rsidR="00130B85" w:rsidRDefault="00130B85" w:rsidP="00F95C08">
      <w:pPr>
        <w:spacing w:line="240" w:lineRule="auto"/>
      </w:pPr>
    </w:p>
  </w:endnote>
  <w:endnote w:type="continuationSeparator" w:id="0">
    <w:p w14:paraId="2F065515" w14:textId="77777777" w:rsidR="00130B85" w:rsidRPr="00AC3823" w:rsidRDefault="00130B85" w:rsidP="00AC3823">
      <w:pPr>
        <w:pStyle w:val="Pieddepage"/>
      </w:pPr>
    </w:p>
  </w:endnote>
  <w:endnote w:type="continuationNotice" w:id="1">
    <w:p w14:paraId="51C7812E" w14:textId="77777777" w:rsidR="00130B85" w:rsidRDefault="00130B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8FB1" w14:textId="0409EED3" w:rsidR="009A68DF" w:rsidRPr="009A68DF" w:rsidRDefault="009A68DF" w:rsidP="009A68DF">
    <w:pPr>
      <w:pStyle w:val="Pieddepage"/>
      <w:tabs>
        <w:tab w:val="right" w:pos="9638"/>
      </w:tabs>
    </w:pPr>
    <w:r w:rsidRPr="009A68DF">
      <w:rPr>
        <w:b/>
        <w:sz w:val="18"/>
      </w:rPr>
      <w:fldChar w:fldCharType="begin"/>
    </w:r>
    <w:r w:rsidRPr="009A68DF">
      <w:rPr>
        <w:b/>
        <w:sz w:val="18"/>
      </w:rPr>
      <w:instrText xml:space="preserve"> PAGE  \* MERGEFORMAT </w:instrText>
    </w:r>
    <w:r w:rsidRPr="009A68DF">
      <w:rPr>
        <w:b/>
        <w:sz w:val="18"/>
      </w:rPr>
      <w:fldChar w:fldCharType="separate"/>
    </w:r>
    <w:r w:rsidRPr="009A68DF">
      <w:rPr>
        <w:b/>
        <w:noProof/>
        <w:sz w:val="18"/>
      </w:rPr>
      <w:t>2</w:t>
    </w:r>
    <w:r w:rsidRPr="009A68DF">
      <w:rPr>
        <w:b/>
        <w:sz w:val="18"/>
      </w:rPr>
      <w:fldChar w:fldCharType="end"/>
    </w:r>
    <w:r>
      <w:rPr>
        <w:b/>
        <w:sz w:val="18"/>
      </w:rPr>
      <w:tab/>
    </w:r>
    <w:r>
      <w:t>GE.23-09965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2CF" w14:textId="7ABC4738" w:rsidR="009A68DF" w:rsidRPr="009A68DF" w:rsidRDefault="009A68DF" w:rsidP="009A68DF">
    <w:pPr>
      <w:pStyle w:val="Pieddepage"/>
      <w:tabs>
        <w:tab w:val="right" w:pos="9638"/>
      </w:tabs>
      <w:rPr>
        <w:b/>
        <w:sz w:val="18"/>
      </w:rPr>
    </w:pPr>
    <w:r>
      <w:t>GE.23-09965</w:t>
    </w:r>
    <w:r>
      <w:tab/>
    </w:r>
    <w:r w:rsidRPr="009A68DF">
      <w:rPr>
        <w:b/>
        <w:sz w:val="18"/>
      </w:rPr>
      <w:fldChar w:fldCharType="begin"/>
    </w:r>
    <w:r w:rsidRPr="009A68DF">
      <w:rPr>
        <w:b/>
        <w:sz w:val="18"/>
      </w:rPr>
      <w:instrText xml:space="preserve"> PAGE  \* MERGEFORMAT </w:instrText>
    </w:r>
    <w:r w:rsidRPr="009A68DF">
      <w:rPr>
        <w:b/>
        <w:sz w:val="18"/>
      </w:rPr>
      <w:fldChar w:fldCharType="separate"/>
    </w:r>
    <w:r w:rsidRPr="009A68DF">
      <w:rPr>
        <w:b/>
        <w:noProof/>
        <w:sz w:val="18"/>
      </w:rPr>
      <w:t>3</w:t>
    </w:r>
    <w:r w:rsidRPr="009A68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EB8" w14:textId="6A4D126B" w:rsidR="007F20FA" w:rsidRPr="009A68DF" w:rsidRDefault="009A68DF" w:rsidP="009A68D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B1DAFF5" wp14:editId="06A0708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23-09965  (F)</w:t>
    </w:r>
    <w:r>
      <w:rPr>
        <w:noProof/>
        <w:sz w:val="20"/>
      </w:rPr>
      <w:drawing>
        <wp:anchor distT="0" distB="0" distL="114300" distR="114300" simplePos="0" relativeHeight="251660288" behindDoc="0" locked="0" layoutInCell="1" allowOverlap="1" wp14:anchorId="580139E6" wp14:editId="23FC5F9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070224    090224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F1BF" w14:textId="77777777" w:rsidR="00130B85" w:rsidRPr="00AC3823" w:rsidRDefault="00130B85" w:rsidP="00AC3823">
      <w:pPr>
        <w:pStyle w:val="Pieddepage"/>
        <w:tabs>
          <w:tab w:val="right" w:pos="2155"/>
        </w:tabs>
        <w:spacing w:after="80" w:line="240" w:lineRule="atLeast"/>
        <w:ind w:left="680"/>
        <w:rPr>
          <w:u w:val="single"/>
        </w:rPr>
      </w:pPr>
      <w:r>
        <w:rPr>
          <w:u w:val="single"/>
        </w:rPr>
        <w:tab/>
      </w:r>
    </w:p>
  </w:footnote>
  <w:footnote w:type="continuationSeparator" w:id="0">
    <w:p w14:paraId="24556B50" w14:textId="77777777" w:rsidR="00130B85" w:rsidRPr="00AC3823" w:rsidRDefault="00130B85" w:rsidP="00AC3823">
      <w:pPr>
        <w:pStyle w:val="Pieddepage"/>
        <w:tabs>
          <w:tab w:val="right" w:pos="2155"/>
        </w:tabs>
        <w:spacing w:after="80" w:line="240" w:lineRule="atLeast"/>
        <w:ind w:left="680"/>
        <w:rPr>
          <w:u w:val="single"/>
        </w:rPr>
      </w:pPr>
      <w:r>
        <w:rPr>
          <w:u w:val="single"/>
        </w:rPr>
        <w:tab/>
      </w:r>
    </w:p>
  </w:footnote>
  <w:footnote w:type="continuationNotice" w:id="1">
    <w:p w14:paraId="0C06D341" w14:textId="77777777" w:rsidR="00130B85" w:rsidRPr="00AC3823" w:rsidRDefault="00130B8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8DA" w14:textId="421583E7" w:rsidR="009A68DF" w:rsidRPr="009A68DF" w:rsidRDefault="009A68DF">
    <w:pPr>
      <w:pStyle w:val="En-tte"/>
    </w:pPr>
    <w:fldSimple w:instr=" TITLE  \* MERGEFORMAT ">
      <w:r>
        <w:t>ECE/TRANS/WP.29/GRE/88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4BE" w14:textId="5EFCF9AE" w:rsidR="009A68DF" w:rsidRPr="009A68DF" w:rsidRDefault="009A68DF" w:rsidP="009A68DF">
    <w:pPr>
      <w:pStyle w:val="En-tte"/>
      <w:jc w:val="right"/>
    </w:pPr>
    <w:fldSimple w:instr=" TITLE  \* MERGEFORMAT ">
      <w:r>
        <w:t>ECE/TRANS/WP.29/GRE/88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542C00"/>
    <w:multiLevelType w:val="hybridMultilevel"/>
    <w:tmpl w:val="7402D1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1D361E8"/>
    <w:multiLevelType w:val="hybridMultilevel"/>
    <w:tmpl w:val="955A3E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6E12D98"/>
    <w:multiLevelType w:val="hybridMultilevel"/>
    <w:tmpl w:val="66E6F53E"/>
    <w:lvl w:ilvl="0" w:tplc="AE022A4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A9A113E"/>
    <w:multiLevelType w:val="hybridMultilevel"/>
    <w:tmpl w:val="5F2A58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0753447"/>
    <w:multiLevelType w:val="hybridMultilevel"/>
    <w:tmpl w:val="B13619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6D16A6"/>
    <w:multiLevelType w:val="multilevel"/>
    <w:tmpl w:val="3FE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1D121F2"/>
    <w:multiLevelType w:val="hybridMultilevel"/>
    <w:tmpl w:val="E3C6D91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598463A8"/>
    <w:multiLevelType w:val="hybridMultilevel"/>
    <w:tmpl w:val="E5BE4C4C"/>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F88392A"/>
    <w:multiLevelType w:val="hybridMultilevel"/>
    <w:tmpl w:val="FB78DAE2"/>
    <w:lvl w:ilvl="0" w:tplc="04090001">
      <w:start w:val="1"/>
      <w:numFmt w:val="bullet"/>
      <w:lvlText w:val=""/>
      <w:lvlJc w:val="left"/>
      <w:pPr>
        <w:ind w:left="1854" w:hanging="360"/>
      </w:pPr>
      <w:rPr>
        <w:rFonts w:ascii="Symbol" w:hAnsi="Symbol" w:hint="default"/>
      </w:rPr>
    </w:lvl>
    <w:lvl w:ilvl="1" w:tplc="BFFCADB8">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292E42"/>
    <w:multiLevelType w:val="hybridMultilevel"/>
    <w:tmpl w:val="89EEDD86"/>
    <w:lvl w:ilvl="0" w:tplc="BEE8785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747AF"/>
    <w:multiLevelType w:val="hybridMultilevel"/>
    <w:tmpl w:val="A5068A7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13E3486"/>
    <w:multiLevelType w:val="multilevel"/>
    <w:tmpl w:val="59E4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474756"/>
    <w:multiLevelType w:val="hybridMultilevel"/>
    <w:tmpl w:val="752ED8E4"/>
    <w:lvl w:ilvl="0" w:tplc="A9441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6F975D7"/>
    <w:multiLevelType w:val="multilevel"/>
    <w:tmpl w:val="14C8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836583">
    <w:abstractNumId w:val="29"/>
  </w:num>
  <w:num w:numId="2" w16cid:durableId="1161774015">
    <w:abstractNumId w:val="19"/>
  </w:num>
  <w:num w:numId="3" w16cid:durableId="528682294">
    <w:abstractNumId w:val="11"/>
  </w:num>
  <w:num w:numId="4" w16cid:durableId="1893492773">
    <w:abstractNumId w:val="8"/>
  </w:num>
  <w:num w:numId="5" w16cid:durableId="538203211">
    <w:abstractNumId w:val="3"/>
  </w:num>
  <w:num w:numId="6" w16cid:durableId="98990221">
    <w:abstractNumId w:val="2"/>
  </w:num>
  <w:num w:numId="7" w16cid:durableId="1062216989">
    <w:abstractNumId w:val="1"/>
  </w:num>
  <w:num w:numId="8" w16cid:durableId="431248075">
    <w:abstractNumId w:val="0"/>
  </w:num>
  <w:num w:numId="9" w16cid:durableId="2007514573">
    <w:abstractNumId w:val="9"/>
  </w:num>
  <w:num w:numId="10" w16cid:durableId="1380979586">
    <w:abstractNumId w:val="7"/>
  </w:num>
  <w:num w:numId="11" w16cid:durableId="856195003">
    <w:abstractNumId w:val="6"/>
  </w:num>
  <w:num w:numId="12" w16cid:durableId="2068991597">
    <w:abstractNumId w:val="5"/>
  </w:num>
  <w:num w:numId="13" w16cid:durableId="951280858">
    <w:abstractNumId w:val="4"/>
  </w:num>
  <w:num w:numId="14" w16cid:durableId="1795365064">
    <w:abstractNumId w:val="29"/>
  </w:num>
  <w:num w:numId="15" w16cid:durableId="1201818347">
    <w:abstractNumId w:val="19"/>
  </w:num>
  <w:num w:numId="16" w16cid:durableId="1567763998">
    <w:abstractNumId w:val="11"/>
  </w:num>
  <w:num w:numId="17" w16cid:durableId="395934299">
    <w:abstractNumId w:val="25"/>
  </w:num>
  <w:num w:numId="18" w16cid:durableId="1412432574">
    <w:abstractNumId w:val="13"/>
  </w:num>
  <w:num w:numId="19" w16cid:durableId="1764061315">
    <w:abstractNumId w:val="10"/>
  </w:num>
  <w:num w:numId="20" w16cid:durableId="270288739">
    <w:abstractNumId w:val="27"/>
  </w:num>
  <w:num w:numId="21" w16cid:durableId="1765374010">
    <w:abstractNumId w:val="31"/>
  </w:num>
  <w:num w:numId="22" w16cid:durableId="335617360">
    <w:abstractNumId w:val="14"/>
  </w:num>
  <w:num w:numId="23" w16cid:durableId="981546233">
    <w:abstractNumId w:val="21"/>
  </w:num>
  <w:num w:numId="24" w16cid:durableId="1637030781">
    <w:abstractNumId w:val="17"/>
  </w:num>
  <w:num w:numId="25" w16cid:durableId="1309627772">
    <w:abstractNumId w:val="32"/>
  </w:num>
  <w:num w:numId="26" w16cid:durableId="1126317988">
    <w:abstractNumId w:val="20"/>
  </w:num>
  <w:num w:numId="27" w16cid:durableId="1144277448">
    <w:abstractNumId w:val="30"/>
  </w:num>
  <w:num w:numId="28" w16cid:durableId="1137912308">
    <w:abstractNumId w:val="33"/>
  </w:num>
  <w:num w:numId="29" w16cid:durableId="804785348">
    <w:abstractNumId w:val="15"/>
  </w:num>
  <w:num w:numId="30" w16cid:durableId="1978560248">
    <w:abstractNumId w:val="12"/>
  </w:num>
  <w:num w:numId="31" w16cid:durableId="1681853260">
    <w:abstractNumId w:val="16"/>
  </w:num>
  <w:num w:numId="32" w16cid:durableId="436751108">
    <w:abstractNumId w:val="18"/>
  </w:num>
  <w:num w:numId="33" w16cid:durableId="650259460">
    <w:abstractNumId w:val="28"/>
  </w:num>
  <w:num w:numId="34" w16cid:durableId="1149516486">
    <w:abstractNumId w:val="23"/>
  </w:num>
  <w:num w:numId="35" w16cid:durableId="217018762">
    <w:abstractNumId w:val="26"/>
  </w:num>
  <w:num w:numId="36" w16cid:durableId="183710155">
    <w:abstractNumId w:val="24"/>
  </w:num>
  <w:num w:numId="37" w16cid:durableId="1742294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85"/>
    <w:rsid w:val="00017F94"/>
    <w:rsid w:val="00023842"/>
    <w:rsid w:val="000334F9"/>
    <w:rsid w:val="00045FEB"/>
    <w:rsid w:val="0007796D"/>
    <w:rsid w:val="000B7790"/>
    <w:rsid w:val="00111F2F"/>
    <w:rsid w:val="00130B85"/>
    <w:rsid w:val="00137CBD"/>
    <w:rsid w:val="0014365E"/>
    <w:rsid w:val="00143C66"/>
    <w:rsid w:val="00176178"/>
    <w:rsid w:val="001F525A"/>
    <w:rsid w:val="00201148"/>
    <w:rsid w:val="00223272"/>
    <w:rsid w:val="0024779E"/>
    <w:rsid w:val="00257168"/>
    <w:rsid w:val="002744B8"/>
    <w:rsid w:val="002832AC"/>
    <w:rsid w:val="0029479C"/>
    <w:rsid w:val="002D7C93"/>
    <w:rsid w:val="00305801"/>
    <w:rsid w:val="003916DE"/>
    <w:rsid w:val="003E02D6"/>
    <w:rsid w:val="00421996"/>
    <w:rsid w:val="00441C3B"/>
    <w:rsid w:val="00446FE5"/>
    <w:rsid w:val="00452396"/>
    <w:rsid w:val="00477EB2"/>
    <w:rsid w:val="004837D8"/>
    <w:rsid w:val="004E2EED"/>
    <w:rsid w:val="004E3861"/>
    <w:rsid w:val="004E468C"/>
    <w:rsid w:val="005505B7"/>
    <w:rsid w:val="00573BE5"/>
    <w:rsid w:val="00586ED3"/>
    <w:rsid w:val="00596AA9"/>
    <w:rsid w:val="00672320"/>
    <w:rsid w:val="006800C5"/>
    <w:rsid w:val="0071601D"/>
    <w:rsid w:val="007A62E6"/>
    <w:rsid w:val="007F20FA"/>
    <w:rsid w:val="0080684C"/>
    <w:rsid w:val="00871C75"/>
    <w:rsid w:val="008776DC"/>
    <w:rsid w:val="008D5EF9"/>
    <w:rsid w:val="009446C0"/>
    <w:rsid w:val="009705C8"/>
    <w:rsid w:val="00974A17"/>
    <w:rsid w:val="009A68DF"/>
    <w:rsid w:val="009C1CF4"/>
    <w:rsid w:val="009C2F1C"/>
    <w:rsid w:val="009F6B74"/>
    <w:rsid w:val="00A3029F"/>
    <w:rsid w:val="00A30353"/>
    <w:rsid w:val="00A51EFA"/>
    <w:rsid w:val="00A963A7"/>
    <w:rsid w:val="00AC3823"/>
    <w:rsid w:val="00AE323C"/>
    <w:rsid w:val="00AF0CB5"/>
    <w:rsid w:val="00B00181"/>
    <w:rsid w:val="00B00B0D"/>
    <w:rsid w:val="00B45F2E"/>
    <w:rsid w:val="00B765F7"/>
    <w:rsid w:val="00B77993"/>
    <w:rsid w:val="00BA0CA9"/>
    <w:rsid w:val="00C02897"/>
    <w:rsid w:val="00C97039"/>
    <w:rsid w:val="00D3439C"/>
    <w:rsid w:val="00D733CE"/>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B3DE"/>
  <w15:docId w15:val="{EE589ECE-65DC-4A4C-849B-8239216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HChGChar">
    <w:name w:val="_ H _Ch_G Char"/>
    <w:link w:val="HChG"/>
    <w:rsid w:val="009A68D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A68DF"/>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9A68DF"/>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9A68DF"/>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9A68DF"/>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9A68DF"/>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9A68DF"/>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9A68DF"/>
    <w:rPr>
      <w:rFonts w:ascii="Times New Roman" w:hAnsi="Times New Roman" w:cs="Times New Roman"/>
      <w:sz w:val="20"/>
      <w:szCs w:val="20"/>
      <w:lang w:val="en-GB" w:eastAsia="en-US"/>
    </w:rPr>
  </w:style>
  <w:style w:type="paragraph" w:styleId="Normalcentr">
    <w:name w:val="Block Text"/>
    <w:basedOn w:val="Normal"/>
    <w:semiHidden/>
    <w:rsid w:val="009A68DF"/>
    <w:pPr>
      <w:kinsoku/>
      <w:overflowPunct/>
      <w:autoSpaceDE/>
      <w:autoSpaceDN/>
      <w:adjustRightInd/>
      <w:snapToGrid/>
      <w:ind w:left="1440" w:right="1440"/>
    </w:pPr>
    <w:rPr>
      <w:rFonts w:eastAsia="Times New Roman"/>
      <w:lang w:val="en-GB"/>
    </w:rPr>
  </w:style>
  <w:style w:type="character" w:styleId="Marquedecommentaire">
    <w:name w:val="annotation reference"/>
    <w:uiPriority w:val="99"/>
    <w:semiHidden/>
    <w:rsid w:val="009A68DF"/>
    <w:rPr>
      <w:sz w:val="6"/>
    </w:rPr>
  </w:style>
  <w:style w:type="paragraph" w:styleId="Commentaire">
    <w:name w:val="annotation text"/>
    <w:basedOn w:val="Normal"/>
    <w:link w:val="CommentaireCar"/>
    <w:uiPriority w:val="99"/>
    <w:semiHidden/>
    <w:rsid w:val="009A68DF"/>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semiHidden/>
    <w:rsid w:val="009A68DF"/>
    <w:rPr>
      <w:rFonts w:ascii="Times New Roman" w:hAnsi="Times New Roman" w:cs="Times New Roman"/>
      <w:sz w:val="20"/>
      <w:szCs w:val="20"/>
      <w:lang w:val="en-GB" w:eastAsia="en-US"/>
    </w:rPr>
  </w:style>
  <w:style w:type="character" w:styleId="Numrodeligne">
    <w:name w:val="line number"/>
    <w:semiHidden/>
    <w:rsid w:val="009A68DF"/>
    <w:rPr>
      <w:sz w:val="14"/>
    </w:rPr>
  </w:style>
  <w:style w:type="numbering" w:styleId="111111">
    <w:name w:val="Outline List 2"/>
    <w:basedOn w:val="Aucuneliste"/>
    <w:semiHidden/>
    <w:rsid w:val="009A68DF"/>
    <w:pPr>
      <w:numPr>
        <w:numId w:val="17"/>
      </w:numPr>
    </w:pPr>
  </w:style>
  <w:style w:type="numbering" w:styleId="1ai">
    <w:name w:val="Outline List 1"/>
    <w:basedOn w:val="Aucuneliste"/>
    <w:semiHidden/>
    <w:rsid w:val="009A68DF"/>
    <w:pPr>
      <w:numPr>
        <w:numId w:val="18"/>
      </w:numPr>
    </w:pPr>
  </w:style>
  <w:style w:type="numbering" w:styleId="ArticleSection">
    <w:name w:val="Outline List 3"/>
    <w:basedOn w:val="Aucuneliste"/>
    <w:semiHidden/>
    <w:rsid w:val="009A68DF"/>
    <w:pPr>
      <w:numPr>
        <w:numId w:val="19"/>
      </w:numPr>
    </w:pPr>
  </w:style>
  <w:style w:type="paragraph" w:styleId="Corpsdetexte2">
    <w:name w:val="Body Text 2"/>
    <w:basedOn w:val="Normal"/>
    <w:link w:val="Corpsdetexte2Car"/>
    <w:semiHidden/>
    <w:rsid w:val="009A68DF"/>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9A68DF"/>
    <w:rPr>
      <w:rFonts w:ascii="Times New Roman" w:hAnsi="Times New Roman" w:cs="Times New Roman"/>
      <w:sz w:val="20"/>
      <w:szCs w:val="20"/>
      <w:lang w:val="en-GB" w:eastAsia="en-US"/>
    </w:rPr>
  </w:style>
  <w:style w:type="paragraph" w:styleId="Corpsdetexte3">
    <w:name w:val="Body Text 3"/>
    <w:basedOn w:val="Normal"/>
    <w:link w:val="Corpsdetexte3Car"/>
    <w:semiHidden/>
    <w:rsid w:val="009A68DF"/>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9A68DF"/>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9A68DF"/>
    <w:pPr>
      <w:spacing w:after="120"/>
      <w:ind w:firstLine="210"/>
    </w:pPr>
  </w:style>
  <w:style w:type="character" w:customStyle="1" w:styleId="Retrait1religneCar">
    <w:name w:val="Retrait 1re ligne Car"/>
    <w:basedOn w:val="CorpsdetexteCar"/>
    <w:link w:val="Retrait1religne"/>
    <w:semiHidden/>
    <w:rsid w:val="009A68DF"/>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A68DF"/>
    <w:pPr>
      <w:ind w:firstLine="210"/>
    </w:pPr>
  </w:style>
  <w:style w:type="character" w:customStyle="1" w:styleId="Retraitcorpset1religCar">
    <w:name w:val="Retrait corps et 1re lig. Car"/>
    <w:basedOn w:val="RetraitcorpsdetexteCar"/>
    <w:link w:val="Retraitcorpset1relig"/>
    <w:semiHidden/>
    <w:rsid w:val="009A68DF"/>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9A68DF"/>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9A68DF"/>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9A68DF"/>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9A68DF"/>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9A68DF"/>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9A68DF"/>
    <w:rPr>
      <w:rFonts w:ascii="Times New Roman" w:hAnsi="Times New Roman" w:cs="Times New Roman"/>
      <w:sz w:val="20"/>
      <w:szCs w:val="20"/>
      <w:lang w:val="en-GB" w:eastAsia="en-US"/>
    </w:rPr>
  </w:style>
  <w:style w:type="paragraph" w:styleId="Date">
    <w:name w:val="Date"/>
    <w:basedOn w:val="Normal"/>
    <w:next w:val="Normal"/>
    <w:link w:val="DateCar"/>
    <w:semiHidden/>
    <w:rsid w:val="009A68DF"/>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9A68DF"/>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9A68DF"/>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9A68DF"/>
    <w:rPr>
      <w:rFonts w:ascii="Times New Roman" w:hAnsi="Times New Roman" w:cs="Times New Roman"/>
      <w:sz w:val="20"/>
      <w:szCs w:val="20"/>
      <w:lang w:val="en-GB" w:eastAsia="en-US"/>
    </w:rPr>
  </w:style>
  <w:style w:type="character" w:styleId="Accentuation">
    <w:name w:val="Emphasis"/>
    <w:uiPriority w:val="20"/>
    <w:qFormat/>
    <w:rsid w:val="009A68DF"/>
    <w:rPr>
      <w:i/>
      <w:iCs/>
    </w:rPr>
  </w:style>
  <w:style w:type="paragraph" w:styleId="Adresseexpditeur">
    <w:name w:val="envelope return"/>
    <w:basedOn w:val="Normal"/>
    <w:semiHidden/>
    <w:rsid w:val="009A68DF"/>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9A68DF"/>
  </w:style>
  <w:style w:type="paragraph" w:styleId="AdresseHTML">
    <w:name w:val="HTML Address"/>
    <w:basedOn w:val="Normal"/>
    <w:link w:val="AdresseHTMLCar"/>
    <w:semiHidden/>
    <w:rsid w:val="009A68DF"/>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9A68DF"/>
    <w:rPr>
      <w:rFonts w:ascii="Times New Roman" w:hAnsi="Times New Roman" w:cs="Times New Roman"/>
      <w:i/>
      <w:iCs/>
      <w:sz w:val="20"/>
      <w:szCs w:val="20"/>
      <w:lang w:val="en-GB" w:eastAsia="en-US"/>
    </w:rPr>
  </w:style>
  <w:style w:type="character" w:styleId="CitationHTML">
    <w:name w:val="HTML Cite"/>
    <w:semiHidden/>
    <w:rsid w:val="009A68DF"/>
    <w:rPr>
      <w:i/>
      <w:iCs/>
    </w:rPr>
  </w:style>
  <w:style w:type="character" w:styleId="CodeHTML">
    <w:name w:val="HTML Code"/>
    <w:semiHidden/>
    <w:rsid w:val="009A68DF"/>
    <w:rPr>
      <w:rFonts w:ascii="Courier New" w:hAnsi="Courier New" w:cs="Courier New"/>
      <w:sz w:val="20"/>
      <w:szCs w:val="20"/>
    </w:rPr>
  </w:style>
  <w:style w:type="character" w:styleId="DfinitionHTML">
    <w:name w:val="HTML Definition"/>
    <w:semiHidden/>
    <w:rsid w:val="009A68DF"/>
    <w:rPr>
      <w:i/>
      <w:iCs/>
    </w:rPr>
  </w:style>
  <w:style w:type="character" w:styleId="ClavierHTML">
    <w:name w:val="HTML Keyboard"/>
    <w:semiHidden/>
    <w:rsid w:val="009A68DF"/>
    <w:rPr>
      <w:rFonts w:ascii="Courier New" w:hAnsi="Courier New" w:cs="Courier New"/>
      <w:sz w:val="20"/>
      <w:szCs w:val="20"/>
    </w:rPr>
  </w:style>
  <w:style w:type="paragraph" w:styleId="PrformatHTML">
    <w:name w:val="HTML Preformatted"/>
    <w:basedOn w:val="Normal"/>
    <w:link w:val="PrformatHTMLCar"/>
    <w:semiHidden/>
    <w:rsid w:val="009A68DF"/>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9A68DF"/>
    <w:rPr>
      <w:rFonts w:ascii="Courier New" w:hAnsi="Courier New" w:cs="Courier New"/>
      <w:sz w:val="20"/>
      <w:szCs w:val="20"/>
      <w:lang w:val="en-GB" w:eastAsia="en-US"/>
    </w:rPr>
  </w:style>
  <w:style w:type="character" w:styleId="ExempleHTML">
    <w:name w:val="HTML Sample"/>
    <w:semiHidden/>
    <w:rsid w:val="009A68DF"/>
    <w:rPr>
      <w:rFonts w:ascii="Courier New" w:hAnsi="Courier New" w:cs="Courier New"/>
    </w:rPr>
  </w:style>
  <w:style w:type="character" w:styleId="MachinecrireHTML">
    <w:name w:val="HTML Typewriter"/>
    <w:semiHidden/>
    <w:rsid w:val="009A68DF"/>
    <w:rPr>
      <w:rFonts w:ascii="Courier New" w:hAnsi="Courier New" w:cs="Courier New"/>
      <w:sz w:val="20"/>
      <w:szCs w:val="20"/>
    </w:rPr>
  </w:style>
  <w:style w:type="character" w:styleId="VariableHTML">
    <w:name w:val="HTML Variable"/>
    <w:semiHidden/>
    <w:rsid w:val="009A68DF"/>
    <w:rPr>
      <w:i/>
      <w:iCs/>
    </w:rPr>
  </w:style>
  <w:style w:type="paragraph" w:styleId="Liste">
    <w:name w:val="List"/>
    <w:basedOn w:val="Normal"/>
    <w:semiHidden/>
    <w:rsid w:val="009A68DF"/>
    <w:pPr>
      <w:kinsoku/>
      <w:overflowPunct/>
      <w:autoSpaceDE/>
      <w:autoSpaceDN/>
      <w:adjustRightInd/>
      <w:snapToGrid/>
      <w:ind w:left="283" w:hanging="283"/>
    </w:pPr>
    <w:rPr>
      <w:rFonts w:eastAsia="Times New Roman"/>
      <w:lang w:val="en-GB"/>
    </w:rPr>
  </w:style>
  <w:style w:type="paragraph" w:styleId="Liste2">
    <w:name w:val="List 2"/>
    <w:basedOn w:val="Normal"/>
    <w:semiHidden/>
    <w:rsid w:val="009A68DF"/>
    <w:pPr>
      <w:kinsoku/>
      <w:overflowPunct/>
      <w:autoSpaceDE/>
      <w:autoSpaceDN/>
      <w:adjustRightInd/>
      <w:snapToGrid/>
      <w:ind w:left="566" w:hanging="283"/>
    </w:pPr>
    <w:rPr>
      <w:rFonts w:eastAsia="Times New Roman"/>
      <w:lang w:val="en-GB"/>
    </w:rPr>
  </w:style>
  <w:style w:type="paragraph" w:styleId="Liste3">
    <w:name w:val="List 3"/>
    <w:basedOn w:val="Normal"/>
    <w:semiHidden/>
    <w:rsid w:val="009A68DF"/>
    <w:pPr>
      <w:kinsoku/>
      <w:overflowPunct/>
      <w:autoSpaceDE/>
      <w:autoSpaceDN/>
      <w:adjustRightInd/>
      <w:snapToGrid/>
      <w:ind w:left="849" w:hanging="283"/>
    </w:pPr>
    <w:rPr>
      <w:rFonts w:eastAsia="Times New Roman"/>
      <w:lang w:val="en-GB"/>
    </w:rPr>
  </w:style>
  <w:style w:type="paragraph" w:styleId="Liste4">
    <w:name w:val="List 4"/>
    <w:basedOn w:val="Normal"/>
    <w:semiHidden/>
    <w:rsid w:val="009A68DF"/>
    <w:pPr>
      <w:kinsoku/>
      <w:overflowPunct/>
      <w:autoSpaceDE/>
      <w:autoSpaceDN/>
      <w:adjustRightInd/>
      <w:snapToGrid/>
      <w:ind w:left="1132" w:hanging="283"/>
    </w:pPr>
    <w:rPr>
      <w:rFonts w:eastAsia="Times New Roman"/>
      <w:lang w:val="en-GB"/>
    </w:rPr>
  </w:style>
  <w:style w:type="paragraph" w:styleId="Liste5">
    <w:name w:val="List 5"/>
    <w:basedOn w:val="Normal"/>
    <w:semiHidden/>
    <w:rsid w:val="009A68DF"/>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9A68DF"/>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9A68DF"/>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9A68DF"/>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9A68DF"/>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9A68DF"/>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9A68DF"/>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9A68DF"/>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9A68DF"/>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9A68DF"/>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9A68DF"/>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9A68DF"/>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9A68DF"/>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9A68DF"/>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9A68DF"/>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9A68DF"/>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9A68D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9A68DF"/>
    <w:rPr>
      <w:rFonts w:ascii="Arial" w:hAnsi="Arial" w:cs="Arial"/>
      <w:sz w:val="24"/>
      <w:szCs w:val="24"/>
      <w:shd w:val="pct20" w:color="auto" w:fill="auto"/>
      <w:lang w:val="en-GB" w:eastAsia="en-US"/>
    </w:rPr>
  </w:style>
  <w:style w:type="paragraph" w:styleId="NormalWeb">
    <w:name w:val="Normal (Web)"/>
    <w:basedOn w:val="Normal"/>
    <w:uiPriority w:val="99"/>
    <w:rsid w:val="009A68DF"/>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9A68DF"/>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9A68DF"/>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9A68DF"/>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9A68DF"/>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9A68DF"/>
    <w:rPr>
      <w:rFonts w:ascii="Times New Roman" w:hAnsi="Times New Roman" w:cs="Times New Roman"/>
      <w:sz w:val="20"/>
      <w:szCs w:val="20"/>
      <w:lang w:val="en-GB" w:eastAsia="en-US"/>
    </w:rPr>
  </w:style>
  <w:style w:type="paragraph" w:styleId="Signature">
    <w:name w:val="Signature"/>
    <w:basedOn w:val="Normal"/>
    <w:link w:val="SignatureCar"/>
    <w:semiHidden/>
    <w:rsid w:val="009A68DF"/>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9A68DF"/>
    <w:rPr>
      <w:rFonts w:ascii="Times New Roman" w:hAnsi="Times New Roman" w:cs="Times New Roman"/>
      <w:sz w:val="20"/>
      <w:szCs w:val="20"/>
      <w:lang w:val="en-GB" w:eastAsia="en-US"/>
    </w:rPr>
  </w:style>
  <w:style w:type="character" w:styleId="lev">
    <w:name w:val="Strong"/>
    <w:qFormat/>
    <w:rsid w:val="009A68DF"/>
    <w:rPr>
      <w:b/>
      <w:bCs/>
    </w:rPr>
  </w:style>
  <w:style w:type="paragraph" w:styleId="Sous-titre">
    <w:name w:val="Subtitle"/>
    <w:basedOn w:val="Normal"/>
    <w:link w:val="Sous-titreCar"/>
    <w:qFormat/>
    <w:rsid w:val="009A68DF"/>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9A68DF"/>
    <w:rPr>
      <w:rFonts w:ascii="Arial" w:hAnsi="Arial" w:cs="Arial"/>
      <w:sz w:val="24"/>
      <w:szCs w:val="24"/>
      <w:lang w:val="en-GB" w:eastAsia="en-US"/>
    </w:rPr>
  </w:style>
  <w:style w:type="table" w:styleId="Effetsdetableau3D1">
    <w:name w:val="Table 3D effects 1"/>
    <w:basedOn w:val="TableauNormal"/>
    <w:semiHidden/>
    <w:rsid w:val="009A68DF"/>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A68DF"/>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A68DF"/>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A68D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A68DF"/>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A68D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A68DF"/>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A68DF"/>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9A68D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A68DF"/>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A68DF"/>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A68DF"/>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A68D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9A68DF"/>
    <w:rPr>
      <w:rFonts w:ascii="Arial" w:hAnsi="Arial" w:cs="Arial"/>
      <w:b/>
      <w:bCs/>
      <w:kern w:val="28"/>
      <w:sz w:val="32"/>
      <w:szCs w:val="32"/>
      <w:lang w:val="en-GB" w:eastAsia="en-US"/>
    </w:rPr>
  </w:style>
  <w:style w:type="paragraph" w:styleId="Adressedestinataire">
    <w:name w:val="envelope address"/>
    <w:basedOn w:val="Normal"/>
    <w:semiHidden/>
    <w:rsid w:val="009A68DF"/>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Objetducommentaire">
    <w:name w:val="annotation subject"/>
    <w:basedOn w:val="Commentaire"/>
    <w:next w:val="Commentaire"/>
    <w:link w:val="ObjetducommentaireCar"/>
    <w:rsid w:val="009A68DF"/>
    <w:rPr>
      <w:b/>
      <w:bCs/>
    </w:rPr>
  </w:style>
  <w:style w:type="character" w:customStyle="1" w:styleId="ObjetducommentaireCar">
    <w:name w:val="Objet du commentaire Car"/>
    <w:basedOn w:val="CommentaireCar"/>
    <w:link w:val="Objetducommentaire"/>
    <w:rsid w:val="009A68DF"/>
    <w:rPr>
      <w:rFonts w:ascii="Times New Roman" w:hAnsi="Times New Roman" w:cs="Times New Roman"/>
      <w:b/>
      <w:bCs/>
      <w:sz w:val="20"/>
      <w:szCs w:val="20"/>
      <w:lang w:val="en-GB" w:eastAsia="en-US"/>
    </w:rPr>
  </w:style>
  <w:style w:type="character" w:customStyle="1" w:styleId="H1GChar">
    <w:name w:val="_ H_1_G Char"/>
    <w:link w:val="H1G"/>
    <w:rsid w:val="009A68DF"/>
    <w:rPr>
      <w:rFonts w:ascii="Times New Roman" w:eastAsiaTheme="minorHAnsi" w:hAnsi="Times New Roman" w:cs="Times New Roman"/>
      <w:b/>
      <w:sz w:val="24"/>
      <w:szCs w:val="20"/>
      <w:lang w:eastAsia="en-US"/>
    </w:rPr>
  </w:style>
  <w:style w:type="paragraph" w:styleId="TM1">
    <w:name w:val="toc 1"/>
    <w:basedOn w:val="Normal"/>
    <w:next w:val="Normal"/>
    <w:autoRedefine/>
    <w:uiPriority w:val="39"/>
    <w:qFormat/>
    <w:rsid w:val="009A68DF"/>
    <w:pPr>
      <w:kinsoku/>
      <w:overflowPunct/>
      <w:autoSpaceDE/>
      <w:autoSpaceDN/>
      <w:adjustRightInd/>
      <w:snapToGrid/>
    </w:pPr>
    <w:rPr>
      <w:rFonts w:eastAsia="Times New Roman"/>
      <w:lang w:val="en-GB"/>
    </w:rPr>
  </w:style>
  <w:style w:type="paragraph" w:styleId="TM2">
    <w:name w:val="toc 2"/>
    <w:basedOn w:val="Normal"/>
    <w:next w:val="Normal"/>
    <w:autoRedefine/>
    <w:uiPriority w:val="39"/>
    <w:qFormat/>
    <w:rsid w:val="009A68DF"/>
    <w:pPr>
      <w:kinsoku/>
      <w:overflowPunct/>
      <w:autoSpaceDE/>
      <w:autoSpaceDN/>
      <w:adjustRightInd/>
      <w:snapToGrid/>
      <w:ind w:left="200"/>
    </w:pPr>
    <w:rPr>
      <w:rFonts w:eastAsia="Times New Roman"/>
      <w:lang w:val="en-GB"/>
    </w:rPr>
  </w:style>
  <w:style w:type="paragraph" w:styleId="TM3">
    <w:name w:val="toc 3"/>
    <w:basedOn w:val="Normal"/>
    <w:next w:val="Normal"/>
    <w:autoRedefine/>
    <w:uiPriority w:val="39"/>
    <w:qFormat/>
    <w:rsid w:val="009A68DF"/>
    <w:pPr>
      <w:kinsoku/>
      <w:overflowPunct/>
      <w:autoSpaceDE/>
      <w:autoSpaceDN/>
      <w:adjustRightInd/>
      <w:snapToGrid/>
      <w:ind w:left="400"/>
    </w:pPr>
    <w:rPr>
      <w:rFonts w:eastAsia="Times New Roman"/>
      <w:lang w:val="en-GB"/>
    </w:rPr>
  </w:style>
  <w:style w:type="paragraph" w:styleId="En-ttedetabledesmatires">
    <w:name w:val="TOC Heading"/>
    <w:basedOn w:val="Titre1"/>
    <w:next w:val="Normal"/>
    <w:uiPriority w:val="39"/>
    <w:qFormat/>
    <w:rsid w:val="009A68DF"/>
    <w:pPr>
      <w:numPr>
        <w:numId w:val="0"/>
      </w:numPr>
      <w:suppressAutoHyphens w:val="0"/>
      <w:kinsoku/>
      <w:overflowPunct/>
      <w:autoSpaceDE/>
      <w:autoSpaceDN/>
      <w:adjustRightInd/>
      <w:snapToGrid/>
      <w:spacing w:before="480" w:line="276" w:lineRule="auto"/>
      <w:outlineLvl w:val="9"/>
    </w:pPr>
    <w:rPr>
      <w:rFonts w:ascii="Cambria" w:eastAsia="MS Gothic" w:hAnsi="Cambria"/>
      <w:b/>
      <w:bCs/>
      <w:color w:val="365F91"/>
      <w:sz w:val="28"/>
      <w:szCs w:val="28"/>
      <w:lang w:val="en-US" w:eastAsia="ja-JP"/>
    </w:rPr>
  </w:style>
  <w:style w:type="paragraph" w:styleId="TM4">
    <w:name w:val="toc 4"/>
    <w:basedOn w:val="Normal"/>
    <w:next w:val="Normal"/>
    <w:autoRedefine/>
    <w:uiPriority w:val="39"/>
    <w:unhideWhenUsed/>
    <w:rsid w:val="009A68DF"/>
    <w:pPr>
      <w:suppressAutoHyphens w:val="0"/>
      <w:kinsoku/>
      <w:overflowPunct/>
      <w:autoSpaceDE/>
      <w:autoSpaceDN/>
      <w:adjustRightInd/>
      <w:snapToGrid/>
      <w:spacing w:after="100" w:line="276" w:lineRule="auto"/>
      <w:ind w:left="660"/>
    </w:pPr>
    <w:rPr>
      <w:rFonts w:ascii="Calibri" w:eastAsia="Times New Roman" w:hAnsi="Calibri"/>
      <w:sz w:val="22"/>
      <w:szCs w:val="22"/>
      <w:lang w:val="en-GB" w:eastAsia="en-GB"/>
    </w:rPr>
  </w:style>
  <w:style w:type="paragraph" w:styleId="TM5">
    <w:name w:val="toc 5"/>
    <w:basedOn w:val="Normal"/>
    <w:next w:val="Normal"/>
    <w:autoRedefine/>
    <w:uiPriority w:val="39"/>
    <w:unhideWhenUsed/>
    <w:rsid w:val="009A68DF"/>
    <w:pPr>
      <w:suppressAutoHyphens w:val="0"/>
      <w:kinsoku/>
      <w:overflowPunct/>
      <w:autoSpaceDE/>
      <w:autoSpaceDN/>
      <w:adjustRightInd/>
      <w:snapToGrid/>
      <w:spacing w:after="100" w:line="276" w:lineRule="auto"/>
      <w:ind w:left="880"/>
    </w:pPr>
    <w:rPr>
      <w:rFonts w:ascii="Calibri" w:eastAsia="Times New Roman" w:hAnsi="Calibri"/>
      <w:sz w:val="22"/>
      <w:szCs w:val="22"/>
      <w:lang w:val="en-GB" w:eastAsia="en-GB"/>
    </w:rPr>
  </w:style>
  <w:style w:type="paragraph" w:styleId="TM6">
    <w:name w:val="toc 6"/>
    <w:basedOn w:val="Normal"/>
    <w:next w:val="Normal"/>
    <w:autoRedefine/>
    <w:uiPriority w:val="39"/>
    <w:unhideWhenUsed/>
    <w:rsid w:val="009A68DF"/>
    <w:pPr>
      <w:suppressAutoHyphens w:val="0"/>
      <w:kinsoku/>
      <w:overflowPunct/>
      <w:autoSpaceDE/>
      <w:autoSpaceDN/>
      <w:adjustRightInd/>
      <w:snapToGrid/>
      <w:spacing w:after="100" w:line="276" w:lineRule="auto"/>
      <w:ind w:left="1100"/>
    </w:pPr>
    <w:rPr>
      <w:rFonts w:ascii="Calibri" w:eastAsia="Times New Roman" w:hAnsi="Calibri"/>
      <w:sz w:val="22"/>
      <w:szCs w:val="22"/>
      <w:lang w:val="en-GB" w:eastAsia="en-GB"/>
    </w:rPr>
  </w:style>
  <w:style w:type="paragraph" w:styleId="TM7">
    <w:name w:val="toc 7"/>
    <w:basedOn w:val="Normal"/>
    <w:next w:val="Normal"/>
    <w:autoRedefine/>
    <w:uiPriority w:val="39"/>
    <w:unhideWhenUsed/>
    <w:rsid w:val="009A68DF"/>
    <w:pPr>
      <w:suppressAutoHyphens w:val="0"/>
      <w:kinsoku/>
      <w:overflowPunct/>
      <w:autoSpaceDE/>
      <w:autoSpaceDN/>
      <w:adjustRightInd/>
      <w:snapToGrid/>
      <w:spacing w:after="100" w:line="276" w:lineRule="auto"/>
      <w:ind w:left="1320"/>
    </w:pPr>
    <w:rPr>
      <w:rFonts w:ascii="Calibri" w:eastAsia="Times New Roman" w:hAnsi="Calibri"/>
      <w:sz w:val="22"/>
      <w:szCs w:val="22"/>
      <w:lang w:val="en-GB" w:eastAsia="en-GB"/>
    </w:rPr>
  </w:style>
  <w:style w:type="paragraph" w:styleId="TM8">
    <w:name w:val="toc 8"/>
    <w:basedOn w:val="Normal"/>
    <w:next w:val="Normal"/>
    <w:autoRedefine/>
    <w:uiPriority w:val="39"/>
    <w:unhideWhenUsed/>
    <w:rsid w:val="009A68DF"/>
    <w:pPr>
      <w:suppressAutoHyphens w:val="0"/>
      <w:kinsoku/>
      <w:overflowPunct/>
      <w:autoSpaceDE/>
      <w:autoSpaceDN/>
      <w:adjustRightInd/>
      <w:snapToGrid/>
      <w:spacing w:after="100" w:line="276" w:lineRule="auto"/>
      <w:ind w:left="1540"/>
    </w:pPr>
    <w:rPr>
      <w:rFonts w:ascii="Calibri" w:eastAsia="Times New Roman" w:hAnsi="Calibri"/>
      <w:sz w:val="22"/>
      <w:szCs w:val="22"/>
      <w:lang w:val="en-GB" w:eastAsia="en-GB"/>
    </w:rPr>
  </w:style>
  <w:style w:type="paragraph" w:styleId="TM9">
    <w:name w:val="toc 9"/>
    <w:basedOn w:val="Normal"/>
    <w:next w:val="Normal"/>
    <w:autoRedefine/>
    <w:uiPriority w:val="39"/>
    <w:unhideWhenUsed/>
    <w:rsid w:val="009A68DF"/>
    <w:pPr>
      <w:suppressAutoHyphens w:val="0"/>
      <w:kinsoku/>
      <w:overflowPunct/>
      <w:autoSpaceDE/>
      <w:autoSpaceDN/>
      <w:adjustRightInd/>
      <w:snapToGrid/>
      <w:spacing w:after="100" w:line="276" w:lineRule="auto"/>
      <w:ind w:left="1760"/>
    </w:pPr>
    <w:rPr>
      <w:rFonts w:ascii="Calibri" w:eastAsia="Times New Roman" w:hAnsi="Calibri"/>
      <w:sz w:val="22"/>
      <w:szCs w:val="22"/>
      <w:lang w:val="en-GB" w:eastAsia="en-GB"/>
    </w:rPr>
  </w:style>
  <w:style w:type="paragraph" w:styleId="Rvision">
    <w:name w:val="Revision"/>
    <w:hidden/>
    <w:uiPriority w:val="99"/>
    <w:semiHidden/>
    <w:rsid w:val="009A68DF"/>
    <w:pPr>
      <w:spacing w:after="0" w:line="240" w:lineRule="auto"/>
    </w:pPr>
    <w:rPr>
      <w:rFonts w:ascii="Times New Roman" w:hAnsi="Times New Roman" w:cs="Times New Roman"/>
      <w:sz w:val="20"/>
      <w:szCs w:val="20"/>
      <w:lang w:val="en-GB" w:eastAsia="en-US"/>
    </w:rPr>
  </w:style>
  <w:style w:type="character" w:customStyle="1" w:styleId="FootnoteTextChar1">
    <w:name w:val="Footnote Text Char1"/>
    <w:aliases w:val="5_G Char1,PP Char"/>
    <w:semiHidden/>
    <w:rsid w:val="009A68DF"/>
    <w:rPr>
      <w:sz w:val="18"/>
      <w:lang w:val="en-GB" w:eastAsia="en-US" w:bidi="ar-SA"/>
    </w:rPr>
  </w:style>
  <w:style w:type="character" w:customStyle="1" w:styleId="SingleTxtGChar1">
    <w:name w:val="_ Single Txt_G Char1"/>
    <w:rsid w:val="009A68DF"/>
    <w:rPr>
      <w:lang w:val="en-GB" w:eastAsia="en-US" w:bidi="ar-SA"/>
    </w:rPr>
  </w:style>
  <w:style w:type="paragraph" w:customStyle="1" w:styleId="para">
    <w:name w:val="para"/>
    <w:basedOn w:val="Normal"/>
    <w:link w:val="paraChar"/>
    <w:qFormat/>
    <w:rsid w:val="009A68DF"/>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A68DF"/>
    <w:rPr>
      <w:rFonts w:ascii="Times New Roman" w:hAnsi="Times New Roman" w:cs="Times New Roman"/>
      <w:sz w:val="20"/>
      <w:szCs w:val="20"/>
      <w:lang w:val="en-GB" w:eastAsia="en-US"/>
    </w:rPr>
  </w:style>
  <w:style w:type="paragraph" w:styleId="Paragraphedeliste">
    <w:name w:val="List Paragraph"/>
    <w:basedOn w:val="Normal"/>
    <w:uiPriority w:val="34"/>
    <w:qFormat/>
    <w:rsid w:val="009A68DF"/>
    <w:pPr>
      <w:suppressAutoHyphens w:val="0"/>
      <w:kinsoku/>
      <w:overflowPunct/>
      <w:autoSpaceDE/>
      <w:autoSpaceDN/>
      <w:adjustRightInd/>
      <w:snapToGrid/>
      <w:spacing w:line="240" w:lineRule="auto"/>
    </w:pPr>
    <w:rPr>
      <w:rFonts w:eastAsia="Calibri"/>
      <w:sz w:val="24"/>
      <w:szCs w:val="24"/>
      <w:lang w:val="fr-FR" w:eastAsia="fr-FR"/>
    </w:rPr>
  </w:style>
  <w:style w:type="paragraph" w:customStyle="1" w:styleId="PointDouble0">
    <w:name w:val="PointDouble 0"/>
    <w:basedOn w:val="Normal"/>
    <w:rsid w:val="009A68DF"/>
    <w:pPr>
      <w:tabs>
        <w:tab w:val="left" w:pos="850"/>
      </w:tabs>
      <w:suppressAutoHyphens w:val="0"/>
      <w:kinsoku/>
      <w:overflowPunct/>
      <w:autoSpaceDE/>
      <w:autoSpaceDN/>
      <w:adjustRightInd/>
      <w:snapToGrid/>
      <w:spacing w:before="120" w:after="120" w:line="240" w:lineRule="auto"/>
      <w:ind w:left="1417" w:right="113" w:hanging="1417"/>
      <w:jc w:val="both"/>
    </w:pPr>
    <w:rPr>
      <w:rFonts w:eastAsia="MS Mincho"/>
      <w:sz w:val="24"/>
      <w:lang w:val="en-GB" w:eastAsia="en-GB"/>
    </w:rPr>
  </w:style>
  <w:style w:type="paragraph" w:customStyle="1" w:styleId="TABFIGfootnote">
    <w:name w:val="TAB_FIG_footnote"/>
    <w:basedOn w:val="Notedebasdepage"/>
    <w:rsid w:val="009A68DF"/>
    <w:pPr>
      <w:tabs>
        <w:tab w:val="clear" w:pos="1021"/>
        <w:tab w:val="left" w:pos="284"/>
      </w:tabs>
      <w:suppressAutoHyphens w:val="0"/>
      <w:kinsoku/>
      <w:overflowPunct/>
      <w:autoSpaceDE/>
      <w:autoSpaceDN/>
      <w:adjustRightInd/>
      <w:spacing w:before="60" w:after="60" w:line="240" w:lineRule="auto"/>
      <w:ind w:left="284" w:right="0" w:hanging="284"/>
      <w:jc w:val="both"/>
    </w:pPr>
    <w:rPr>
      <w:rFonts w:ascii="Arial" w:eastAsia="Times New Roman" w:hAnsi="Arial" w:cs="Arial"/>
      <w:spacing w:val="8"/>
      <w:sz w:val="16"/>
      <w:szCs w:val="16"/>
      <w:lang w:val="en-GB" w:eastAsia="zh-CN"/>
    </w:rPr>
  </w:style>
  <w:style w:type="paragraph" w:customStyle="1" w:styleId="CM3">
    <w:name w:val="CM3"/>
    <w:basedOn w:val="Normal"/>
    <w:next w:val="Normal"/>
    <w:uiPriority w:val="99"/>
    <w:rsid w:val="009A68DF"/>
    <w:pPr>
      <w:suppressAutoHyphens w:val="0"/>
      <w:kinsoku/>
      <w:overflowPunct/>
      <w:snapToGrid/>
      <w:spacing w:line="240" w:lineRule="auto"/>
    </w:pPr>
    <w:rPr>
      <w:rFonts w:ascii="EUAlbertina" w:eastAsia="SimSun" w:hAnsi="EUAlbertina"/>
      <w:sz w:val="24"/>
      <w:szCs w:val="24"/>
      <w:lang w:val="en-GB" w:eastAsia="zh-CN"/>
    </w:rPr>
  </w:style>
  <w:style w:type="paragraph" w:customStyle="1" w:styleId="a">
    <w:name w:val="a)"/>
    <w:basedOn w:val="para"/>
    <w:rsid w:val="009A68DF"/>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9A68DF"/>
    <w:pPr>
      <w:kinsoku/>
      <w:overflowPunct/>
      <w:autoSpaceDE/>
      <w:autoSpaceDN/>
      <w:adjustRightInd/>
      <w:snapToGrid/>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9A68DF"/>
    <w:rPr>
      <w:rFonts w:ascii="Times New Roman" w:hAnsi="Times New Roman" w:cs="Times New Roman"/>
      <w:sz w:val="20"/>
      <w:szCs w:val="20"/>
      <w:lang w:val="en-GB" w:eastAsia="en-US"/>
    </w:rPr>
  </w:style>
  <w:style w:type="paragraph" w:customStyle="1" w:styleId="Figurefootnote">
    <w:name w:val="Figure footnote"/>
    <w:basedOn w:val="Normal"/>
    <w:rsid w:val="009A68DF"/>
    <w:pPr>
      <w:keepNext/>
      <w:tabs>
        <w:tab w:val="left" w:pos="340"/>
      </w:tabs>
      <w:suppressAutoHyphens w:val="0"/>
      <w:kinsoku/>
      <w:overflowPunct/>
      <w:autoSpaceDE/>
      <w:autoSpaceDN/>
      <w:adjustRightInd/>
      <w:snapToGrid/>
      <w:spacing w:after="60" w:line="220" w:lineRule="atLeast"/>
      <w:jc w:val="both"/>
    </w:pPr>
    <w:rPr>
      <w:rFonts w:ascii="Arial" w:eastAsia="MS Mincho" w:hAnsi="Arial"/>
      <w:sz w:val="18"/>
      <w:lang w:val="en-GB" w:eastAsia="ja-JP"/>
    </w:rPr>
  </w:style>
  <w:style w:type="character" w:customStyle="1" w:styleId="UnresolvedMention1">
    <w:name w:val="Unresolved Mention1"/>
    <w:basedOn w:val="Policepardfaut"/>
    <w:uiPriority w:val="99"/>
    <w:semiHidden/>
    <w:unhideWhenUsed/>
    <w:rsid w:val="009A68DF"/>
    <w:rPr>
      <w:color w:val="605E5C"/>
      <w:shd w:val="clear" w:color="auto" w:fill="E1DFDD"/>
    </w:rPr>
  </w:style>
  <w:style w:type="character" w:styleId="Mentionnonrsolue">
    <w:name w:val="Unresolved Mention"/>
    <w:basedOn w:val="Policepardfaut"/>
    <w:uiPriority w:val="99"/>
    <w:semiHidden/>
    <w:unhideWhenUsed/>
    <w:rsid w:val="009A68DF"/>
    <w:rPr>
      <w:color w:val="605E5C"/>
      <w:shd w:val="clear" w:color="auto" w:fill="E1DFDD"/>
    </w:rPr>
  </w:style>
  <w:style w:type="paragraph" w:customStyle="1" w:styleId="Default">
    <w:name w:val="Default"/>
    <w:rsid w:val="009A68DF"/>
    <w:pPr>
      <w:autoSpaceDE w:val="0"/>
      <w:autoSpaceDN w:val="0"/>
      <w:adjustRightInd w:val="0"/>
      <w:spacing w:after="0" w:line="240" w:lineRule="auto"/>
    </w:pPr>
    <w:rPr>
      <w:rFonts w:ascii="LJLOIP+TimesNewRoman" w:hAnsi="LJLOIP+TimesNewRoman" w:cs="LJLOIP+TimesNew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transport/documents/2023/04/informal-documents/cema-proposal-draft-amendment-un-regulation-no-8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7184-EC73-410B-9FDC-59557766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15</Pages>
  <Words>5212</Words>
  <Characters>28927</Characters>
  <Application>Microsoft Office Word</Application>
  <DocSecurity>0</DocSecurity>
  <Lines>590</Lines>
  <Paragraphs>319</Paragraphs>
  <ScaleCrop>false</ScaleCrop>
  <HeadingPairs>
    <vt:vector size="2" baseType="variant">
      <vt:variant>
        <vt:lpstr>Titre</vt:lpstr>
      </vt:variant>
      <vt:variant>
        <vt:i4>1</vt:i4>
      </vt:variant>
    </vt:vector>
  </HeadingPairs>
  <TitlesOfParts>
    <vt:vector size="1" baseType="lpstr">
      <vt:lpstr>ECE/TRANS/WP.29/GRE/88</vt:lpstr>
    </vt:vector>
  </TitlesOfParts>
  <Company>DCM</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ECE/TRANS/WP.29/GRE/88</dc:title>
  <dc:subject/>
  <dc:creator>Sandrine CLERE</dc:creator>
  <cp:keywords/>
  <cp:lastModifiedBy>Sandrine Clere</cp:lastModifiedBy>
  <cp:revision>2</cp:revision>
  <cp:lastPrinted>2014-05-14T10:59:00Z</cp:lastPrinted>
  <dcterms:created xsi:type="dcterms:W3CDTF">2024-02-09T07:25:00Z</dcterms:created>
  <dcterms:modified xsi:type="dcterms:W3CDTF">2024-02-09T07:25:00Z</dcterms:modified>
</cp:coreProperties>
</file>