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A97810" w14:textId="77777777" w:rsidTr="00B20551">
        <w:trPr>
          <w:cantSplit/>
          <w:trHeight w:hRule="exact" w:val="851"/>
        </w:trPr>
        <w:tc>
          <w:tcPr>
            <w:tcW w:w="1276" w:type="dxa"/>
            <w:tcBorders>
              <w:bottom w:val="single" w:sz="4" w:space="0" w:color="auto"/>
            </w:tcBorders>
            <w:vAlign w:val="bottom"/>
          </w:tcPr>
          <w:p w14:paraId="11D3F405" w14:textId="517F4908" w:rsidR="009E6CB7" w:rsidRDefault="009E6CB7" w:rsidP="00B20551">
            <w:pPr>
              <w:spacing w:after="80"/>
            </w:pPr>
          </w:p>
        </w:tc>
        <w:tc>
          <w:tcPr>
            <w:tcW w:w="2268" w:type="dxa"/>
            <w:tcBorders>
              <w:bottom w:val="single" w:sz="4" w:space="0" w:color="auto"/>
            </w:tcBorders>
            <w:vAlign w:val="bottom"/>
          </w:tcPr>
          <w:p w14:paraId="0B451F5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CEFC14" w14:textId="05059360" w:rsidR="009E6CB7" w:rsidRPr="00D47EEA" w:rsidRDefault="00F67ABB" w:rsidP="00085CF0">
            <w:pPr>
              <w:jc w:val="right"/>
            </w:pPr>
            <w:r>
              <w:rPr>
                <w:sz w:val="40"/>
              </w:rPr>
              <w:t>ECE</w:t>
            </w:r>
            <w:r w:rsidR="00085CF0">
              <w:t>/</w:t>
            </w:r>
            <w:r>
              <w:t>TRANS</w:t>
            </w:r>
            <w:r w:rsidR="00085CF0">
              <w:t>/</w:t>
            </w:r>
            <w:r>
              <w:t>WP</w:t>
            </w:r>
            <w:r w:rsidR="00B803F5">
              <w:t>.</w:t>
            </w:r>
            <w:r>
              <w:t>15/</w:t>
            </w:r>
            <w:r w:rsidR="00085CF0">
              <w:t>AC.</w:t>
            </w:r>
            <w:r>
              <w:t>1</w:t>
            </w:r>
            <w:r w:rsidR="00085CF0">
              <w:t>/2024/7</w:t>
            </w:r>
          </w:p>
        </w:tc>
      </w:tr>
      <w:tr w:rsidR="009E6CB7" w14:paraId="38228F2C" w14:textId="77777777" w:rsidTr="00B20551">
        <w:trPr>
          <w:cantSplit/>
          <w:trHeight w:hRule="exact" w:val="2835"/>
        </w:trPr>
        <w:tc>
          <w:tcPr>
            <w:tcW w:w="1276" w:type="dxa"/>
            <w:tcBorders>
              <w:top w:val="single" w:sz="4" w:space="0" w:color="auto"/>
              <w:bottom w:val="single" w:sz="12" w:space="0" w:color="auto"/>
            </w:tcBorders>
          </w:tcPr>
          <w:p w14:paraId="206FCDC3" w14:textId="77777777" w:rsidR="009E6CB7" w:rsidRDefault="00686A48" w:rsidP="00B20551">
            <w:pPr>
              <w:spacing w:before="120"/>
            </w:pPr>
            <w:r>
              <w:rPr>
                <w:noProof/>
                <w:lang w:val="fr-CH" w:eastAsia="fr-CH"/>
              </w:rPr>
              <w:drawing>
                <wp:inline distT="0" distB="0" distL="0" distR="0" wp14:anchorId="1B5328DA" wp14:editId="605303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35846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FA81443" w14:textId="77777777" w:rsidR="009E6CB7" w:rsidRDefault="00085CF0" w:rsidP="00085CF0">
            <w:pPr>
              <w:spacing w:before="240" w:line="240" w:lineRule="exact"/>
            </w:pPr>
            <w:r>
              <w:t>Distr.: General</w:t>
            </w:r>
          </w:p>
          <w:p w14:paraId="1EEAAFB2" w14:textId="75BAA6FC" w:rsidR="00085CF0" w:rsidRDefault="00F4563F" w:rsidP="00085CF0">
            <w:pPr>
              <w:spacing w:line="240" w:lineRule="exact"/>
            </w:pPr>
            <w:r>
              <w:t>18</w:t>
            </w:r>
            <w:r w:rsidR="00085CF0">
              <w:t xml:space="preserve"> December 2023</w:t>
            </w:r>
          </w:p>
          <w:p w14:paraId="6B081E65" w14:textId="77777777" w:rsidR="00085CF0" w:rsidRDefault="00085CF0" w:rsidP="00085CF0">
            <w:pPr>
              <w:spacing w:line="240" w:lineRule="exact"/>
            </w:pPr>
          </w:p>
          <w:p w14:paraId="2C25906E" w14:textId="3182F6B0" w:rsidR="00085CF0" w:rsidRDefault="00085CF0" w:rsidP="00085CF0">
            <w:pPr>
              <w:spacing w:line="240" w:lineRule="exact"/>
            </w:pPr>
            <w:r>
              <w:t>Original: English</w:t>
            </w:r>
          </w:p>
        </w:tc>
      </w:tr>
    </w:tbl>
    <w:p w14:paraId="7AD91EB6" w14:textId="77777777" w:rsidR="00085CF0" w:rsidRPr="00960236" w:rsidRDefault="00085CF0" w:rsidP="00C411EB">
      <w:pPr>
        <w:spacing w:before="120"/>
        <w:rPr>
          <w:b/>
          <w:sz w:val="28"/>
          <w:szCs w:val="28"/>
        </w:rPr>
      </w:pPr>
      <w:r w:rsidRPr="00960236">
        <w:rPr>
          <w:b/>
          <w:sz w:val="28"/>
          <w:szCs w:val="28"/>
        </w:rPr>
        <w:t>Economic Commission for Europe</w:t>
      </w:r>
    </w:p>
    <w:p w14:paraId="767C2A38" w14:textId="77777777" w:rsidR="00085CF0" w:rsidRPr="00960236" w:rsidRDefault="00085CF0" w:rsidP="00C411EB">
      <w:pPr>
        <w:spacing w:before="120"/>
        <w:rPr>
          <w:sz w:val="28"/>
          <w:szCs w:val="28"/>
        </w:rPr>
      </w:pPr>
      <w:r w:rsidRPr="00960236">
        <w:rPr>
          <w:sz w:val="28"/>
          <w:szCs w:val="28"/>
        </w:rPr>
        <w:t>Inland Transport Committee</w:t>
      </w:r>
    </w:p>
    <w:p w14:paraId="146C9B29" w14:textId="77777777" w:rsidR="00085CF0" w:rsidRPr="00960236" w:rsidRDefault="00085CF0" w:rsidP="00C411EB">
      <w:pPr>
        <w:spacing w:before="120"/>
        <w:rPr>
          <w:b/>
          <w:sz w:val="24"/>
          <w:szCs w:val="24"/>
        </w:rPr>
      </w:pPr>
      <w:r w:rsidRPr="00960236">
        <w:rPr>
          <w:b/>
          <w:sz w:val="24"/>
          <w:szCs w:val="24"/>
        </w:rPr>
        <w:t>Working Party on the Transport of Dangerous Goods</w:t>
      </w:r>
    </w:p>
    <w:p w14:paraId="25892E44" w14:textId="77777777" w:rsidR="00085CF0" w:rsidRPr="00960236" w:rsidRDefault="00085CF0"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AC0AD4A" w14:textId="2916ADFD" w:rsidR="00085CF0" w:rsidRDefault="00937E26" w:rsidP="00C411EB">
      <w:r>
        <w:t>Bern</w:t>
      </w:r>
      <w:r w:rsidR="00085CF0">
        <w:t xml:space="preserve">, </w:t>
      </w:r>
      <w:r>
        <w:t>25-28 March 2024</w:t>
      </w:r>
    </w:p>
    <w:p w14:paraId="6CC4A767" w14:textId="043E69A2" w:rsidR="00085CF0" w:rsidRPr="00A6759F" w:rsidRDefault="00085CF0" w:rsidP="00C411EB">
      <w:r w:rsidRPr="00A6759F">
        <w:t xml:space="preserve">Item </w:t>
      </w:r>
      <w:r w:rsidR="00D40EB1" w:rsidRPr="00A6759F">
        <w:t>5</w:t>
      </w:r>
      <w:r w:rsidR="00A6759F" w:rsidRPr="00A6759F">
        <w:t>.(a)</w:t>
      </w:r>
      <w:r w:rsidRPr="00A6759F">
        <w:t xml:space="preserve"> of the provisional agenda</w:t>
      </w:r>
    </w:p>
    <w:p w14:paraId="2C2BEBB5" w14:textId="2BB2EFD4" w:rsidR="001C6663" w:rsidRPr="00A6759F" w:rsidRDefault="00095BE2" w:rsidP="00C411EB">
      <w:pPr>
        <w:rPr>
          <w:b/>
          <w:bCs/>
        </w:rPr>
      </w:pPr>
      <w:r w:rsidRPr="00A6759F">
        <w:rPr>
          <w:b/>
          <w:bCs/>
        </w:rPr>
        <w:t>Proposals for amendments to RID/ADR/</w:t>
      </w:r>
      <w:r w:rsidR="00A6759F" w:rsidRPr="00A6759F">
        <w:rPr>
          <w:b/>
          <w:bCs/>
        </w:rPr>
        <w:t>AND:</w:t>
      </w:r>
    </w:p>
    <w:p w14:paraId="55182C9C" w14:textId="3F214B42" w:rsidR="00A6759F" w:rsidRDefault="00A6759F" w:rsidP="00C411EB">
      <w:pPr>
        <w:rPr>
          <w:b/>
          <w:bCs/>
        </w:rPr>
      </w:pPr>
      <w:r w:rsidRPr="00A6759F">
        <w:rPr>
          <w:b/>
          <w:bCs/>
        </w:rPr>
        <w:t>Pending issues</w:t>
      </w:r>
    </w:p>
    <w:p w14:paraId="02DF0686" w14:textId="340C9D50" w:rsidR="004B7132" w:rsidRPr="00311CAA" w:rsidRDefault="0027126E" w:rsidP="00F3284C">
      <w:pPr>
        <w:pStyle w:val="HChG"/>
      </w:pPr>
      <w:r>
        <w:tab/>
      </w:r>
      <w:r>
        <w:tab/>
      </w:r>
      <w:r w:rsidR="004B7132" w:rsidRPr="00311CAA">
        <w:t xml:space="preserve">Paints and </w:t>
      </w:r>
      <w:r w:rsidR="00A6759F">
        <w:t>p</w:t>
      </w:r>
      <w:r w:rsidR="004B7132" w:rsidRPr="00311CAA">
        <w:t xml:space="preserve">rinting </w:t>
      </w:r>
      <w:r w:rsidR="00A6759F">
        <w:t>i</w:t>
      </w:r>
      <w:r w:rsidR="004B7132" w:rsidRPr="00311CAA">
        <w:t xml:space="preserve">nks </w:t>
      </w:r>
      <w:r w:rsidR="004B7132">
        <w:t xml:space="preserve">classified as </w:t>
      </w:r>
      <w:r w:rsidR="00D87D7B">
        <w:t>e</w:t>
      </w:r>
      <w:r w:rsidR="004B7132" w:rsidRPr="00311CAA">
        <w:t xml:space="preserve">nvironmentally </w:t>
      </w:r>
      <w:r w:rsidR="00D87D7B">
        <w:t>h</w:t>
      </w:r>
      <w:r w:rsidR="004B7132" w:rsidRPr="00311CAA">
        <w:t>azardous</w:t>
      </w:r>
      <w:r w:rsidR="004B7132">
        <w:t xml:space="preserve"> </w:t>
      </w:r>
      <w:r w:rsidR="00D87D7B">
        <w:t>m</w:t>
      </w:r>
      <w:r w:rsidR="004B7132">
        <w:t>ixtures (UN</w:t>
      </w:r>
      <w:r w:rsidR="00A6759F">
        <w:t> </w:t>
      </w:r>
      <w:r w:rsidR="004B7132">
        <w:t>3082</w:t>
      </w:r>
      <w:r w:rsidR="00D87D7B">
        <w:t xml:space="preserve"> of</w:t>
      </w:r>
      <w:r w:rsidR="004B7132">
        <w:t xml:space="preserve"> Class 9) and the requirements for performance tests related to packaging of small quantities</w:t>
      </w:r>
    </w:p>
    <w:p w14:paraId="410A030B" w14:textId="75FEEB25" w:rsidR="004B7132" w:rsidRPr="00FF4DF4" w:rsidRDefault="00596771" w:rsidP="00596771">
      <w:pPr>
        <w:pStyle w:val="H1G"/>
      </w:pPr>
      <w:r>
        <w:tab/>
      </w:r>
      <w:r>
        <w:tab/>
      </w:r>
      <w:r w:rsidR="00F3284C">
        <w:t>Sub</w:t>
      </w:r>
      <w:r w:rsidR="004B7132" w:rsidRPr="00FF4DF4">
        <w:t xml:space="preserve">mitted by </w:t>
      </w:r>
      <w:r w:rsidR="00A13125">
        <w:t>t</w:t>
      </w:r>
      <w:r w:rsidR="004B7132" w:rsidRPr="00FF4DF4">
        <w:rPr>
          <w:shd w:val="clear" w:color="auto" w:fill="FFFFFF"/>
        </w:rPr>
        <w:t>he European Council of the Paint, Printing Ink, and Artist’s Colours</w:t>
      </w:r>
      <w:r>
        <w:rPr>
          <w:shd w:val="clear" w:color="auto" w:fill="FFFFFF"/>
        </w:rPr>
        <w:t xml:space="preserve"> </w:t>
      </w:r>
      <w:r w:rsidR="004B7132" w:rsidRPr="00FF4DF4">
        <w:rPr>
          <w:shd w:val="clear" w:color="auto" w:fill="FFFFFF"/>
        </w:rPr>
        <w:t>Industry (CEPE)</w:t>
      </w:r>
      <w:r w:rsidR="00326F56" w:rsidRPr="008F63BB">
        <w:rPr>
          <w:rStyle w:val="FootnoteReference"/>
          <w:b w:val="0"/>
          <w:sz w:val="20"/>
        </w:rPr>
        <w:footnoteReference w:customMarkFollows="1" w:id="2"/>
        <w:t>*</w:t>
      </w:r>
      <w:r w:rsidR="00D62D90" w:rsidRPr="008F63BB">
        <w:rPr>
          <w:rStyle w:val="FootnoteReference"/>
          <w:b w:val="0"/>
          <w:sz w:val="20"/>
        </w:rPr>
        <w:t xml:space="preserve">, </w:t>
      </w:r>
      <w:r w:rsidR="00D62D90" w:rsidRPr="008F63BB">
        <w:rPr>
          <w:rStyle w:val="FootnoteReference"/>
          <w:b w:val="0"/>
          <w:sz w:val="20"/>
        </w:rPr>
        <w:footnoteReference w:customMarkFollows="1" w:id="3"/>
        <w:t>**</w:t>
      </w:r>
    </w:p>
    <w:p w14:paraId="382397F6" w14:textId="31EA4EF1" w:rsidR="004B7132" w:rsidRDefault="00596771" w:rsidP="00596771">
      <w:pPr>
        <w:pStyle w:val="HChG"/>
        <w:ind w:left="1215" w:hanging="855"/>
      </w:pPr>
      <w:r>
        <w:tab/>
        <w:t>I.</w:t>
      </w:r>
      <w:r>
        <w:tab/>
      </w:r>
      <w:r w:rsidR="004B7132" w:rsidRPr="00596771">
        <w:t>Introduction</w:t>
      </w:r>
    </w:p>
    <w:p w14:paraId="615EA58D" w14:textId="54BE7FF9" w:rsidR="004B7132" w:rsidRDefault="00596771" w:rsidP="00596771">
      <w:pPr>
        <w:pStyle w:val="SingleTxtG"/>
        <w:rPr>
          <w:lang w:eastAsia="en-GB"/>
        </w:rPr>
      </w:pPr>
      <w:r>
        <w:rPr>
          <w:bCs/>
          <w:lang w:eastAsia="en-GB"/>
        </w:rPr>
        <w:t>1.</w:t>
      </w:r>
      <w:r>
        <w:rPr>
          <w:bCs/>
          <w:lang w:eastAsia="en-GB"/>
        </w:rPr>
        <w:tab/>
      </w:r>
      <w:r w:rsidR="004B7132" w:rsidRPr="4C55A6CA">
        <w:rPr>
          <w:lang w:eastAsia="en-GB"/>
        </w:rPr>
        <w:t xml:space="preserve">As a result of a previous </w:t>
      </w:r>
      <w:r w:rsidR="00A754C0">
        <w:rPr>
          <w:lang w:eastAsia="en-GB"/>
        </w:rPr>
        <w:t xml:space="preserve">proposal by </w:t>
      </w:r>
      <w:r w:rsidR="004B7132" w:rsidRPr="4C55A6CA">
        <w:rPr>
          <w:lang w:eastAsia="en-GB"/>
        </w:rPr>
        <w:t xml:space="preserve">CEPE </w:t>
      </w:r>
      <w:r w:rsidR="00771C2D">
        <w:rPr>
          <w:lang w:eastAsia="en-GB"/>
        </w:rPr>
        <w:t>in Septem</w:t>
      </w:r>
      <w:r w:rsidR="00771C2D" w:rsidRPr="4C55A6CA">
        <w:rPr>
          <w:lang w:eastAsia="en-GB"/>
        </w:rPr>
        <w:t>ber</w:t>
      </w:r>
      <w:r w:rsidR="004B7132" w:rsidRPr="4C55A6CA">
        <w:rPr>
          <w:lang w:eastAsia="en-GB"/>
        </w:rPr>
        <w:t xml:space="preserve"> 2021 </w:t>
      </w:r>
      <w:r w:rsidR="00687E07">
        <w:rPr>
          <w:lang w:eastAsia="en-GB"/>
        </w:rPr>
        <w:t>(</w:t>
      </w:r>
      <w:r w:rsidR="00771C2D">
        <w:rPr>
          <w:lang w:eastAsia="en-GB"/>
        </w:rPr>
        <w:t xml:space="preserve">document </w:t>
      </w:r>
      <w:r w:rsidR="004B7132">
        <w:t>ECE/TRANS/WP.15/AC.1/2021/37</w:t>
      </w:r>
      <w:r w:rsidR="00577DF8">
        <w:t>, informal documents</w:t>
      </w:r>
      <w:r w:rsidR="004B7132">
        <w:t xml:space="preserve"> INF</w:t>
      </w:r>
      <w:r w:rsidR="00577DF8">
        <w:t>.</w:t>
      </w:r>
      <w:r w:rsidR="004B7132">
        <w:t>26</w:t>
      </w:r>
      <w:r w:rsidR="00577DF8">
        <w:t xml:space="preserve"> and</w:t>
      </w:r>
      <w:r w:rsidR="004B7132">
        <w:t xml:space="preserve"> </w:t>
      </w:r>
      <w:r w:rsidR="00577DF8">
        <w:t>INF.</w:t>
      </w:r>
      <w:r w:rsidR="004B7132">
        <w:t xml:space="preserve">46 (CEPE) </w:t>
      </w:r>
      <w:r w:rsidR="00687E07">
        <w:t>as well as informal document</w:t>
      </w:r>
      <w:r w:rsidR="004B7132">
        <w:t xml:space="preserve"> INF</w:t>
      </w:r>
      <w:r w:rsidR="00687E07">
        <w:t>.</w:t>
      </w:r>
      <w:r w:rsidR="004B7132">
        <w:t>37 from Norway</w:t>
      </w:r>
      <w:r w:rsidR="004B7132" w:rsidRPr="4C55A6CA">
        <w:rPr>
          <w:lang w:eastAsia="en-GB"/>
        </w:rPr>
        <w:t xml:space="preserve">), a transitional measure </w:t>
      </w:r>
      <w:r w:rsidR="004D7D93" w:rsidRPr="4C55A6CA">
        <w:rPr>
          <w:lang w:eastAsia="en-GB"/>
        </w:rPr>
        <w:t xml:space="preserve">was granted </w:t>
      </w:r>
      <w:r w:rsidR="004B7132" w:rsidRPr="4C55A6CA">
        <w:rPr>
          <w:lang w:eastAsia="en-GB"/>
        </w:rPr>
        <w:t xml:space="preserve">under </w:t>
      </w:r>
      <w:r w:rsidR="00373B2F">
        <w:rPr>
          <w:lang w:eastAsia="en-GB"/>
        </w:rPr>
        <w:t>RID/</w:t>
      </w:r>
      <w:r w:rsidR="004B7132" w:rsidRPr="4C55A6CA">
        <w:rPr>
          <w:lang w:eastAsia="en-GB"/>
        </w:rPr>
        <w:t xml:space="preserve">ADR </w:t>
      </w:r>
      <w:r w:rsidR="004B7132">
        <w:t>for an exemption to the requirement for performance testing of packaging for certain paint products of UN</w:t>
      </w:r>
      <w:r w:rsidR="00A8789C">
        <w:t> </w:t>
      </w:r>
      <w:r w:rsidR="004B7132">
        <w:t>3082</w:t>
      </w:r>
      <w:r w:rsidR="004B7132" w:rsidRPr="4C55A6CA">
        <w:rPr>
          <w:lang w:eastAsia="en-GB"/>
        </w:rPr>
        <w:t>. With the support of several members</w:t>
      </w:r>
      <w:r w:rsidR="00A8789C" w:rsidRPr="00A8789C">
        <w:rPr>
          <w:lang w:eastAsia="en-GB"/>
        </w:rPr>
        <w:t xml:space="preserve"> </w:t>
      </w:r>
      <w:r w:rsidR="00B7697E">
        <w:rPr>
          <w:lang w:eastAsia="en-GB"/>
        </w:rPr>
        <w:t>of the Working Party on Dangerous Goods (</w:t>
      </w:r>
      <w:r w:rsidR="00A8789C" w:rsidRPr="4C55A6CA">
        <w:rPr>
          <w:lang w:eastAsia="en-GB"/>
        </w:rPr>
        <w:t>WP</w:t>
      </w:r>
      <w:r w:rsidR="00A8789C">
        <w:rPr>
          <w:lang w:eastAsia="en-GB"/>
        </w:rPr>
        <w:t>.</w:t>
      </w:r>
      <w:r w:rsidR="00A8789C" w:rsidRPr="4C55A6CA">
        <w:rPr>
          <w:lang w:eastAsia="en-GB"/>
        </w:rPr>
        <w:t>15</w:t>
      </w:r>
      <w:r w:rsidR="00B7697E">
        <w:rPr>
          <w:lang w:eastAsia="en-GB"/>
        </w:rPr>
        <w:t>)</w:t>
      </w:r>
      <w:r w:rsidR="004B7132" w:rsidRPr="4C55A6CA">
        <w:rPr>
          <w:lang w:eastAsia="en-GB"/>
        </w:rPr>
        <w:t xml:space="preserve">, the Multilateral Agreement M343 proposed by Norway was introduced, </w:t>
      </w:r>
      <w:r w:rsidR="004B7132">
        <w:t xml:space="preserve">valid from 18 October 2021 until 30 June 2023. Subsequently, 1.6.1.51 was inserted into </w:t>
      </w:r>
      <w:r w:rsidR="002510B7">
        <w:t>RID/</w:t>
      </w:r>
      <w:r w:rsidR="004B7132">
        <w:t>ADR 2023, and currently remains valid until 30 June 2025.</w:t>
      </w:r>
    </w:p>
    <w:p w14:paraId="74C35A31" w14:textId="1078D97F" w:rsidR="004B7132" w:rsidRPr="00596771" w:rsidRDefault="00596771" w:rsidP="00596771">
      <w:pPr>
        <w:pStyle w:val="SingleTxtG"/>
        <w:rPr>
          <w:lang w:eastAsia="en-GB"/>
        </w:rPr>
      </w:pPr>
      <w:r>
        <w:rPr>
          <w:bCs/>
          <w:lang w:eastAsia="en-GB"/>
        </w:rPr>
        <w:t>2.</w:t>
      </w:r>
      <w:r>
        <w:rPr>
          <w:bCs/>
          <w:lang w:eastAsia="en-GB"/>
        </w:rPr>
        <w:tab/>
      </w:r>
      <w:r w:rsidR="004B7132">
        <w:t xml:space="preserve">The current transitional measure specifically mentions three preservatives whose reclassification under the </w:t>
      </w:r>
      <w:r w:rsidR="00597A43">
        <w:rPr>
          <w:rStyle w:val="d9fyld"/>
          <w:lang w:val="en"/>
        </w:rPr>
        <w:t xml:space="preserve">Fifteenth Adaptation to Technical Progress </w:t>
      </w:r>
      <w:r w:rsidR="00295B4E">
        <w:rPr>
          <w:rStyle w:val="d9fyld"/>
          <w:lang w:val="en"/>
        </w:rPr>
        <w:t xml:space="preserve">(ATP) </w:t>
      </w:r>
      <w:r w:rsidR="00B57A61">
        <w:t xml:space="preserve">of the </w:t>
      </w:r>
      <w:r w:rsidR="006F4D25">
        <w:t xml:space="preserve">EU Regulation on </w:t>
      </w:r>
      <w:r w:rsidR="00B57A61">
        <w:t>Classification, Labelling and Packaging of substances</w:t>
      </w:r>
      <w:r w:rsidR="006F4D25">
        <w:t xml:space="preserve"> (CLP</w:t>
      </w:r>
      <w:r w:rsidR="00B57A61">
        <w:t xml:space="preserve">) </w:t>
      </w:r>
      <w:r w:rsidR="004B7132">
        <w:t>(application date</w:t>
      </w:r>
      <w:r w:rsidR="00881ED0">
        <w:t xml:space="preserve"> 1 </w:t>
      </w:r>
      <w:r w:rsidR="004B7132">
        <w:t xml:space="preserve">March 2022) led to the identification of certain water-based paints and printing inks as </w:t>
      </w:r>
      <w:r w:rsidR="002510B7">
        <w:t>e</w:t>
      </w:r>
      <w:r w:rsidR="004B7132">
        <w:t xml:space="preserve">nvironmentally </w:t>
      </w:r>
      <w:r w:rsidR="002510B7">
        <w:t>h</w:t>
      </w:r>
      <w:r w:rsidR="004B7132">
        <w:t xml:space="preserve">azardous (Class 9) mixtures (primarily due to the high ‘M-factors’ allocated to these substances). Preservatives are essential for the correct functioning and stabilisation of paints and printing inks, in particular to avoid spoilage of product due to contamination or during storage. Substitution of these preservatives is very difficult to impossible </w:t>
      </w:r>
      <w:r w:rsidR="002510B7">
        <w:t>as the</w:t>
      </w:r>
      <w:r w:rsidR="004B7132">
        <w:t xml:space="preserve"> industry is not able to identify alternatives that would match the technical performance. Additional (re-)classifications of highly toxic substances under CLP are now </w:t>
      </w:r>
      <w:r w:rsidR="004B7132">
        <w:lastRenderedPageBreak/>
        <w:t>foreseen which will result in further mixtures falling into this Class 9 situation, even though they contain very low levels (e.g. &lt;</w:t>
      </w:r>
      <w:r w:rsidR="009810AA">
        <w:t> </w:t>
      </w:r>
      <w:r w:rsidR="004B7132">
        <w:t>0.025%) of the substances in question. This includes consideration of the M-</w:t>
      </w:r>
      <w:r w:rsidR="004076D8">
        <w:t>f</w:t>
      </w:r>
      <w:r w:rsidR="004B7132">
        <w:t xml:space="preserve">actors that are applied to the hazard classifications for e.g. preservatives (please refer to </w:t>
      </w:r>
      <w:r w:rsidR="002853A7">
        <w:t xml:space="preserve">the </w:t>
      </w:r>
      <w:r w:rsidR="004B7132">
        <w:t>Annex for further information on M-</w:t>
      </w:r>
      <w:r w:rsidR="004076D8">
        <w:t>f</w:t>
      </w:r>
      <w:r w:rsidR="004B7132">
        <w:t>actors).</w:t>
      </w:r>
    </w:p>
    <w:p w14:paraId="7FE221BC" w14:textId="133FE641" w:rsidR="004B7132" w:rsidRDefault="00596771" w:rsidP="00596771">
      <w:pPr>
        <w:pStyle w:val="SingleTxtG"/>
        <w:rPr>
          <w:lang w:eastAsia="en-GB"/>
        </w:rPr>
      </w:pPr>
      <w:r w:rsidRPr="0088242A">
        <w:rPr>
          <w:bCs/>
          <w:lang w:eastAsia="en-GB"/>
        </w:rPr>
        <w:t>3.</w:t>
      </w:r>
      <w:r w:rsidRPr="0088242A">
        <w:rPr>
          <w:bCs/>
          <w:lang w:eastAsia="en-GB"/>
        </w:rPr>
        <w:tab/>
      </w:r>
      <w:r w:rsidR="004B7132" w:rsidRPr="4C55A6CA">
        <w:rPr>
          <w:lang w:val="en-US" w:eastAsia="en-GB"/>
        </w:rPr>
        <w:t>The continued absence of appropriate UN</w:t>
      </w:r>
      <w:r w:rsidR="00043D1C">
        <w:rPr>
          <w:lang w:val="en-US" w:eastAsia="en-GB"/>
        </w:rPr>
        <w:t>-</w:t>
      </w:r>
      <w:r w:rsidR="004B7132" w:rsidRPr="4C55A6CA">
        <w:rPr>
          <w:lang w:val="en-US" w:eastAsia="en-GB"/>
        </w:rPr>
        <w:t xml:space="preserve">approved plastic packaging required to carry these water-based paints and printing inks in quantities between 5 and 30 </w:t>
      </w:r>
      <w:proofErr w:type="spellStart"/>
      <w:r w:rsidR="004B7132" w:rsidRPr="4C55A6CA">
        <w:rPr>
          <w:lang w:val="en-US" w:eastAsia="en-GB"/>
        </w:rPr>
        <w:t>litres</w:t>
      </w:r>
      <w:proofErr w:type="spellEnd"/>
      <w:r w:rsidR="004B7132" w:rsidRPr="4C55A6CA">
        <w:rPr>
          <w:lang w:val="en-US" w:eastAsia="en-GB"/>
        </w:rPr>
        <w:t xml:space="preserve"> presents a very challenging situation for the global </w:t>
      </w:r>
      <w:r w:rsidR="0036770B">
        <w:rPr>
          <w:lang w:val="en-US" w:eastAsia="en-GB"/>
        </w:rPr>
        <w:t>p</w:t>
      </w:r>
      <w:r w:rsidR="004B7132" w:rsidRPr="4C55A6CA">
        <w:rPr>
          <w:lang w:val="en-US" w:eastAsia="en-GB"/>
        </w:rPr>
        <w:t xml:space="preserve">aints and </w:t>
      </w:r>
      <w:r w:rsidR="0036770B">
        <w:rPr>
          <w:lang w:val="en-US" w:eastAsia="en-GB"/>
        </w:rPr>
        <w:t>p</w:t>
      </w:r>
      <w:r w:rsidR="004B7132" w:rsidRPr="4C55A6CA">
        <w:rPr>
          <w:lang w:val="en-US" w:eastAsia="en-GB"/>
        </w:rPr>
        <w:t xml:space="preserve">rinting </w:t>
      </w:r>
      <w:r w:rsidR="0036770B">
        <w:rPr>
          <w:lang w:val="en-US" w:eastAsia="en-GB"/>
        </w:rPr>
        <w:t>i</w:t>
      </w:r>
      <w:r w:rsidR="004B7132" w:rsidRPr="4C55A6CA">
        <w:rPr>
          <w:lang w:val="en-US" w:eastAsia="en-GB"/>
        </w:rPr>
        <w:t xml:space="preserve">nks sectors. There are specific essential requirements for the packaging of such products – in particular, the packaging must be able to be opened and safely resealed on multiple occasions, to allow tinting of water-based paints at point-of-sale locations (such as </w:t>
      </w:r>
      <w:r w:rsidR="002D6B6C">
        <w:rPr>
          <w:lang w:val="en-US" w:eastAsia="en-GB"/>
        </w:rPr>
        <w:t>do-it-yourself</w:t>
      </w:r>
      <w:r w:rsidR="004B7132" w:rsidRPr="4C55A6CA">
        <w:rPr>
          <w:lang w:val="en-US" w:eastAsia="en-GB"/>
        </w:rPr>
        <w:t xml:space="preserve"> stores) as well as repeated use of ink concentrates when preparing </w:t>
      </w:r>
      <w:r w:rsidR="00B04B13" w:rsidRPr="4C55A6CA">
        <w:rPr>
          <w:lang w:val="en-US" w:eastAsia="en-GB"/>
        </w:rPr>
        <w:t>color</w:t>
      </w:r>
      <w:r w:rsidR="004B7132" w:rsidRPr="4C55A6CA">
        <w:rPr>
          <w:lang w:val="en-US" w:eastAsia="en-GB"/>
        </w:rPr>
        <w:t xml:space="preserve">-matched finished inks for printing facilities. In addition, certain paint and ink products and technologies are not compatible with coated metal packaging </w:t>
      </w:r>
      <w:r w:rsidR="00E02A9B">
        <w:rPr>
          <w:lang w:val="en-US" w:eastAsia="en-GB"/>
        </w:rPr>
        <w:t>because</w:t>
      </w:r>
      <w:r w:rsidR="004B7132" w:rsidRPr="4C55A6CA">
        <w:rPr>
          <w:lang w:val="en-US" w:eastAsia="en-GB"/>
        </w:rPr>
        <w:t xml:space="preserve"> they can react, leading to </w:t>
      </w:r>
      <w:r w:rsidR="00B04B13" w:rsidRPr="4C55A6CA">
        <w:rPr>
          <w:lang w:val="en-US" w:eastAsia="en-GB"/>
        </w:rPr>
        <w:t>discoloration</w:t>
      </w:r>
      <w:r w:rsidR="004B7132" w:rsidRPr="4C55A6CA">
        <w:rPr>
          <w:lang w:val="en-US" w:eastAsia="en-GB"/>
        </w:rPr>
        <w:t>, more severe product tainting or potentially product decomposition (creating a hazardous situation).</w:t>
      </w:r>
    </w:p>
    <w:p w14:paraId="0F550786" w14:textId="6CBEF851" w:rsidR="004B7132" w:rsidRDefault="00596771" w:rsidP="00596771">
      <w:pPr>
        <w:pStyle w:val="SingleTxtG"/>
        <w:rPr>
          <w:lang w:eastAsia="en-GB"/>
        </w:rPr>
      </w:pPr>
      <w:r>
        <w:rPr>
          <w:bCs/>
          <w:lang w:eastAsia="en-GB"/>
        </w:rPr>
        <w:t>4.</w:t>
      </w:r>
      <w:r>
        <w:rPr>
          <w:bCs/>
          <w:lang w:eastAsia="en-GB"/>
        </w:rPr>
        <w:tab/>
      </w:r>
      <w:r w:rsidR="004B7132">
        <w:t xml:space="preserve">CEPE is now requesting a modification and extension to the current </w:t>
      </w:r>
      <w:r w:rsidR="0083291A">
        <w:t>RID/</w:t>
      </w:r>
      <w:r w:rsidR="004B7132">
        <w:t>ADR transitional measure to address the continuing challenging situation – a lack of appropriate UN-approved plastic packaging and the need to address further substance harmonised (re-) classifications under the CLP legislation.</w:t>
      </w:r>
    </w:p>
    <w:p w14:paraId="26580355" w14:textId="2E88C072" w:rsidR="004B7132" w:rsidRDefault="00596771" w:rsidP="00596771">
      <w:pPr>
        <w:pStyle w:val="SingleTxtG"/>
        <w:rPr>
          <w:lang w:eastAsia="en-GB"/>
        </w:rPr>
      </w:pPr>
      <w:r>
        <w:rPr>
          <w:bCs/>
          <w:lang w:eastAsia="en-GB"/>
        </w:rPr>
        <w:t>5.</w:t>
      </w:r>
      <w:r>
        <w:rPr>
          <w:bCs/>
          <w:lang w:eastAsia="en-GB"/>
        </w:rPr>
        <w:tab/>
      </w:r>
      <w:r w:rsidR="004B7132">
        <w:t xml:space="preserve">CEPE wishes to </w:t>
      </w:r>
      <w:r w:rsidR="00BB70A6">
        <w:t xml:space="preserve">also </w:t>
      </w:r>
      <w:r w:rsidR="004B7132">
        <w:t xml:space="preserve">align this situation under </w:t>
      </w:r>
      <w:r w:rsidR="0083291A">
        <w:t>RID/</w:t>
      </w:r>
      <w:r w:rsidR="004B7132">
        <w:t xml:space="preserve">ADR with the ongoing efforts at </w:t>
      </w:r>
      <w:r w:rsidR="00834CD5">
        <w:t xml:space="preserve">the level of the </w:t>
      </w:r>
      <w:r w:rsidR="004B7132">
        <w:t xml:space="preserve">UN </w:t>
      </w:r>
      <w:r w:rsidR="001A3AA2">
        <w:t xml:space="preserve">Sub-Committee of </w:t>
      </w:r>
      <w:r w:rsidR="00834CD5">
        <w:t>E</w:t>
      </w:r>
      <w:r w:rsidR="001A3AA2">
        <w:t>xpert</w:t>
      </w:r>
      <w:r w:rsidR="0083291A">
        <w:t>s</w:t>
      </w:r>
      <w:r w:rsidR="001A3AA2">
        <w:t xml:space="preserve"> on the </w:t>
      </w:r>
      <w:r w:rsidR="00834CD5">
        <w:t>T</w:t>
      </w:r>
      <w:r w:rsidR="001A3AA2">
        <w:t xml:space="preserve">ransport of </w:t>
      </w:r>
      <w:r w:rsidR="00834CD5">
        <w:t>Dangerous</w:t>
      </w:r>
      <w:r w:rsidR="001A3AA2">
        <w:t xml:space="preserve"> </w:t>
      </w:r>
      <w:r w:rsidR="00834CD5">
        <w:t>G</w:t>
      </w:r>
      <w:r w:rsidR="001A3AA2">
        <w:t>oods</w:t>
      </w:r>
      <w:r w:rsidR="004B7132">
        <w:t xml:space="preserve">. The World Coatings Council (WCC) has addressed this same issue through a series of proposals submitted to the last four sessions of the </w:t>
      </w:r>
      <w:r w:rsidR="0099225F">
        <w:t>Sub-</w:t>
      </w:r>
      <w:r w:rsidR="00510377">
        <w:t>Committee</w:t>
      </w:r>
      <w:r w:rsidR="004B7132">
        <w:t xml:space="preserve"> (</w:t>
      </w:r>
      <w:r w:rsidR="00510377">
        <w:t xml:space="preserve">documents </w:t>
      </w:r>
      <w:r w:rsidR="004B7132" w:rsidRPr="4C55A6CA">
        <w:rPr>
          <w:lang w:val="en-US"/>
        </w:rPr>
        <w:t>ST/SG/AC.10/C.3/2022/22</w:t>
      </w:r>
      <w:r w:rsidR="00276DA3">
        <w:rPr>
          <w:lang w:val="en-US"/>
        </w:rPr>
        <w:t xml:space="preserve"> and</w:t>
      </w:r>
      <w:r w:rsidR="004B7132" w:rsidRPr="4C55A6CA">
        <w:rPr>
          <w:lang w:val="en-US"/>
        </w:rPr>
        <w:t xml:space="preserve"> ST/SG/AC.10/C.3/2022/56</w:t>
      </w:r>
      <w:r w:rsidR="00276DA3">
        <w:rPr>
          <w:lang w:val="en-US"/>
        </w:rPr>
        <w:t xml:space="preserve"> and informal documents</w:t>
      </w:r>
      <w:r w:rsidR="004B7132" w:rsidRPr="4C55A6CA">
        <w:rPr>
          <w:lang w:val="en-US"/>
        </w:rPr>
        <w:t xml:space="preserve"> </w:t>
      </w:r>
      <w:r w:rsidR="004B7132">
        <w:t>INF.11</w:t>
      </w:r>
      <w:r w:rsidR="001E59D7" w:rsidRPr="001E59D7">
        <w:t xml:space="preserve"> </w:t>
      </w:r>
      <w:r w:rsidR="001E59D7">
        <w:t>of the sixty-second session</w:t>
      </w:r>
      <w:r w:rsidR="004B7132">
        <w:t xml:space="preserve"> </w:t>
      </w:r>
      <w:r w:rsidR="00510377">
        <w:t xml:space="preserve">and </w:t>
      </w:r>
      <w:r w:rsidR="004B7132">
        <w:t>INF.15</w:t>
      </w:r>
      <w:r w:rsidR="001E59D7">
        <w:t xml:space="preserve"> of the sixty-third session</w:t>
      </w:r>
      <w:r w:rsidR="004B7132">
        <w:t>).</w:t>
      </w:r>
    </w:p>
    <w:p w14:paraId="19849DD6" w14:textId="5B67E89A" w:rsidR="004B7132" w:rsidRPr="0095268E" w:rsidRDefault="00C76D04" w:rsidP="00596771">
      <w:pPr>
        <w:pStyle w:val="HChG"/>
      </w:pPr>
      <w:r>
        <w:tab/>
        <w:t>II.</w:t>
      </w:r>
      <w:r>
        <w:tab/>
      </w:r>
      <w:r w:rsidR="004B7132" w:rsidRPr="4C55A6CA">
        <w:t>Proposal</w:t>
      </w:r>
    </w:p>
    <w:p w14:paraId="0FA7D8F0" w14:textId="39C47C34" w:rsidR="004B7132" w:rsidRDefault="00F132B5" w:rsidP="00C76D04">
      <w:pPr>
        <w:pStyle w:val="SingleTxtG"/>
      </w:pPr>
      <w:r>
        <w:t>6.</w:t>
      </w:r>
      <w:r>
        <w:tab/>
      </w:r>
      <w:r w:rsidR="00546A95">
        <w:rPr>
          <w:bCs/>
        </w:rPr>
        <w:t xml:space="preserve">Amend </w:t>
      </w:r>
      <w:r w:rsidR="00546A95" w:rsidRPr="10DF5ACD">
        <w:t>1.6.1.51</w:t>
      </w:r>
      <w:r w:rsidR="00546A95">
        <w:t xml:space="preserve"> </w:t>
      </w:r>
      <w:r w:rsidR="00546A95">
        <w:rPr>
          <w:bCs/>
        </w:rPr>
        <w:t>to read as follows (</w:t>
      </w:r>
      <w:r w:rsidR="00546A95">
        <w:t>new</w:t>
      </w:r>
      <w:r w:rsidR="004B7132">
        <w:t xml:space="preserve"> text is </w:t>
      </w:r>
      <w:r w:rsidR="004B7132" w:rsidRPr="4C55A6CA">
        <w:rPr>
          <w:u w:val="single"/>
        </w:rPr>
        <w:t>underlined</w:t>
      </w:r>
      <w:r w:rsidR="004B7132">
        <w:t xml:space="preserve">, deleted text is </w:t>
      </w:r>
      <w:r w:rsidR="006809AC" w:rsidRPr="006809AC">
        <w:t>stricken through</w:t>
      </w:r>
      <w:r w:rsidR="00F47BB6">
        <w:t>)</w:t>
      </w:r>
      <w:r w:rsidR="006809AC">
        <w:t>:</w:t>
      </w:r>
    </w:p>
    <w:p w14:paraId="2D58CFB1" w14:textId="7C5F3E2E" w:rsidR="004B7132" w:rsidRDefault="009C3BC1" w:rsidP="004B7132">
      <w:pPr>
        <w:pStyle w:val="SingleTxtG"/>
        <w:ind w:left="2268" w:hanging="1134"/>
        <w:rPr>
          <w:strike/>
        </w:rPr>
      </w:pPr>
      <w:r>
        <w:t>“</w:t>
      </w:r>
      <w:r w:rsidR="004B7132" w:rsidRPr="10DF5ACD">
        <w:t>1.6.1.51</w:t>
      </w:r>
      <w:r>
        <w:tab/>
      </w:r>
      <w:r w:rsidR="004B7132" w:rsidRPr="10DF5ACD">
        <w:t xml:space="preserve">Adhesives, paint and paint related materials, printing inks and printing </w:t>
      </w:r>
      <w:proofErr w:type="gramStart"/>
      <w:r w:rsidR="004B7132" w:rsidRPr="10DF5ACD">
        <w:t>ink</w:t>
      </w:r>
      <w:proofErr w:type="gramEnd"/>
      <w:r w:rsidR="004B7132" w:rsidRPr="10DF5ACD">
        <w:t xml:space="preserve"> related materials and resin solutions assigned to UN 3082 environmentally hazardous substance, liquid, </w:t>
      </w:r>
      <w:proofErr w:type="spellStart"/>
      <w:r w:rsidR="004B7132" w:rsidRPr="10DF5ACD">
        <w:t>n.o.s</w:t>
      </w:r>
      <w:proofErr w:type="spellEnd"/>
      <w:r w:rsidR="004B7132" w:rsidRPr="10DF5ACD">
        <w:t xml:space="preserve">., PG III in accordance with 2.2.9.1.10.6 as a consequence of </w:t>
      </w:r>
      <w:r w:rsidR="004B7132" w:rsidRPr="10DF5ACD">
        <w:rPr>
          <w:u w:val="single"/>
        </w:rPr>
        <w:t>current and future Adaptations to Technical Progress (ATP) under the CLP Regulation (EC) No 1272/2008</w:t>
      </w:r>
      <w:r w:rsidR="00904F80">
        <w:rPr>
          <w:u w:val="single"/>
        </w:rPr>
        <w:t xml:space="preserve"> </w:t>
      </w:r>
      <w:r w:rsidR="004B7132" w:rsidRPr="10DF5ACD">
        <w:rPr>
          <w:strike/>
        </w:rPr>
        <w:t>2.2.9.1.10.5</w:t>
      </w:r>
      <w:r w:rsidR="004B7132" w:rsidRPr="10DF5ACD">
        <w:t xml:space="preserve"> containing </w:t>
      </w:r>
      <w:r w:rsidR="004B7132" w:rsidRPr="10DF5ACD">
        <w:rPr>
          <w:strike/>
        </w:rPr>
        <w:t xml:space="preserve">0.025 </w:t>
      </w:r>
      <w:r w:rsidR="004B7132" w:rsidRPr="10DF5ACD">
        <w:rPr>
          <w:u w:val="single"/>
        </w:rPr>
        <w:t>up to 1</w:t>
      </w:r>
      <w:r w:rsidR="004B7132" w:rsidRPr="10DF5ACD">
        <w:t xml:space="preserve"> % </w:t>
      </w:r>
      <w:r w:rsidR="004B7132" w:rsidRPr="10DF5ACD">
        <w:rPr>
          <w:strike/>
        </w:rPr>
        <w:t xml:space="preserve">or more </w:t>
      </w:r>
      <w:r w:rsidR="004B7132" w:rsidRPr="10DF5ACD">
        <w:t xml:space="preserve">of </w:t>
      </w:r>
      <w:r w:rsidR="004B7132" w:rsidRPr="10DF5ACD">
        <w:rPr>
          <w:u w:val="single"/>
        </w:rPr>
        <w:t>highly toxic substances</w:t>
      </w:r>
      <w:r w:rsidR="004B7132" w:rsidRPr="10DF5ACD">
        <w:t xml:space="preserve"> </w:t>
      </w:r>
      <w:r w:rsidR="004B7132" w:rsidRPr="10DF5ACD">
        <w:rPr>
          <w:u w:val="single"/>
        </w:rPr>
        <w:t>which have an M-</w:t>
      </w:r>
      <w:r w:rsidR="003C610D">
        <w:rPr>
          <w:u w:val="single"/>
        </w:rPr>
        <w:t>f</w:t>
      </w:r>
      <w:r w:rsidR="004B7132" w:rsidRPr="10DF5ACD">
        <w:rPr>
          <w:u w:val="single"/>
        </w:rPr>
        <w:t>actor &gt; 1</w:t>
      </w:r>
    </w:p>
    <w:p w14:paraId="4324802F" w14:textId="77777777" w:rsidR="004B7132" w:rsidRDefault="004B7132" w:rsidP="00CB2078">
      <w:pPr>
        <w:spacing w:after="120"/>
        <w:ind w:left="3402" w:hanging="1134"/>
        <w:jc w:val="both"/>
        <w:rPr>
          <w:strike/>
        </w:rPr>
      </w:pPr>
      <w:r w:rsidRPr="4C55A6CA">
        <w:rPr>
          <w:strike/>
        </w:rPr>
        <w:t>the following substances, on their own or in combination:</w:t>
      </w:r>
    </w:p>
    <w:p w14:paraId="6A565E78" w14:textId="720871C3" w:rsidR="004B7132" w:rsidRDefault="004B7132" w:rsidP="00CB2078">
      <w:pPr>
        <w:spacing w:after="120"/>
        <w:ind w:left="3402" w:hanging="1134"/>
        <w:jc w:val="both"/>
        <w:rPr>
          <w:strike/>
        </w:rPr>
      </w:pPr>
      <w:r w:rsidRPr="4C55A6CA">
        <w:rPr>
          <w:strike/>
        </w:rPr>
        <w:t>-           4,5-dichloro-2-octyl2H-isothiazol-3-one (DCOIT);</w:t>
      </w:r>
    </w:p>
    <w:p w14:paraId="0E7301CE" w14:textId="4901296B" w:rsidR="004B7132" w:rsidRDefault="004B7132" w:rsidP="00CB2078">
      <w:pPr>
        <w:spacing w:after="120"/>
        <w:ind w:left="3402" w:hanging="1134"/>
        <w:jc w:val="both"/>
        <w:rPr>
          <w:strike/>
        </w:rPr>
      </w:pPr>
      <w:r w:rsidRPr="4C55A6CA">
        <w:rPr>
          <w:strike/>
        </w:rPr>
        <w:t>-           octhilinone (OIT); and</w:t>
      </w:r>
    </w:p>
    <w:p w14:paraId="6D18F800" w14:textId="4C9ED725" w:rsidR="004B7132" w:rsidRDefault="004B7132" w:rsidP="00CB2078">
      <w:pPr>
        <w:spacing w:after="120"/>
        <w:ind w:left="3402" w:hanging="1134"/>
        <w:jc w:val="both"/>
        <w:rPr>
          <w:strike/>
        </w:rPr>
      </w:pPr>
      <w:r w:rsidRPr="4C55A6CA">
        <w:rPr>
          <w:strike/>
        </w:rPr>
        <w:t xml:space="preserve">-           zinc </w:t>
      </w:r>
      <w:proofErr w:type="spellStart"/>
      <w:r w:rsidRPr="4C55A6CA">
        <w:rPr>
          <w:strike/>
        </w:rPr>
        <w:t>pyrithione</w:t>
      </w:r>
      <w:proofErr w:type="spellEnd"/>
      <w:r w:rsidRPr="4C55A6CA">
        <w:rPr>
          <w:strike/>
        </w:rPr>
        <w:t xml:space="preserve"> (</w:t>
      </w:r>
      <w:proofErr w:type="spellStart"/>
      <w:r w:rsidRPr="4C55A6CA">
        <w:rPr>
          <w:strike/>
        </w:rPr>
        <w:t>ZnPT</w:t>
      </w:r>
      <w:proofErr w:type="spellEnd"/>
      <w:r w:rsidRPr="4C55A6CA">
        <w:rPr>
          <w:strike/>
        </w:rPr>
        <w:t>);</w:t>
      </w:r>
    </w:p>
    <w:p w14:paraId="7BAE7E26" w14:textId="1178C0F3" w:rsidR="004B7132" w:rsidRDefault="00397FFE" w:rsidP="00397FFE">
      <w:pPr>
        <w:pStyle w:val="SingleTxtG"/>
        <w:tabs>
          <w:tab w:val="clear" w:pos="1701"/>
        </w:tabs>
        <w:ind w:left="2268" w:hanging="1134"/>
        <w:rPr>
          <w:strike/>
        </w:rPr>
      </w:pPr>
      <w:r>
        <w:tab/>
      </w:r>
      <w:r w:rsidR="004B7132" w:rsidRPr="4C55A6CA">
        <w:t>may be carried until 30 June 202</w:t>
      </w:r>
      <w:r w:rsidR="004B7132" w:rsidRPr="4C55A6CA">
        <w:rPr>
          <w:u w:val="single"/>
        </w:rPr>
        <w:t>7</w:t>
      </w:r>
      <w:r w:rsidR="004B7132" w:rsidRPr="4C55A6CA">
        <w:rPr>
          <w:strike/>
        </w:rPr>
        <w:t>5</w:t>
      </w:r>
      <w:r w:rsidR="004B7132" w:rsidRPr="4C55A6CA">
        <w:t xml:space="preserve"> in steel, aluminium, other metal or plastic </w:t>
      </w:r>
      <w:proofErr w:type="spellStart"/>
      <w:r w:rsidR="004B7132" w:rsidRPr="4C55A6CA">
        <w:t>packagings</w:t>
      </w:r>
      <w:proofErr w:type="spellEnd"/>
      <w:r w:rsidR="004B7132" w:rsidRPr="4C55A6CA">
        <w:t>, which do not meet the requirements of 4.1.1.3, when carried in quantities of 30 litres or less per packaging as follows:</w:t>
      </w:r>
    </w:p>
    <w:p w14:paraId="702A7F7F" w14:textId="1941E185" w:rsidR="004B7132" w:rsidRDefault="00397FFE" w:rsidP="00397FFE">
      <w:pPr>
        <w:pStyle w:val="SingleTxtG"/>
        <w:tabs>
          <w:tab w:val="clear" w:pos="1701"/>
        </w:tabs>
        <w:ind w:left="2268" w:hanging="1134"/>
      </w:pPr>
      <w:r>
        <w:tab/>
      </w:r>
      <w:r w:rsidR="004B7132" w:rsidRPr="4C55A6CA">
        <w:t>(a)</w:t>
      </w:r>
      <w:r>
        <w:tab/>
      </w:r>
      <w:r w:rsidR="004B7132" w:rsidRPr="4C55A6CA">
        <w:t xml:space="preserve">In palletized loads, a pallet box or unit load device, e.g. individual </w:t>
      </w:r>
      <w:proofErr w:type="spellStart"/>
      <w:r w:rsidR="004B7132" w:rsidRPr="4C55A6CA">
        <w:t>packagings</w:t>
      </w:r>
      <w:proofErr w:type="spellEnd"/>
      <w:r w:rsidR="004B7132" w:rsidRPr="4C55A6CA">
        <w:t xml:space="preserve"> placed or stacked and secured by strapping, shrink or stretch-wrapping or other suitable means to a pallet; or</w:t>
      </w:r>
    </w:p>
    <w:p w14:paraId="296A298B" w14:textId="4AA4AD23" w:rsidR="004B7132" w:rsidRDefault="00397FFE" w:rsidP="00397FFE">
      <w:pPr>
        <w:pStyle w:val="SingleTxtG"/>
        <w:tabs>
          <w:tab w:val="clear" w:pos="1701"/>
        </w:tabs>
        <w:ind w:left="2268" w:hanging="1134"/>
      </w:pPr>
      <w:r>
        <w:tab/>
      </w:r>
      <w:r w:rsidR="004B7132" w:rsidRPr="4C55A6CA">
        <w:t>(b)</w:t>
      </w:r>
      <w:r>
        <w:tab/>
      </w:r>
      <w:r w:rsidR="004B7132" w:rsidRPr="4C55A6CA">
        <w:t xml:space="preserve">As inner </w:t>
      </w:r>
      <w:proofErr w:type="spellStart"/>
      <w:r w:rsidR="004B7132" w:rsidRPr="4C55A6CA">
        <w:t>packagings</w:t>
      </w:r>
      <w:proofErr w:type="spellEnd"/>
      <w:r w:rsidR="004B7132" w:rsidRPr="4C55A6CA">
        <w:t xml:space="preserve"> of a combination </w:t>
      </w:r>
      <w:proofErr w:type="spellStart"/>
      <w:r w:rsidR="004B7132" w:rsidRPr="4C55A6CA">
        <w:t>packagings</w:t>
      </w:r>
      <w:proofErr w:type="spellEnd"/>
      <w:r w:rsidR="004B7132" w:rsidRPr="4C55A6CA">
        <w:t xml:space="preserve"> with a maximum net mass of 40 kg.”</w:t>
      </w:r>
    </w:p>
    <w:p w14:paraId="1B51ED99" w14:textId="33A6873B" w:rsidR="004B7132" w:rsidRDefault="00F95A80" w:rsidP="00A50B96">
      <w:pPr>
        <w:pStyle w:val="HChG"/>
      </w:pPr>
      <w:r>
        <w:lastRenderedPageBreak/>
        <w:tab/>
        <w:t>III.</w:t>
      </w:r>
      <w:r>
        <w:tab/>
      </w:r>
      <w:r w:rsidR="004B7132" w:rsidRPr="001D4EF2">
        <w:t>Justification</w:t>
      </w:r>
    </w:p>
    <w:p w14:paraId="2499F7E6" w14:textId="67879026" w:rsidR="004B7132" w:rsidRPr="00F95A80" w:rsidRDefault="00596771" w:rsidP="00A50B96">
      <w:pPr>
        <w:pStyle w:val="SingleTxtG"/>
        <w:keepNext/>
        <w:keepLines/>
      </w:pPr>
      <w:r>
        <w:rPr>
          <w:bCs/>
        </w:rPr>
        <w:t>7.</w:t>
      </w:r>
      <w:r>
        <w:rPr>
          <w:bCs/>
        </w:rPr>
        <w:tab/>
      </w:r>
      <w:r w:rsidR="004B7132">
        <w:t xml:space="preserve">The number of paint and printing ink products that fall under </w:t>
      </w:r>
      <w:r w:rsidR="00F2648E">
        <w:t xml:space="preserve">the environmentally hazardous substances of </w:t>
      </w:r>
      <w:r w:rsidR="004B7132">
        <w:t>Class 9 continues to increase, due to new harmonised (re</w:t>
      </w:r>
      <w:r w:rsidR="0056577E">
        <w:noBreakHyphen/>
      </w:r>
      <w:r w:rsidR="004B7132">
        <w:t xml:space="preserve">)classifications of certain component highly toxic substances, in addition to those identified under the current transitional measure. These products are already being safely transported in quantities up to 30 litres, following current practices and procedures using packaging that does meet the requirements of 4.1.1.1 </w:t>
      </w:r>
      <w:r w:rsidR="00852555">
        <w:t>and</w:t>
      </w:r>
      <w:r w:rsidR="004B7132">
        <w:t xml:space="preserve"> 4.1.1.2. Thus, the packaging follows the guiding principle of the </w:t>
      </w:r>
      <w:r w:rsidR="009414AC" w:rsidRPr="009414AC">
        <w:rPr>
          <w:i/>
          <w:iCs/>
        </w:rPr>
        <w:t>M</w:t>
      </w:r>
      <w:r w:rsidR="004B7132" w:rsidRPr="009414AC">
        <w:rPr>
          <w:i/>
          <w:iCs/>
        </w:rPr>
        <w:t xml:space="preserve">odel </w:t>
      </w:r>
      <w:r w:rsidR="009414AC" w:rsidRPr="009414AC">
        <w:rPr>
          <w:i/>
          <w:iCs/>
        </w:rPr>
        <w:t>R</w:t>
      </w:r>
      <w:r w:rsidR="004B7132" w:rsidRPr="009414AC">
        <w:rPr>
          <w:i/>
          <w:iCs/>
        </w:rPr>
        <w:t>egulations</w:t>
      </w:r>
      <w:r w:rsidR="004B7132">
        <w:t xml:space="preserve"> by limiting the potential risk to a possible minimum. The packaging requirements dictated by product technology and use necessitate the continued availability of a plastic packaging option, for which no UN-approved versions currently exist. Establishing the requirement to utilise UN-approved packaging would hamper the possibilities to transport said products.</w:t>
      </w:r>
    </w:p>
    <w:p w14:paraId="31EF579B" w14:textId="7ABE8BDA" w:rsidR="004B7132" w:rsidRDefault="00596771" w:rsidP="00F95A80">
      <w:pPr>
        <w:pStyle w:val="SingleTxtG"/>
      </w:pPr>
      <w:r>
        <w:rPr>
          <w:bCs/>
        </w:rPr>
        <w:t>8.</w:t>
      </w:r>
      <w:r>
        <w:rPr>
          <w:bCs/>
        </w:rPr>
        <w:tab/>
      </w:r>
      <w:r w:rsidR="004B7132">
        <w:t xml:space="preserve">Current discussions at </w:t>
      </w:r>
      <w:r w:rsidR="006E3AB9">
        <w:t xml:space="preserve">the </w:t>
      </w:r>
      <w:r w:rsidR="004B7132">
        <w:t xml:space="preserve">UN </w:t>
      </w:r>
      <w:r w:rsidR="006E3AB9">
        <w:t xml:space="preserve">Sub-Committee </w:t>
      </w:r>
      <w:r w:rsidR="004B7132">
        <w:t xml:space="preserve">level, and subsequent possible action (e.g. modification to the </w:t>
      </w:r>
      <w:r w:rsidR="004B7132" w:rsidRPr="00530AC3">
        <w:rPr>
          <w:i/>
          <w:iCs/>
        </w:rPr>
        <w:t>Model Regulations</w:t>
      </w:r>
      <w:r w:rsidR="004B7132">
        <w:t xml:space="preserve">) are not scheduled to be completed prior to the expiration of the current </w:t>
      </w:r>
      <w:r w:rsidR="0056577E">
        <w:t>RID/</w:t>
      </w:r>
      <w:r w:rsidR="004B7132">
        <w:t xml:space="preserve">ADR transitional period (30 June 2025). An extension to the existing transitional measure in </w:t>
      </w:r>
      <w:r w:rsidR="0056577E">
        <w:t>RID/</w:t>
      </w:r>
      <w:r w:rsidR="004B7132">
        <w:t xml:space="preserve">ADR is therefore required to allow the on-going efforts through the </w:t>
      </w:r>
      <w:r w:rsidR="00EA5202">
        <w:t>Sub-Committee</w:t>
      </w:r>
      <w:r w:rsidR="004B7132">
        <w:t xml:space="preserve"> to be concluded (the intention is for this activity to be completed by the end of the current biennium i.e. by December 2024).</w:t>
      </w:r>
    </w:p>
    <w:p w14:paraId="31B4421A" w14:textId="291D87B7" w:rsidR="004B7132" w:rsidRDefault="00596771" w:rsidP="00F95A80">
      <w:pPr>
        <w:pStyle w:val="SingleTxtG"/>
      </w:pPr>
      <w:r w:rsidRPr="00241283">
        <w:rPr>
          <w:bCs/>
        </w:rPr>
        <w:t>9.</w:t>
      </w:r>
      <w:r w:rsidRPr="00241283">
        <w:rPr>
          <w:bCs/>
        </w:rPr>
        <w:tab/>
      </w:r>
      <w:r w:rsidR="004B7132">
        <w:t xml:space="preserve">CEPE welcomes the upcoming discussion </w:t>
      </w:r>
      <w:r w:rsidR="008B600A">
        <w:t>at</w:t>
      </w:r>
      <w:r w:rsidR="004B7132">
        <w:t xml:space="preserve"> the March 2024 session of </w:t>
      </w:r>
      <w:r w:rsidR="008B600A">
        <w:t>the Joint Meeting</w:t>
      </w:r>
      <w:r w:rsidR="004B7132">
        <w:t xml:space="preserve"> as to the best way to proceed.</w:t>
      </w:r>
    </w:p>
    <w:p w14:paraId="4EEA81A8" w14:textId="4C57F8F2" w:rsidR="00F95A80" w:rsidRDefault="00F95A80">
      <w:r>
        <w:br w:type="page"/>
      </w:r>
    </w:p>
    <w:p w14:paraId="65135EB2" w14:textId="19BDF3CE" w:rsidR="00E17A5D" w:rsidRDefault="00F55827" w:rsidP="00A93F8A">
      <w:pPr>
        <w:pStyle w:val="HChG"/>
        <w:tabs>
          <w:tab w:val="left" w:pos="6521"/>
        </w:tabs>
      </w:pPr>
      <w:r>
        <w:lastRenderedPageBreak/>
        <w:tab/>
      </w:r>
      <w:r>
        <w:tab/>
      </w:r>
      <w:r w:rsidR="004B7132" w:rsidRPr="4C55A6CA">
        <w:t>Annex</w:t>
      </w:r>
    </w:p>
    <w:p w14:paraId="12151BC5" w14:textId="58135E57" w:rsidR="00C365B7" w:rsidRPr="00C71F79" w:rsidRDefault="00A93F8A" w:rsidP="00656D26">
      <w:pPr>
        <w:pStyle w:val="SingleTxtG"/>
        <w:jc w:val="right"/>
        <w:rPr>
          <w:b/>
        </w:rPr>
      </w:pPr>
      <w:r w:rsidRPr="00C71F79">
        <w:t>[English only]</w:t>
      </w:r>
    </w:p>
    <w:p w14:paraId="46B1CCB7" w14:textId="14779A9B" w:rsidR="004B7132" w:rsidRDefault="00C365B7" w:rsidP="00C365B7">
      <w:pPr>
        <w:pStyle w:val="HChG"/>
      </w:pPr>
      <w:r>
        <w:tab/>
      </w:r>
      <w:r>
        <w:tab/>
      </w:r>
      <w:r w:rsidR="004B7132" w:rsidRPr="00C365B7">
        <w:t>Environmentally</w:t>
      </w:r>
      <w:r w:rsidR="004B7132" w:rsidRPr="4C55A6CA">
        <w:t xml:space="preserve"> hazardous classification </w:t>
      </w:r>
      <w:r w:rsidR="008B600A">
        <w:t>and</w:t>
      </w:r>
      <w:r w:rsidR="004B7132" w:rsidRPr="4C55A6CA">
        <w:t xml:space="preserve"> M-</w:t>
      </w:r>
      <w:r w:rsidR="003C610D">
        <w:t>f</w:t>
      </w:r>
      <w:r w:rsidR="004B7132" w:rsidRPr="4C55A6CA">
        <w:t>actors</w:t>
      </w:r>
    </w:p>
    <w:p w14:paraId="2E076D69" w14:textId="04B8AE39" w:rsidR="004B7132" w:rsidRPr="00F66F87" w:rsidRDefault="00F95A80" w:rsidP="00F95A80">
      <w:pPr>
        <w:pStyle w:val="HChG"/>
      </w:pPr>
      <w:r>
        <w:tab/>
      </w:r>
      <w:r w:rsidR="005D4A4B">
        <w:t>I.</w:t>
      </w:r>
      <w:r w:rsidR="005D4A4B">
        <w:tab/>
      </w:r>
      <w:r w:rsidR="004B7132" w:rsidRPr="00DD6A2F">
        <w:t>Introduction</w:t>
      </w:r>
    </w:p>
    <w:p w14:paraId="6DFD2251" w14:textId="1CD7A05C" w:rsidR="004B7132" w:rsidRPr="00DD6A2F" w:rsidRDefault="001A6A97" w:rsidP="001A6A97">
      <w:pPr>
        <w:pStyle w:val="SingleTxtG"/>
      </w:pPr>
      <w:r w:rsidRPr="00DD6A2F">
        <w:t>1.</w:t>
      </w:r>
      <w:r w:rsidRPr="00DD6A2F">
        <w:tab/>
      </w:r>
      <w:r w:rsidR="004B7132" w:rsidRPr="00DD6A2F">
        <w:rPr>
          <w:lang w:val="en-US"/>
        </w:rPr>
        <w:t xml:space="preserve">In 2009/2010, the term "environmentally hazardous (aquatic environment)" was implemented in the transport of dangerous goods regulations. The criteria in the </w:t>
      </w:r>
      <w:r w:rsidR="006956C1" w:rsidRPr="00336311">
        <w:rPr>
          <w:i/>
          <w:iCs/>
          <w:lang w:val="en-US"/>
        </w:rPr>
        <w:t>Globally Harmonized System of Classification and Labelling of Chemicals (</w:t>
      </w:r>
      <w:r w:rsidR="004B7132" w:rsidRPr="00336311">
        <w:rPr>
          <w:i/>
          <w:iCs/>
          <w:lang w:val="en-US"/>
        </w:rPr>
        <w:t>GHS</w:t>
      </w:r>
      <w:r w:rsidR="006956C1" w:rsidRPr="00336311">
        <w:rPr>
          <w:i/>
          <w:iCs/>
          <w:lang w:val="en-US"/>
        </w:rPr>
        <w:t>)</w:t>
      </w:r>
      <w:r w:rsidR="004B7132" w:rsidRPr="00DD6A2F">
        <w:rPr>
          <w:lang w:val="en-US"/>
        </w:rPr>
        <w:t xml:space="preserve"> is used </w:t>
      </w:r>
      <w:r w:rsidR="004B7132" w:rsidRPr="001A6A97">
        <w:t>in</w:t>
      </w:r>
      <w:r w:rsidR="004B7132" w:rsidRPr="00DD6A2F">
        <w:rPr>
          <w:lang w:val="en-US"/>
        </w:rPr>
        <w:t xml:space="preserve"> the </w:t>
      </w:r>
      <w:r w:rsidR="004B7132" w:rsidRPr="001C1BE9">
        <w:rPr>
          <w:i/>
          <w:iCs/>
          <w:lang w:val="en-US"/>
        </w:rPr>
        <w:t>Model Regulations</w:t>
      </w:r>
      <w:r w:rsidR="004B7132" w:rsidRPr="00DD6A2F">
        <w:rPr>
          <w:lang w:val="en-US"/>
        </w:rPr>
        <w:t xml:space="preserve"> to identify environmentally hazardous chemical (in particular hazardous to the aquatic environment) and to define the applicable transport conditions (e.g. packing requirements) to avoid or minimize their release into the environment.</w:t>
      </w:r>
    </w:p>
    <w:p w14:paraId="231A8114" w14:textId="00AEBB11" w:rsidR="004B7132" w:rsidRPr="00DD6A2F" w:rsidRDefault="005D4A4B" w:rsidP="00F95A80">
      <w:pPr>
        <w:pStyle w:val="SingleTxtG"/>
      </w:pPr>
      <w:r>
        <w:rPr>
          <w:lang w:val="en-US"/>
        </w:rPr>
        <w:t>2.</w:t>
      </w:r>
      <w:r>
        <w:rPr>
          <w:lang w:val="en-US"/>
        </w:rPr>
        <w:tab/>
      </w:r>
      <w:r w:rsidR="004B7132" w:rsidRPr="00DD6A2F">
        <w:rPr>
          <w:lang w:val="en-US"/>
        </w:rPr>
        <w:t xml:space="preserve">There are </w:t>
      </w:r>
      <w:r w:rsidR="00985D5B">
        <w:rPr>
          <w:lang w:val="en-US"/>
        </w:rPr>
        <w:t>two</w:t>
      </w:r>
      <w:r w:rsidR="004B7132" w:rsidRPr="00DD6A2F">
        <w:rPr>
          <w:lang w:val="en-US"/>
        </w:rPr>
        <w:t xml:space="preserve"> options to classify the environmental hazard in class 9 for substances and mixtures in </w:t>
      </w:r>
      <w:r w:rsidR="00EF72D6">
        <w:rPr>
          <w:lang w:val="en-US"/>
        </w:rPr>
        <w:t xml:space="preserve">packing </w:t>
      </w:r>
      <w:r w:rsidR="002A7653">
        <w:rPr>
          <w:lang w:val="en-US"/>
        </w:rPr>
        <w:t xml:space="preserve">group </w:t>
      </w:r>
      <w:r w:rsidR="004B7132" w:rsidRPr="00DD6A2F">
        <w:rPr>
          <w:lang w:val="en-US"/>
        </w:rPr>
        <w:t>III:</w:t>
      </w:r>
    </w:p>
    <w:p w14:paraId="4AD69549" w14:textId="71D2093D" w:rsidR="004B7132" w:rsidRPr="00DD6A2F" w:rsidRDefault="00F753D1" w:rsidP="00F753D1">
      <w:pPr>
        <w:pStyle w:val="SingleTxtG"/>
        <w:ind w:left="1701"/>
      </w:pPr>
      <w:r>
        <w:rPr>
          <w:lang w:val="en-US"/>
        </w:rPr>
        <w:t>(a)</w:t>
      </w:r>
      <w:r>
        <w:rPr>
          <w:lang w:val="en-US"/>
        </w:rPr>
        <w:tab/>
      </w:r>
      <w:r w:rsidR="004B7132" w:rsidRPr="00DD6A2F">
        <w:rPr>
          <w:lang w:val="en-US"/>
        </w:rPr>
        <w:t>UN</w:t>
      </w:r>
      <w:r w:rsidR="00061A9E">
        <w:rPr>
          <w:lang w:val="en-US"/>
        </w:rPr>
        <w:t> </w:t>
      </w:r>
      <w:r w:rsidR="004B7132" w:rsidRPr="00DD6A2F">
        <w:rPr>
          <w:lang w:val="en-US"/>
        </w:rPr>
        <w:t>3077 ENVIRONMENTALLY HAZARDOUS SUBSTANCE, SOLID, N.O.S. or</w:t>
      </w:r>
    </w:p>
    <w:p w14:paraId="2529F421" w14:textId="356DB39E" w:rsidR="004B7132" w:rsidRPr="00DD6A2F" w:rsidRDefault="00F753D1" w:rsidP="00F753D1">
      <w:pPr>
        <w:pStyle w:val="SingleTxtG"/>
        <w:ind w:left="1701"/>
      </w:pPr>
      <w:r>
        <w:rPr>
          <w:lang w:val="en-US"/>
        </w:rPr>
        <w:t>(b)</w:t>
      </w:r>
      <w:r>
        <w:rPr>
          <w:lang w:val="en-US"/>
        </w:rPr>
        <w:tab/>
      </w:r>
      <w:r w:rsidR="004B7132" w:rsidRPr="00DD6A2F">
        <w:rPr>
          <w:lang w:val="en-US"/>
        </w:rPr>
        <w:t>UN</w:t>
      </w:r>
      <w:r w:rsidR="00061A9E">
        <w:rPr>
          <w:lang w:val="en-US"/>
        </w:rPr>
        <w:t> </w:t>
      </w:r>
      <w:r w:rsidR="004B7132" w:rsidRPr="00DD6A2F">
        <w:rPr>
          <w:lang w:val="en-US"/>
        </w:rPr>
        <w:t>3082 ENVIRONMENTALLY HAZARDOUS SUBSTANCE, LIQUID, N.O.S.</w:t>
      </w:r>
    </w:p>
    <w:p w14:paraId="55874AF6" w14:textId="42D5A403" w:rsidR="004B7132" w:rsidRPr="00985D5B" w:rsidRDefault="00180D6B" w:rsidP="00180D6B">
      <w:pPr>
        <w:pStyle w:val="HChG"/>
      </w:pPr>
      <w:r>
        <w:tab/>
      </w:r>
      <w:r w:rsidR="005D4A4B">
        <w:t>II.</w:t>
      </w:r>
      <w:r w:rsidR="005D4A4B">
        <w:tab/>
      </w:r>
      <w:r w:rsidR="004B7132" w:rsidRPr="00985D5B">
        <w:t xml:space="preserve">Criteria </w:t>
      </w:r>
      <w:r w:rsidR="00985D5B">
        <w:t>b</w:t>
      </w:r>
      <w:r w:rsidR="004B7132" w:rsidRPr="00985D5B">
        <w:t>asics</w:t>
      </w:r>
    </w:p>
    <w:p w14:paraId="4253A951" w14:textId="23FE3580" w:rsidR="004B7132" w:rsidRPr="00DD6A2F" w:rsidRDefault="005D4A4B" w:rsidP="00180D6B">
      <w:pPr>
        <w:pStyle w:val="SingleTxtG"/>
      </w:pPr>
      <w:r>
        <w:rPr>
          <w:lang w:val="en-US"/>
        </w:rPr>
        <w:t>3.</w:t>
      </w:r>
      <w:r>
        <w:rPr>
          <w:lang w:val="en-US"/>
        </w:rPr>
        <w:tab/>
      </w:r>
      <w:r w:rsidR="004B7132" w:rsidRPr="00DD6A2F">
        <w:rPr>
          <w:lang w:val="en-US"/>
        </w:rPr>
        <w:t xml:space="preserve">The basic elements for classification of environmentally hazardous substances are: </w:t>
      </w:r>
    </w:p>
    <w:p w14:paraId="1E935C20" w14:textId="5E8DC33E" w:rsidR="004B7132" w:rsidRPr="004C1346" w:rsidRDefault="004C1346" w:rsidP="004C1346">
      <w:pPr>
        <w:pStyle w:val="SingleTxtG"/>
        <w:ind w:left="1701"/>
      </w:pPr>
      <w:r w:rsidRPr="004C1346">
        <w:t>(a)</w:t>
      </w:r>
      <w:r w:rsidR="00596771" w:rsidRPr="004C1346">
        <w:tab/>
      </w:r>
      <w:r w:rsidR="004B7132" w:rsidRPr="004C1346">
        <w:t>Acute aquatic toxicity</w:t>
      </w:r>
      <w:r w:rsidR="00F34DA5">
        <w:t>;</w:t>
      </w:r>
    </w:p>
    <w:p w14:paraId="1641E6FC" w14:textId="378E7E1D" w:rsidR="004B7132" w:rsidRPr="004C1346" w:rsidRDefault="004C1346" w:rsidP="004C1346">
      <w:pPr>
        <w:pStyle w:val="SingleTxtG"/>
        <w:ind w:left="1701"/>
      </w:pPr>
      <w:r w:rsidRPr="004C1346">
        <w:t>(b)</w:t>
      </w:r>
      <w:r w:rsidR="00596771" w:rsidRPr="004C1346">
        <w:tab/>
      </w:r>
      <w:r w:rsidR="004B7132" w:rsidRPr="004C1346">
        <w:t>Chronic aquatic toxicity</w:t>
      </w:r>
      <w:r w:rsidR="00F34DA5">
        <w:t>;</w:t>
      </w:r>
    </w:p>
    <w:p w14:paraId="7946FD3A" w14:textId="18094AFD" w:rsidR="004B7132" w:rsidRPr="004C1346" w:rsidRDefault="004C1346" w:rsidP="004C1346">
      <w:pPr>
        <w:pStyle w:val="SingleTxtG"/>
        <w:ind w:left="1701"/>
      </w:pPr>
      <w:r w:rsidRPr="004C1346">
        <w:t>(c)</w:t>
      </w:r>
      <w:r w:rsidR="00596771" w:rsidRPr="004C1346">
        <w:tab/>
      </w:r>
      <w:r w:rsidR="004B7132" w:rsidRPr="004C1346">
        <w:t>Potential for or actual bioaccumulation</w:t>
      </w:r>
      <w:r w:rsidR="00F34DA5">
        <w:t>;</w:t>
      </w:r>
    </w:p>
    <w:p w14:paraId="336D964D" w14:textId="7088ECD5" w:rsidR="004B7132" w:rsidRPr="004C1346" w:rsidRDefault="004C1346" w:rsidP="004C1346">
      <w:pPr>
        <w:pStyle w:val="SingleTxtG"/>
        <w:ind w:left="1701"/>
      </w:pPr>
      <w:r w:rsidRPr="004C1346">
        <w:t>(d)</w:t>
      </w:r>
      <w:r w:rsidR="00596771" w:rsidRPr="004C1346">
        <w:tab/>
      </w:r>
      <w:r w:rsidR="004B7132" w:rsidRPr="004C1346">
        <w:t>Degradation for organic chemicals</w:t>
      </w:r>
      <w:r w:rsidR="00F34DA5">
        <w:t>.</w:t>
      </w:r>
    </w:p>
    <w:p w14:paraId="0E2BE81C" w14:textId="1E801CA0" w:rsidR="004B7132" w:rsidRPr="00DD6A2F" w:rsidRDefault="005D4A4B" w:rsidP="00180D6B">
      <w:pPr>
        <w:pStyle w:val="SingleTxtG"/>
      </w:pPr>
      <w:r>
        <w:rPr>
          <w:lang w:val="en-US"/>
        </w:rPr>
        <w:t>4.</w:t>
      </w:r>
      <w:r>
        <w:rPr>
          <w:lang w:val="en-US"/>
        </w:rPr>
        <w:tab/>
      </w:r>
      <w:r w:rsidR="004B7132" w:rsidRPr="00DD6A2F">
        <w:rPr>
          <w:lang w:val="en-US"/>
        </w:rPr>
        <w:t>The categories implemented for transport are Acute Category 1, Chronic Category 1 and 2. If one of these categories apply and the substance/mixture has not been assigned to hazard class</w:t>
      </w:r>
      <w:r w:rsidR="00F716A7">
        <w:rPr>
          <w:lang w:val="en-US"/>
        </w:rPr>
        <w:t>es</w:t>
      </w:r>
      <w:r w:rsidR="004B7132" w:rsidRPr="00DD6A2F">
        <w:rPr>
          <w:lang w:val="en-US"/>
        </w:rPr>
        <w:t xml:space="preserve"> 1 to 8, it is classified as UN</w:t>
      </w:r>
      <w:r w:rsidR="006C1883">
        <w:rPr>
          <w:lang w:val="en-US"/>
        </w:rPr>
        <w:t> </w:t>
      </w:r>
      <w:r w:rsidR="004B7132" w:rsidRPr="00DD6A2F">
        <w:rPr>
          <w:lang w:val="en-US"/>
        </w:rPr>
        <w:t>3077/3082 environmentally hazardous in PG</w:t>
      </w:r>
      <w:r w:rsidR="00F716A7">
        <w:rPr>
          <w:lang w:val="en-US"/>
        </w:rPr>
        <w:t> </w:t>
      </w:r>
      <w:r w:rsidR="004B7132" w:rsidRPr="00DD6A2F">
        <w:rPr>
          <w:lang w:val="en-US"/>
        </w:rPr>
        <w:t>III.</w:t>
      </w:r>
    </w:p>
    <w:p w14:paraId="45742F5F" w14:textId="19BA634C" w:rsidR="004B7132" w:rsidRPr="00DD6A2F" w:rsidRDefault="00BD0966" w:rsidP="00180D6B">
      <w:pPr>
        <w:pStyle w:val="SingleTxtG"/>
      </w:pPr>
      <w:r>
        <w:rPr>
          <w:lang w:val="en-US"/>
        </w:rPr>
        <w:t>5.</w:t>
      </w:r>
      <w:r>
        <w:rPr>
          <w:lang w:val="en-US"/>
        </w:rPr>
        <w:tab/>
      </w:r>
      <w:r w:rsidR="004B7132" w:rsidRPr="00DD6A2F">
        <w:rPr>
          <w:lang w:val="en-US"/>
        </w:rPr>
        <w:t>If it meets the criteria for class</w:t>
      </w:r>
      <w:r w:rsidR="00F716A7">
        <w:rPr>
          <w:lang w:val="en-US"/>
        </w:rPr>
        <w:t>es</w:t>
      </w:r>
      <w:r w:rsidR="004B7132" w:rsidRPr="00DD6A2F">
        <w:rPr>
          <w:lang w:val="en-US"/>
        </w:rPr>
        <w:t xml:space="preserve"> 1</w:t>
      </w:r>
      <w:r w:rsidR="00C831E5">
        <w:rPr>
          <w:lang w:val="en-US"/>
        </w:rPr>
        <w:t xml:space="preserve"> to </w:t>
      </w:r>
      <w:r w:rsidR="004B7132" w:rsidRPr="00DD6A2F">
        <w:rPr>
          <w:lang w:val="en-US"/>
        </w:rPr>
        <w:t xml:space="preserve">8 and thus another </w:t>
      </w:r>
      <w:r w:rsidR="0022388A">
        <w:rPr>
          <w:lang w:val="en-US"/>
        </w:rPr>
        <w:t>packing</w:t>
      </w:r>
      <w:r w:rsidR="004B7132" w:rsidRPr="00DD6A2F">
        <w:rPr>
          <w:lang w:val="en-US"/>
        </w:rPr>
        <w:t xml:space="preserve"> applies based on these hazards, this </w:t>
      </w:r>
      <w:r w:rsidR="0022388A">
        <w:rPr>
          <w:lang w:val="en-US"/>
        </w:rPr>
        <w:t>packing group</w:t>
      </w:r>
      <w:r w:rsidR="004B7132" w:rsidRPr="00DD6A2F">
        <w:rPr>
          <w:lang w:val="en-US"/>
        </w:rPr>
        <w:t xml:space="preserve"> takes precedence and the environmentally hazard is adding to the existing classification.</w:t>
      </w:r>
    </w:p>
    <w:p w14:paraId="154A2801" w14:textId="0621C272" w:rsidR="004B7132" w:rsidRDefault="00BD0966" w:rsidP="00180D6B">
      <w:pPr>
        <w:pStyle w:val="SingleTxtG"/>
        <w:rPr>
          <w:lang w:val="en-US"/>
        </w:rPr>
      </w:pPr>
      <w:r>
        <w:rPr>
          <w:lang w:val="en-US"/>
        </w:rPr>
        <w:t>6.</w:t>
      </w:r>
      <w:r>
        <w:rPr>
          <w:lang w:val="en-US"/>
        </w:rPr>
        <w:tab/>
      </w:r>
      <w:r w:rsidR="004B7132" w:rsidRPr="00DD6A2F">
        <w:rPr>
          <w:lang w:val="en-US"/>
        </w:rPr>
        <w:t>The criteria for acute and chronic categories for substance:</w:t>
      </w:r>
    </w:p>
    <w:p w14:paraId="33CD977E" w14:textId="71398C6B" w:rsidR="00CD5420" w:rsidRDefault="00CD5420">
      <w:pPr>
        <w:rPr>
          <w:lang w:val="en-US"/>
        </w:rPr>
      </w:pPr>
      <w:r>
        <w:rPr>
          <w:lang w:val="en-US"/>
        </w:rPr>
        <w:br w:type="page"/>
      </w:r>
    </w:p>
    <w:p w14:paraId="4D53EF43" w14:textId="77777777" w:rsidR="00CD5420" w:rsidRPr="00A826DD" w:rsidRDefault="00CD5420" w:rsidP="00CD5420">
      <w:pPr>
        <w:jc w:val="center"/>
        <w:rPr>
          <w:b/>
          <w:lang w:eastAsia="nl-NL"/>
        </w:rPr>
      </w:pPr>
      <w:r w:rsidRPr="00A826DD">
        <w:rPr>
          <w:b/>
          <w:lang w:eastAsia="nl-NL"/>
        </w:rPr>
        <w:lastRenderedPageBreak/>
        <w:t>Table 2.2.9.1.10.3.2: Classification scheme for substances hazardous to the aquatic environment</w:t>
      </w:r>
    </w:p>
    <w:p w14:paraId="280EACB1" w14:textId="77777777" w:rsidR="00CD5420" w:rsidRPr="00A826DD" w:rsidRDefault="00CD5420" w:rsidP="00CD542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05"/>
        <w:gridCol w:w="2078"/>
        <w:gridCol w:w="2461"/>
        <w:gridCol w:w="3195"/>
      </w:tblGrid>
      <w:tr w:rsidR="00CD5420" w:rsidRPr="00A826DD" w14:paraId="696F6D4C" w14:textId="77777777" w:rsidTr="00A7489C">
        <w:trPr>
          <w:tblHeader/>
        </w:trPr>
        <w:tc>
          <w:tcPr>
            <w:tcW w:w="9639" w:type="dxa"/>
            <w:gridSpan w:val="4"/>
          </w:tcPr>
          <w:p w14:paraId="5603C37D" w14:textId="77777777" w:rsidR="00CD5420" w:rsidRPr="00A826DD" w:rsidRDefault="00CD5420" w:rsidP="00A7489C">
            <w:pPr>
              <w:spacing w:before="20" w:after="20"/>
              <w:jc w:val="center"/>
              <w:rPr>
                <w:b/>
              </w:rPr>
            </w:pPr>
            <w:r w:rsidRPr="00A826DD">
              <w:rPr>
                <w:b/>
                <w:bCs/>
              </w:rPr>
              <w:t>Classification categories</w:t>
            </w:r>
          </w:p>
        </w:tc>
      </w:tr>
      <w:tr w:rsidR="00CD5420" w:rsidRPr="00A826DD" w14:paraId="58D8BBC3" w14:textId="77777777" w:rsidTr="00A7489C">
        <w:trPr>
          <w:tblHeader/>
        </w:trPr>
        <w:tc>
          <w:tcPr>
            <w:tcW w:w="1905" w:type="dxa"/>
            <w:vMerge w:val="restart"/>
            <w:vAlign w:val="center"/>
          </w:tcPr>
          <w:p w14:paraId="72C0E31C" w14:textId="77777777" w:rsidR="00CD5420" w:rsidRPr="00A826DD" w:rsidRDefault="00CD5420" w:rsidP="00A7489C">
            <w:pPr>
              <w:spacing w:before="20" w:after="20"/>
              <w:jc w:val="center"/>
            </w:pPr>
            <w:r w:rsidRPr="00A826DD">
              <w:rPr>
                <w:b/>
                <w:bCs/>
              </w:rPr>
              <w:t>Acute hazard</w:t>
            </w:r>
            <w:r w:rsidRPr="00A826DD">
              <w:rPr>
                <w:b/>
                <w:bCs/>
              </w:rPr>
              <w:br/>
            </w:r>
            <w:r w:rsidRPr="00A826DD">
              <w:rPr>
                <w:bCs/>
              </w:rPr>
              <w:t>(</w:t>
            </w:r>
            <w:r w:rsidRPr="00A826DD">
              <w:rPr>
                <w:bCs/>
                <w:i/>
                <w:iCs/>
              </w:rPr>
              <w:t>see</w:t>
            </w:r>
            <w:r w:rsidRPr="00A826DD">
              <w:rPr>
                <w:bCs/>
              </w:rPr>
              <w:t xml:space="preserve"> </w:t>
            </w:r>
            <w:r w:rsidRPr="00A826DD">
              <w:rPr>
                <w:bCs/>
                <w:i/>
                <w:iCs/>
              </w:rPr>
              <w:t>Note 1</w:t>
            </w:r>
            <w:r w:rsidRPr="00A826DD">
              <w:rPr>
                <w:bCs/>
              </w:rPr>
              <w:t>)</w:t>
            </w:r>
          </w:p>
        </w:tc>
        <w:tc>
          <w:tcPr>
            <w:tcW w:w="7734" w:type="dxa"/>
            <w:gridSpan w:val="3"/>
          </w:tcPr>
          <w:p w14:paraId="6CD59597" w14:textId="77777777" w:rsidR="00CD5420" w:rsidRPr="00A826DD" w:rsidRDefault="00CD5420" w:rsidP="00A7489C">
            <w:pPr>
              <w:spacing w:before="20" w:after="20"/>
              <w:jc w:val="center"/>
              <w:rPr>
                <w:b/>
              </w:rPr>
            </w:pPr>
            <w:r w:rsidRPr="00A826DD">
              <w:rPr>
                <w:b/>
              </w:rPr>
              <w:t xml:space="preserve">Long-term hazard </w:t>
            </w:r>
            <w:r w:rsidRPr="00A826DD">
              <w:t>(</w:t>
            </w:r>
            <w:r w:rsidRPr="00A826DD">
              <w:rPr>
                <w:i/>
                <w:iCs/>
              </w:rPr>
              <w:t>see</w:t>
            </w:r>
            <w:r w:rsidRPr="00A826DD">
              <w:t xml:space="preserve"> </w:t>
            </w:r>
            <w:r w:rsidRPr="00A826DD">
              <w:rPr>
                <w:i/>
                <w:iCs/>
              </w:rPr>
              <w:t>Note 2</w:t>
            </w:r>
            <w:r w:rsidRPr="00A826DD">
              <w:t>)</w:t>
            </w:r>
          </w:p>
        </w:tc>
      </w:tr>
      <w:tr w:rsidR="00CD5420" w:rsidRPr="00A826DD" w14:paraId="67446B26" w14:textId="77777777" w:rsidTr="00A7489C">
        <w:trPr>
          <w:tblHeader/>
        </w:trPr>
        <w:tc>
          <w:tcPr>
            <w:tcW w:w="1905" w:type="dxa"/>
            <w:vMerge/>
          </w:tcPr>
          <w:p w14:paraId="0DA81610" w14:textId="77777777" w:rsidR="00CD5420" w:rsidRPr="00A826DD" w:rsidRDefault="00CD5420" w:rsidP="00A7489C">
            <w:pPr>
              <w:spacing w:before="20" w:after="20"/>
            </w:pPr>
          </w:p>
        </w:tc>
        <w:tc>
          <w:tcPr>
            <w:tcW w:w="4539" w:type="dxa"/>
            <w:gridSpan w:val="2"/>
          </w:tcPr>
          <w:p w14:paraId="04631EB6" w14:textId="77777777" w:rsidR="00CD5420" w:rsidRPr="00A826DD" w:rsidRDefault="00CD5420" w:rsidP="00A7489C">
            <w:pPr>
              <w:spacing w:before="20" w:after="20"/>
              <w:jc w:val="center"/>
            </w:pPr>
            <w:r w:rsidRPr="00A826DD">
              <w:rPr>
                <w:b/>
              </w:rPr>
              <w:t xml:space="preserve">Adequate chronic toxicity data </w:t>
            </w:r>
            <w:r w:rsidRPr="00A826DD">
              <w:rPr>
                <w:b/>
              </w:rPr>
              <w:br/>
              <w:t>available</w:t>
            </w:r>
          </w:p>
        </w:tc>
        <w:tc>
          <w:tcPr>
            <w:tcW w:w="3195" w:type="dxa"/>
            <w:vMerge w:val="restart"/>
            <w:vAlign w:val="center"/>
          </w:tcPr>
          <w:p w14:paraId="699DD6C0" w14:textId="77777777" w:rsidR="00CD5420" w:rsidRPr="00A826DD" w:rsidRDefault="00CD5420" w:rsidP="00A7489C">
            <w:pPr>
              <w:spacing w:before="20" w:after="20"/>
              <w:jc w:val="center"/>
            </w:pPr>
            <w:r w:rsidRPr="00A826DD">
              <w:rPr>
                <w:b/>
              </w:rPr>
              <w:t xml:space="preserve">Adequate chronic toxicity data not available </w:t>
            </w:r>
            <w:r w:rsidRPr="00A826DD">
              <w:rPr>
                <w:bCs/>
              </w:rPr>
              <w:t>(</w:t>
            </w:r>
            <w:r w:rsidRPr="00A826DD">
              <w:rPr>
                <w:bCs/>
                <w:i/>
                <w:iCs/>
              </w:rPr>
              <w:t>see</w:t>
            </w:r>
            <w:r w:rsidRPr="00A826DD">
              <w:rPr>
                <w:bCs/>
              </w:rPr>
              <w:t xml:space="preserve"> </w:t>
            </w:r>
            <w:r w:rsidRPr="00A826DD">
              <w:rPr>
                <w:bCs/>
                <w:i/>
                <w:iCs/>
              </w:rPr>
              <w:t>Note 1</w:t>
            </w:r>
            <w:r w:rsidRPr="00A826DD">
              <w:rPr>
                <w:bCs/>
              </w:rPr>
              <w:t>)</w:t>
            </w:r>
          </w:p>
        </w:tc>
      </w:tr>
      <w:tr w:rsidR="00CD5420" w:rsidRPr="00A826DD" w14:paraId="5050CBDD" w14:textId="77777777" w:rsidTr="00A7489C">
        <w:trPr>
          <w:tblHeader/>
        </w:trPr>
        <w:tc>
          <w:tcPr>
            <w:tcW w:w="1905" w:type="dxa"/>
            <w:vMerge/>
          </w:tcPr>
          <w:p w14:paraId="46CF841F" w14:textId="77777777" w:rsidR="00CD5420" w:rsidRPr="00A826DD" w:rsidRDefault="00CD5420" w:rsidP="00A7489C">
            <w:pPr>
              <w:spacing w:before="20" w:after="20"/>
            </w:pPr>
          </w:p>
        </w:tc>
        <w:tc>
          <w:tcPr>
            <w:tcW w:w="2078" w:type="dxa"/>
          </w:tcPr>
          <w:p w14:paraId="220C61A5" w14:textId="77777777" w:rsidR="00CD5420" w:rsidRPr="00A826DD" w:rsidRDefault="00CD5420" w:rsidP="00A7489C">
            <w:pPr>
              <w:spacing w:before="20" w:after="20"/>
              <w:jc w:val="center"/>
              <w:rPr>
                <w:b/>
              </w:rPr>
            </w:pPr>
            <w:r w:rsidRPr="00A826DD">
              <w:rPr>
                <w:b/>
              </w:rPr>
              <w:t>Non-rapidly degradable substances</w:t>
            </w:r>
            <w:r w:rsidRPr="00A826DD">
              <w:rPr>
                <w:b/>
              </w:rPr>
              <w:br/>
            </w:r>
            <w:r w:rsidRPr="00A826DD">
              <w:rPr>
                <w:bCs/>
              </w:rPr>
              <w:t>(</w:t>
            </w:r>
            <w:r w:rsidRPr="00A826DD">
              <w:rPr>
                <w:bCs/>
                <w:i/>
                <w:iCs/>
              </w:rPr>
              <w:t>see</w:t>
            </w:r>
            <w:r w:rsidRPr="00A826DD">
              <w:rPr>
                <w:bCs/>
              </w:rPr>
              <w:t xml:space="preserve"> </w:t>
            </w:r>
            <w:r w:rsidRPr="00A826DD">
              <w:rPr>
                <w:bCs/>
                <w:i/>
                <w:iCs/>
              </w:rPr>
              <w:t>Note 3</w:t>
            </w:r>
            <w:r w:rsidRPr="00A826DD">
              <w:rPr>
                <w:bCs/>
              </w:rPr>
              <w:t>)</w:t>
            </w:r>
          </w:p>
        </w:tc>
        <w:tc>
          <w:tcPr>
            <w:tcW w:w="2461" w:type="dxa"/>
          </w:tcPr>
          <w:p w14:paraId="500ABC40" w14:textId="77777777" w:rsidR="00CD5420" w:rsidRPr="00A826DD" w:rsidRDefault="00CD5420" w:rsidP="00A7489C">
            <w:pPr>
              <w:spacing w:before="20" w:after="20"/>
              <w:jc w:val="center"/>
            </w:pPr>
            <w:r w:rsidRPr="00A826DD">
              <w:rPr>
                <w:b/>
              </w:rPr>
              <w:t xml:space="preserve">Rapidly </w:t>
            </w:r>
            <w:r w:rsidRPr="00A826DD">
              <w:rPr>
                <w:b/>
              </w:rPr>
              <w:br/>
              <w:t>degradable substances</w:t>
            </w:r>
            <w:r w:rsidRPr="00A826DD">
              <w:rPr>
                <w:b/>
              </w:rPr>
              <w:br/>
            </w:r>
            <w:r w:rsidRPr="00A826DD">
              <w:rPr>
                <w:bCs/>
              </w:rPr>
              <w:t>(</w:t>
            </w:r>
            <w:r w:rsidRPr="00A826DD">
              <w:rPr>
                <w:bCs/>
                <w:i/>
                <w:iCs/>
              </w:rPr>
              <w:t>see</w:t>
            </w:r>
            <w:r w:rsidRPr="00A826DD">
              <w:rPr>
                <w:bCs/>
              </w:rPr>
              <w:t xml:space="preserve"> </w:t>
            </w:r>
            <w:r w:rsidRPr="00A826DD">
              <w:rPr>
                <w:bCs/>
                <w:i/>
                <w:iCs/>
              </w:rPr>
              <w:t>Note 3</w:t>
            </w:r>
            <w:r w:rsidRPr="00A826DD">
              <w:rPr>
                <w:bCs/>
              </w:rPr>
              <w:t>)</w:t>
            </w:r>
          </w:p>
        </w:tc>
        <w:tc>
          <w:tcPr>
            <w:tcW w:w="3195" w:type="dxa"/>
            <w:vMerge/>
          </w:tcPr>
          <w:p w14:paraId="46E4BDC3" w14:textId="77777777" w:rsidR="00CD5420" w:rsidRPr="00A826DD" w:rsidRDefault="00CD5420" w:rsidP="00A7489C">
            <w:pPr>
              <w:spacing w:before="20" w:after="20"/>
            </w:pPr>
          </w:p>
        </w:tc>
      </w:tr>
      <w:tr w:rsidR="00CD5420" w:rsidRPr="00A826DD" w14:paraId="5679F0E1" w14:textId="77777777" w:rsidTr="00A7489C">
        <w:trPr>
          <w:trHeight w:val="106"/>
        </w:trPr>
        <w:tc>
          <w:tcPr>
            <w:tcW w:w="1905" w:type="dxa"/>
            <w:tcBorders>
              <w:bottom w:val="single" w:sz="4" w:space="0" w:color="auto"/>
            </w:tcBorders>
          </w:tcPr>
          <w:p w14:paraId="46A9B7F3" w14:textId="77777777" w:rsidR="00CD5420" w:rsidRPr="00A826DD" w:rsidRDefault="00CD5420" w:rsidP="00A7489C">
            <w:pPr>
              <w:spacing w:before="20" w:after="20"/>
            </w:pPr>
            <w:r w:rsidRPr="00A826DD">
              <w:rPr>
                <w:b/>
              </w:rPr>
              <w:t>Category: Acute 1</w:t>
            </w:r>
          </w:p>
        </w:tc>
        <w:tc>
          <w:tcPr>
            <w:tcW w:w="2078" w:type="dxa"/>
          </w:tcPr>
          <w:p w14:paraId="7802B6DF" w14:textId="77777777" w:rsidR="00CD5420" w:rsidRPr="00A826DD" w:rsidRDefault="00CD5420" w:rsidP="00A7489C">
            <w:pPr>
              <w:spacing w:before="20" w:after="20"/>
            </w:pPr>
            <w:r w:rsidRPr="00A826DD">
              <w:rPr>
                <w:b/>
              </w:rPr>
              <w:t>Category: Chronic 1</w:t>
            </w:r>
          </w:p>
        </w:tc>
        <w:tc>
          <w:tcPr>
            <w:tcW w:w="2461" w:type="dxa"/>
          </w:tcPr>
          <w:p w14:paraId="1B2E81CC" w14:textId="77777777" w:rsidR="00CD5420" w:rsidRPr="00A826DD" w:rsidRDefault="00CD5420" w:rsidP="00A7489C">
            <w:pPr>
              <w:spacing w:before="20" w:after="20"/>
            </w:pPr>
            <w:r w:rsidRPr="00A826DD">
              <w:rPr>
                <w:b/>
              </w:rPr>
              <w:t>Category: Chronic 1</w:t>
            </w:r>
          </w:p>
        </w:tc>
        <w:tc>
          <w:tcPr>
            <w:tcW w:w="3195" w:type="dxa"/>
          </w:tcPr>
          <w:p w14:paraId="62364174" w14:textId="77777777" w:rsidR="00CD5420" w:rsidRPr="00A826DD" w:rsidRDefault="00CD5420" w:rsidP="00A7489C">
            <w:pPr>
              <w:spacing w:before="20" w:after="20"/>
            </w:pPr>
            <w:r w:rsidRPr="00A826DD">
              <w:rPr>
                <w:b/>
              </w:rPr>
              <w:t>Category: Chronic 1</w:t>
            </w:r>
          </w:p>
        </w:tc>
      </w:tr>
      <w:tr w:rsidR="00CD5420" w:rsidRPr="00A826DD" w14:paraId="548988AE" w14:textId="77777777" w:rsidTr="00A7489C">
        <w:tc>
          <w:tcPr>
            <w:tcW w:w="1905" w:type="dxa"/>
            <w:tcBorders>
              <w:bottom w:val="nil"/>
            </w:tcBorders>
            <w:vAlign w:val="center"/>
          </w:tcPr>
          <w:p w14:paraId="1F1ADD9A" w14:textId="77777777" w:rsidR="00CD5420" w:rsidRPr="00A826DD" w:rsidRDefault="00CD5420" w:rsidP="00A7489C">
            <w:pPr>
              <w:spacing w:before="20" w:after="20"/>
            </w:pPr>
            <w:r w:rsidRPr="00A826DD">
              <w:t xml:space="preserve">L(E)C₅₀ </w:t>
            </w:r>
            <w:r w:rsidRPr="00A826DD">
              <w:sym w:font="Symbol" w:char="F0A3"/>
            </w:r>
            <w:r w:rsidRPr="00A826DD">
              <w:t xml:space="preserve"> 1.00</w:t>
            </w:r>
          </w:p>
        </w:tc>
        <w:tc>
          <w:tcPr>
            <w:tcW w:w="2078" w:type="dxa"/>
            <w:vAlign w:val="center"/>
          </w:tcPr>
          <w:p w14:paraId="64B42C11" w14:textId="77777777" w:rsidR="00CD5420" w:rsidRPr="00A826DD" w:rsidRDefault="00CD5420" w:rsidP="00A7489C">
            <w:pPr>
              <w:spacing w:before="20" w:after="20"/>
            </w:pPr>
            <w:r w:rsidRPr="00A826DD">
              <w:t xml:space="preserve">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0.1</w:t>
            </w:r>
          </w:p>
        </w:tc>
        <w:tc>
          <w:tcPr>
            <w:tcW w:w="2461" w:type="dxa"/>
            <w:vAlign w:val="center"/>
          </w:tcPr>
          <w:p w14:paraId="6F0B812F" w14:textId="77777777" w:rsidR="00CD5420" w:rsidRPr="00A826DD" w:rsidRDefault="00CD5420" w:rsidP="00A7489C">
            <w:pPr>
              <w:spacing w:before="20" w:after="20"/>
            </w:pPr>
            <w:r w:rsidRPr="00A826DD">
              <w:t xml:space="preserve">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0.01</w:t>
            </w:r>
          </w:p>
        </w:tc>
        <w:tc>
          <w:tcPr>
            <w:tcW w:w="3195" w:type="dxa"/>
            <w:vAlign w:val="center"/>
          </w:tcPr>
          <w:p w14:paraId="2767CF54" w14:textId="77777777" w:rsidR="00CD5420" w:rsidRPr="00A826DD" w:rsidRDefault="00CD5420" w:rsidP="00A7489C">
            <w:pPr>
              <w:spacing w:before="20" w:after="20"/>
            </w:pPr>
            <w:r w:rsidRPr="00A826DD">
              <w:t xml:space="preserve">L(E)C₅₀ </w:t>
            </w:r>
            <w:r w:rsidRPr="00A826DD">
              <w:sym w:font="Symbol" w:char="F0A3"/>
            </w:r>
            <w:r w:rsidRPr="00A826DD">
              <w:t xml:space="preserve"> 1.00 and lack of rapid degradability and/or BCF </w:t>
            </w:r>
            <w:r w:rsidRPr="00A826DD">
              <w:sym w:font="Symbol" w:char="F0B3"/>
            </w:r>
            <w:r w:rsidRPr="00A826DD">
              <w:t xml:space="preserve"> 500 or, if absent log </w:t>
            </w:r>
            <w:proofErr w:type="spellStart"/>
            <w:r w:rsidRPr="00A826DD">
              <w:t>K</w:t>
            </w:r>
            <w:r w:rsidRPr="00A826DD">
              <w:rPr>
                <w:vertAlign w:val="subscript"/>
              </w:rPr>
              <w:t>ow</w:t>
            </w:r>
            <w:proofErr w:type="spellEnd"/>
            <w:r w:rsidRPr="00A826DD">
              <w:rPr>
                <w:vertAlign w:val="subscript"/>
              </w:rPr>
              <w:t xml:space="preserve"> </w:t>
            </w:r>
            <w:r w:rsidRPr="00A826DD">
              <w:sym w:font="Symbol" w:char="F0B3"/>
            </w:r>
            <w:r w:rsidRPr="00A826DD">
              <w:t xml:space="preserve"> 4</w:t>
            </w:r>
          </w:p>
        </w:tc>
      </w:tr>
      <w:tr w:rsidR="00CD5420" w:rsidRPr="00A826DD" w14:paraId="2963F98F" w14:textId="77777777" w:rsidTr="00A7489C">
        <w:tc>
          <w:tcPr>
            <w:tcW w:w="1905" w:type="dxa"/>
            <w:tcBorders>
              <w:top w:val="nil"/>
              <w:bottom w:val="nil"/>
            </w:tcBorders>
          </w:tcPr>
          <w:p w14:paraId="3B4D59C5" w14:textId="77777777" w:rsidR="00CD5420" w:rsidRPr="00A826DD" w:rsidRDefault="00CD5420" w:rsidP="00A7489C">
            <w:pPr>
              <w:keepNext/>
              <w:keepLines/>
              <w:spacing w:before="20" w:after="20"/>
            </w:pPr>
          </w:p>
        </w:tc>
        <w:tc>
          <w:tcPr>
            <w:tcW w:w="2078" w:type="dxa"/>
          </w:tcPr>
          <w:p w14:paraId="2179BD40" w14:textId="77777777" w:rsidR="00CD5420" w:rsidRPr="00A826DD" w:rsidRDefault="00CD5420" w:rsidP="00A7489C">
            <w:pPr>
              <w:keepNext/>
              <w:keepLines/>
              <w:spacing w:before="20" w:after="20"/>
            </w:pPr>
            <w:r w:rsidRPr="00A826DD">
              <w:rPr>
                <w:b/>
              </w:rPr>
              <w:t>Category: Chronic 2</w:t>
            </w:r>
          </w:p>
        </w:tc>
        <w:tc>
          <w:tcPr>
            <w:tcW w:w="2461" w:type="dxa"/>
          </w:tcPr>
          <w:p w14:paraId="565DFC31" w14:textId="77777777" w:rsidR="00CD5420" w:rsidRPr="00A826DD" w:rsidRDefault="00CD5420" w:rsidP="00A7489C">
            <w:pPr>
              <w:keepNext/>
              <w:keepLines/>
              <w:spacing w:before="20" w:after="20"/>
            </w:pPr>
            <w:r w:rsidRPr="00A826DD">
              <w:rPr>
                <w:b/>
              </w:rPr>
              <w:t>Category: Chronic 2</w:t>
            </w:r>
          </w:p>
        </w:tc>
        <w:tc>
          <w:tcPr>
            <w:tcW w:w="3195" w:type="dxa"/>
          </w:tcPr>
          <w:p w14:paraId="6EA0C9A0" w14:textId="77777777" w:rsidR="00CD5420" w:rsidRPr="00A826DD" w:rsidRDefault="00CD5420" w:rsidP="00A7489C">
            <w:pPr>
              <w:keepNext/>
              <w:keepLines/>
              <w:spacing w:before="20" w:after="20"/>
            </w:pPr>
            <w:r w:rsidRPr="00A826DD">
              <w:rPr>
                <w:b/>
              </w:rPr>
              <w:t>Category: Chronic 2</w:t>
            </w:r>
          </w:p>
        </w:tc>
      </w:tr>
      <w:tr w:rsidR="00CD5420" w:rsidRPr="00A826DD" w14:paraId="2095687F" w14:textId="77777777" w:rsidTr="00A7489C">
        <w:tc>
          <w:tcPr>
            <w:tcW w:w="1905" w:type="dxa"/>
            <w:tcBorders>
              <w:top w:val="nil"/>
            </w:tcBorders>
            <w:vAlign w:val="center"/>
          </w:tcPr>
          <w:p w14:paraId="7B69B54B" w14:textId="77777777" w:rsidR="00CD5420" w:rsidRPr="00A826DD" w:rsidRDefault="00CD5420" w:rsidP="00A7489C">
            <w:pPr>
              <w:spacing w:before="20" w:after="20"/>
              <w:ind w:right="-49"/>
            </w:pPr>
          </w:p>
        </w:tc>
        <w:tc>
          <w:tcPr>
            <w:tcW w:w="2078" w:type="dxa"/>
            <w:vAlign w:val="center"/>
          </w:tcPr>
          <w:p w14:paraId="215CEFFD" w14:textId="77777777" w:rsidR="00CD5420" w:rsidRPr="00A826DD" w:rsidRDefault="00CD5420" w:rsidP="00A7489C">
            <w:pPr>
              <w:spacing w:before="20" w:after="20"/>
            </w:pPr>
            <w:r w:rsidRPr="00A826DD">
              <w:t xml:space="preserve">0.1 &lt; 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1</w:t>
            </w:r>
          </w:p>
        </w:tc>
        <w:tc>
          <w:tcPr>
            <w:tcW w:w="2461" w:type="dxa"/>
            <w:vAlign w:val="center"/>
          </w:tcPr>
          <w:p w14:paraId="056F8C90" w14:textId="77777777" w:rsidR="00CD5420" w:rsidRPr="00A826DD" w:rsidRDefault="00CD5420" w:rsidP="00A7489C">
            <w:pPr>
              <w:spacing w:before="20" w:after="20"/>
            </w:pPr>
            <w:r w:rsidRPr="00A826DD">
              <w:t xml:space="preserve">0.01 &lt; 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0.1</w:t>
            </w:r>
          </w:p>
        </w:tc>
        <w:tc>
          <w:tcPr>
            <w:tcW w:w="3195" w:type="dxa"/>
            <w:vAlign w:val="center"/>
          </w:tcPr>
          <w:p w14:paraId="23702703" w14:textId="77777777" w:rsidR="00CD5420" w:rsidRPr="00A826DD" w:rsidRDefault="00CD5420" w:rsidP="00A7489C">
            <w:pPr>
              <w:spacing w:before="20" w:after="20"/>
            </w:pPr>
            <w:r w:rsidRPr="00A826DD">
              <w:t xml:space="preserve">1.00 &lt; L(E)C₅₀ </w:t>
            </w:r>
            <w:r w:rsidRPr="00A826DD">
              <w:sym w:font="Symbol" w:char="F0A3"/>
            </w:r>
            <w:r w:rsidRPr="00A826DD">
              <w:t xml:space="preserve"> 10.0 and lack of rapid degradability and/or </w:t>
            </w:r>
            <w:r w:rsidRPr="00A826DD">
              <w:br/>
              <w:t xml:space="preserve">BCF </w:t>
            </w:r>
            <w:r w:rsidRPr="00A826DD">
              <w:sym w:font="Symbol" w:char="F0B3"/>
            </w:r>
            <w:r w:rsidRPr="00A826DD">
              <w:t xml:space="preserve"> 500 or, if absent log </w:t>
            </w:r>
            <w:proofErr w:type="spellStart"/>
            <w:r w:rsidRPr="00A826DD">
              <w:t>K</w:t>
            </w:r>
            <w:r w:rsidRPr="00A826DD">
              <w:rPr>
                <w:vertAlign w:val="subscript"/>
              </w:rPr>
              <w:t>ow</w:t>
            </w:r>
            <w:proofErr w:type="spellEnd"/>
            <w:r w:rsidRPr="00A826DD">
              <w:rPr>
                <w:vertAlign w:val="subscript"/>
              </w:rPr>
              <w:t xml:space="preserve"> </w:t>
            </w:r>
            <w:r w:rsidRPr="00A826DD">
              <w:sym w:font="Symbol" w:char="F0B3"/>
            </w:r>
            <w:r w:rsidRPr="00A826DD">
              <w:t xml:space="preserve"> 4</w:t>
            </w:r>
          </w:p>
        </w:tc>
      </w:tr>
    </w:tbl>
    <w:p w14:paraId="1ED691C7" w14:textId="77777777" w:rsidR="00CD5420" w:rsidRPr="00A826DD" w:rsidRDefault="00CD5420" w:rsidP="00CD5420">
      <w:pPr>
        <w:rPr>
          <w:b/>
          <w:bCs/>
          <w:i/>
        </w:rPr>
      </w:pPr>
    </w:p>
    <w:p w14:paraId="28C90482" w14:textId="279EB130" w:rsidR="004B7132" w:rsidRPr="00064DD6" w:rsidRDefault="00180D6B" w:rsidP="00180D6B">
      <w:pPr>
        <w:pStyle w:val="HChG"/>
      </w:pPr>
      <w:r>
        <w:rPr>
          <w:color w:val="000000" w:themeColor="text1"/>
          <w:lang w:val="en-US"/>
        </w:rPr>
        <w:tab/>
      </w:r>
      <w:r w:rsidR="00BD0966">
        <w:rPr>
          <w:color w:val="000000" w:themeColor="text1"/>
          <w:lang w:val="en-US"/>
        </w:rPr>
        <w:t>III.</w:t>
      </w:r>
      <w:r w:rsidR="00BD0966">
        <w:rPr>
          <w:color w:val="000000" w:themeColor="text1"/>
          <w:lang w:val="en-US"/>
        </w:rPr>
        <w:tab/>
      </w:r>
      <w:r w:rsidR="004B7132" w:rsidRPr="00DD6A2F">
        <w:t xml:space="preserve">Mixture </w:t>
      </w:r>
      <w:r w:rsidR="004B7132" w:rsidRPr="00064DD6">
        <w:t>classification</w:t>
      </w:r>
    </w:p>
    <w:p w14:paraId="42BEB6B5" w14:textId="02B15C97" w:rsidR="004B7132" w:rsidRPr="00DD6A2F" w:rsidRDefault="00BD0966" w:rsidP="00180D6B">
      <w:pPr>
        <w:pStyle w:val="SingleTxtG"/>
      </w:pPr>
      <w:r>
        <w:rPr>
          <w:lang w:val="en-US"/>
        </w:rPr>
        <w:t>7.</w:t>
      </w:r>
      <w:r>
        <w:rPr>
          <w:lang w:val="en-US"/>
        </w:rPr>
        <w:tab/>
      </w:r>
      <w:r w:rsidR="004B7132" w:rsidRPr="00DD6A2F">
        <w:rPr>
          <w:lang w:val="en-US"/>
        </w:rPr>
        <w:t>Mixture classification can be based on test results, bridging principles or summation method.</w:t>
      </w:r>
    </w:p>
    <w:p w14:paraId="29742289" w14:textId="6B027B68" w:rsidR="004B7132" w:rsidRPr="00DD6A2F" w:rsidRDefault="00BD0966" w:rsidP="00180D6B">
      <w:pPr>
        <w:pStyle w:val="SingleTxtG"/>
      </w:pPr>
      <w:r>
        <w:rPr>
          <w:lang w:val="en-US"/>
        </w:rPr>
        <w:t>8.</w:t>
      </w:r>
      <w:r>
        <w:rPr>
          <w:lang w:val="en-US"/>
        </w:rPr>
        <w:tab/>
      </w:r>
      <w:r w:rsidR="004B7132" w:rsidRPr="00DD6A2F">
        <w:rPr>
          <w:lang w:val="en-US"/>
        </w:rPr>
        <w:t>Mixture can only be tested on the aquatic toxicity data for fish, crustacea and algae/plants, degradability and bioaccumulation data are not possible for mixtures (or difficult to interpret the results) and therefore are only suitable for substances.</w:t>
      </w:r>
    </w:p>
    <w:p w14:paraId="7B101FD1" w14:textId="622A7058" w:rsidR="004E6820" w:rsidRPr="00A826DD" w:rsidRDefault="003229B9" w:rsidP="004E6820">
      <w:pPr>
        <w:pStyle w:val="SingleTxtG"/>
        <w:rPr>
          <w:lang w:eastAsia="nl-NL"/>
        </w:rPr>
      </w:pPr>
      <w:r>
        <w:rPr>
          <w:lang w:val="en-US"/>
        </w:rPr>
        <w:t>9.</w:t>
      </w:r>
      <w:r>
        <w:rPr>
          <w:lang w:val="en-US"/>
        </w:rPr>
        <w:tab/>
      </w:r>
      <w:r w:rsidR="004B7132" w:rsidRPr="00DD6A2F">
        <w:rPr>
          <w:lang w:val="en-US"/>
        </w:rPr>
        <w:t xml:space="preserve">The summation method is used to determine the classification for mixtures (from the </w:t>
      </w:r>
      <w:r w:rsidR="00A718AA">
        <w:rPr>
          <w:lang w:val="en-US"/>
        </w:rPr>
        <w:t>twenty-third</w:t>
      </w:r>
      <w:r w:rsidR="004B7132" w:rsidRPr="00DD6A2F">
        <w:rPr>
          <w:lang w:val="en-US"/>
        </w:rPr>
        <w:t xml:space="preserve"> revi</w:t>
      </w:r>
      <w:r w:rsidR="00A718AA">
        <w:rPr>
          <w:lang w:val="en-US"/>
        </w:rPr>
        <w:t>sed edition</w:t>
      </w:r>
      <w:r w:rsidR="004B7132" w:rsidRPr="00DD6A2F">
        <w:rPr>
          <w:lang w:val="en-US"/>
        </w:rPr>
        <w:t xml:space="preserve"> of the </w:t>
      </w:r>
      <w:r w:rsidR="004B7132" w:rsidRPr="00A718AA">
        <w:rPr>
          <w:i/>
          <w:iCs/>
          <w:lang w:val="en-US"/>
        </w:rPr>
        <w:t>Model Regulations</w:t>
      </w:r>
      <w:r w:rsidR="004B7132" w:rsidRPr="00DD6A2F">
        <w:rPr>
          <w:lang w:val="en-US"/>
        </w:rPr>
        <w:t>):</w:t>
      </w:r>
    </w:p>
    <w:p w14:paraId="34A19AF9" w14:textId="77777777" w:rsidR="004E6820" w:rsidRPr="00A826DD" w:rsidRDefault="004E6820" w:rsidP="004E6820">
      <w:pPr>
        <w:jc w:val="center"/>
        <w:rPr>
          <w:b/>
          <w:bCs/>
          <w:lang w:eastAsia="nl-NL"/>
        </w:rPr>
      </w:pPr>
      <w:r w:rsidRPr="00A826DD">
        <w:rPr>
          <w:b/>
          <w:bCs/>
          <w:lang w:eastAsia="nl-NL"/>
        </w:rPr>
        <w:t>Table 2.2.9.1.10.4.6.2.2: Classification of a mixture for acute hazards based on summation of the concentrations of classified ingredients</w:t>
      </w:r>
    </w:p>
    <w:p w14:paraId="36C31AA6" w14:textId="77777777" w:rsidR="004E6820" w:rsidRPr="00A826DD" w:rsidRDefault="004E6820" w:rsidP="004E6820">
      <w:pPr>
        <w:jc w:val="center"/>
        <w:rPr>
          <w:b/>
          <w:bCs/>
          <w:lang w:eastAsia="nl-NL"/>
        </w:rPr>
      </w:pPr>
    </w:p>
    <w:tbl>
      <w:tblPr>
        <w:tblW w:w="7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40"/>
        <w:gridCol w:w="3655"/>
      </w:tblGrid>
      <w:tr w:rsidR="004E6820" w:rsidRPr="00A826DD" w14:paraId="702D44B2" w14:textId="77777777" w:rsidTr="00A7489C">
        <w:trPr>
          <w:cantSplit/>
          <w:jc w:val="center"/>
        </w:trPr>
        <w:tc>
          <w:tcPr>
            <w:tcW w:w="4140" w:type="dxa"/>
          </w:tcPr>
          <w:p w14:paraId="75E22420" w14:textId="77777777" w:rsidR="004E6820" w:rsidRPr="00A826DD" w:rsidRDefault="004E6820" w:rsidP="00A7489C">
            <w:pPr>
              <w:ind w:right="-14"/>
              <w:jc w:val="center"/>
            </w:pPr>
            <w:r w:rsidRPr="00A826DD">
              <w:t>Sum of the concentrations (in %) of ingredients classified as:</w:t>
            </w:r>
          </w:p>
        </w:tc>
        <w:tc>
          <w:tcPr>
            <w:tcW w:w="3655" w:type="dxa"/>
          </w:tcPr>
          <w:p w14:paraId="7F90C6F3" w14:textId="77777777" w:rsidR="004E6820" w:rsidRPr="00A826DD" w:rsidRDefault="004E6820" w:rsidP="00A7489C">
            <w:pPr>
              <w:tabs>
                <w:tab w:val="left" w:pos="1980"/>
              </w:tabs>
              <w:ind w:left="1980" w:hanging="1980"/>
              <w:jc w:val="center"/>
            </w:pPr>
            <w:r w:rsidRPr="00A826DD">
              <w:t>Mixture classified as:</w:t>
            </w:r>
          </w:p>
        </w:tc>
      </w:tr>
      <w:tr w:rsidR="004E6820" w:rsidRPr="00A826DD" w14:paraId="2D27A23C" w14:textId="77777777" w:rsidTr="00A7489C">
        <w:trPr>
          <w:cantSplit/>
          <w:jc w:val="center"/>
        </w:trPr>
        <w:tc>
          <w:tcPr>
            <w:tcW w:w="4140" w:type="dxa"/>
          </w:tcPr>
          <w:p w14:paraId="13B15A93" w14:textId="77777777" w:rsidR="004E6820" w:rsidRPr="00A826DD" w:rsidRDefault="004E6820" w:rsidP="00A7489C">
            <w:pPr>
              <w:ind w:left="2" w:hanging="2"/>
              <w:jc w:val="center"/>
              <w:rPr>
                <w:lang w:eastAsia="nl-NL"/>
              </w:rPr>
            </w:pPr>
            <w:r w:rsidRPr="00A826DD">
              <w:rPr>
                <w:lang w:eastAsia="nl-NL"/>
              </w:rPr>
              <w:t xml:space="preserve">Acute 1 </w:t>
            </w:r>
            <w:r w:rsidRPr="00A826DD">
              <w:rPr>
                <w:lang w:eastAsia="nl-NL"/>
              </w:rPr>
              <w:sym w:font="Symbol" w:char="F0B4"/>
            </w:r>
            <w:r w:rsidRPr="00A826DD">
              <w:rPr>
                <w:lang w:eastAsia="nl-NL"/>
              </w:rPr>
              <w:t xml:space="preserve"> M </w:t>
            </w:r>
            <w:r w:rsidRPr="00A826DD">
              <w:rPr>
                <w:b/>
                <w:bCs/>
                <w:vertAlign w:val="superscript"/>
                <w:lang w:eastAsia="nl-NL"/>
              </w:rPr>
              <w:t>a</w:t>
            </w:r>
            <w:r w:rsidRPr="00A826DD">
              <w:rPr>
                <w:lang w:eastAsia="nl-NL"/>
              </w:rPr>
              <w:t xml:space="preserve"> </w:t>
            </w:r>
            <w:r w:rsidRPr="00A826DD">
              <w:rPr>
                <w:lang w:eastAsia="nl-NL"/>
              </w:rPr>
              <w:sym w:font="Symbol" w:char="F0B3"/>
            </w:r>
            <w:r w:rsidRPr="00A826DD">
              <w:rPr>
                <w:lang w:eastAsia="nl-NL"/>
              </w:rPr>
              <w:t xml:space="preserve"> 25 %</w:t>
            </w:r>
          </w:p>
        </w:tc>
        <w:tc>
          <w:tcPr>
            <w:tcW w:w="3655" w:type="dxa"/>
          </w:tcPr>
          <w:p w14:paraId="15EC8143" w14:textId="77777777" w:rsidR="004E6820" w:rsidRPr="00A826DD" w:rsidRDefault="004E6820" w:rsidP="00A7489C">
            <w:pPr>
              <w:tabs>
                <w:tab w:val="left" w:pos="1980"/>
              </w:tabs>
              <w:ind w:left="1980" w:hanging="1980"/>
              <w:jc w:val="center"/>
            </w:pPr>
            <w:r w:rsidRPr="00A826DD">
              <w:t>Acute 1</w:t>
            </w:r>
          </w:p>
        </w:tc>
      </w:tr>
    </w:tbl>
    <w:p w14:paraId="6487A8CB" w14:textId="77777777" w:rsidR="004E6820" w:rsidRPr="00A826DD" w:rsidRDefault="004E6820" w:rsidP="004E6820">
      <w:pPr>
        <w:tabs>
          <w:tab w:val="left" w:pos="1418"/>
          <w:tab w:val="left" w:pos="1980"/>
        </w:tabs>
        <w:ind w:left="1979" w:hanging="986"/>
        <w:rPr>
          <w:lang w:eastAsia="nl-NL"/>
        </w:rPr>
      </w:pPr>
      <w:proofErr w:type="spellStart"/>
      <w:r w:rsidRPr="00A826DD">
        <w:rPr>
          <w:b/>
          <w:vertAlign w:val="superscript"/>
          <w:lang w:eastAsia="nl-NL"/>
        </w:rPr>
        <w:t>a</w:t>
      </w:r>
      <w:proofErr w:type="spellEnd"/>
      <w:r w:rsidRPr="00A826DD">
        <w:rPr>
          <w:b/>
          <w:bCs/>
          <w:lang w:eastAsia="nl-NL"/>
        </w:rPr>
        <w:t xml:space="preserve">  </w:t>
      </w:r>
      <w:r w:rsidRPr="00A826DD">
        <w:rPr>
          <w:i/>
          <w:lang w:eastAsia="nl-NL"/>
        </w:rPr>
        <w:t>For explanation of the M factor, see 2.2.9.1.10.4.6.4.</w:t>
      </w:r>
    </w:p>
    <w:p w14:paraId="40A30F5A" w14:textId="77777777" w:rsidR="00A718AA" w:rsidRPr="00A826DD" w:rsidRDefault="00A718AA" w:rsidP="00A718AA">
      <w:pPr>
        <w:spacing w:after="200"/>
        <w:ind w:left="1701" w:hanging="1701"/>
      </w:pPr>
    </w:p>
    <w:p w14:paraId="4A90C616" w14:textId="77777777" w:rsidR="00A718AA" w:rsidRPr="00A826DD" w:rsidRDefault="00A718AA" w:rsidP="00A718AA">
      <w:pPr>
        <w:keepNext/>
        <w:keepLines/>
        <w:jc w:val="center"/>
        <w:rPr>
          <w:b/>
          <w:bCs/>
        </w:rPr>
      </w:pPr>
      <w:r w:rsidRPr="00A826DD">
        <w:rPr>
          <w:b/>
          <w:bCs/>
        </w:rPr>
        <w:t>Table 2.2.9.1.10.4.6.3.3: Classification of a mixture for long-term hazards based on summation of the concentrations of classified ingredients</w:t>
      </w:r>
    </w:p>
    <w:p w14:paraId="2F0C2464" w14:textId="77777777" w:rsidR="00A718AA" w:rsidRPr="00A826DD" w:rsidRDefault="00A718AA" w:rsidP="00A718AA">
      <w:pPr>
        <w:pStyle w:val="SingleTxtG"/>
        <w:keepNext/>
        <w:keepLines/>
        <w:rPr>
          <w:b/>
          <w:bCs/>
        </w:rPr>
      </w:pPr>
    </w:p>
    <w:tbl>
      <w:tblPr>
        <w:tblW w:w="73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21"/>
        <w:gridCol w:w="1007"/>
        <w:gridCol w:w="2943"/>
      </w:tblGrid>
      <w:tr w:rsidR="00A718AA" w:rsidRPr="00A826DD" w14:paraId="5E5843B8" w14:textId="77777777" w:rsidTr="00A7489C">
        <w:trPr>
          <w:jc w:val="center"/>
        </w:trPr>
        <w:tc>
          <w:tcPr>
            <w:tcW w:w="4428" w:type="dxa"/>
            <w:gridSpan w:val="2"/>
          </w:tcPr>
          <w:p w14:paraId="7FDCE777" w14:textId="77777777" w:rsidR="00A718AA" w:rsidRPr="00A826DD" w:rsidRDefault="00A718AA" w:rsidP="00A7489C">
            <w:pPr>
              <w:spacing w:before="40" w:after="40"/>
              <w:jc w:val="center"/>
            </w:pPr>
            <w:r w:rsidRPr="00A826DD">
              <w:t>Sum of the concentrations (in %) of ingredients classified as:</w:t>
            </w:r>
          </w:p>
        </w:tc>
        <w:tc>
          <w:tcPr>
            <w:tcW w:w="2943" w:type="dxa"/>
          </w:tcPr>
          <w:p w14:paraId="58A8C9F3" w14:textId="77777777" w:rsidR="00A718AA" w:rsidRPr="00A826DD" w:rsidRDefault="00A718AA" w:rsidP="00A7489C">
            <w:pPr>
              <w:tabs>
                <w:tab w:val="left" w:pos="1980"/>
              </w:tabs>
              <w:spacing w:before="40" w:after="40"/>
              <w:ind w:left="1980" w:hanging="1980"/>
              <w:jc w:val="center"/>
            </w:pPr>
            <w:r w:rsidRPr="00A826DD">
              <w:t>Mixture classified as:</w:t>
            </w:r>
          </w:p>
        </w:tc>
      </w:tr>
      <w:tr w:rsidR="00A718AA" w:rsidRPr="00A826DD" w14:paraId="51595F7E" w14:textId="77777777" w:rsidTr="00A7489C">
        <w:trPr>
          <w:jc w:val="center"/>
        </w:trPr>
        <w:tc>
          <w:tcPr>
            <w:tcW w:w="3421" w:type="dxa"/>
            <w:tcBorders>
              <w:right w:val="nil"/>
            </w:tcBorders>
          </w:tcPr>
          <w:p w14:paraId="7B2ADEE1" w14:textId="77777777" w:rsidR="00A718AA" w:rsidRPr="00A826DD" w:rsidRDefault="00A718AA" w:rsidP="00A7489C">
            <w:pPr>
              <w:keepNext/>
              <w:keepLines/>
              <w:spacing w:before="40" w:after="40"/>
              <w:rPr>
                <w:rFonts w:eastAsia="SimSun"/>
              </w:rPr>
            </w:pPr>
            <w:r w:rsidRPr="00A826DD">
              <w:rPr>
                <w:rFonts w:eastAsia="SimSun"/>
              </w:rPr>
              <w:t xml:space="preserve">Chronic 1 </w:t>
            </w:r>
            <w:r w:rsidRPr="00A826DD">
              <w:rPr>
                <w:rFonts w:eastAsia="SimSun"/>
              </w:rPr>
              <w:sym w:font="Symbol" w:char="F0B4"/>
            </w:r>
            <w:r w:rsidRPr="00A826DD">
              <w:rPr>
                <w:rFonts w:eastAsia="SimSun"/>
              </w:rPr>
              <w:t xml:space="preserve"> M </w:t>
            </w:r>
            <w:r w:rsidRPr="00A826DD">
              <w:rPr>
                <w:rFonts w:eastAsia="SimSun"/>
                <w:b/>
                <w:bCs/>
                <w:vertAlign w:val="superscript"/>
              </w:rPr>
              <w:t>a</w:t>
            </w:r>
            <w:r w:rsidRPr="00A826DD">
              <w:rPr>
                <w:rFonts w:eastAsia="SimSun"/>
                <w:vertAlign w:val="superscript"/>
              </w:rPr>
              <w:t xml:space="preserve"> </w:t>
            </w:r>
          </w:p>
        </w:tc>
        <w:tc>
          <w:tcPr>
            <w:tcW w:w="1007" w:type="dxa"/>
            <w:tcBorders>
              <w:left w:val="nil"/>
            </w:tcBorders>
          </w:tcPr>
          <w:p w14:paraId="36B5534D" w14:textId="77777777" w:rsidR="00A718AA" w:rsidRPr="00A826DD" w:rsidRDefault="00A718AA" w:rsidP="00A7489C">
            <w:pPr>
              <w:keepNext/>
              <w:keepLines/>
              <w:spacing w:before="40" w:after="40"/>
              <w:rPr>
                <w:rFonts w:eastAsia="SimSun"/>
              </w:rPr>
            </w:pPr>
            <w:r w:rsidRPr="00A826DD">
              <w:rPr>
                <w:rFonts w:eastAsia="SimSun"/>
              </w:rPr>
              <w:sym w:font="Symbol" w:char="F0B3"/>
            </w:r>
            <w:r w:rsidRPr="00A826DD">
              <w:rPr>
                <w:rFonts w:eastAsia="SimSun"/>
              </w:rPr>
              <w:t> 25 %</w:t>
            </w:r>
          </w:p>
        </w:tc>
        <w:tc>
          <w:tcPr>
            <w:tcW w:w="2943" w:type="dxa"/>
          </w:tcPr>
          <w:p w14:paraId="65498AA9" w14:textId="77777777" w:rsidR="00A718AA" w:rsidRPr="00A826DD" w:rsidRDefault="00A718AA" w:rsidP="00A7489C">
            <w:pPr>
              <w:keepNext/>
              <w:keepLines/>
              <w:spacing w:before="40" w:after="40"/>
              <w:jc w:val="center"/>
              <w:rPr>
                <w:rFonts w:eastAsia="SimSun"/>
              </w:rPr>
            </w:pPr>
            <w:r w:rsidRPr="00A826DD">
              <w:rPr>
                <w:rFonts w:eastAsia="SimSun"/>
              </w:rPr>
              <w:t>Chronic 1</w:t>
            </w:r>
          </w:p>
        </w:tc>
      </w:tr>
      <w:tr w:rsidR="00A718AA" w:rsidRPr="00A826DD" w14:paraId="3CFB717F" w14:textId="77777777" w:rsidTr="00A7489C">
        <w:trPr>
          <w:jc w:val="center"/>
        </w:trPr>
        <w:tc>
          <w:tcPr>
            <w:tcW w:w="3421" w:type="dxa"/>
            <w:tcBorders>
              <w:right w:val="nil"/>
            </w:tcBorders>
          </w:tcPr>
          <w:p w14:paraId="6CB14667" w14:textId="77777777" w:rsidR="00A718AA" w:rsidRPr="00A826DD" w:rsidRDefault="00A718AA" w:rsidP="00A7489C">
            <w:pPr>
              <w:spacing w:before="40" w:after="40"/>
              <w:rPr>
                <w:rFonts w:eastAsia="SimSun"/>
              </w:rPr>
            </w:pPr>
            <w:r w:rsidRPr="00A826DD">
              <w:rPr>
                <w:rFonts w:eastAsia="SimSun"/>
              </w:rPr>
              <w:t xml:space="preserve">(M </w:t>
            </w:r>
            <w:r w:rsidRPr="00A826DD">
              <w:rPr>
                <w:rFonts w:eastAsia="SimSun"/>
              </w:rPr>
              <w:sym w:font="Symbol" w:char="F0B4"/>
            </w:r>
            <w:r w:rsidRPr="00A826DD">
              <w:rPr>
                <w:rFonts w:eastAsia="SimSun"/>
              </w:rPr>
              <w:t xml:space="preserve"> 10 </w:t>
            </w:r>
            <w:r w:rsidRPr="00A826DD">
              <w:rPr>
                <w:rFonts w:eastAsia="SimSun"/>
              </w:rPr>
              <w:sym w:font="Symbol" w:char="F0B4"/>
            </w:r>
            <w:r w:rsidRPr="00A826DD">
              <w:rPr>
                <w:rFonts w:eastAsia="SimSun"/>
              </w:rPr>
              <w:t xml:space="preserve"> </w:t>
            </w:r>
            <w:r w:rsidRPr="00A826DD">
              <w:t xml:space="preserve">Chronic </w:t>
            </w:r>
            <w:r w:rsidRPr="00A826DD">
              <w:rPr>
                <w:rFonts w:eastAsia="SimSun"/>
              </w:rPr>
              <w:t xml:space="preserve">1) + Chronic 2 </w:t>
            </w:r>
          </w:p>
        </w:tc>
        <w:tc>
          <w:tcPr>
            <w:tcW w:w="1007" w:type="dxa"/>
            <w:tcBorders>
              <w:left w:val="nil"/>
            </w:tcBorders>
          </w:tcPr>
          <w:p w14:paraId="67E6D141" w14:textId="77777777" w:rsidR="00A718AA" w:rsidRPr="00A826DD" w:rsidRDefault="00A718AA" w:rsidP="00A7489C">
            <w:pPr>
              <w:spacing w:before="40" w:after="40"/>
              <w:rPr>
                <w:rFonts w:eastAsia="SimSun"/>
              </w:rPr>
            </w:pPr>
            <w:r w:rsidRPr="00A826DD">
              <w:rPr>
                <w:rFonts w:eastAsia="SimSun"/>
              </w:rPr>
              <w:sym w:font="Symbol" w:char="F0B3"/>
            </w:r>
            <w:r w:rsidRPr="00A826DD">
              <w:rPr>
                <w:rFonts w:eastAsia="SimSun"/>
              </w:rPr>
              <w:t> 25 %</w:t>
            </w:r>
          </w:p>
        </w:tc>
        <w:tc>
          <w:tcPr>
            <w:tcW w:w="2943" w:type="dxa"/>
          </w:tcPr>
          <w:p w14:paraId="1CF6A3ED" w14:textId="77777777" w:rsidR="00A718AA" w:rsidRPr="00A826DD" w:rsidRDefault="00A718AA" w:rsidP="00A7489C">
            <w:pPr>
              <w:spacing w:before="40" w:after="40"/>
              <w:jc w:val="center"/>
              <w:rPr>
                <w:rFonts w:eastAsia="SimSun"/>
              </w:rPr>
            </w:pPr>
            <w:r w:rsidRPr="00A826DD">
              <w:rPr>
                <w:rFonts w:eastAsia="SimSun"/>
              </w:rPr>
              <w:t>Chronic 2</w:t>
            </w:r>
          </w:p>
        </w:tc>
      </w:tr>
    </w:tbl>
    <w:p w14:paraId="153DEA09" w14:textId="77777777" w:rsidR="00A718AA" w:rsidRPr="00A826DD" w:rsidRDefault="00A718AA" w:rsidP="00A718AA">
      <w:pPr>
        <w:ind w:left="1134" w:hanging="1134"/>
      </w:pPr>
      <w:r w:rsidRPr="00A826DD">
        <w:rPr>
          <w:b/>
          <w:iCs/>
          <w:vertAlign w:val="superscript"/>
        </w:rPr>
        <w:tab/>
      </w:r>
      <w:proofErr w:type="spellStart"/>
      <w:r w:rsidRPr="00A826DD">
        <w:rPr>
          <w:b/>
          <w:iCs/>
          <w:vertAlign w:val="superscript"/>
        </w:rPr>
        <w:t>a</w:t>
      </w:r>
      <w:proofErr w:type="spellEnd"/>
      <w:r w:rsidRPr="00A826DD">
        <w:rPr>
          <w:rFonts w:eastAsia="SimSun"/>
        </w:rPr>
        <w:t xml:space="preserve">  </w:t>
      </w:r>
      <w:r w:rsidRPr="00A826DD">
        <w:rPr>
          <w:rFonts w:eastAsia="SimSun"/>
          <w:i/>
        </w:rPr>
        <w:t>For explanation of the M factor, see 2.2.9.1.10.4.6.4.</w:t>
      </w:r>
    </w:p>
    <w:p w14:paraId="03480708" w14:textId="77777777" w:rsidR="00A718AA" w:rsidRPr="00A826DD" w:rsidRDefault="00A718AA" w:rsidP="00A718AA">
      <w:pPr>
        <w:ind w:left="1701" w:hanging="1701"/>
        <w:rPr>
          <w:lang w:eastAsia="nl-NL"/>
        </w:rPr>
      </w:pPr>
    </w:p>
    <w:p w14:paraId="74548DA9" w14:textId="35F79D7D" w:rsidR="004B7132" w:rsidRPr="00DD6A2F" w:rsidRDefault="003229B9" w:rsidP="00180D6B">
      <w:pPr>
        <w:pStyle w:val="SingleTxtG"/>
      </w:pPr>
      <w:r>
        <w:rPr>
          <w:lang w:val="en-US"/>
        </w:rPr>
        <w:t>10.</w:t>
      </w:r>
      <w:r>
        <w:rPr>
          <w:lang w:val="en-US"/>
        </w:rPr>
        <w:tab/>
      </w:r>
      <w:r w:rsidR="004B7132" w:rsidRPr="00DD6A2F">
        <w:rPr>
          <w:lang w:val="en-US"/>
        </w:rPr>
        <w:t>The M-factor (Multiplication factor) is used for substances that are highly toxic to the environment and are based on harmonized classification or the self-classification of substances (based on manufacturer/supplier ecotoxicity information). The purpose of applying the M-factor is to give an increased weight to highly toxic substances when classifying a mixture.</w:t>
      </w:r>
    </w:p>
    <w:p w14:paraId="6ACB9510" w14:textId="61699AC6" w:rsidR="004B7132" w:rsidRDefault="003229B9" w:rsidP="00180D6B">
      <w:pPr>
        <w:pStyle w:val="SingleTxtG"/>
        <w:rPr>
          <w:lang w:val="en-US"/>
        </w:rPr>
      </w:pPr>
      <w:r>
        <w:rPr>
          <w:lang w:val="en-US"/>
        </w:rPr>
        <w:t>11.</w:t>
      </w:r>
      <w:r>
        <w:rPr>
          <w:lang w:val="en-US"/>
        </w:rPr>
        <w:tab/>
      </w:r>
      <w:r w:rsidR="004B7132" w:rsidRPr="00DD6A2F">
        <w:rPr>
          <w:lang w:val="en-US"/>
        </w:rPr>
        <w:t>The M-factor applies to acute and chronic category 1 and its eco-toxicity value:</w:t>
      </w:r>
    </w:p>
    <w:p w14:paraId="0496DFEB" w14:textId="77777777" w:rsidR="009705C0" w:rsidRPr="00A826DD" w:rsidRDefault="009705C0" w:rsidP="009705C0">
      <w:pPr>
        <w:keepNext/>
        <w:jc w:val="center"/>
        <w:rPr>
          <w:rFonts w:eastAsia="SimSun"/>
          <w:b/>
          <w:bCs/>
        </w:rPr>
      </w:pPr>
      <w:r w:rsidRPr="00A826DD">
        <w:rPr>
          <w:rFonts w:eastAsia="SimSun"/>
          <w:b/>
          <w:bCs/>
        </w:rPr>
        <w:lastRenderedPageBreak/>
        <w:t>Table 2.2.9.1.10.4.6.4: Multiplying factors for highly toxic ingredients of mixtures</w:t>
      </w:r>
    </w:p>
    <w:p w14:paraId="2B18E262" w14:textId="77777777" w:rsidR="009705C0" w:rsidRPr="00A826DD" w:rsidRDefault="009705C0" w:rsidP="009705C0">
      <w:pPr>
        <w:keepNext/>
        <w:jc w:val="center"/>
        <w:rPr>
          <w:rFonts w:eastAsia="SimSu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10"/>
        <w:gridCol w:w="806"/>
        <w:gridCol w:w="2423"/>
        <w:gridCol w:w="1687"/>
        <w:gridCol w:w="1550"/>
      </w:tblGrid>
      <w:tr w:rsidR="009705C0" w:rsidRPr="00A826DD" w14:paraId="0F7B8638" w14:textId="77777777" w:rsidTr="00A7489C">
        <w:trPr>
          <w:jc w:val="center"/>
        </w:trPr>
        <w:tc>
          <w:tcPr>
            <w:tcW w:w="0" w:type="auto"/>
          </w:tcPr>
          <w:p w14:paraId="74B1A34A" w14:textId="77777777" w:rsidR="009705C0" w:rsidRPr="00A826DD" w:rsidRDefault="009705C0" w:rsidP="00A7489C">
            <w:pPr>
              <w:keepNext/>
              <w:keepLines/>
              <w:jc w:val="center"/>
              <w:rPr>
                <w:rFonts w:eastAsia="SimSun"/>
                <w:b/>
                <w:bCs/>
              </w:rPr>
            </w:pPr>
            <w:r w:rsidRPr="00A826DD">
              <w:rPr>
                <w:rFonts w:eastAsia="SimSun"/>
                <w:b/>
                <w:bCs/>
              </w:rPr>
              <w:t>Acute toxicity</w:t>
            </w:r>
          </w:p>
        </w:tc>
        <w:tc>
          <w:tcPr>
            <w:tcW w:w="0" w:type="auto"/>
          </w:tcPr>
          <w:p w14:paraId="5DD237FB" w14:textId="77777777" w:rsidR="009705C0" w:rsidRPr="00A826DD" w:rsidRDefault="009705C0" w:rsidP="00A7489C">
            <w:pPr>
              <w:keepNext/>
              <w:keepLines/>
              <w:jc w:val="center"/>
              <w:rPr>
                <w:rFonts w:eastAsia="SimSun"/>
                <w:b/>
                <w:bCs/>
              </w:rPr>
            </w:pPr>
            <w:r w:rsidRPr="00A826DD">
              <w:rPr>
                <w:rFonts w:eastAsia="SimSun"/>
                <w:b/>
                <w:bCs/>
              </w:rPr>
              <w:t>M factor</w:t>
            </w:r>
          </w:p>
        </w:tc>
        <w:tc>
          <w:tcPr>
            <w:tcW w:w="0" w:type="auto"/>
          </w:tcPr>
          <w:p w14:paraId="64BA79D0" w14:textId="77777777" w:rsidR="009705C0" w:rsidRPr="00A826DD" w:rsidRDefault="009705C0" w:rsidP="00A7489C">
            <w:pPr>
              <w:keepNext/>
              <w:keepLines/>
              <w:jc w:val="center"/>
              <w:rPr>
                <w:rFonts w:eastAsia="SimSun"/>
                <w:b/>
                <w:bCs/>
              </w:rPr>
            </w:pPr>
            <w:r w:rsidRPr="00A826DD">
              <w:rPr>
                <w:b/>
                <w:bCs/>
              </w:rPr>
              <w:t>Chronic toxicity</w:t>
            </w:r>
          </w:p>
        </w:tc>
        <w:tc>
          <w:tcPr>
            <w:tcW w:w="0" w:type="auto"/>
            <w:gridSpan w:val="2"/>
          </w:tcPr>
          <w:p w14:paraId="60E01466" w14:textId="77777777" w:rsidR="009705C0" w:rsidRPr="00A826DD" w:rsidRDefault="009705C0" w:rsidP="00A7489C">
            <w:pPr>
              <w:keepNext/>
              <w:keepLines/>
              <w:jc w:val="center"/>
              <w:rPr>
                <w:rFonts w:eastAsia="SimSun"/>
                <w:b/>
                <w:bCs/>
              </w:rPr>
            </w:pPr>
            <w:r w:rsidRPr="00A826DD">
              <w:rPr>
                <w:b/>
                <w:bCs/>
              </w:rPr>
              <w:t>M factor</w:t>
            </w:r>
          </w:p>
        </w:tc>
      </w:tr>
      <w:tr w:rsidR="009705C0" w:rsidRPr="00A826DD" w14:paraId="5B57C50B" w14:textId="77777777" w:rsidTr="00A7489C">
        <w:trPr>
          <w:jc w:val="center"/>
        </w:trPr>
        <w:tc>
          <w:tcPr>
            <w:tcW w:w="0" w:type="auto"/>
          </w:tcPr>
          <w:p w14:paraId="10D8BACF" w14:textId="77777777" w:rsidR="009705C0" w:rsidRPr="00A826DD" w:rsidRDefault="009705C0" w:rsidP="00A7489C">
            <w:pPr>
              <w:keepNext/>
              <w:keepLines/>
              <w:spacing w:before="40" w:after="40"/>
              <w:jc w:val="center"/>
            </w:pPr>
            <w:r w:rsidRPr="00A826DD">
              <w:rPr>
                <w:rFonts w:eastAsia="SimSun"/>
                <w:b/>
                <w:bCs/>
              </w:rPr>
              <w:t>L(E)C₅₀</w:t>
            </w:r>
            <w:r w:rsidRPr="00A826DD">
              <w:rPr>
                <w:rFonts w:eastAsia="SimSun"/>
                <w:b/>
                <w:bCs/>
                <w:vertAlign w:val="subscript"/>
              </w:rPr>
              <w:t xml:space="preserve"> </w:t>
            </w:r>
            <w:r w:rsidRPr="00A826DD">
              <w:rPr>
                <w:rFonts w:eastAsia="SimSun"/>
                <w:b/>
                <w:bCs/>
              </w:rPr>
              <w:t>value</w:t>
            </w:r>
          </w:p>
        </w:tc>
        <w:tc>
          <w:tcPr>
            <w:tcW w:w="0" w:type="auto"/>
            <w:vAlign w:val="center"/>
          </w:tcPr>
          <w:p w14:paraId="65834DF8" w14:textId="77777777" w:rsidR="009705C0" w:rsidRPr="00A826DD" w:rsidRDefault="009705C0" w:rsidP="00A7489C">
            <w:pPr>
              <w:keepNext/>
              <w:keepLines/>
              <w:jc w:val="center"/>
              <w:rPr>
                <w:rFonts w:eastAsia="SimSun"/>
              </w:rPr>
            </w:pPr>
          </w:p>
        </w:tc>
        <w:tc>
          <w:tcPr>
            <w:tcW w:w="0" w:type="auto"/>
          </w:tcPr>
          <w:p w14:paraId="79531AD3" w14:textId="77777777" w:rsidR="009705C0" w:rsidRPr="00A826DD" w:rsidRDefault="009705C0" w:rsidP="00A7489C">
            <w:pPr>
              <w:keepNext/>
              <w:keepLines/>
              <w:spacing w:before="40" w:after="40"/>
              <w:jc w:val="center"/>
            </w:pPr>
            <w:r w:rsidRPr="00A826DD">
              <w:rPr>
                <w:rFonts w:eastAsia="SimSun"/>
                <w:b/>
                <w:bCs/>
              </w:rPr>
              <w:t>NOEC value</w:t>
            </w:r>
          </w:p>
        </w:tc>
        <w:tc>
          <w:tcPr>
            <w:tcW w:w="0" w:type="auto"/>
            <w:vAlign w:val="center"/>
          </w:tcPr>
          <w:p w14:paraId="04391AE6" w14:textId="77777777" w:rsidR="009705C0" w:rsidRPr="00A826DD" w:rsidRDefault="009705C0" w:rsidP="00A7489C">
            <w:pPr>
              <w:ind w:hanging="23"/>
              <w:jc w:val="center"/>
              <w:rPr>
                <w:rFonts w:eastAsia="SimSun"/>
              </w:rPr>
            </w:pPr>
            <w:r w:rsidRPr="00A826DD">
              <w:rPr>
                <w:rFonts w:eastAsia="SimSun"/>
                <w:b/>
                <w:bCs/>
              </w:rPr>
              <w:t xml:space="preserve">NRD </w:t>
            </w:r>
            <w:r w:rsidRPr="00A826DD">
              <w:rPr>
                <w:rFonts w:eastAsia="SimSun"/>
                <w:b/>
                <w:bCs/>
                <w:vertAlign w:val="superscript"/>
              </w:rPr>
              <w:t>a</w:t>
            </w:r>
            <w:r w:rsidRPr="00A826DD">
              <w:rPr>
                <w:rFonts w:eastAsia="SimSun"/>
                <w:b/>
                <w:bCs/>
              </w:rPr>
              <w:t xml:space="preserve"> ingredients</w:t>
            </w:r>
          </w:p>
        </w:tc>
        <w:tc>
          <w:tcPr>
            <w:tcW w:w="0" w:type="auto"/>
            <w:vAlign w:val="center"/>
          </w:tcPr>
          <w:p w14:paraId="1DC9A1FA" w14:textId="77777777" w:rsidR="009705C0" w:rsidRPr="00A826DD" w:rsidRDefault="009705C0" w:rsidP="00A7489C">
            <w:pPr>
              <w:ind w:hanging="23"/>
              <w:jc w:val="center"/>
              <w:rPr>
                <w:rFonts w:eastAsia="SimSun"/>
                <w:b/>
                <w:bCs/>
              </w:rPr>
            </w:pPr>
            <w:r w:rsidRPr="00A826DD">
              <w:rPr>
                <w:rFonts w:eastAsia="SimSun"/>
                <w:b/>
                <w:bCs/>
              </w:rPr>
              <w:t xml:space="preserve">RD </w:t>
            </w:r>
            <w:r w:rsidRPr="00A826DD">
              <w:rPr>
                <w:rFonts w:eastAsia="SimSun"/>
                <w:b/>
                <w:bCs/>
                <w:vertAlign w:val="superscript"/>
              </w:rPr>
              <w:t>b</w:t>
            </w:r>
            <w:r w:rsidRPr="00A826DD">
              <w:rPr>
                <w:rFonts w:eastAsia="SimSun"/>
                <w:b/>
                <w:bCs/>
              </w:rPr>
              <w:t xml:space="preserve"> ingredients</w:t>
            </w:r>
          </w:p>
        </w:tc>
      </w:tr>
      <w:tr w:rsidR="009705C0" w:rsidRPr="00A826DD" w14:paraId="28FA1C10" w14:textId="77777777" w:rsidTr="00A7489C">
        <w:trPr>
          <w:jc w:val="center"/>
        </w:trPr>
        <w:tc>
          <w:tcPr>
            <w:tcW w:w="0" w:type="auto"/>
          </w:tcPr>
          <w:p w14:paraId="512F0CF0" w14:textId="77777777" w:rsidR="009705C0" w:rsidRPr="00A826DD" w:rsidRDefault="009705C0" w:rsidP="00A7489C">
            <w:pPr>
              <w:keepNext/>
              <w:keepLines/>
              <w:spacing w:before="40" w:after="40"/>
              <w:jc w:val="center"/>
            </w:pPr>
            <w:r w:rsidRPr="00A826DD">
              <w:t>0.1 &lt; L(E)C₅₀ ≤ 1</w:t>
            </w:r>
          </w:p>
        </w:tc>
        <w:tc>
          <w:tcPr>
            <w:tcW w:w="0" w:type="auto"/>
            <w:vAlign w:val="center"/>
          </w:tcPr>
          <w:p w14:paraId="15103A24" w14:textId="77777777" w:rsidR="009705C0" w:rsidRPr="00A826DD" w:rsidRDefault="009705C0" w:rsidP="00A7489C">
            <w:pPr>
              <w:keepNext/>
              <w:keepLines/>
              <w:jc w:val="center"/>
              <w:rPr>
                <w:rFonts w:eastAsia="SimSun"/>
              </w:rPr>
            </w:pPr>
            <w:r w:rsidRPr="00A826DD">
              <w:rPr>
                <w:rFonts w:eastAsia="SimSun"/>
              </w:rPr>
              <w:t>1</w:t>
            </w:r>
          </w:p>
        </w:tc>
        <w:tc>
          <w:tcPr>
            <w:tcW w:w="0" w:type="auto"/>
            <w:vAlign w:val="center"/>
          </w:tcPr>
          <w:p w14:paraId="2A934096" w14:textId="77777777" w:rsidR="009705C0" w:rsidRPr="00A826DD" w:rsidRDefault="009705C0" w:rsidP="00A7489C">
            <w:pPr>
              <w:keepNext/>
              <w:keepLines/>
              <w:spacing w:before="40" w:after="40"/>
              <w:jc w:val="center"/>
            </w:pPr>
            <w:r w:rsidRPr="00A826DD">
              <w:t>0.01 &lt; NOEC ≤ 0.1</w:t>
            </w:r>
          </w:p>
        </w:tc>
        <w:tc>
          <w:tcPr>
            <w:tcW w:w="0" w:type="auto"/>
            <w:vAlign w:val="center"/>
          </w:tcPr>
          <w:p w14:paraId="6E21753C" w14:textId="77777777" w:rsidR="009705C0" w:rsidRPr="00A826DD" w:rsidRDefault="009705C0" w:rsidP="00A7489C">
            <w:pPr>
              <w:jc w:val="center"/>
              <w:rPr>
                <w:rFonts w:eastAsia="SimSun"/>
                <w:b/>
                <w:bCs/>
              </w:rPr>
            </w:pPr>
            <w:r w:rsidRPr="00A826DD">
              <w:rPr>
                <w:rFonts w:eastAsia="SimSun"/>
              </w:rPr>
              <w:t>1</w:t>
            </w:r>
          </w:p>
        </w:tc>
        <w:tc>
          <w:tcPr>
            <w:tcW w:w="0" w:type="auto"/>
            <w:vAlign w:val="center"/>
          </w:tcPr>
          <w:p w14:paraId="149B6839" w14:textId="77777777" w:rsidR="009705C0" w:rsidRPr="00A826DD" w:rsidRDefault="009705C0" w:rsidP="00A7489C">
            <w:pPr>
              <w:jc w:val="center"/>
              <w:rPr>
                <w:rFonts w:eastAsia="SimSun"/>
                <w:b/>
                <w:bCs/>
              </w:rPr>
            </w:pPr>
            <w:r w:rsidRPr="00A826DD">
              <w:rPr>
                <w:rFonts w:eastAsia="SimSun"/>
              </w:rPr>
              <w:t>−</w:t>
            </w:r>
          </w:p>
        </w:tc>
      </w:tr>
      <w:tr w:rsidR="009705C0" w:rsidRPr="00A826DD" w14:paraId="5F59FFF0" w14:textId="77777777" w:rsidTr="00A7489C">
        <w:trPr>
          <w:jc w:val="center"/>
        </w:trPr>
        <w:tc>
          <w:tcPr>
            <w:tcW w:w="0" w:type="auto"/>
          </w:tcPr>
          <w:p w14:paraId="1E1364FC" w14:textId="77777777" w:rsidR="009705C0" w:rsidRPr="00A826DD" w:rsidRDefault="009705C0" w:rsidP="00A7489C">
            <w:pPr>
              <w:keepNext/>
              <w:keepLines/>
              <w:spacing w:before="40" w:after="40"/>
              <w:jc w:val="center"/>
            </w:pPr>
            <w:r w:rsidRPr="00A826DD">
              <w:t xml:space="preserve">0.01 &lt; L(E)C₅₀ </w:t>
            </w:r>
            <w:r w:rsidRPr="00A826DD">
              <w:sym w:font="Symbol" w:char="F0A3"/>
            </w:r>
            <w:r w:rsidRPr="00A826DD">
              <w:t xml:space="preserve"> 0.1</w:t>
            </w:r>
          </w:p>
        </w:tc>
        <w:tc>
          <w:tcPr>
            <w:tcW w:w="0" w:type="auto"/>
            <w:vAlign w:val="center"/>
          </w:tcPr>
          <w:p w14:paraId="6915E2D9" w14:textId="77777777" w:rsidR="009705C0" w:rsidRPr="00A826DD" w:rsidRDefault="009705C0" w:rsidP="00A7489C">
            <w:pPr>
              <w:keepNext/>
              <w:keepLines/>
              <w:jc w:val="center"/>
              <w:rPr>
                <w:rFonts w:eastAsia="SimSun"/>
              </w:rPr>
            </w:pPr>
            <w:r w:rsidRPr="00A826DD">
              <w:rPr>
                <w:rFonts w:eastAsia="SimSun"/>
              </w:rPr>
              <w:t>10</w:t>
            </w:r>
          </w:p>
        </w:tc>
        <w:tc>
          <w:tcPr>
            <w:tcW w:w="0" w:type="auto"/>
            <w:vAlign w:val="center"/>
          </w:tcPr>
          <w:p w14:paraId="07AC8DBB" w14:textId="77777777" w:rsidR="009705C0" w:rsidRPr="00A826DD" w:rsidRDefault="009705C0" w:rsidP="00A7489C">
            <w:pPr>
              <w:keepNext/>
              <w:keepLines/>
              <w:spacing w:before="40" w:after="40"/>
              <w:jc w:val="center"/>
            </w:pPr>
            <w:r w:rsidRPr="00A826DD">
              <w:t>0.001 &lt; NOEC ≤ 0.01</w:t>
            </w:r>
          </w:p>
        </w:tc>
        <w:tc>
          <w:tcPr>
            <w:tcW w:w="0" w:type="auto"/>
            <w:vAlign w:val="center"/>
          </w:tcPr>
          <w:p w14:paraId="01C5EBD2" w14:textId="77777777" w:rsidR="009705C0" w:rsidRPr="00A826DD" w:rsidRDefault="009705C0" w:rsidP="00A7489C">
            <w:pPr>
              <w:jc w:val="center"/>
              <w:rPr>
                <w:rFonts w:eastAsia="SimSun"/>
                <w:b/>
                <w:bCs/>
              </w:rPr>
            </w:pPr>
            <w:r w:rsidRPr="00A826DD">
              <w:rPr>
                <w:rFonts w:eastAsia="SimSun"/>
              </w:rPr>
              <w:t>10</w:t>
            </w:r>
          </w:p>
        </w:tc>
        <w:tc>
          <w:tcPr>
            <w:tcW w:w="0" w:type="auto"/>
            <w:vAlign w:val="center"/>
          </w:tcPr>
          <w:p w14:paraId="20F48333" w14:textId="77777777" w:rsidR="009705C0" w:rsidRPr="00A826DD" w:rsidRDefault="009705C0" w:rsidP="00A7489C">
            <w:pPr>
              <w:jc w:val="center"/>
              <w:rPr>
                <w:rFonts w:eastAsia="SimSun"/>
                <w:b/>
                <w:bCs/>
              </w:rPr>
            </w:pPr>
            <w:r w:rsidRPr="00A826DD">
              <w:rPr>
                <w:rFonts w:eastAsia="SimSun"/>
              </w:rPr>
              <w:t>1</w:t>
            </w:r>
          </w:p>
        </w:tc>
      </w:tr>
      <w:tr w:rsidR="009705C0" w:rsidRPr="00A826DD" w14:paraId="00450E9B" w14:textId="77777777" w:rsidTr="00A7489C">
        <w:trPr>
          <w:jc w:val="center"/>
        </w:trPr>
        <w:tc>
          <w:tcPr>
            <w:tcW w:w="0" w:type="auto"/>
          </w:tcPr>
          <w:p w14:paraId="1ABC84D0" w14:textId="77777777" w:rsidR="009705C0" w:rsidRPr="00A826DD" w:rsidRDefault="009705C0" w:rsidP="00A7489C">
            <w:pPr>
              <w:keepNext/>
              <w:keepLines/>
              <w:spacing w:before="40" w:after="40"/>
              <w:jc w:val="center"/>
            </w:pPr>
            <w:r w:rsidRPr="00A826DD">
              <w:t xml:space="preserve">0.001 &lt; L(E)C₅₀ </w:t>
            </w:r>
            <w:r w:rsidRPr="00A826DD">
              <w:sym w:font="Symbol" w:char="F0A3"/>
            </w:r>
            <w:r w:rsidRPr="00A826DD">
              <w:t xml:space="preserve"> 0.01</w:t>
            </w:r>
          </w:p>
        </w:tc>
        <w:tc>
          <w:tcPr>
            <w:tcW w:w="0" w:type="auto"/>
            <w:vAlign w:val="center"/>
          </w:tcPr>
          <w:p w14:paraId="4D3FE53F" w14:textId="77777777" w:rsidR="009705C0" w:rsidRPr="00A826DD" w:rsidRDefault="009705C0" w:rsidP="00A7489C">
            <w:pPr>
              <w:keepNext/>
              <w:keepLines/>
              <w:jc w:val="center"/>
              <w:rPr>
                <w:rFonts w:eastAsia="SimSun"/>
              </w:rPr>
            </w:pPr>
            <w:r w:rsidRPr="00A826DD">
              <w:rPr>
                <w:rFonts w:eastAsia="SimSun"/>
              </w:rPr>
              <w:t>100</w:t>
            </w:r>
          </w:p>
        </w:tc>
        <w:tc>
          <w:tcPr>
            <w:tcW w:w="0" w:type="auto"/>
            <w:vAlign w:val="center"/>
          </w:tcPr>
          <w:p w14:paraId="274A78E1" w14:textId="77777777" w:rsidR="009705C0" w:rsidRPr="00A826DD" w:rsidRDefault="009705C0" w:rsidP="00A7489C">
            <w:pPr>
              <w:keepNext/>
              <w:keepLines/>
              <w:spacing w:before="40" w:after="40"/>
              <w:jc w:val="center"/>
            </w:pPr>
            <w:r w:rsidRPr="00A826DD">
              <w:t>0.0001 &lt; NOEC ≤ 0.001</w:t>
            </w:r>
          </w:p>
        </w:tc>
        <w:tc>
          <w:tcPr>
            <w:tcW w:w="0" w:type="auto"/>
            <w:vAlign w:val="center"/>
          </w:tcPr>
          <w:p w14:paraId="6F0C2527" w14:textId="77777777" w:rsidR="009705C0" w:rsidRPr="00A826DD" w:rsidRDefault="009705C0" w:rsidP="00A7489C">
            <w:pPr>
              <w:jc w:val="center"/>
              <w:rPr>
                <w:rFonts w:eastAsia="SimSun"/>
                <w:b/>
                <w:bCs/>
              </w:rPr>
            </w:pPr>
            <w:r w:rsidRPr="00A826DD">
              <w:rPr>
                <w:rFonts w:eastAsia="SimSun"/>
              </w:rPr>
              <w:t>100</w:t>
            </w:r>
          </w:p>
        </w:tc>
        <w:tc>
          <w:tcPr>
            <w:tcW w:w="0" w:type="auto"/>
            <w:vAlign w:val="center"/>
          </w:tcPr>
          <w:p w14:paraId="3FFA4C11" w14:textId="77777777" w:rsidR="009705C0" w:rsidRPr="00A826DD" w:rsidRDefault="009705C0" w:rsidP="00A7489C">
            <w:pPr>
              <w:jc w:val="center"/>
              <w:rPr>
                <w:rFonts w:eastAsia="SimSun"/>
                <w:b/>
                <w:bCs/>
              </w:rPr>
            </w:pPr>
            <w:r w:rsidRPr="00A826DD">
              <w:rPr>
                <w:rFonts w:eastAsia="SimSun"/>
              </w:rPr>
              <w:t>10</w:t>
            </w:r>
          </w:p>
        </w:tc>
      </w:tr>
      <w:tr w:rsidR="009705C0" w:rsidRPr="00A826DD" w14:paraId="30B4759C" w14:textId="77777777" w:rsidTr="00A7489C">
        <w:trPr>
          <w:jc w:val="center"/>
        </w:trPr>
        <w:tc>
          <w:tcPr>
            <w:tcW w:w="0" w:type="auto"/>
          </w:tcPr>
          <w:p w14:paraId="744E0F65" w14:textId="77777777" w:rsidR="009705C0" w:rsidRPr="00A826DD" w:rsidRDefault="009705C0" w:rsidP="00A7489C">
            <w:pPr>
              <w:keepNext/>
              <w:keepLines/>
              <w:spacing w:before="40" w:after="40"/>
              <w:jc w:val="center"/>
            </w:pPr>
            <w:r w:rsidRPr="00A826DD">
              <w:t xml:space="preserve">0.0001 &lt; L(E)C₅₀ </w:t>
            </w:r>
            <w:r w:rsidRPr="00A826DD">
              <w:sym w:font="Symbol" w:char="F0A3"/>
            </w:r>
            <w:r w:rsidRPr="00A826DD">
              <w:t xml:space="preserve"> 0.001</w:t>
            </w:r>
          </w:p>
        </w:tc>
        <w:tc>
          <w:tcPr>
            <w:tcW w:w="0" w:type="auto"/>
            <w:vAlign w:val="center"/>
          </w:tcPr>
          <w:p w14:paraId="71B193A5" w14:textId="77777777" w:rsidR="009705C0" w:rsidRPr="00A826DD" w:rsidRDefault="009705C0" w:rsidP="00A7489C">
            <w:pPr>
              <w:jc w:val="center"/>
              <w:rPr>
                <w:rFonts w:eastAsia="SimSun"/>
              </w:rPr>
            </w:pPr>
            <w:r w:rsidRPr="00A826DD">
              <w:rPr>
                <w:rFonts w:eastAsia="SimSun"/>
              </w:rPr>
              <w:t>1 000</w:t>
            </w:r>
          </w:p>
        </w:tc>
        <w:tc>
          <w:tcPr>
            <w:tcW w:w="0" w:type="auto"/>
            <w:vAlign w:val="center"/>
          </w:tcPr>
          <w:p w14:paraId="447A1634" w14:textId="77777777" w:rsidR="009705C0" w:rsidRPr="00A826DD" w:rsidRDefault="009705C0" w:rsidP="00A7489C">
            <w:pPr>
              <w:keepNext/>
              <w:keepLines/>
              <w:spacing w:before="40" w:after="40"/>
              <w:jc w:val="center"/>
            </w:pPr>
            <w:r w:rsidRPr="00A826DD">
              <w:t>0.00001 &lt; NOEC ≤ 0.0001</w:t>
            </w:r>
          </w:p>
        </w:tc>
        <w:tc>
          <w:tcPr>
            <w:tcW w:w="0" w:type="auto"/>
            <w:vAlign w:val="center"/>
          </w:tcPr>
          <w:p w14:paraId="1AB2AD13" w14:textId="77777777" w:rsidR="009705C0" w:rsidRPr="00A826DD" w:rsidRDefault="009705C0" w:rsidP="00A7489C">
            <w:pPr>
              <w:jc w:val="center"/>
              <w:rPr>
                <w:rFonts w:eastAsia="SimSun"/>
                <w:b/>
                <w:bCs/>
              </w:rPr>
            </w:pPr>
            <w:r w:rsidRPr="00A826DD">
              <w:rPr>
                <w:rFonts w:eastAsia="SimSun"/>
              </w:rPr>
              <w:t>1 000</w:t>
            </w:r>
          </w:p>
        </w:tc>
        <w:tc>
          <w:tcPr>
            <w:tcW w:w="0" w:type="auto"/>
            <w:vAlign w:val="center"/>
          </w:tcPr>
          <w:p w14:paraId="53A65FC2" w14:textId="77777777" w:rsidR="009705C0" w:rsidRPr="00A826DD" w:rsidRDefault="009705C0" w:rsidP="00A7489C">
            <w:pPr>
              <w:jc w:val="center"/>
              <w:rPr>
                <w:rFonts w:eastAsia="SimSun"/>
                <w:b/>
                <w:bCs/>
              </w:rPr>
            </w:pPr>
            <w:r w:rsidRPr="00A826DD">
              <w:rPr>
                <w:rFonts w:eastAsia="SimSun"/>
              </w:rPr>
              <w:t>100</w:t>
            </w:r>
          </w:p>
        </w:tc>
      </w:tr>
      <w:tr w:rsidR="009705C0" w:rsidRPr="00A826DD" w14:paraId="4BC7C421" w14:textId="77777777" w:rsidTr="00A7489C">
        <w:trPr>
          <w:jc w:val="center"/>
        </w:trPr>
        <w:tc>
          <w:tcPr>
            <w:tcW w:w="0" w:type="auto"/>
          </w:tcPr>
          <w:p w14:paraId="1610BD3D" w14:textId="77777777" w:rsidR="009705C0" w:rsidRPr="00A826DD" w:rsidRDefault="009705C0" w:rsidP="00A7489C">
            <w:pPr>
              <w:keepNext/>
              <w:keepLines/>
              <w:spacing w:before="40" w:after="40"/>
              <w:jc w:val="center"/>
            </w:pPr>
            <w:r w:rsidRPr="00A826DD">
              <w:t xml:space="preserve">0.00001 &lt; L(E)C₅₀ </w:t>
            </w:r>
            <w:r w:rsidRPr="00A826DD">
              <w:sym w:font="Symbol" w:char="F0A3"/>
            </w:r>
            <w:r w:rsidRPr="00A826DD">
              <w:t xml:space="preserve"> 0.0001</w:t>
            </w:r>
          </w:p>
        </w:tc>
        <w:tc>
          <w:tcPr>
            <w:tcW w:w="0" w:type="auto"/>
            <w:vAlign w:val="center"/>
          </w:tcPr>
          <w:p w14:paraId="1B387F4A" w14:textId="77777777" w:rsidR="009705C0" w:rsidRPr="00A826DD" w:rsidRDefault="009705C0" w:rsidP="00A7489C">
            <w:pPr>
              <w:jc w:val="center"/>
              <w:rPr>
                <w:rFonts w:eastAsia="SimSun"/>
              </w:rPr>
            </w:pPr>
            <w:r w:rsidRPr="00A826DD">
              <w:rPr>
                <w:rFonts w:eastAsia="SimSun"/>
              </w:rPr>
              <w:t>10 000</w:t>
            </w:r>
          </w:p>
        </w:tc>
        <w:tc>
          <w:tcPr>
            <w:tcW w:w="0" w:type="auto"/>
            <w:vAlign w:val="center"/>
          </w:tcPr>
          <w:p w14:paraId="61780136" w14:textId="77777777" w:rsidR="009705C0" w:rsidRPr="00A826DD" w:rsidRDefault="009705C0" w:rsidP="00A7489C">
            <w:pPr>
              <w:keepNext/>
              <w:keepLines/>
              <w:spacing w:before="40" w:after="40"/>
              <w:jc w:val="center"/>
            </w:pPr>
            <w:r w:rsidRPr="00A826DD">
              <w:t>0.000001 &lt; NOEC ≤ 0.00001</w:t>
            </w:r>
          </w:p>
        </w:tc>
        <w:tc>
          <w:tcPr>
            <w:tcW w:w="0" w:type="auto"/>
            <w:vAlign w:val="center"/>
          </w:tcPr>
          <w:p w14:paraId="53D371D2" w14:textId="77777777" w:rsidR="009705C0" w:rsidRPr="00A826DD" w:rsidRDefault="009705C0" w:rsidP="00A7489C">
            <w:pPr>
              <w:jc w:val="center"/>
              <w:rPr>
                <w:rFonts w:eastAsia="SimSun"/>
                <w:b/>
                <w:bCs/>
              </w:rPr>
            </w:pPr>
            <w:r w:rsidRPr="00A826DD">
              <w:rPr>
                <w:rFonts w:eastAsia="SimSun"/>
              </w:rPr>
              <w:t>10 000</w:t>
            </w:r>
          </w:p>
        </w:tc>
        <w:tc>
          <w:tcPr>
            <w:tcW w:w="0" w:type="auto"/>
            <w:vAlign w:val="center"/>
          </w:tcPr>
          <w:p w14:paraId="71C27322" w14:textId="77777777" w:rsidR="009705C0" w:rsidRPr="00A826DD" w:rsidRDefault="009705C0" w:rsidP="00A7489C">
            <w:pPr>
              <w:jc w:val="center"/>
              <w:rPr>
                <w:rFonts w:eastAsia="SimSun"/>
                <w:b/>
                <w:bCs/>
              </w:rPr>
            </w:pPr>
            <w:r w:rsidRPr="00A826DD">
              <w:rPr>
                <w:rFonts w:eastAsia="SimSun"/>
              </w:rPr>
              <w:t>1 000</w:t>
            </w:r>
          </w:p>
        </w:tc>
      </w:tr>
      <w:tr w:rsidR="009705C0" w:rsidRPr="00A826DD" w14:paraId="18F1490E" w14:textId="77777777" w:rsidTr="00A7489C">
        <w:trPr>
          <w:jc w:val="center"/>
        </w:trPr>
        <w:tc>
          <w:tcPr>
            <w:tcW w:w="0" w:type="auto"/>
            <w:gridSpan w:val="2"/>
          </w:tcPr>
          <w:p w14:paraId="49BC0BAA" w14:textId="77777777" w:rsidR="009705C0" w:rsidRPr="00A826DD" w:rsidRDefault="009705C0" w:rsidP="00A7489C">
            <w:pPr>
              <w:jc w:val="center"/>
              <w:rPr>
                <w:rFonts w:eastAsia="SimSun"/>
              </w:rPr>
            </w:pPr>
            <w:r w:rsidRPr="00A826DD">
              <w:rPr>
                <w:rFonts w:eastAsia="SimSun"/>
              </w:rPr>
              <w:t>(continue in factor 10 intervals)</w:t>
            </w:r>
          </w:p>
        </w:tc>
        <w:tc>
          <w:tcPr>
            <w:tcW w:w="0" w:type="auto"/>
            <w:gridSpan w:val="3"/>
          </w:tcPr>
          <w:p w14:paraId="4E186541" w14:textId="77777777" w:rsidR="009705C0" w:rsidRPr="00A826DD" w:rsidRDefault="009705C0" w:rsidP="00A7489C">
            <w:pPr>
              <w:jc w:val="center"/>
              <w:rPr>
                <w:rFonts w:eastAsia="SimSun"/>
              </w:rPr>
            </w:pPr>
            <w:r w:rsidRPr="00A826DD">
              <w:rPr>
                <w:rFonts w:eastAsia="SimSun"/>
              </w:rPr>
              <w:t>(continue in factor 10 intervals)</w:t>
            </w:r>
          </w:p>
        </w:tc>
      </w:tr>
    </w:tbl>
    <w:p w14:paraId="7B8C5AC6" w14:textId="77777777" w:rsidR="009705C0" w:rsidRPr="00A826DD" w:rsidRDefault="009705C0" w:rsidP="009705C0">
      <w:pPr>
        <w:tabs>
          <w:tab w:val="left" w:pos="851"/>
          <w:tab w:val="left" w:pos="1980"/>
        </w:tabs>
        <w:ind w:left="1979" w:hanging="1412"/>
      </w:pPr>
      <w:r w:rsidRPr="00A826DD">
        <w:rPr>
          <w:rFonts w:eastAsia="SimSun"/>
          <w:b/>
          <w:vertAlign w:val="superscript"/>
        </w:rPr>
        <w:t>a</w:t>
      </w:r>
      <w:r w:rsidRPr="00A826DD">
        <w:rPr>
          <w:rFonts w:eastAsia="SimSun"/>
          <w:vertAlign w:val="superscript"/>
        </w:rPr>
        <w:t xml:space="preserve">  </w:t>
      </w:r>
      <w:r w:rsidRPr="00A826DD">
        <w:rPr>
          <w:rFonts w:eastAsia="SimSun"/>
          <w:i/>
        </w:rPr>
        <w:t>Non-rapidly degradable.</w:t>
      </w:r>
    </w:p>
    <w:p w14:paraId="52836314" w14:textId="77777777" w:rsidR="009705C0" w:rsidRPr="00A826DD" w:rsidRDefault="009705C0" w:rsidP="009705C0">
      <w:pPr>
        <w:tabs>
          <w:tab w:val="left" w:pos="851"/>
          <w:tab w:val="left" w:pos="1980"/>
        </w:tabs>
        <w:ind w:left="1979" w:hanging="1412"/>
        <w:rPr>
          <w:rFonts w:eastAsia="SimSun"/>
        </w:rPr>
      </w:pPr>
      <w:r w:rsidRPr="00A826DD">
        <w:rPr>
          <w:rFonts w:eastAsia="SimSun"/>
          <w:b/>
          <w:vertAlign w:val="superscript"/>
        </w:rPr>
        <w:t xml:space="preserve">b </w:t>
      </w:r>
      <w:r w:rsidRPr="00A826DD">
        <w:rPr>
          <w:rFonts w:eastAsia="SimSun"/>
          <w:vertAlign w:val="superscript"/>
        </w:rPr>
        <w:t xml:space="preserve"> </w:t>
      </w:r>
      <w:r w:rsidRPr="00A826DD">
        <w:rPr>
          <w:rFonts w:eastAsia="SimSun"/>
          <w:i/>
        </w:rPr>
        <w:t>Rapidly degradable.</w:t>
      </w:r>
    </w:p>
    <w:p w14:paraId="157CC791" w14:textId="77777777" w:rsidR="009705C0" w:rsidRPr="00A826DD" w:rsidRDefault="009705C0" w:rsidP="009705C0">
      <w:pPr>
        <w:tabs>
          <w:tab w:val="left" w:pos="1418"/>
          <w:tab w:val="left" w:pos="1980"/>
        </w:tabs>
        <w:ind w:left="1979" w:hanging="1412"/>
      </w:pPr>
    </w:p>
    <w:p w14:paraId="06AEA3BA" w14:textId="702DDE3E" w:rsidR="004B7132" w:rsidRPr="009705C0" w:rsidRDefault="003229B9" w:rsidP="00180D6B">
      <w:pPr>
        <w:pStyle w:val="SingleTxtG"/>
        <w:rPr>
          <w:lang w:val="en-US"/>
        </w:rPr>
      </w:pPr>
      <w:r w:rsidRPr="00113653">
        <w:rPr>
          <w:lang w:val="en-US"/>
        </w:rPr>
        <w:t>12.</w:t>
      </w:r>
      <w:r>
        <w:rPr>
          <w:b/>
          <w:bCs/>
          <w:lang w:val="en-US"/>
        </w:rPr>
        <w:tab/>
      </w:r>
      <w:r w:rsidR="004B7132" w:rsidRPr="009705C0">
        <w:rPr>
          <w:lang w:val="en-US"/>
        </w:rPr>
        <w:t xml:space="preserve">This means that a substance with a high M-factor leads to a class 9 </w:t>
      </w:r>
      <w:r w:rsidR="00F716A7">
        <w:rPr>
          <w:lang w:val="en-US"/>
        </w:rPr>
        <w:t>e</w:t>
      </w:r>
      <w:r w:rsidR="004B7132" w:rsidRPr="009705C0">
        <w:rPr>
          <w:lang w:val="en-US"/>
        </w:rPr>
        <w:t xml:space="preserve">nvironmentally </w:t>
      </w:r>
      <w:r w:rsidR="00F716A7">
        <w:rPr>
          <w:lang w:val="en-US"/>
        </w:rPr>
        <w:t>h</w:t>
      </w:r>
      <w:r w:rsidR="004B7132" w:rsidRPr="009705C0">
        <w:rPr>
          <w:lang w:val="en-US"/>
        </w:rPr>
        <w:t>azardous classification at very low concentrations of highly toxic substances in mixtures.</w:t>
      </w:r>
    </w:p>
    <w:p w14:paraId="74CBC95E" w14:textId="667D2368" w:rsidR="004B7132" w:rsidRPr="00DD6A2F" w:rsidRDefault="00113653" w:rsidP="000F47F1">
      <w:pPr>
        <w:pStyle w:val="SingleTxtG"/>
      </w:pPr>
      <w:r>
        <w:t>13.</w:t>
      </w:r>
      <w:r>
        <w:tab/>
      </w:r>
      <w:r w:rsidR="004B7132" w:rsidRPr="00DD6A2F">
        <w:t xml:space="preserve">In 2.2.9.1.10.5 of </w:t>
      </w:r>
      <w:r w:rsidR="000F47F1">
        <w:t>RID/</w:t>
      </w:r>
      <w:r w:rsidR="004B7132" w:rsidRPr="00DD6A2F">
        <w:t>ADR, there is a reference to the CLP regulation that if no test data is available for the mixture, the mixture shall be classified as environmentally hazardous if it has been assigned to the categories aquatic acute 1, aquatic chronic 1 or 2.</w:t>
      </w:r>
    </w:p>
    <w:p w14:paraId="4E399BE1" w14:textId="22FA23E9" w:rsidR="004B7132" w:rsidRPr="00064DD6" w:rsidRDefault="00180D6B" w:rsidP="00180D6B">
      <w:pPr>
        <w:pStyle w:val="HChG"/>
      </w:pPr>
      <w:r>
        <w:tab/>
      </w:r>
      <w:r w:rsidR="00E2595A">
        <w:t>IV.</w:t>
      </w:r>
      <w:r w:rsidR="00E2595A">
        <w:tab/>
      </w:r>
      <w:r w:rsidR="004B7132" w:rsidRPr="00DD6A2F">
        <w:t xml:space="preserve">Examples for the application of the above </w:t>
      </w:r>
      <w:r w:rsidR="004B7132" w:rsidRPr="00064DD6">
        <w:t>formula</w:t>
      </w:r>
    </w:p>
    <w:p w14:paraId="131DEE11" w14:textId="7AE000A3" w:rsidR="004B7132" w:rsidRPr="00DD6A2F" w:rsidRDefault="004B7132" w:rsidP="00180D6B">
      <w:pPr>
        <w:pStyle w:val="SingleTxtG"/>
      </w:pPr>
      <w:r w:rsidRPr="00DD6A2F">
        <w:rPr>
          <w:b/>
          <w:bCs/>
          <w:lang w:val="en-US"/>
        </w:rPr>
        <w:t>Example 1:</w:t>
      </w:r>
      <w:r w:rsidRPr="00DD6A2F">
        <w:rPr>
          <w:lang w:val="en-US"/>
        </w:rPr>
        <w:t xml:space="preserve"> A liquid paint mixture contains one environmentally hazardous substance in a concentration of </w:t>
      </w:r>
      <w:r w:rsidRPr="00DD6A2F">
        <w:rPr>
          <w:b/>
          <w:bCs/>
          <w:lang w:val="en-US"/>
        </w:rPr>
        <w:t>0.03</w:t>
      </w:r>
      <w:r w:rsidR="0042305F">
        <w:rPr>
          <w:b/>
          <w:bCs/>
          <w:lang w:val="en-US"/>
        </w:rPr>
        <w:t> </w:t>
      </w:r>
      <w:r w:rsidRPr="00DD6A2F">
        <w:rPr>
          <w:b/>
          <w:bCs/>
          <w:lang w:val="en-US"/>
        </w:rPr>
        <w:t>% assigned to Acute aquatic hazard category 1, M</w:t>
      </w:r>
      <w:r w:rsidR="009705C0">
        <w:rPr>
          <w:b/>
          <w:bCs/>
          <w:lang w:val="en-US"/>
        </w:rPr>
        <w:t>-</w:t>
      </w:r>
      <w:r w:rsidRPr="00DD6A2F">
        <w:rPr>
          <w:b/>
          <w:bCs/>
          <w:lang w:val="en-US"/>
        </w:rPr>
        <w:t>factor is 100</w:t>
      </w:r>
    </w:p>
    <w:p w14:paraId="7E42C828" w14:textId="12C68B60" w:rsidR="004B7132" w:rsidRPr="00DD6A2F" w:rsidRDefault="004B7132" w:rsidP="00180D6B">
      <w:pPr>
        <w:pStyle w:val="SingleTxtG"/>
      </w:pPr>
      <w:r w:rsidRPr="00DD6A2F">
        <w:rPr>
          <w:lang w:val="en-US"/>
        </w:rPr>
        <w:t>Calculation for UN</w:t>
      </w:r>
      <w:r w:rsidR="00DB3D1F">
        <w:rPr>
          <w:lang w:val="en-US"/>
        </w:rPr>
        <w:t> </w:t>
      </w:r>
      <w:r w:rsidRPr="00DD6A2F">
        <w:rPr>
          <w:lang w:val="en-US"/>
        </w:rPr>
        <w:t>3082:</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4B7132" w:rsidRPr="00DB3D1F" w14:paraId="0FB70313" w14:textId="77777777" w:rsidTr="00B951B3">
        <w:trPr>
          <w:trHeight w:val="300"/>
        </w:trPr>
        <w:tc>
          <w:tcPr>
            <w:tcW w:w="4035" w:type="dxa"/>
            <w:tcMar>
              <w:left w:w="105" w:type="dxa"/>
              <w:right w:w="105" w:type="dxa"/>
            </w:tcMar>
          </w:tcPr>
          <w:p w14:paraId="63059965"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Sum of the concentration of ingredients classified as:</w:t>
            </w:r>
          </w:p>
        </w:tc>
        <w:tc>
          <w:tcPr>
            <w:tcW w:w="1965" w:type="dxa"/>
            <w:tcMar>
              <w:left w:w="105" w:type="dxa"/>
              <w:right w:w="105" w:type="dxa"/>
            </w:tcMar>
          </w:tcPr>
          <w:p w14:paraId="68DAA310"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Mixture is classified as</w:t>
            </w:r>
          </w:p>
        </w:tc>
        <w:tc>
          <w:tcPr>
            <w:tcW w:w="3000" w:type="dxa"/>
            <w:tcMar>
              <w:left w:w="105" w:type="dxa"/>
              <w:right w:w="105" w:type="dxa"/>
            </w:tcMar>
          </w:tcPr>
          <w:p w14:paraId="26AE81D1"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Result</w:t>
            </w:r>
          </w:p>
        </w:tc>
      </w:tr>
      <w:tr w:rsidR="004B7132" w:rsidRPr="00DB3D1F" w14:paraId="7C0C429D" w14:textId="77777777" w:rsidTr="00B951B3">
        <w:trPr>
          <w:trHeight w:val="300"/>
        </w:trPr>
        <w:tc>
          <w:tcPr>
            <w:tcW w:w="4035" w:type="dxa"/>
            <w:tcMar>
              <w:left w:w="105" w:type="dxa"/>
              <w:right w:w="105" w:type="dxa"/>
            </w:tcMar>
          </w:tcPr>
          <w:p w14:paraId="7AFDA2B3" w14:textId="7E856F23"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Acute 1 x M ≥ 25</w:t>
            </w:r>
            <w:r w:rsidR="0042305F">
              <w:rPr>
                <w:rFonts w:asciiTheme="majorBidi" w:hAnsiTheme="majorBidi" w:cstheme="majorBidi"/>
                <w:lang w:val="en-US"/>
              </w:rPr>
              <w:t> </w:t>
            </w:r>
            <w:r w:rsidRPr="00DB3D1F">
              <w:rPr>
                <w:rFonts w:asciiTheme="majorBidi" w:hAnsiTheme="majorBidi" w:cstheme="majorBidi"/>
                <w:lang w:val="en-US"/>
              </w:rPr>
              <w:t>%</w:t>
            </w:r>
          </w:p>
        </w:tc>
        <w:tc>
          <w:tcPr>
            <w:tcW w:w="1965" w:type="dxa"/>
            <w:tcMar>
              <w:left w:w="105" w:type="dxa"/>
              <w:right w:w="105" w:type="dxa"/>
            </w:tcMar>
          </w:tcPr>
          <w:p w14:paraId="6F57B312"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Acute 1</w:t>
            </w:r>
          </w:p>
        </w:tc>
        <w:tc>
          <w:tcPr>
            <w:tcW w:w="3000" w:type="dxa"/>
            <w:tcMar>
              <w:left w:w="105" w:type="dxa"/>
              <w:right w:w="105" w:type="dxa"/>
            </w:tcMar>
          </w:tcPr>
          <w:p w14:paraId="127DB819"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0.03 x 100 = 3 = not classified</w:t>
            </w:r>
          </w:p>
        </w:tc>
      </w:tr>
    </w:tbl>
    <w:p w14:paraId="110FD1BE" w14:textId="13CCA6A4" w:rsidR="004B7132" w:rsidRPr="002E2802" w:rsidRDefault="004B7132" w:rsidP="002E2802">
      <w:pPr>
        <w:pStyle w:val="SingleTxtG"/>
      </w:pPr>
      <w:r w:rsidRPr="00DD6A2F">
        <w:rPr>
          <w:lang w:val="en-US"/>
        </w:rPr>
        <w:t xml:space="preserve">Mixture is not acute aquatic toxic and therefore </w:t>
      </w:r>
      <w:r w:rsidRPr="00DD6A2F">
        <w:rPr>
          <w:b/>
          <w:bCs/>
          <w:lang w:val="en-US"/>
        </w:rPr>
        <w:t>not environmentally hazardous</w:t>
      </w:r>
    </w:p>
    <w:p w14:paraId="26EE32FA" w14:textId="3CA65001" w:rsidR="004B7132" w:rsidRPr="00DD6A2F" w:rsidRDefault="004B7132" w:rsidP="002E2802">
      <w:pPr>
        <w:pStyle w:val="SingleTxtG"/>
      </w:pPr>
      <w:r w:rsidRPr="00DD6A2F">
        <w:rPr>
          <w:b/>
          <w:bCs/>
          <w:lang w:val="en-US"/>
        </w:rPr>
        <w:t>Example 2</w:t>
      </w:r>
      <w:r w:rsidRPr="00DD6A2F">
        <w:rPr>
          <w:lang w:val="en-US"/>
        </w:rPr>
        <w:t xml:space="preserve">: A liquid paint mixture contains one environmentally hazardous substance in a concentration of </w:t>
      </w:r>
      <w:r w:rsidRPr="00DD6A2F">
        <w:rPr>
          <w:b/>
          <w:bCs/>
          <w:lang w:val="en-US"/>
        </w:rPr>
        <w:t>0.03% assigned to Chronic hazard category 1, M</w:t>
      </w:r>
      <w:r w:rsidR="00DB3D1F">
        <w:rPr>
          <w:b/>
          <w:bCs/>
          <w:lang w:val="en-US"/>
        </w:rPr>
        <w:t>-</w:t>
      </w:r>
      <w:r w:rsidRPr="00DD6A2F">
        <w:rPr>
          <w:b/>
          <w:bCs/>
          <w:lang w:val="en-US"/>
        </w:rPr>
        <w:t>factor is 100</w:t>
      </w:r>
    </w:p>
    <w:p w14:paraId="1B266934" w14:textId="33FE4232" w:rsidR="004B7132" w:rsidRPr="00DD6A2F" w:rsidRDefault="004B7132" w:rsidP="002E2802">
      <w:pPr>
        <w:pStyle w:val="SingleTxtG"/>
      </w:pPr>
      <w:r w:rsidRPr="00DD6A2F">
        <w:rPr>
          <w:lang w:val="en-US"/>
        </w:rPr>
        <w:t>Calculation for UN</w:t>
      </w:r>
      <w:r w:rsidR="00DB3D1F">
        <w:rPr>
          <w:lang w:val="en-US"/>
        </w:rPr>
        <w:t> </w:t>
      </w:r>
      <w:r w:rsidRPr="00DD6A2F">
        <w:rPr>
          <w:lang w:val="en-US"/>
        </w:rPr>
        <w:t>3082:</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4B7132" w:rsidRPr="00DB3D1F" w14:paraId="3F546CB2" w14:textId="77777777" w:rsidTr="00B951B3">
        <w:trPr>
          <w:trHeight w:val="300"/>
        </w:trPr>
        <w:tc>
          <w:tcPr>
            <w:tcW w:w="4035" w:type="dxa"/>
            <w:tcMar>
              <w:left w:w="105" w:type="dxa"/>
              <w:right w:w="105" w:type="dxa"/>
            </w:tcMar>
          </w:tcPr>
          <w:p w14:paraId="2B9EB533"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Sum of the concentration of ingredients classified as:</w:t>
            </w:r>
          </w:p>
        </w:tc>
        <w:tc>
          <w:tcPr>
            <w:tcW w:w="1965" w:type="dxa"/>
            <w:tcMar>
              <w:left w:w="105" w:type="dxa"/>
              <w:right w:w="105" w:type="dxa"/>
            </w:tcMar>
          </w:tcPr>
          <w:p w14:paraId="029A400B"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Mixture is classified as</w:t>
            </w:r>
          </w:p>
        </w:tc>
        <w:tc>
          <w:tcPr>
            <w:tcW w:w="3000" w:type="dxa"/>
            <w:tcMar>
              <w:left w:w="105" w:type="dxa"/>
              <w:right w:w="105" w:type="dxa"/>
            </w:tcMar>
          </w:tcPr>
          <w:p w14:paraId="7297A9A7"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Result</w:t>
            </w:r>
          </w:p>
        </w:tc>
      </w:tr>
      <w:tr w:rsidR="004B7132" w:rsidRPr="00DB3D1F" w14:paraId="5FC0D857" w14:textId="77777777" w:rsidTr="00B951B3">
        <w:trPr>
          <w:trHeight w:val="300"/>
        </w:trPr>
        <w:tc>
          <w:tcPr>
            <w:tcW w:w="4035" w:type="dxa"/>
            <w:tcMar>
              <w:left w:w="105" w:type="dxa"/>
              <w:right w:w="105" w:type="dxa"/>
            </w:tcMar>
          </w:tcPr>
          <w:p w14:paraId="24DAD157" w14:textId="600590B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Chronic 1 x M ≥ 25</w:t>
            </w:r>
            <w:r w:rsidR="0042305F">
              <w:rPr>
                <w:rFonts w:asciiTheme="majorBidi" w:hAnsiTheme="majorBidi" w:cstheme="majorBidi"/>
                <w:lang w:val="en-US"/>
              </w:rPr>
              <w:t> </w:t>
            </w:r>
            <w:r w:rsidRPr="00DB3D1F">
              <w:rPr>
                <w:rFonts w:asciiTheme="majorBidi" w:hAnsiTheme="majorBidi" w:cstheme="majorBidi"/>
                <w:lang w:val="en-US"/>
              </w:rPr>
              <w:t>%</w:t>
            </w:r>
          </w:p>
        </w:tc>
        <w:tc>
          <w:tcPr>
            <w:tcW w:w="1965" w:type="dxa"/>
            <w:tcMar>
              <w:left w:w="105" w:type="dxa"/>
              <w:right w:w="105" w:type="dxa"/>
            </w:tcMar>
          </w:tcPr>
          <w:p w14:paraId="799DC6ED"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Chronic 1</w:t>
            </w:r>
          </w:p>
        </w:tc>
        <w:tc>
          <w:tcPr>
            <w:tcW w:w="3000" w:type="dxa"/>
            <w:tcMar>
              <w:left w:w="105" w:type="dxa"/>
              <w:right w:w="105" w:type="dxa"/>
            </w:tcMar>
          </w:tcPr>
          <w:p w14:paraId="34E56783"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0.03 x 100 = 3 = not classified</w:t>
            </w:r>
          </w:p>
        </w:tc>
      </w:tr>
      <w:tr w:rsidR="004B7132" w:rsidRPr="00DB3D1F" w14:paraId="715C08E2" w14:textId="77777777" w:rsidTr="00B951B3">
        <w:trPr>
          <w:trHeight w:val="300"/>
        </w:trPr>
        <w:tc>
          <w:tcPr>
            <w:tcW w:w="4035" w:type="dxa"/>
            <w:tcMar>
              <w:left w:w="105" w:type="dxa"/>
              <w:right w:w="105" w:type="dxa"/>
            </w:tcMar>
          </w:tcPr>
          <w:p w14:paraId="043873F3"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(M x 10 x Chronic 1) + Chronic 2 ≥ 25 %</w:t>
            </w:r>
          </w:p>
        </w:tc>
        <w:tc>
          <w:tcPr>
            <w:tcW w:w="1965" w:type="dxa"/>
            <w:tcMar>
              <w:left w:w="105" w:type="dxa"/>
              <w:right w:w="105" w:type="dxa"/>
            </w:tcMar>
          </w:tcPr>
          <w:p w14:paraId="04C4EBCD"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Chronic 2</w:t>
            </w:r>
          </w:p>
        </w:tc>
        <w:tc>
          <w:tcPr>
            <w:tcW w:w="3000" w:type="dxa"/>
            <w:tcMar>
              <w:left w:w="105" w:type="dxa"/>
              <w:right w:w="105" w:type="dxa"/>
            </w:tcMar>
          </w:tcPr>
          <w:p w14:paraId="1196C5A2" w14:textId="77777777"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lang w:val="en-US"/>
              </w:rPr>
              <w:t>(100 x 10 x 0.03) + 0 = 30 =</w:t>
            </w:r>
          </w:p>
          <w:p w14:paraId="0DD4EE6F" w14:textId="5FB1EC7F" w:rsidR="004B7132" w:rsidRPr="00DB3D1F" w:rsidRDefault="004B7132" w:rsidP="00B951B3">
            <w:pPr>
              <w:spacing w:line="259" w:lineRule="auto"/>
              <w:jc w:val="both"/>
              <w:rPr>
                <w:rFonts w:asciiTheme="majorBidi" w:hAnsiTheme="majorBidi" w:cstheme="majorBidi"/>
              </w:rPr>
            </w:pPr>
            <w:r w:rsidRPr="00DB3D1F">
              <w:rPr>
                <w:rFonts w:asciiTheme="majorBidi" w:hAnsiTheme="majorBidi" w:cstheme="majorBidi"/>
                <w:b/>
                <w:bCs/>
                <w:lang w:val="en-US"/>
              </w:rPr>
              <w:t>Classified</w:t>
            </w:r>
          </w:p>
          <w:p w14:paraId="3CCBCBF3" w14:textId="77777777" w:rsidR="004B7132" w:rsidRPr="00DB3D1F" w:rsidRDefault="004B7132" w:rsidP="00B951B3">
            <w:pPr>
              <w:spacing w:line="259" w:lineRule="auto"/>
              <w:jc w:val="both"/>
              <w:rPr>
                <w:rFonts w:asciiTheme="majorBidi" w:hAnsiTheme="majorBidi" w:cstheme="majorBidi"/>
              </w:rPr>
            </w:pPr>
          </w:p>
        </w:tc>
      </w:tr>
    </w:tbl>
    <w:p w14:paraId="59EFFF15" w14:textId="6EF8CCA9" w:rsidR="004B7132" w:rsidRPr="002E2802" w:rsidRDefault="004B7132" w:rsidP="002E2802">
      <w:pPr>
        <w:pStyle w:val="SingleTxtG"/>
      </w:pPr>
      <w:r w:rsidRPr="00DD6A2F">
        <w:rPr>
          <w:lang w:val="en-US"/>
        </w:rPr>
        <w:t xml:space="preserve">Mixture is chronic aquatic toxic 2 and therefore also </w:t>
      </w:r>
      <w:r w:rsidRPr="00DD6A2F">
        <w:rPr>
          <w:b/>
          <w:bCs/>
          <w:lang w:val="en-US"/>
        </w:rPr>
        <w:t>environmentally hazardous – UN</w:t>
      </w:r>
      <w:r w:rsidR="00DB3D1F">
        <w:rPr>
          <w:b/>
          <w:bCs/>
          <w:lang w:val="en-US"/>
        </w:rPr>
        <w:t> </w:t>
      </w:r>
      <w:r w:rsidRPr="00DD6A2F">
        <w:rPr>
          <w:b/>
          <w:bCs/>
          <w:lang w:val="en-US"/>
        </w:rPr>
        <w:t>3082</w:t>
      </w:r>
    </w:p>
    <w:p w14:paraId="6719BABE" w14:textId="508DB830" w:rsidR="004B7132" w:rsidRPr="00DD6A2F" w:rsidRDefault="004B7132" w:rsidP="002E2802">
      <w:pPr>
        <w:pStyle w:val="SingleTxtG"/>
      </w:pPr>
      <w:r w:rsidRPr="002E2802">
        <w:rPr>
          <w:b/>
          <w:bCs/>
          <w:lang w:val="en-US"/>
        </w:rPr>
        <w:t>Example 3:</w:t>
      </w:r>
      <w:r w:rsidRPr="00DD6A2F">
        <w:rPr>
          <w:lang w:val="en-US"/>
        </w:rPr>
        <w:t xml:space="preserve"> A liquid paint mixture contains one environmentally hazardous substance in a concentration of </w:t>
      </w:r>
      <w:r w:rsidRPr="008E3810">
        <w:rPr>
          <w:b/>
          <w:bCs/>
          <w:lang w:val="en-US"/>
        </w:rPr>
        <w:t>0.03</w:t>
      </w:r>
      <w:r w:rsidR="0042305F">
        <w:rPr>
          <w:b/>
          <w:bCs/>
          <w:lang w:val="en-US"/>
        </w:rPr>
        <w:t> </w:t>
      </w:r>
      <w:r w:rsidRPr="008E3810">
        <w:rPr>
          <w:b/>
          <w:bCs/>
          <w:lang w:val="en-US"/>
        </w:rPr>
        <w:t>% assigned to both Acute and Chronic hazard category 1, M</w:t>
      </w:r>
      <w:r w:rsidR="00DB3D1F">
        <w:rPr>
          <w:b/>
          <w:bCs/>
          <w:lang w:val="en-US"/>
        </w:rPr>
        <w:t>-</w:t>
      </w:r>
      <w:r w:rsidRPr="008E3810">
        <w:rPr>
          <w:b/>
          <w:bCs/>
          <w:lang w:val="en-US"/>
        </w:rPr>
        <w:t>factor is 100 (acute) and 100 (chronic)</w:t>
      </w:r>
      <w:r w:rsidR="007024E5">
        <w:rPr>
          <w:lang w:val="en-US"/>
        </w:rPr>
        <w:t>:</w:t>
      </w:r>
    </w:p>
    <w:p w14:paraId="611DFD5D" w14:textId="64FBFFCF" w:rsidR="004B7132" w:rsidRPr="002E2802" w:rsidRDefault="004B7132" w:rsidP="002E2802">
      <w:pPr>
        <w:pStyle w:val="SingleTxtG"/>
        <w:rPr>
          <w:i/>
          <w:iCs/>
        </w:rPr>
      </w:pPr>
      <w:r w:rsidRPr="002E2802">
        <w:rPr>
          <w:b/>
          <w:bCs/>
          <w:i/>
          <w:iCs/>
          <w:lang w:val="en-US"/>
        </w:rPr>
        <w:t>Note:</w:t>
      </w:r>
      <w:r w:rsidRPr="002E2802">
        <w:rPr>
          <w:i/>
          <w:iCs/>
          <w:lang w:val="en-US"/>
        </w:rPr>
        <w:t xml:space="preserve"> The preservative substance OIT – 2-octyl-2H-isothiazol-3-one (updated in </w:t>
      </w:r>
      <w:r w:rsidR="006B43CB">
        <w:rPr>
          <w:i/>
          <w:iCs/>
          <w:lang w:val="en-US"/>
        </w:rPr>
        <w:t>fifteenth</w:t>
      </w:r>
      <w:r w:rsidRPr="002E2802">
        <w:rPr>
          <w:i/>
          <w:iCs/>
          <w:lang w:val="en-US"/>
        </w:rPr>
        <w:t xml:space="preserve"> ATP of CLP) is one of the substances with this aquatic toxic classification.</w:t>
      </w:r>
    </w:p>
    <w:p w14:paraId="568DB9AB" w14:textId="38757EE2" w:rsidR="004B7132" w:rsidRPr="00DD6A2F" w:rsidRDefault="004B7132" w:rsidP="007B2203">
      <w:pPr>
        <w:pStyle w:val="SingleTxtG"/>
      </w:pPr>
      <w:r w:rsidRPr="00DD6A2F">
        <w:rPr>
          <w:lang w:val="en-US"/>
        </w:rPr>
        <w:t>Calculation for UN</w:t>
      </w:r>
      <w:r w:rsidR="00FB2EB9">
        <w:rPr>
          <w:lang w:val="en-US"/>
        </w:rPr>
        <w:t> </w:t>
      </w:r>
      <w:r w:rsidRPr="00DD6A2F">
        <w:rPr>
          <w:lang w:val="en-US"/>
        </w:rPr>
        <w:t>3082:</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4B7132" w:rsidRPr="00047BD9" w14:paraId="5FF09802" w14:textId="77777777" w:rsidTr="00B951B3">
        <w:trPr>
          <w:trHeight w:val="300"/>
        </w:trPr>
        <w:tc>
          <w:tcPr>
            <w:tcW w:w="4035" w:type="dxa"/>
            <w:tcMar>
              <w:left w:w="105" w:type="dxa"/>
              <w:right w:w="105" w:type="dxa"/>
            </w:tcMar>
          </w:tcPr>
          <w:p w14:paraId="1618A9A5"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Sum of the concentration of ingredients classified as:</w:t>
            </w:r>
          </w:p>
        </w:tc>
        <w:tc>
          <w:tcPr>
            <w:tcW w:w="1965" w:type="dxa"/>
            <w:tcMar>
              <w:left w:w="105" w:type="dxa"/>
              <w:right w:w="105" w:type="dxa"/>
            </w:tcMar>
          </w:tcPr>
          <w:p w14:paraId="4B30CE39"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Mixture is classified as</w:t>
            </w:r>
          </w:p>
        </w:tc>
        <w:tc>
          <w:tcPr>
            <w:tcW w:w="3000" w:type="dxa"/>
            <w:tcMar>
              <w:left w:w="105" w:type="dxa"/>
              <w:right w:w="105" w:type="dxa"/>
            </w:tcMar>
          </w:tcPr>
          <w:p w14:paraId="2A642BC9"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Result</w:t>
            </w:r>
          </w:p>
        </w:tc>
      </w:tr>
      <w:tr w:rsidR="004B7132" w:rsidRPr="00047BD9" w14:paraId="579B7C0B" w14:textId="77777777" w:rsidTr="00B951B3">
        <w:trPr>
          <w:trHeight w:val="300"/>
        </w:trPr>
        <w:tc>
          <w:tcPr>
            <w:tcW w:w="4035" w:type="dxa"/>
            <w:tcMar>
              <w:left w:w="105" w:type="dxa"/>
              <w:right w:w="105" w:type="dxa"/>
            </w:tcMar>
          </w:tcPr>
          <w:p w14:paraId="2C046456" w14:textId="67DFDF01"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Acute 1 x M ≥ 25</w:t>
            </w:r>
            <w:r w:rsidR="0042305F">
              <w:rPr>
                <w:rFonts w:asciiTheme="majorBidi" w:hAnsiTheme="majorBidi" w:cstheme="majorBidi"/>
                <w:lang w:val="en-US"/>
              </w:rPr>
              <w:t> </w:t>
            </w:r>
            <w:r w:rsidRPr="00047BD9">
              <w:rPr>
                <w:rFonts w:asciiTheme="majorBidi" w:hAnsiTheme="majorBidi" w:cstheme="majorBidi"/>
                <w:lang w:val="en-US"/>
              </w:rPr>
              <w:t>%</w:t>
            </w:r>
          </w:p>
        </w:tc>
        <w:tc>
          <w:tcPr>
            <w:tcW w:w="1965" w:type="dxa"/>
            <w:tcMar>
              <w:left w:w="105" w:type="dxa"/>
              <w:right w:w="105" w:type="dxa"/>
            </w:tcMar>
          </w:tcPr>
          <w:p w14:paraId="3F8A0864"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Acute 1</w:t>
            </w:r>
          </w:p>
        </w:tc>
        <w:tc>
          <w:tcPr>
            <w:tcW w:w="3000" w:type="dxa"/>
            <w:tcMar>
              <w:left w:w="105" w:type="dxa"/>
              <w:right w:w="105" w:type="dxa"/>
            </w:tcMar>
          </w:tcPr>
          <w:p w14:paraId="2D70B34E"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0.03 x 100 = 3 = not classified</w:t>
            </w:r>
          </w:p>
        </w:tc>
      </w:tr>
    </w:tbl>
    <w:p w14:paraId="02F2A17E" w14:textId="77777777" w:rsidR="004B7132" w:rsidRPr="00AB58FC" w:rsidRDefault="004B7132" w:rsidP="004B7132">
      <w:pPr>
        <w:spacing w:after="160" w:line="259" w:lineRule="auto"/>
        <w:jc w:val="both"/>
        <w:rPr>
          <w:rFonts w:asciiTheme="majorBidi" w:hAnsiTheme="majorBidi" w:cstheme="majorBid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4B7132" w:rsidRPr="00047BD9" w14:paraId="13612C59" w14:textId="77777777" w:rsidTr="00B951B3">
        <w:trPr>
          <w:trHeight w:val="300"/>
        </w:trPr>
        <w:tc>
          <w:tcPr>
            <w:tcW w:w="4035" w:type="dxa"/>
            <w:tcMar>
              <w:left w:w="105" w:type="dxa"/>
              <w:right w:w="105" w:type="dxa"/>
            </w:tcMar>
          </w:tcPr>
          <w:p w14:paraId="312A1D0A"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Sum of the concentration of ingredients classified as:</w:t>
            </w:r>
          </w:p>
        </w:tc>
        <w:tc>
          <w:tcPr>
            <w:tcW w:w="1965" w:type="dxa"/>
            <w:tcMar>
              <w:left w:w="105" w:type="dxa"/>
              <w:right w:w="105" w:type="dxa"/>
            </w:tcMar>
          </w:tcPr>
          <w:p w14:paraId="37A8E04D"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Mixture is classified as</w:t>
            </w:r>
          </w:p>
        </w:tc>
        <w:tc>
          <w:tcPr>
            <w:tcW w:w="3000" w:type="dxa"/>
            <w:tcMar>
              <w:left w:w="105" w:type="dxa"/>
              <w:right w:w="105" w:type="dxa"/>
            </w:tcMar>
          </w:tcPr>
          <w:p w14:paraId="64B1C861"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Result</w:t>
            </w:r>
          </w:p>
        </w:tc>
      </w:tr>
      <w:tr w:rsidR="004B7132" w:rsidRPr="00047BD9" w14:paraId="4978EDDC" w14:textId="77777777" w:rsidTr="00B951B3">
        <w:trPr>
          <w:trHeight w:val="300"/>
        </w:trPr>
        <w:tc>
          <w:tcPr>
            <w:tcW w:w="4035" w:type="dxa"/>
            <w:tcMar>
              <w:left w:w="105" w:type="dxa"/>
              <w:right w:w="105" w:type="dxa"/>
            </w:tcMar>
          </w:tcPr>
          <w:p w14:paraId="11EF1685" w14:textId="127B13D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Chronic 1 x M ≥ 25</w:t>
            </w:r>
            <w:r w:rsidR="0042305F">
              <w:rPr>
                <w:rFonts w:asciiTheme="majorBidi" w:hAnsiTheme="majorBidi" w:cstheme="majorBidi"/>
                <w:lang w:val="en-US"/>
              </w:rPr>
              <w:t> </w:t>
            </w:r>
            <w:r w:rsidRPr="00047BD9">
              <w:rPr>
                <w:rFonts w:asciiTheme="majorBidi" w:hAnsiTheme="majorBidi" w:cstheme="majorBidi"/>
                <w:lang w:val="en-US"/>
              </w:rPr>
              <w:t>%</w:t>
            </w:r>
          </w:p>
        </w:tc>
        <w:tc>
          <w:tcPr>
            <w:tcW w:w="1965" w:type="dxa"/>
            <w:tcMar>
              <w:left w:w="105" w:type="dxa"/>
              <w:right w:w="105" w:type="dxa"/>
            </w:tcMar>
          </w:tcPr>
          <w:p w14:paraId="1C3FAB09"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Chronic 1</w:t>
            </w:r>
          </w:p>
        </w:tc>
        <w:tc>
          <w:tcPr>
            <w:tcW w:w="3000" w:type="dxa"/>
            <w:tcMar>
              <w:left w:w="105" w:type="dxa"/>
              <w:right w:w="105" w:type="dxa"/>
            </w:tcMar>
          </w:tcPr>
          <w:p w14:paraId="51912D05"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0.03 x 100 = 3 = not classified</w:t>
            </w:r>
          </w:p>
        </w:tc>
      </w:tr>
      <w:tr w:rsidR="004B7132" w:rsidRPr="00047BD9" w14:paraId="2BD2B21C" w14:textId="77777777" w:rsidTr="00B951B3">
        <w:trPr>
          <w:trHeight w:val="300"/>
        </w:trPr>
        <w:tc>
          <w:tcPr>
            <w:tcW w:w="4035" w:type="dxa"/>
            <w:tcMar>
              <w:left w:w="105" w:type="dxa"/>
              <w:right w:w="105" w:type="dxa"/>
            </w:tcMar>
          </w:tcPr>
          <w:p w14:paraId="3F49F0FB"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(M x 10 x Chronic 1) + Chronic 2 ≥ 25 %</w:t>
            </w:r>
          </w:p>
        </w:tc>
        <w:tc>
          <w:tcPr>
            <w:tcW w:w="1965" w:type="dxa"/>
            <w:tcMar>
              <w:left w:w="105" w:type="dxa"/>
              <w:right w:w="105" w:type="dxa"/>
            </w:tcMar>
          </w:tcPr>
          <w:p w14:paraId="12AEA1C8"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Chronic 2</w:t>
            </w:r>
          </w:p>
        </w:tc>
        <w:tc>
          <w:tcPr>
            <w:tcW w:w="3000" w:type="dxa"/>
            <w:tcMar>
              <w:left w:w="105" w:type="dxa"/>
              <w:right w:w="105" w:type="dxa"/>
            </w:tcMar>
          </w:tcPr>
          <w:p w14:paraId="50812BE7" w14:textId="7777777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lang w:val="en-US"/>
              </w:rPr>
              <w:t>(100 x 10 x 0.03) + 0 = 30 =</w:t>
            </w:r>
          </w:p>
          <w:p w14:paraId="31274086" w14:textId="66363B57" w:rsidR="004B7132" w:rsidRPr="00047BD9" w:rsidRDefault="004B7132" w:rsidP="00B951B3">
            <w:pPr>
              <w:spacing w:line="259" w:lineRule="auto"/>
              <w:jc w:val="both"/>
              <w:rPr>
                <w:rFonts w:asciiTheme="majorBidi" w:hAnsiTheme="majorBidi" w:cstheme="majorBidi"/>
              </w:rPr>
            </w:pPr>
            <w:r w:rsidRPr="00047BD9">
              <w:rPr>
                <w:rFonts w:asciiTheme="majorBidi" w:hAnsiTheme="majorBidi" w:cstheme="majorBidi"/>
                <w:b/>
                <w:bCs/>
                <w:lang w:val="en-US"/>
              </w:rPr>
              <w:t>Classified</w:t>
            </w:r>
          </w:p>
          <w:p w14:paraId="49E330C4" w14:textId="77777777" w:rsidR="004B7132" w:rsidRPr="00047BD9" w:rsidRDefault="004B7132" w:rsidP="00B951B3">
            <w:pPr>
              <w:spacing w:line="259" w:lineRule="auto"/>
              <w:jc w:val="both"/>
              <w:rPr>
                <w:rFonts w:asciiTheme="majorBidi" w:hAnsiTheme="majorBidi" w:cstheme="majorBidi"/>
              </w:rPr>
            </w:pPr>
          </w:p>
        </w:tc>
      </w:tr>
    </w:tbl>
    <w:p w14:paraId="4D07AD05" w14:textId="3966F80A" w:rsidR="004B7132" w:rsidRDefault="004B7132" w:rsidP="007B2203">
      <w:pPr>
        <w:pStyle w:val="SingleTxtG"/>
      </w:pPr>
      <w:r w:rsidRPr="00DD6A2F">
        <w:rPr>
          <w:lang w:val="en-US"/>
        </w:rPr>
        <w:t xml:space="preserve">Mixture is chronic aquatic toxic 2 and therefore also </w:t>
      </w:r>
      <w:r w:rsidRPr="00DD6A2F">
        <w:rPr>
          <w:b/>
          <w:bCs/>
          <w:lang w:val="en-US"/>
        </w:rPr>
        <w:t>environmentally hazardous – UN</w:t>
      </w:r>
      <w:r w:rsidR="00047BD9">
        <w:rPr>
          <w:b/>
          <w:bCs/>
          <w:lang w:val="en-US"/>
        </w:rPr>
        <w:t> </w:t>
      </w:r>
      <w:r w:rsidRPr="00DD6A2F">
        <w:rPr>
          <w:b/>
          <w:bCs/>
          <w:lang w:val="en-US"/>
        </w:rPr>
        <w:t>3082</w:t>
      </w:r>
    </w:p>
    <w:p w14:paraId="0C5627DF" w14:textId="77777777" w:rsidR="004B7132" w:rsidRPr="00DD6A2F" w:rsidRDefault="004B7132" w:rsidP="009D1307">
      <w:pPr>
        <w:pStyle w:val="SingleTxtG"/>
      </w:pPr>
      <w:r w:rsidRPr="00C74458">
        <w:rPr>
          <w:b/>
          <w:bCs/>
          <w:lang w:val="en-US"/>
        </w:rPr>
        <w:t>Example 4:</w:t>
      </w:r>
      <w:r w:rsidRPr="00DD6A2F">
        <w:rPr>
          <w:lang w:val="en-US"/>
        </w:rPr>
        <w:t xml:space="preserve"> A liquid paint mixture contains a </w:t>
      </w:r>
      <w:r w:rsidRPr="00C74458">
        <w:rPr>
          <w:b/>
          <w:bCs/>
          <w:lang w:val="en-US"/>
        </w:rPr>
        <w:t>mixture of environmentally hazardous substances in:</w:t>
      </w:r>
    </w:p>
    <w:p w14:paraId="60444D15" w14:textId="16B4D6DB" w:rsidR="004B7132" w:rsidRPr="00DD6A2F" w:rsidRDefault="006A21ED" w:rsidP="00047BD9">
      <w:pPr>
        <w:pStyle w:val="SingleTxtG"/>
        <w:ind w:left="1701"/>
      </w:pPr>
      <w:r>
        <w:rPr>
          <w:rFonts w:ascii="Symbol" w:hAnsi="Symbol"/>
        </w:rPr>
        <w:t>(</w:t>
      </w:r>
      <w:r w:rsidR="004B7132" w:rsidRPr="00DD6A2F">
        <w:rPr>
          <w:lang w:val="en-US"/>
        </w:rPr>
        <w:t>a</w:t>
      </w:r>
      <w:r>
        <w:rPr>
          <w:lang w:val="en-US"/>
        </w:rPr>
        <w:t>)</w:t>
      </w:r>
      <w:r>
        <w:rPr>
          <w:lang w:val="en-US"/>
        </w:rPr>
        <w:tab/>
      </w:r>
      <w:r w:rsidRPr="00C74458">
        <w:rPr>
          <w:b/>
          <w:bCs/>
          <w:lang w:val="en-US"/>
        </w:rPr>
        <w:t xml:space="preserve">a </w:t>
      </w:r>
      <w:r w:rsidR="004B7132" w:rsidRPr="00C74458">
        <w:rPr>
          <w:b/>
          <w:bCs/>
          <w:lang w:val="en-US"/>
        </w:rPr>
        <w:t>concentration of 0.01</w:t>
      </w:r>
      <w:r w:rsidR="0042305F">
        <w:rPr>
          <w:b/>
          <w:bCs/>
          <w:lang w:val="en-US"/>
        </w:rPr>
        <w:t> </w:t>
      </w:r>
      <w:r w:rsidR="004B7132" w:rsidRPr="00C74458">
        <w:rPr>
          <w:b/>
          <w:bCs/>
          <w:lang w:val="en-US"/>
        </w:rPr>
        <w:t>% assigned to both Acute and Chronic hazard category 1, M</w:t>
      </w:r>
      <w:r w:rsidR="00047BD9">
        <w:rPr>
          <w:b/>
          <w:bCs/>
          <w:lang w:val="en-US"/>
        </w:rPr>
        <w:t>-</w:t>
      </w:r>
      <w:r w:rsidR="004B7132" w:rsidRPr="00C74458">
        <w:rPr>
          <w:b/>
          <w:bCs/>
          <w:lang w:val="en-US"/>
        </w:rPr>
        <w:t>factor is 100 (acute) and 100 (chronic)</w:t>
      </w:r>
    </w:p>
    <w:p w14:paraId="374E0BE0" w14:textId="42733A9D" w:rsidR="004B7132" w:rsidRPr="00FB2EB9" w:rsidRDefault="009D1307" w:rsidP="009D1307">
      <w:pPr>
        <w:pStyle w:val="SingleTxtG"/>
        <w:ind w:left="1701"/>
        <w:rPr>
          <w:rFonts w:asciiTheme="majorBidi" w:hAnsiTheme="majorBidi" w:cstheme="majorBidi"/>
          <w:b/>
          <w:bCs/>
        </w:rPr>
      </w:pPr>
      <w:r>
        <w:rPr>
          <w:lang w:val="en-US"/>
        </w:rPr>
        <w:t>(b)</w:t>
      </w:r>
      <w:r>
        <w:rPr>
          <w:lang w:val="en-US"/>
        </w:rPr>
        <w:tab/>
      </w:r>
      <w:r w:rsidRPr="00C74458">
        <w:rPr>
          <w:b/>
          <w:bCs/>
          <w:lang w:val="en-US"/>
        </w:rPr>
        <w:t xml:space="preserve">a </w:t>
      </w:r>
      <w:r w:rsidR="004B7132" w:rsidRPr="00C74458">
        <w:rPr>
          <w:b/>
          <w:bCs/>
          <w:lang w:val="en-US"/>
        </w:rPr>
        <w:t>concentration of 0.02</w:t>
      </w:r>
      <w:r w:rsidR="0042305F">
        <w:rPr>
          <w:b/>
          <w:bCs/>
          <w:lang w:val="en-US"/>
        </w:rPr>
        <w:t> </w:t>
      </w:r>
      <w:r w:rsidR="004B7132" w:rsidRPr="00C74458">
        <w:rPr>
          <w:b/>
          <w:bCs/>
          <w:lang w:val="en-US"/>
        </w:rPr>
        <w:t>% assigned to Chronic hazard category 1, M</w:t>
      </w:r>
      <w:r w:rsidR="0042305F">
        <w:rPr>
          <w:b/>
          <w:bCs/>
          <w:lang w:val="en-US"/>
        </w:rPr>
        <w:noBreakHyphen/>
      </w:r>
      <w:r w:rsidR="004B7132" w:rsidRPr="00C74458">
        <w:rPr>
          <w:b/>
          <w:bCs/>
          <w:lang w:val="en-US"/>
        </w:rPr>
        <w:t>factor is 1000</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4B7132" w:rsidRPr="00FB2EB9" w14:paraId="6C08CCDD" w14:textId="77777777" w:rsidTr="00B951B3">
        <w:trPr>
          <w:trHeight w:val="300"/>
        </w:trPr>
        <w:tc>
          <w:tcPr>
            <w:tcW w:w="4035" w:type="dxa"/>
            <w:tcMar>
              <w:left w:w="105" w:type="dxa"/>
              <w:right w:w="105" w:type="dxa"/>
            </w:tcMar>
          </w:tcPr>
          <w:p w14:paraId="1D425CC7"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Sum of the concentration of ingredients classified as:</w:t>
            </w:r>
          </w:p>
        </w:tc>
        <w:tc>
          <w:tcPr>
            <w:tcW w:w="1965" w:type="dxa"/>
            <w:tcMar>
              <w:left w:w="105" w:type="dxa"/>
              <w:right w:w="105" w:type="dxa"/>
            </w:tcMar>
          </w:tcPr>
          <w:p w14:paraId="15EDFA77"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Mixture is classified as</w:t>
            </w:r>
          </w:p>
        </w:tc>
        <w:tc>
          <w:tcPr>
            <w:tcW w:w="3000" w:type="dxa"/>
            <w:tcMar>
              <w:left w:w="105" w:type="dxa"/>
              <w:right w:w="105" w:type="dxa"/>
            </w:tcMar>
          </w:tcPr>
          <w:p w14:paraId="65AE553C"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Result</w:t>
            </w:r>
          </w:p>
        </w:tc>
      </w:tr>
      <w:tr w:rsidR="004B7132" w:rsidRPr="00FB2EB9" w14:paraId="013FC668" w14:textId="77777777" w:rsidTr="00B951B3">
        <w:trPr>
          <w:trHeight w:val="300"/>
        </w:trPr>
        <w:tc>
          <w:tcPr>
            <w:tcW w:w="4035" w:type="dxa"/>
            <w:tcMar>
              <w:left w:w="105" w:type="dxa"/>
              <w:right w:w="105" w:type="dxa"/>
            </w:tcMar>
          </w:tcPr>
          <w:p w14:paraId="28A833F8" w14:textId="599C71AD"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Acute 1 x M ≥ 25</w:t>
            </w:r>
            <w:r w:rsidR="0042305F">
              <w:rPr>
                <w:rFonts w:asciiTheme="majorBidi" w:hAnsiTheme="majorBidi" w:cstheme="majorBidi"/>
                <w:lang w:val="en-US"/>
              </w:rPr>
              <w:t> </w:t>
            </w:r>
            <w:r w:rsidRPr="00FB2EB9">
              <w:rPr>
                <w:rFonts w:asciiTheme="majorBidi" w:hAnsiTheme="majorBidi" w:cstheme="majorBidi"/>
                <w:lang w:val="en-US"/>
              </w:rPr>
              <w:t>%</w:t>
            </w:r>
          </w:p>
        </w:tc>
        <w:tc>
          <w:tcPr>
            <w:tcW w:w="1965" w:type="dxa"/>
            <w:tcMar>
              <w:left w:w="105" w:type="dxa"/>
              <w:right w:w="105" w:type="dxa"/>
            </w:tcMar>
          </w:tcPr>
          <w:p w14:paraId="57DE8A55"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Acute 1</w:t>
            </w:r>
          </w:p>
        </w:tc>
        <w:tc>
          <w:tcPr>
            <w:tcW w:w="3000" w:type="dxa"/>
            <w:tcMar>
              <w:left w:w="105" w:type="dxa"/>
              <w:right w:w="105" w:type="dxa"/>
            </w:tcMar>
          </w:tcPr>
          <w:p w14:paraId="0F6DC589"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0.01 x 100 = 1 = not classified</w:t>
            </w:r>
          </w:p>
        </w:tc>
      </w:tr>
    </w:tbl>
    <w:p w14:paraId="06AB28A6" w14:textId="77777777" w:rsidR="004B7132" w:rsidRPr="00FB2EB9" w:rsidRDefault="004B7132" w:rsidP="004B7132">
      <w:pPr>
        <w:spacing w:after="160" w:line="259" w:lineRule="auto"/>
        <w:jc w:val="both"/>
        <w:rPr>
          <w:rFonts w:asciiTheme="majorBidi" w:hAnsiTheme="majorBidi" w:cstheme="majorBid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4B7132" w:rsidRPr="00FB2EB9" w14:paraId="3A68EA43" w14:textId="77777777" w:rsidTr="00B951B3">
        <w:trPr>
          <w:trHeight w:val="300"/>
        </w:trPr>
        <w:tc>
          <w:tcPr>
            <w:tcW w:w="4035" w:type="dxa"/>
            <w:tcMar>
              <w:left w:w="105" w:type="dxa"/>
              <w:right w:w="105" w:type="dxa"/>
            </w:tcMar>
          </w:tcPr>
          <w:p w14:paraId="6F4329DE"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Sum of the concentration of ingredients classified as:</w:t>
            </w:r>
          </w:p>
        </w:tc>
        <w:tc>
          <w:tcPr>
            <w:tcW w:w="1965" w:type="dxa"/>
            <w:tcMar>
              <w:left w:w="105" w:type="dxa"/>
              <w:right w:w="105" w:type="dxa"/>
            </w:tcMar>
          </w:tcPr>
          <w:p w14:paraId="7EAA0C82"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Mixture is classified as</w:t>
            </w:r>
          </w:p>
        </w:tc>
        <w:tc>
          <w:tcPr>
            <w:tcW w:w="3000" w:type="dxa"/>
            <w:tcMar>
              <w:left w:w="105" w:type="dxa"/>
              <w:right w:w="105" w:type="dxa"/>
            </w:tcMar>
          </w:tcPr>
          <w:p w14:paraId="5CAED687"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Result</w:t>
            </w:r>
          </w:p>
        </w:tc>
      </w:tr>
      <w:tr w:rsidR="004B7132" w:rsidRPr="00FB2EB9" w14:paraId="5F82B30A" w14:textId="77777777" w:rsidTr="00B951B3">
        <w:trPr>
          <w:trHeight w:val="300"/>
        </w:trPr>
        <w:tc>
          <w:tcPr>
            <w:tcW w:w="4035" w:type="dxa"/>
            <w:tcMar>
              <w:left w:w="105" w:type="dxa"/>
              <w:right w:w="105" w:type="dxa"/>
            </w:tcMar>
          </w:tcPr>
          <w:p w14:paraId="65EFD16C" w14:textId="61C1CF1D"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Chronic 1 x M ≥ 25</w:t>
            </w:r>
            <w:r w:rsidR="0042305F">
              <w:rPr>
                <w:rFonts w:asciiTheme="majorBidi" w:hAnsiTheme="majorBidi" w:cstheme="majorBidi"/>
                <w:lang w:val="en-US"/>
              </w:rPr>
              <w:t> </w:t>
            </w:r>
            <w:r w:rsidRPr="00FB2EB9">
              <w:rPr>
                <w:rFonts w:asciiTheme="majorBidi" w:hAnsiTheme="majorBidi" w:cstheme="majorBidi"/>
                <w:lang w:val="en-US"/>
              </w:rPr>
              <w:t>%</w:t>
            </w:r>
          </w:p>
        </w:tc>
        <w:tc>
          <w:tcPr>
            <w:tcW w:w="1965" w:type="dxa"/>
            <w:tcMar>
              <w:left w:w="105" w:type="dxa"/>
              <w:right w:w="105" w:type="dxa"/>
            </w:tcMar>
          </w:tcPr>
          <w:p w14:paraId="3C420835"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Chronic 1</w:t>
            </w:r>
          </w:p>
        </w:tc>
        <w:tc>
          <w:tcPr>
            <w:tcW w:w="3000" w:type="dxa"/>
            <w:tcMar>
              <w:left w:w="105" w:type="dxa"/>
              <w:right w:w="105" w:type="dxa"/>
            </w:tcMar>
          </w:tcPr>
          <w:p w14:paraId="4C41A947"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 xml:space="preserve">Sub1(0.01 x 100) + Sub2(0.02x1000) = 21 = </w:t>
            </w:r>
          </w:p>
          <w:p w14:paraId="0E07E256"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not classified</w:t>
            </w:r>
          </w:p>
        </w:tc>
      </w:tr>
      <w:tr w:rsidR="004B7132" w:rsidRPr="00FB2EB9" w14:paraId="4BA438E6" w14:textId="77777777" w:rsidTr="00B951B3">
        <w:trPr>
          <w:trHeight w:val="300"/>
        </w:trPr>
        <w:tc>
          <w:tcPr>
            <w:tcW w:w="4035" w:type="dxa"/>
            <w:tcMar>
              <w:left w:w="105" w:type="dxa"/>
              <w:right w:w="105" w:type="dxa"/>
            </w:tcMar>
          </w:tcPr>
          <w:p w14:paraId="341B7082"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(M x 10 x Chronic 1) + Chronic 2 ≥ 25 %</w:t>
            </w:r>
          </w:p>
        </w:tc>
        <w:tc>
          <w:tcPr>
            <w:tcW w:w="1965" w:type="dxa"/>
            <w:tcMar>
              <w:left w:w="105" w:type="dxa"/>
              <w:right w:w="105" w:type="dxa"/>
            </w:tcMar>
          </w:tcPr>
          <w:p w14:paraId="1BB7F7F5"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Chronic 2</w:t>
            </w:r>
          </w:p>
        </w:tc>
        <w:tc>
          <w:tcPr>
            <w:tcW w:w="3000" w:type="dxa"/>
            <w:tcMar>
              <w:left w:w="105" w:type="dxa"/>
              <w:right w:w="105" w:type="dxa"/>
            </w:tcMar>
          </w:tcPr>
          <w:p w14:paraId="7BB0257A" w14:textId="77777777"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lang w:val="en-US"/>
              </w:rPr>
              <w:t>Sub1(100 x 10 x 0.01) + Sub2(1000x10x0.02) = 210 =</w:t>
            </w:r>
          </w:p>
          <w:p w14:paraId="5C92C999" w14:textId="16372675" w:rsidR="004B7132" w:rsidRPr="00FB2EB9" w:rsidRDefault="004B7132" w:rsidP="00B951B3">
            <w:pPr>
              <w:spacing w:line="259" w:lineRule="auto"/>
              <w:jc w:val="both"/>
              <w:rPr>
                <w:rFonts w:asciiTheme="majorBidi" w:hAnsiTheme="majorBidi" w:cstheme="majorBidi"/>
              </w:rPr>
            </w:pPr>
            <w:r w:rsidRPr="00FB2EB9">
              <w:rPr>
                <w:rFonts w:asciiTheme="majorBidi" w:hAnsiTheme="majorBidi" w:cstheme="majorBidi"/>
                <w:b/>
                <w:bCs/>
                <w:lang w:val="en-US"/>
              </w:rPr>
              <w:t>Classified</w:t>
            </w:r>
          </w:p>
          <w:p w14:paraId="064CCEBF" w14:textId="77777777" w:rsidR="004B7132" w:rsidRPr="00FB2EB9" w:rsidRDefault="004B7132" w:rsidP="00B951B3">
            <w:pPr>
              <w:spacing w:line="259" w:lineRule="auto"/>
              <w:jc w:val="both"/>
              <w:rPr>
                <w:rFonts w:asciiTheme="majorBidi" w:hAnsiTheme="majorBidi" w:cstheme="majorBidi"/>
              </w:rPr>
            </w:pPr>
          </w:p>
        </w:tc>
      </w:tr>
    </w:tbl>
    <w:p w14:paraId="76279C47" w14:textId="2D97FA72" w:rsidR="004B7132" w:rsidRPr="00DD6A2F" w:rsidRDefault="004B7132" w:rsidP="00C74458">
      <w:pPr>
        <w:pStyle w:val="SingleTxtG"/>
      </w:pPr>
      <w:r w:rsidRPr="00DD6A2F">
        <w:rPr>
          <w:lang w:val="en-US"/>
        </w:rPr>
        <w:t xml:space="preserve">Mixture is chronic aquatic toxic 2 and therefore also </w:t>
      </w:r>
      <w:r w:rsidRPr="00DD6A2F">
        <w:rPr>
          <w:b/>
          <w:bCs/>
          <w:lang w:val="en-US"/>
        </w:rPr>
        <w:t>environmentally hazardous – UN</w:t>
      </w:r>
      <w:r w:rsidR="008C4998">
        <w:rPr>
          <w:b/>
          <w:bCs/>
          <w:lang w:val="en-US"/>
        </w:rPr>
        <w:t> </w:t>
      </w:r>
      <w:r w:rsidRPr="00DD6A2F">
        <w:rPr>
          <w:b/>
          <w:bCs/>
          <w:lang w:val="en-US"/>
        </w:rPr>
        <w:t>3082</w:t>
      </w:r>
    </w:p>
    <w:p w14:paraId="5C40BB62" w14:textId="1D38C1AC" w:rsidR="004B7132" w:rsidRPr="00DD6A2F" w:rsidRDefault="004B7132" w:rsidP="00C74458">
      <w:pPr>
        <w:pStyle w:val="SingleTxtG"/>
      </w:pPr>
      <w:r w:rsidRPr="00DD6A2F">
        <w:rPr>
          <w:b/>
          <w:bCs/>
          <w:lang w:val="en-US"/>
        </w:rPr>
        <w:t>Example 5</w:t>
      </w:r>
      <w:r w:rsidRPr="00DD6A2F">
        <w:rPr>
          <w:lang w:val="en-US"/>
        </w:rPr>
        <w:t xml:space="preserve">: A liquid paint mixture contains one environmentally hazardous substance in a concentration of </w:t>
      </w:r>
      <w:r w:rsidRPr="00DD6A2F">
        <w:rPr>
          <w:b/>
          <w:bCs/>
          <w:lang w:val="en-US"/>
        </w:rPr>
        <w:t>2.75</w:t>
      </w:r>
      <w:r w:rsidR="0042305F">
        <w:rPr>
          <w:b/>
          <w:bCs/>
          <w:lang w:val="en-US"/>
        </w:rPr>
        <w:t> </w:t>
      </w:r>
      <w:r w:rsidRPr="00DD6A2F">
        <w:rPr>
          <w:b/>
          <w:bCs/>
          <w:lang w:val="en-US"/>
        </w:rPr>
        <w:t>% assigned to Chronic hazard category 1, M</w:t>
      </w:r>
      <w:r w:rsidR="0042305F">
        <w:rPr>
          <w:b/>
          <w:bCs/>
          <w:lang w:val="en-US"/>
        </w:rPr>
        <w:t>-</w:t>
      </w:r>
      <w:r w:rsidRPr="00DD6A2F">
        <w:rPr>
          <w:b/>
          <w:bCs/>
          <w:lang w:val="en-US"/>
        </w:rPr>
        <w:t>factor is 1</w:t>
      </w:r>
    </w:p>
    <w:p w14:paraId="3A617EF6" w14:textId="070D8AF1" w:rsidR="004B7132" w:rsidRPr="00DD6A2F" w:rsidRDefault="004B7132" w:rsidP="00C74458">
      <w:pPr>
        <w:pStyle w:val="SingleTxtG"/>
      </w:pPr>
      <w:r w:rsidRPr="00DD6A2F">
        <w:rPr>
          <w:lang w:val="en-US"/>
        </w:rPr>
        <w:t>Calculation for UN</w:t>
      </w:r>
      <w:r w:rsidR="008C4998">
        <w:rPr>
          <w:lang w:val="en-US"/>
        </w:rPr>
        <w:t> </w:t>
      </w:r>
      <w:r w:rsidRPr="00DD6A2F">
        <w:rPr>
          <w:lang w:val="en-US"/>
        </w:rPr>
        <w:t>3082:</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4B7132" w:rsidRPr="008C4998" w14:paraId="20A64B0E" w14:textId="77777777" w:rsidTr="00B951B3">
        <w:trPr>
          <w:trHeight w:val="300"/>
        </w:trPr>
        <w:tc>
          <w:tcPr>
            <w:tcW w:w="4035" w:type="dxa"/>
            <w:tcMar>
              <w:left w:w="105" w:type="dxa"/>
              <w:right w:w="105" w:type="dxa"/>
            </w:tcMar>
          </w:tcPr>
          <w:p w14:paraId="49506D79"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Sum of the concentration of ingredients classified as:</w:t>
            </w:r>
          </w:p>
        </w:tc>
        <w:tc>
          <w:tcPr>
            <w:tcW w:w="1965" w:type="dxa"/>
            <w:tcMar>
              <w:left w:w="105" w:type="dxa"/>
              <w:right w:w="105" w:type="dxa"/>
            </w:tcMar>
          </w:tcPr>
          <w:p w14:paraId="2D848716"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Mixture is classified as</w:t>
            </w:r>
          </w:p>
        </w:tc>
        <w:tc>
          <w:tcPr>
            <w:tcW w:w="3000" w:type="dxa"/>
            <w:tcMar>
              <w:left w:w="105" w:type="dxa"/>
              <w:right w:w="105" w:type="dxa"/>
            </w:tcMar>
          </w:tcPr>
          <w:p w14:paraId="503F1F72"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Result</w:t>
            </w:r>
          </w:p>
        </w:tc>
      </w:tr>
      <w:tr w:rsidR="004B7132" w:rsidRPr="008C4998" w14:paraId="38D1F3E7" w14:textId="77777777" w:rsidTr="00B951B3">
        <w:trPr>
          <w:trHeight w:val="300"/>
        </w:trPr>
        <w:tc>
          <w:tcPr>
            <w:tcW w:w="4035" w:type="dxa"/>
            <w:tcMar>
              <w:left w:w="105" w:type="dxa"/>
              <w:right w:w="105" w:type="dxa"/>
            </w:tcMar>
          </w:tcPr>
          <w:p w14:paraId="269A2E7B" w14:textId="797CF050"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Chronic 1 x M ≥ 25</w:t>
            </w:r>
            <w:r w:rsidR="002061BA">
              <w:rPr>
                <w:rFonts w:asciiTheme="majorBidi" w:hAnsiTheme="majorBidi" w:cstheme="majorBidi"/>
                <w:lang w:val="en-US"/>
              </w:rPr>
              <w:t> </w:t>
            </w:r>
            <w:r w:rsidRPr="008C4998">
              <w:rPr>
                <w:rFonts w:asciiTheme="majorBidi" w:hAnsiTheme="majorBidi" w:cstheme="majorBidi"/>
                <w:lang w:val="en-US"/>
              </w:rPr>
              <w:t>%</w:t>
            </w:r>
          </w:p>
        </w:tc>
        <w:tc>
          <w:tcPr>
            <w:tcW w:w="1965" w:type="dxa"/>
            <w:tcMar>
              <w:left w:w="105" w:type="dxa"/>
              <w:right w:w="105" w:type="dxa"/>
            </w:tcMar>
          </w:tcPr>
          <w:p w14:paraId="03F5E8B9"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Chronic 1</w:t>
            </w:r>
          </w:p>
        </w:tc>
        <w:tc>
          <w:tcPr>
            <w:tcW w:w="3000" w:type="dxa"/>
            <w:tcMar>
              <w:left w:w="105" w:type="dxa"/>
              <w:right w:w="105" w:type="dxa"/>
            </w:tcMar>
          </w:tcPr>
          <w:p w14:paraId="0BEDB1FD"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2.75 x 1 = 2.75 = not classified</w:t>
            </w:r>
          </w:p>
        </w:tc>
      </w:tr>
      <w:tr w:rsidR="004B7132" w:rsidRPr="008C4998" w14:paraId="17100E0B" w14:textId="77777777" w:rsidTr="00B951B3">
        <w:trPr>
          <w:trHeight w:val="300"/>
        </w:trPr>
        <w:tc>
          <w:tcPr>
            <w:tcW w:w="4035" w:type="dxa"/>
            <w:tcMar>
              <w:left w:w="105" w:type="dxa"/>
              <w:right w:w="105" w:type="dxa"/>
            </w:tcMar>
          </w:tcPr>
          <w:p w14:paraId="6986B936"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(M x 10 x Chronic 1) + Chronic 2 ≥ 25 %</w:t>
            </w:r>
          </w:p>
        </w:tc>
        <w:tc>
          <w:tcPr>
            <w:tcW w:w="1965" w:type="dxa"/>
            <w:tcMar>
              <w:left w:w="105" w:type="dxa"/>
              <w:right w:w="105" w:type="dxa"/>
            </w:tcMar>
          </w:tcPr>
          <w:p w14:paraId="707C33B7"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Chronic 2</w:t>
            </w:r>
          </w:p>
        </w:tc>
        <w:tc>
          <w:tcPr>
            <w:tcW w:w="3000" w:type="dxa"/>
            <w:tcMar>
              <w:left w:w="105" w:type="dxa"/>
              <w:right w:w="105" w:type="dxa"/>
            </w:tcMar>
          </w:tcPr>
          <w:p w14:paraId="67D8F148" w14:textId="77777777"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lang w:val="en-US"/>
              </w:rPr>
              <w:t>(1 x 10 x 2.75) + 0 = 27.5 =</w:t>
            </w:r>
          </w:p>
          <w:p w14:paraId="7CDAB7A4" w14:textId="7A59CE05" w:rsidR="004B7132" w:rsidRPr="008C4998" w:rsidRDefault="004B7132" w:rsidP="00B951B3">
            <w:pPr>
              <w:spacing w:line="259" w:lineRule="auto"/>
              <w:jc w:val="both"/>
              <w:rPr>
                <w:rFonts w:asciiTheme="majorBidi" w:hAnsiTheme="majorBidi" w:cstheme="majorBidi"/>
              </w:rPr>
            </w:pPr>
            <w:r w:rsidRPr="008C4998">
              <w:rPr>
                <w:rFonts w:asciiTheme="majorBidi" w:hAnsiTheme="majorBidi" w:cstheme="majorBidi"/>
                <w:b/>
                <w:bCs/>
                <w:lang w:val="en-US"/>
              </w:rPr>
              <w:t>Classified</w:t>
            </w:r>
          </w:p>
          <w:p w14:paraId="6DC4196B" w14:textId="77777777" w:rsidR="004B7132" w:rsidRPr="008C4998" w:rsidRDefault="004B7132" w:rsidP="00B951B3">
            <w:pPr>
              <w:spacing w:line="259" w:lineRule="auto"/>
              <w:jc w:val="both"/>
              <w:rPr>
                <w:rFonts w:asciiTheme="majorBidi" w:hAnsiTheme="majorBidi" w:cstheme="majorBidi"/>
              </w:rPr>
            </w:pPr>
          </w:p>
        </w:tc>
      </w:tr>
    </w:tbl>
    <w:p w14:paraId="5DF76C53" w14:textId="491C1C55" w:rsidR="004B7132" w:rsidRPr="00DD6A2F" w:rsidRDefault="004B7132" w:rsidP="00C74458">
      <w:pPr>
        <w:pStyle w:val="SingleTxtG"/>
      </w:pPr>
      <w:r w:rsidRPr="00DD6A2F">
        <w:rPr>
          <w:lang w:val="en-US"/>
        </w:rPr>
        <w:t xml:space="preserve">Mixture is chronic aquatic toxic 2 and therefore also </w:t>
      </w:r>
      <w:r w:rsidRPr="00504021">
        <w:rPr>
          <w:b/>
          <w:bCs/>
          <w:lang w:val="en-US"/>
        </w:rPr>
        <w:t>environmentally hazardous – UN</w:t>
      </w:r>
      <w:r w:rsidR="002061BA">
        <w:rPr>
          <w:b/>
          <w:bCs/>
          <w:lang w:val="en-US"/>
        </w:rPr>
        <w:t> </w:t>
      </w:r>
      <w:r w:rsidRPr="00504021">
        <w:rPr>
          <w:b/>
          <w:bCs/>
          <w:lang w:val="en-US"/>
        </w:rPr>
        <w:t>3082 and will be packaged in UN-approved packaging (would have to be supplied in metal UN-approved packaging)</w:t>
      </w:r>
    </w:p>
    <w:p w14:paraId="3B210878" w14:textId="67811EC8" w:rsidR="004B7132" w:rsidRPr="00DD6A2F" w:rsidRDefault="004B7132" w:rsidP="00D9280E">
      <w:pPr>
        <w:pStyle w:val="SingleTxtG"/>
      </w:pPr>
      <w:r w:rsidRPr="00DD6A2F">
        <w:rPr>
          <w:lang w:val="en-US"/>
        </w:rPr>
        <w:t>The proposal is to exempt mixture classified as UN</w:t>
      </w:r>
      <w:r w:rsidR="003E7C4A">
        <w:rPr>
          <w:lang w:val="en-US"/>
        </w:rPr>
        <w:t> </w:t>
      </w:r>
      <w:r w:rsidRPr="00DD6A2F">
        <w:rPr>
          <w:lang w:val="en-US"/>
        </w:rPr>
        <w:t>3082 but containing &lt; 1</w:t>
      </w:r>
      <w:r w:rsidR="002061BA">
        <w:rPr>
          <w:lang w:val="en-US"/>
        </w:rPr>
        <w:t> </w:t>
      </w:r>
      <w:r w:rsidRPr="00DD6A2F">
        <w:rPr>
          <w:lang w:val="en-US"/>
        </w:rPr>
        <w:t>% of highly toxic to the environment substances (with M-factor &gt;1) for UN-approved packaging.</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5"/>
        <w:gridCol w:w="3060"/>
        <w:gridCol w:w="4245"/>
      </w:tblGrid>
      <w:tr w:rsidR="004B7132" w:rsidRPr="002061BA" w14:paraId="0B56C486" w14:textId="77777777" w:rsidTr="00B951B3">
        <w:trPr>
          <w:trHeight w:val="300"/>
        </w:trPr>
        <w:tc>
          <w:tcPr>
            <w:tcW w:w="1695" w:type="dxa"/>
            <w:tcMar>
              <w:left w:w="105" w:type="dxa"/>
              <w:right w:w="105" w:type="dxa"/>
            </w:tcMar>
          </w:tcPr>
          <w:p w14:paraId="7D4EC885" w14:textId="77777777" w:rsidR="004B7132" w:rsidRPr="002061BA" w:rsidRDefault="004B7132" w:rsidP="00B951B3">
            <w:pPr>
              <w:spacing w:line="259" w:lineRule="auto"/>
              <w:jc w:val="both"/>
              <w:rPr>
                <w:rFonts w:asciiTheme="majorBidi" w:hAnsiTheme="majorBidi" w:cstheme="majorBidi"/>
              </w:rPr>
            </w:pPr>
            <w:r w:rsidRPr="002061BA">
              <w:rPr>
                <w:rFonts w:asciiTheme="majorBidi" w:hAnsiTheme="majorBidi" w:cstheme="majorBidi"/>
                <w:b/>
                <w:bCs/>
                <w:lang w:val="en-US"/>
              </w:rPr>
              <w:t>Example</w:t>
            </w:r>
          </w:p>
        </w:tc>
        <w:tc>
          <w:tcPr>
            <w:tcW w:w="3060" w:type="dxa"/>
            <w:tcMar>
              <w:left w:w="105" w:type="dxa"/>
              <w:right w:w="105" w:type="dxa"/>
            </w:tcMar>
          </w:tcPr>
          <w:p w14:paraId="526F89DB" w14:textId="77777777" w:rsidR="004B7132" w:rsidRPr="002061BA" w:rsidRDefault="004B7132" w:rsidP="00B951B3">
            <w:pPr>
              <w:spacing w:line="259" w:lineRule="auto"/>
              <w:jc w:val="both"/>
              <w:rPr>
                <w:rFonts w:asciiTheme="majorBidi" w:hAnsiTheme="majorBidi" w:cstheme="majorBidi"/>
              </w:rPr>
            </w:pPr>
            <w:r w:rsidRPr="002061BA">
              <w:rPr>
                <w:rFonts w:asciiTheme="majorBidi" w:hAnsiTheme="majorBidi" w:cstheme="majorBidi"/>
                <w:b/>
                <w:bCs/>
                <w:lang w:val="en-US"/>
              </w:rPr>
              <w:t xml:space="preserve">Contain &lt;1% </w:t>
            </w:r>
          </w:p>
        </w:tc>
        <w:tc>
          <w:tcPr>
            <w:tcW w:w="4245" w:type="dxa"/>
            <w:tcMar>
              <w:left w:w="105" w:type="dxa"/>
              <w:right w:w="105" w:type="dxa"/>
            </w:tcMar>
          </w:tcPr>
          <w:p w14:paraId="1C0873FF" w14:textId="77777777" w:rsidR="004B7132" w:rsidRPr="002061BA" w:rsidRDefault="004B7132" w:rsidP="00B951B3">
            <w:pPr>
              <w:spacing w:line="259" w:lineRule="auto"/>
              <w:jc w:val="both"/>
              <w:rPr>
                <w:rFonts w:asciiTheme="majorBidi" w:hAnsiTheme="majorBidi" w:cstheme="majorBidi"/>
              </w:rPr>
            </w:pPr>
            <w:r w:rsidRPr="002061BA">
              <w:rPr>
                <w:rFonts w:asciiTheme="majorBidi" w:hAnsiTheme="majorBidi" w:cstheme="majorBidi"/>
                <w:b/>
                <w:bCs/>
                <w:lang w:val="en-US"/>
              </w:rPr>
              <w:t>UN approved packaging under our proposal</w:t>
            </w:r>
          </w:p>
        </w:tc>
      </w:tr>
      <w:tr w:rsidR="004B7132" w:rsidRPr="002061BA" w14:paraId="04DAE9C6" w14:textId="77777777" w:rsidTr="00B951B3">
        <w:trPr>
          <w:trHeight w:val="300"/>
        </w:trPr>
        <w:tc>
          <w:tcPr>
            <w:tcW w:w="1695" w:type="dxa"/>
            <w:tcMar>
              <w:left w:w="105" w:type="dxa"/>
              <w:right w:w="105" w:type="dxa"/>
            </w:tcMar>
          </w:tcPr>
          <w:p w14:paraId="1ABDF5B7" w14:textId="7777777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2</w:t>
            </w:r>
          </w:p>
          <w:p w14:paraId="04882754" w14:textId="5F86BCFD"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sidR="003E7C4A">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76597DAE" w14:textId="7777777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0.03% Chronic cat.  1, M = 100</w:t>
            </w:r>
          </w:p>
        </w:tc>
        <w:tc>
          <w:tcPr>
            <w:tcW w:w="4245" w:type="dxa"/>
            <w:tcMar>
              <w:left w:w="105" w:type="dxa"/>
              <w:right w:w="105" w:type="dxa"/>
            </w:tcMar>
          </w:tcPr>
          <w:p w14:paraId="623776F1" w14:textId="26042D5F"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No (0.03</w:t>
            </w:r>
            <w:r w:rsidR="006156BE">
              <w:rPr>
                <w:rFonts w:asciiTheme="majorBidi" w:eastAsia="Calibri" w:hAnsiTheme="majorBidi" w:cstheme="majorBidi"/>
                <w:lang w:val="en-US"/>
              </w:rPr>
              <w:t> </w:t>
            </w:r>
            <w:r w:rsidRPr="002061BA">
              <w:rPr>
                <w:rFonts w:asciiTheme="majorBidi" w:eastAsia="Calibri" w:hAnsiTheme="majorBidi" w:cstheme="majorBidi"/>
                <w:lang w:val="en-US"/>
              </w:rPr>
              <w:t>% &lt; 1</w:t>
            </w:r>
            <w:r w:rsidR="006156BE">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4B7132" w:rsidRPr="002061BA" w14:paraId="6B480935" w14:textId="77777777" w:rsidTr="00B951B3">
        <w:trPr>
          <w:trHeight w:val="300"/>
        </w:trPr>
        <w:tc>
          <w:tcPr>
            <w:tcW w:w="1695" w:type="dxa"/>
            <w:tcMar>
              <w:left w:w="105" w:type="dxa"/>
              <w:right w:w="105" w:type="dxa"/>
            </w:tcMar>
          </w:tcPr>
          <w:p w14:paraId="5D470BD2" w14:textId="7777777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3</w:t>
            </w:r>
          </w:p>
          <w:p w14:paraId="099D6EA7" w14:textId="4F0D2A0C"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sidR="003E7C4A">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77AABDB4" w14:textId="7777777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0.03% Acute cat. 1 (M = 100); Chronic cat. 1 (M = 100)</w:t>
            </w:r>
          </w:p>
        </w:tc>
        <w:tc>
          <w:tcPr>
            <w:tcW w:w="4245" w:type="dxa"/>
            <w:tcMar>
              <w:left w:w="105" w:type="dxa"/>
              <w:right w:w="105" w:type="dxa"/>
            </w:tcMar>
          </w:tcPr>
          <w:p w14:paraId="6C3C95B4" w14:textId="47173BC0"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No (0.03</w:t>
            </w:r>
            <w:r w:rsidR="006156BE">
              <w:rPr>
                <w:rFonts w:asciiTheme="majorBidi" w:eastAsia="Calibri" w:hAnsiTheme="majorBidi" w:cstheme="majorBidi"/>
                <w:lang w:val="en-US"/>
              </w:rPr>
              <w:t> </w:t>
            </w:r>
            <w:r w:rsidRPr="002061BA">
              <w:rPr>
                <w:rFonts w:asciiTheme="majorBidi" w:eastAsia="Calibri" w:hAnsiTheme="majorBidi" w:cstheme="majorBidi"/>
                <w:lang w:val="en-US"/>
              </w:rPr>
              <w:t>% &lt; 1</w:t>
            </w:r>
            <w:r w:rsidR="006156BE">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4B7132" w:rsidRPr="002061BA" w14:paraId="70AA1787" w14:textId="77777777" w:rsidTr="00B951B3">
        <w:trPr>
          <w:trHeight w:val="300"/>
        </w:trPr>
        <w:tc>
          <w:tcPr>
            <w:tcW w:w="1695" w:type="dxa"/>
            <w:tcMar>
              <w:left w:w="105" w:type="dxa"/>
              <w:right w:w="105" w:type="dxa"/>
            </w:tcMar>
          </w:tcPr>
          <w:p w14:paraId="459628F8" w14:textId="7777777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 xml:space="preserve">Example 4 </w:t>
            </w:r>
          </w:p>
          <w:p w14:paraId="2CAE8F88" w14:textId="4712FD0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sidR="003E7C4A">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3FC51B4A" w14:textId="3E81DA3F"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Substance 1: 0.01</w:t>
            </w:r>
            <w:r w:rsidR="003E7C4A">
              <w:rPr>
                <w:rFonts w:asciiTheme="majorBidi" w:eastAsia="Calibri" w:hAnsiTheme="majorBidi" w:cstheme="majorBidi"/>
                <w:lang w:val="en-US"/>
              </w:rPr>
              <w:t> </w:t>
            </w:r>
            <w:r w:rsidRPr="002061BA">
              <w:rPr>
                <w:rFonts w:asciiTheme="majorBidi" w:eastAsia="Calibri" w:hAnsiTheme="majorBidi" w:cstheme="majorBidi"/>
                <w:lang w:val="en-US"/>
              </w:rPr>
              <w:t>% Acute cat. 1 (M = 100); Chronic cat. 1 (M = 100)</w:t>
            </w:r>
          </w:p>
          <w:p w14:paraId="07B4B948" w14:textId="3CDC3CE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lastRenderedPageBreak/>
              <w:t>Substance 2: 0.02</w:t>
            </w:r>
            <w:r w:rsidR="000F47F1">
              <w:rPr>
                <w:rFonts w:asciiTheme="majorBidi" w:eastAsia="Calibri" w:hAnsiTheme="majorBidi" w:cstheme="majorBidi"/>
                <w:lang w:val="en-US"/>
              </w:rPr>
              <w:t> </w:t>
            </w:r>
            <w:r w:rsidRPr="002061BA">
              <w:rPr>
                <w:rFonts w:asciiTheme="majorBidi" w:eastAsia="Calibri" w:hAnsiTheme="majorBidi" w:cstheme="majorBidi"/>
                <w:lang w:val="en-US"/>
              </w:rPr>
              <w:t>% Chronic cat. 1 (M = 1000)</w:t>
            </w:r>
          </w:p>
        </w:tc>
        <w:tc>
          <w:tcPr>
            <w:tcW w:w="4245" w:type="dxa"/>
            <w:tcMar>
              <w:left w:w="105" w:type="dxa"/>
              <w:right w:w="105" w:type="dxa"/>
            </w:tcMar>
          </w:tcPr>
          <w:p w14:paraId="3B34B900" w14:textId="2A6BD974"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lastRenderedPageBreak/>
              <w:t>No (0.01 + 0.02%) = 0.03</w:t>
            </w:r>
            <w:r w:rsidR="006156BE">
              <w:rPr>
                <w:rFonts w:asciiTheme="majorBidi" w:eastAsia="Calibri" w:hAnsiTheme="majorBidi" w:cstheme="majorBidi"/>
                <w:lang w:val="en-US"/>
              </w:rPr>
              <w:t> </w:t>
            </w:r>
            <w:r w:rsidRPr="002061BA">
              <w:rPr>
                <w:rFonts w:asciiTheme="majorBidi" w:eastAsia="Calibri" w:hAnsiTheme="majorBidi" w:cstheme="majorBidi"/>
                <w:lang w:val="en-US"/>
              </w:rPr>
              <w:t>% &lt;1</w:t>
            </w:r>
            <w:r w:rsidR="006156BE">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4B7132" w:rsidRPr="002061BA" w14:paraId="0FC2879B" w14:textId="77777777" w:rsidTr="00B951B3">
        <w:trPr>
          <w:trHeight w:val="300"/>
        </w:trPr>
        <w:tc>
          <w:tcPr>
            <w:tcW w:w="1695" w:type="dxa"/>
            <w:tcMar>
              <w:left w:w="105" w:type="dxa"/>
              <w:right w:w="105" w:type="dxa"/>
            </w:tcMar>
          </w:tcPr>
          <w:p w14:paraId="485590C6" w14:textId="77777777"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5</w:t>
            </w:r>
          </w:p>
          <w:p w14:paraId="159FEA27" w14:textId="2E2385D0"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sidR="000F47F1">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32E69510" w14:textId="6819501E"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2.75</w:t>
            </w:r>
            <w:r w:rsidR="000F47F1">
              <w:rPr>
                <w:rFonts w:asciiTheme="majorBidi" w:eastAsia="Calibri" w:hAnsiTheme="majorBidi" w:cstheme="majorBidi"/>
                <w:lang w:val="en-US"/>
              </w:rPr>
              <w:t> </w:t>
            </w:r>
            <w:r w:rsidRPr="002061BA">
              <w:rPr>
                <w:rFonts w:asciiTheme="majorBidi" w:eastAsia="Calibri" w:hAnsiTheme="majorBidi" w:cstheme="majorBidi"/>
                <w:lang w:val="en-US"/>
              </w:rPr>
              <w:t>% Acute cat. 1 (M = 1); Chronic cat. 1 (M = 1)</w:t>
            </w:r>
          </w:p>
        </w:tc>
        <w:tc>
          <w:tcPr>
            <w:tcW w:w="4245" w:type="dxa"/>
            <w:tcMar>
              <w:left w:w="105" w:type="dxa"/>
              <w:right w:w="105" w:type="dxa"/>
            </w:tcMar>
          </w:tcPr>
          <w:p w14:paraId="52F157CF" w14:textId="23D13A28" w:rsidR="004B7132" w:rsidRPr="002061BA" w:rsidRDefault="004B7132" w:rsidP="00B951B3">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Yes (2.75</w:t>
            </w:r>
            <w:r w:rsidR="000F47F1">
              <w:rPr>
                <w:rFonts w:asciiTheme="majorBidi" w:eastAsia="Calibri" w:hAnsiTheme="majorBidi" w:cstheme="majorBidi"/>
                <w:lang w:val="en-US"/>
              </w:rPr>
              <w:t> </w:t>
            </w:r>
            <w:r w:rsidRPr="002061BA">
              <w:rPr>
                <w:rFonts w:asciiTheme="majorBidi" w:eastAsia="Calibri" w:hAnsiTheme="majorBidi" w:cstheme="majorBidi"/>
                <w:lang w:val="en-US"/>
              </w:rPr>
              <w:t>% environmentally hazardous substance but not highly toxic (M=1))</w:t>
            </w:r>
          </w:p>
        </w:tc>
      </w:tr>
    </w:tbl>
    <w:p w14:paraId="00DE9EF1" w14:textId="4CDC61E3" w:rsidR="004B7132" w:rsidRPr="00DD6A2F" w:rsidRDefault="00D9280E" w:rsidP="00D9280E">
      <w:pPr>
        <w:pStyle w:val="HChG"/>
        <w:rPr>
          <w:rFonts w:eastAsia="Calibri"/>
        </w:rPr>
      </w:pPr>
      <w:r>
        <w:rPr>
          <w:rFonts w:eastAsia="Calibri"/>
          <w:lang w:val="en-US"/>
        </w:rPr>
        <w:tab/>
      </w:r>
      <w:r w:rsidR="00E2595A">
        <w:rPr>
          <w:rFonts w:eastAsia="Calibri"/>
          <w:lang w:val="en-US"/>
        </w:rPr>
        <w:t>V.</w:t>
      </w:r>
      <w:r w:rsidR="00E2595A">
        <w:rPr>
          <w:rFonts w:eastAsia="Calibri"/>
          <w:lang w:val="en-US"/>
        </w:rPr>
        <w:tab/>
      </w:r>
      <w:r w:rsidR="004B7132" w:rsidRPr="00DD6A2F">
        <w:rPr>
          <w:rFonts w:eastAsia="Calibri"/>
          <w:lang w:val="en-US"/>
        </w:rPr>
        <w:t>Additional Remarks</w:t>
      </w:r>
    </w:p>
    <w:p w14:paraId="7784227E" w14:textId="09DE2626" w:rsidR="004B7132" w:rsidRPr="00DD6A2F" w:rsidRDefault="007F3687" w:rsidP="001A6A97">
      <w:pPr>
        <w:pStyle w:val="SingleTxtG"/>
        <w:rPr>
          <w:rFonts w:eastAsia="Calibri"/>
        </w:rPr>
      </w:pPr>
      <w:r>
        <w:rPr>
          <w:rFonts w:eastAsia="Calibri"/>
          <w:lang w:val="en-US"/>
        </w:rPr>
        <w:t>14.</w:t>
      </w:r>
      <w:r>
        <w:rPr>
          <w:rFonts w:eastAsia="Calibri"/>
          <w:lang w:val="en-US"/>
        </w:rPr>
        <w:tab/>
      </w:r>
      <w:r w:rsidR="004B7132" w:rsidRPr="00DD6A2F">
        <w:rPr>
          <w:rFonts w:eastAsia="Calibri"/>
          <w:lang w:val="en-US"/>
        </w:rPr>
        <w:t xml:space="preserve">When Class 9 </w:t>
      </w:r>
      <w:r w:rsidR="00FC165B">
        <w:rPr>
          <w:rFonts w:eastAsia="Calibri"/>
          <w:lang w:val="en-US"/>
        </w:rPr>
        <w:t>e</w:t>
      </w:r>
      <w:r w:rsidR="004B7132" w:rsidRPr="00DD6A2F">
        <w:rPr>
          <w:rFonts w:eastAsia="Calibri"/>
          <w:lang w:val="en-US"/>
        </w:rPr>
        <w:t xml:space="preserve">nvironmentally </w:t>
      </w:r>
      <w:r w:rsidR="00FC165B">
        <w:rPr>
          <w:rFonts w:eastAsia="Calibri"/>
          <w:lang w:val="en-US"/>
        </w:rPr>
        <w:t>h</w:t>
      </w:r>
      <w:r w:rsidR="004B7132" w:rsidRPr="00DD6A2F">
        <w:rPr>
          <w:rFonts w:eastAsia="Calibri"/>
          <w:lang w:val="en-US"/>
        </w:rPr>
        <w:t>azardous classification was introduced (2009), there was only limited data available on substances (as well as M-factors). Over the years this has increased due to the proliferation of high M-factors.</w:t>
      </w:r>
    </w:p>
    <w:p w14:paraId="232C3CA7" w14:textId="540C5D24" w:rsidR="004B7132" w:rsidRPr="00DD6A2F" w:rsidRDefault="007F3687" w:rsidP="000F47F1">
      <w:pPr>
        <w:pStyle w:val="SingleTxtG"/>
        <w:rPr>
          <w:rFonts w:eastAsia="Calibri"/>
        </w:rPr>
      </w:pPr>
      <w:r>
        <w:rPr>
          <w:rFonts w:eastAsia="Calibri"/>
          <w:lang w:val="en-US"/>
        </w:rPr>
        <w:t>15.</w:t>
      </w:r>
      <w:r>
        <w:rPr>
          <w:rFonts w:eastAsia="Calibri"/>
          <w:lang w:val="en-US"/>
        </w:rPr>
        <w:tab/>
      </w:r>
      <w:r w:rsidR="004B7132" w:rsidRPr="00DD6A2F">
        <w:rPr>
          <w:rFonts w:eastAsia="Calibri"/>
          <w:lang w:val="en-US"/>
        </w:rPr>
        <w:t>High M-factors have led to the environmentally hazardous classification for a mixture at disproportionately low levels (e.g. 0.025</w:t>
      </w:r>
      <w:r w:rsidR="000F47F1">
        <w:rPr>
          <w:rFonts w:eastAsia="Calibri"/>
          <w:lang w:val="en-US"/>
        </w:rPr>
        <w:t> </w:t>
      </w:r>
      <w:r w:rsidR="004B7132" w:rsidRPr="00DD6A2F">
        <w:rPr>
          <w:rFonts w:eastAsia="Calibri"/>
          <w:lang w:val="en-US"/>
        </w:rPr>
        <w:t>%) when compared to mixture classification for corrosive (5</w:t>
      </w:r>
      <w:r w:rsidR="000F47F1">
        <w:rPr>
          <w:rFonts w:eastAsia="Calibri"/>
          <w:lang w:val="en-US"/>
        </w:rPr>
        <w:t xml:space="preserve"> </w:t>
      </w:r>
      <w:r w:rsidR="004B7132" w:rsidRPr="00DD6A2F">
        <w:rPr>
          <w:rFonts w:eastAsia="Calibri"/>
          <w:lang w:val="en-US"/>
        </w:rPr>
        <w:t>%) or toxic (oral 33.3</w:t>
      </w:r>
      <w:r w:rsidR="000F47F1">
        <w:rPr>
          <w:rFonts w:eastAsia="Calibri"/>
          <w:lang w:val="en-US"/>
        </w:rPr>
        <w:t xml:space="preserve"> </w:t>
      </w:r>
      <w:r w:rsidR="004B7132" w:rsidRPr="00DD6A2F">
        <w:rPr>
          <w:rFonts w:eastAsia="Calibri"/>
          <w:lang w:val="en-US"/>
        </w:rPr>
        <w:t>% - dermal 3</w:t>
      </w:r>
      <w:r w:rsidR="000F47F1">
        <w:rPr>
          <w:rFonts w:eastAsia="Calibri"/>
          <w:lang w:val="en-US"/>
        </w:rPr>
        <w:t xml:space="preserve"> </w:t>
      </w:r>
      <w:r w:rsidR="004B7132" w:rsidRPr="00DD6A2F">
        <w:rPr>
          <w:rFonts w:eastAsia="Calibri"/>
          <w:lang w:val="en-US"/>
        </w:rPr>
        <w:t>0% - inhalation 5</w:t>
      </w:r>
      <w:r w:rsidR="000F47F1">
        <w:rPr>
          <w:rFonts w:eastAsia="Calibri"/>
          <w:lang w:val="en-US"/>
        </w:rPr>
        <w:t xml:space="preserve"> </w:t>
      </w:r>
      <w:r w:rsidR="004B7132" w:rsidRPr="00DD6A2F">
        <w:rPr>
          <w:rFonts w:eastAsia="Calibri"/>
          <w:lang w:val="en-US"/>
        </w:rPr>
        <w:t>%). UN</w:t>
      </w:r>
      <w:r w:rsidR="000F47F1">
        <w:rPr>
          <w:rFonts w:eastAsia="Calibri"/>
          <w:lang w:val="en-US"/>
        </w:rPr>
        <w:t> </w:t>
      </w:r>
      <w:r w:rsidR="004B7132" w:rsidRPr="00DD6A2F">
        <w:rPr>
          <w:rFonts w:eastAsia="Calibri"/>
          <w:lang w:val="en-US"/>
        </w:rPr>
        <w:t>3077/3082 only exist in PG</w:t>
      </w:r>
      <w:r w:rsidR="00FC165B">
        <w:rPr>
          <w:rFonts w:eastAsia="Calibri"/>
          <w:lang w:val="en-US"/>
        </w:rPr>
        <w:t> </w:t>
      </w:r>
      <w:r w:rsidR="004B7132" w:rsidRPr="00DD6A2F">
        <w:rPr>
          <w:rFonts w:eastAsia="Calibri"/>
          <w:lang w:val="en-US"/>
        </w:rPr>
        <w:t xml:space="preserve">III (less danger) whereas corrosive and toxic have the full range of </w:t>
      </w:r>
      <w:r w:rsidR="00336311">
        <w:rPr>
          <w:rFonts w:eastAsia="Calibri"/>
          <w:lang w:val="en-US"/>
        </w:rPr>
        <w:t>packing group</w:t>
      </w:r>
      <w:r w:rsidR="004B7132" w:rsidRPr="00DD6A2F">
        <w:rPr>
          <w:rFonts w:eastAsia="Calibri"/>
          <w:lang w:val="en-US"/>
        </w:rPr>
        <w:t xml:space="preserve"> (I severe</w:t>
      </w:r>
      <w:r w:rsidR="00B247EE">
        <w:rPr>
          <w:rFonts w:eastAsia="Calibri"/>
          <w:lang w:val="en-US"/>
        </w:rPr>
        <w:t>,</w:t>
      </w:r>
      <w:r w:rsidR="004B7132" w:rsidRPr="00DD6A2F">
        <w:rPr>
          <w:rFonts w:eastAsia="Calibri"/>
          <w:lang w:val="en-US"/>
        </w:rPr>
        <w:t xml:space="preserve"> II medium</w:t>
      </w:r>
      <w:r w:rsidR="00B247EE">
        <w:rPr>
          <w:rFonts w:eastAsia="Calibri"/>
          <w:lang w:val="en-US"/>
        </w:rPr>
        <w:t>,</w:t>
      </w:r>
      <w:r w:rsidR="004B7132" w:rsidRPr="00DD6A2F">
        <w:rPr>
          <w:rFonts w:eastAsia="Calibri"/>
          <w:lang w:val="en-US"/>
        </w:rPr>
        <w:t xml:space="preserve"> III less danger). The environmentally hazardous classification does not take precedence over class</w:t>
      </w:r>
      <w:r w:rsidR="00B247EE">
        <w:rPr>
          <w:rFonts w:eastAsia="Calibri"/>
          <w:lang w:val="en-US"/>
        </w:rPr>
        <w:t>es</w:t>
      </w:r>
      <w:r w:rsidR="004B7132" w:rsidRPr="00DD6A2F">
        <w:rPr>
          <w:rFonts w:eastAsia="Calibri"/>
          <w:lang w:val="en-US"/>
        </w:rPr>
        <w:t xml:space="preserve"> 1</w:t>
      </w:r>
      <w:r w:rsidR="007D13D7">
        <w:rPr>
          <w:rFonts w:eastAsia="Calibri"/>
          <w:lang w:val="en-US"/>
        </w:rPr>
        <w:t xml:space="preserve"> to </w:t>
      </w:r>
      <w:r w:rsidR="004B7132" w:rsidRPr="00DD6A2F">
        <w:rPr>
          <w:rFonts w:eastAsia="Calibri"/>
          <w:lang w:val="en-US"/>
        </w:rPr>
        <w:t xml:space="preserve">8 and is an additional hazard while corrosive and toxic are not. Thus, this classification has inadvertently become ‘over-prioritized’ through the link between </w:t>
      </w:r>
      <w:r w:rsidR="004B7132" w:rsidRPr="00336311">
        <w:rPr>
          <w:rFonts w:eastAsia="Calibri"/>
          <w:i/>
          <w:iCs/>
          <w:lang w:val="en-US"/>
        </w:rPr>
        <w:t>GHS</w:t>
      </w:r>
      <w:r w:rsidR="004B7132" w:rsidRPr="00DD6A2F">
        <w:rPr>
          <w:rFonts w:eastAsia="Calibri"/>
          <w:lang w:val="en-US"/>
        </w:rPr>
        <w:t xml:space="preserve"> </w:t>
      </w:r>
      <w:r w:rsidR="007D13D7">
        <w:rPr>
          <w:rFonts w:eastAsia="Calibri"/>
          <w:lang w:val="en-US"/>
        </w:rPr>
        <w:t xml:space="preserve">and the </w:t>
      </w:r>
      <w:r w:rsidR="007D13D7" w:rsidRPr="00336311">
        <w:rPr>
          <w:rFonts w:eastAsia="Calibri"/>
          <w:i/>
          <w:iCs/>
          <w:lang w:val="en-US"/>
        </w:rPr>
        <w:t>Model</w:t>
      </w:r>
      <w:r w:rsidR="004B7132" w:rsidRPr="00336311">
        <w:rPr>
          <w:rFonts w:eastAsia="Calibri"/>
          <w:i/>
          <w:iCs/>
          <w:lang w:val="en-US"/>
        </w:rPr>
        <w:t xml:space="preserve"> Regulations</w:t>
      </w:r>
      <w:r w:rsidR="004B7132" w:rsidRPr="00DD6A2F">
        <w:rPr>
          <w:rFonts w:eastAsia="Calibri"/>
          <w:lang w:val="en-US"/>
        </w:rPr>
        <w:t>, due primarily to M-</w:t>
      </w:r>
      <w:r w:rsidR="007D13D7">
        <w:rPr>
          <w:rFonts w:eastAsia="Calibri"/>
          <w:lang w:val="en-US"/>
        </w:rPr>
        <w:t>f</w:t>
      </w:r>
      <w:r w:rsidR="004B7132" w:rsidRPr="00DD6A2F">
        <w:rPr>
          <w:rFonts w:eastAsia="Calibri"/>
          <w:lang w:val="en-US"/>
        </w:rPr>
        <w:t>actors.</w:t>
      </w:r>
    </w:p>
    <w:p w14:paraId="72497046" w14:textId="49E893F3" w:rsidR="00095BE2" w:rsidRDefault="007F3687" w:rsidP="001A6A97">
      <w:pPr>
        <w:pStyle w:val="SingleTxtG"/>
        <w:rPr>
          <w:rFonts w:eastAsia="Calibri"/>
          <w:lang w:val="en-US"/>
        </w:rPr>
      </w:pPr>
      <w:r>
        <w:rPr>
          <w:rFonts w:eastAsia="Calibri"/>
          <w:lang w:val="en-US"/>
        </w:rPr>
        <w:t>16.</w:t>
      </w:r>
      <w:r>
        <w:rPr>
          <w:rFonts w:eastAsia="Calibri"/>
          <w:lang w:val="en-US"/>
        </w:rPr>
        <w:tab/>
      </w:r>
      <w:r w:rsidR="004B7132" w:rsidRPr="00DD6A2F">
        <w:rPr>
          <w:rFonts w:eastAsia="Calibri"/>
          <w:lang w:val="en-US"/>
        </w:rPr>
        <w:t xml:space="preserve">In transport classification for health hazards only acute toxic classification is </w:t>
      </w:r>
      <w:proofErr w:type="gramStart"/>
      <w:r w:rsidR="004B7132" w:rsidRPr="00DD6A2F">
        <w:rPr>
          <w:rFonts w:eastAsia="Calibri"/>
          <w:lang w:val="en-US"/>
        </w:rPr>
        <w:t>taken into account</w:t>
      </w:r>
      <w:proofErr w:type="gramEnd"/>
      <w:r w:rsidR="004B7132" w:rsidRPr="00DD6A2F">
        <w:rPr>
          <w:rFonts w:eastAsia="Calibri"/>
          <w:lang w:val="en-US"/>
        </w:rPr>
        <w:t xml:space="preserve"> and not chronic toxic, while for environmentally hazardous classification both acute and chronic (1 and 2) are seen as dangerous in transport.</w:t>
      </w:r>
    </w:p>
    <w:p w14:paraId="61855C47" w14:textId="5431EB0E" w:rsidR="004B7132" w:rsidRPr="004B7132" w:rsidRDefault="004B7132" w:rsidP="004B7132">
      <w:pPr>
        <w:spacing w:before="240"/>
        <w:jc w:val="center"/>
        <w:rPr>
          <w:u w:val="single"/>
          <w:lang w:val="en-US"/>
        </w:rPr>
      </w:pPr>
      <w:r>
        <w:rPr>
          <w:u w:val="single"/>
          <w:lang w:val="en-US"/>
        </w:rPr>
        <w:tab/>
      </w:r>
      <w:r>
        <w:rPr>
          <w:u w:val="single"/>
          <w:lang w:val="en-US"/>
        </w:rPr>
        <w:tab/>
      </w:r>
      <w:r>
        <w:rPr>
          <w:u w:val="single"/>
          <w:lang w:val="en-US"/>
        </w:rPr>
        <w:tab/>
      </w:r>
    </w:p>
    <w:sectPr w:rsidR="004B7132" w:rsidRPr="004B7132" w:rsidSect="00085CF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0703" w14:textId="77777777" w:rsidR="000101B9" w:rsidRDefault="000101B9"/>
  </w:endnote>
  <w:endnote w:type="continuationSeparator" w:id="0">
    <w:p w14:paraId="1EBAF769" w14:textId="77777777" w:rsidR="000101B9" w:rsidRDefault="000101B9"/>
  </w:endnote>
  <w:endnote w:type="continuationNotice" w:id="1">
    <w:p w14:paraId="2144AE7A" w14:textId="77777777" w:rsidR="000101B9" w:rsidRDefault="0001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0CA0" w14:textId="26BE1BF2" w:rsidR="00085CF0" w:rsidRPr="00085CF0" w:rsidRDefault="00085CF0" w:rsidP="00085CF0">
    <w:pPr>
      <w:pStyle w:val="Footer"/>
      <w:tabs>
        <w:tab w:val="right" w:pos="9638"/>
      </w:tabs>
      <w:rPr>
        <w:sz w:val="18"/>
      </w:rPr>
    </w:pPr>
    <w:r w:rsidRPr="00085CF0">
      <w:rPr>
        <w:b/>
        <w:sz w:val="18"/>
      </w:rPr>
      <w:fldChar w:fldCharType="begin"/>
    </w:r>
    <w:r w:rsidRPr="00085CF0">
      <w:rPr>
        <w:b/>
        <w:sz w:val="18"/>
      </w:rPr>
      <w:instrText xml:space="preserve"> PAGE  \* MERGEFORMAT </w:instrText>
    </w:r>
    <w:r w:rsidRPr="00085CF0">
      <w:rPr>
        <w:b/>
        <w:sz w:val="18"/>
      </w:rPr>
      <w:fldChar w:fldCharType="separate"/>
    </w:r>
    <w:r w:rsidRPr="00085CF0">
      <w:rPr>
        <w:b/>
        <w:noProof/>
        <w:sz w:val="18"/>
      </w:rPr>
      <w:t>2</w:t>
    </w:r>
    <w:r w:rsidRPr="00085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7F8C" w14:textId="0BDD4D4B" w:rsidR="00085CF0" w:rsidRPr="00085CF0" w:rsidRDefault="00085CF0" w:rsidP="00085CF0">
    <w:pPr>
      <w:pStyle w:val="Footer"/>
      <w:tabs>
        <w:tab w:val="right" w:pos="9638"/>
      </w:tabs>
      <w:rPr>
        <w:b/>
        <w:sz w:val="18"/>
      </w:rPr>
    </w:pPr>
    <w:r>
      <w:tab/>
    </w:r>
    <w:r w:rsidRPr="00085CF0">
      <w:rPr>
        <w:b/>
        <w:sz w:val="18"/>
      </w:rPr>
      <w:fldChar w:fldCharType="begin"/>
    </w:r>
    <w:r w:rsidRPr="00085CF0">
      <w:rPr>
        <w:b/>
        <w:sz w:val="18"/>
      </w:rPr>
      <w:instrText xml:space="preserve"> PAGE  \* MERGEFORMAT </w:instrText>
    </w:r>
    <w:r w:rsidRPr="00085CF0">
      <w:rPr>
        <w:b/>
        <w:sz w:val="18"/>
      </w:rPr>
      <w:fldChar w:fldCharType="separate"/>
    </w:r>
    <w:r w:rsidRPr="00085CF0">
      <w:rPr>
        <w:b/>
        <w:noProof/>
        <w:sz w:val="18"/>
      </w:rPr>
      <w:t>3</w:t>
    </w:r>
    <w:r w:rsidRPr="00085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3A4D" w14:textId="4C34D28D" w:rsidR="0035223F" w:rsidRDefault="00293CF9" w:rsidP="00293CF9">
    <w:pPr>
      <w:pStyle w:val="Footer"/>
      <w:rPr>
        <w:sz w:val="20"/>
      </w:rPr>
    </w:pPr>
    <w:r w:rsidRPr="00293CF9">
      <w:rPr>
        <w:noProof/>
        <w:sz w:val="20"/>
        <w:lang w:val="en-US"/>
      </w:rPr>
      <w:drawing>
        <wp:anchor distT="0" distB="0" distL="114300" distR="114300" simplePos="0" relativeHeight="251659776" behindDoc="0" locked="1" layoutInCell="1" allowOverlap="1" wp14:anchorId="391B5D5D" wp14:editId="69D98F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14F1BF" w14:textId="1A9EADEF" w:rsidR="00293CF9" w:rsidRPr="00293CF9" w:rsidRDefault="00293CF9" w:rsidP="00293CF9">
    <w:pPr>
      <w:pStyle w:val="Footer"/>
      <w:ind w:right="1134"/>
      <w:rPr>
        <w:sz w:val="20"/>
      </w:rPr>
    </w:pPr>
    <w:r>
      <w:rPr>
        <w:sz w:val="20"/>
      </w:rPr>
      <w:t>GE.23-25519(E)</w:t>
    </w:r>
    <w:r>
      <w:rPr>
        <w:noProof/>
        <w:sz w:val="20"/>
      </w:rPr>
      <w:drawing>
        <wp:anchor distT="0" distB="0" distL="114300" distR="114300" simplePos="0" relativeHeight="251660800" behindDoc="0" locked="0" layoutInCell="1" allowOverlap="1" wp14:anchorId="3858B889" wp14:editId="0D648C0B">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AE38" w14:textId="77777777" w:rsidR="000101B9" w:rsidRPr="000B175B" w:rsidRDefault="000101B9" w:rsidP="000B175B">
      <w:pPr>
        <w:tabs>
          <w:tab w:val="right" w:pos="2155"/>
        </w:tabs>
        <w:spacing w:after="80"/>
        <w:ind w:left="680"/>
        <w:rPr>
          <w:u w:val="single"/>
        </w:rPr>
      </w:pPr>
      <w:r>
        <w:rPr>
          <w:u w:val="single"/>
        </w:rPr>
        <w:tab/>
      </w:r>
    </w:p>
  </w:footnote>
  <w:footnote w:type="continuationSeparator" w:id="0">
    <w:p w14:paraId="623570F3" w14:textId="77777777" w:rsidR="000101B9" w:rsidRPr="00FC68B7" w:rsidRDefault="000101B9" w:rsidP="00FC68B7">
      <w:pPr>
        <w:tabs>
          <w:tab w:val="left" w:pos="2155"/>
        </w:tabs>
        <w:spacing w:after="80"/>
        <w:ind w:left="680"/>
        <w:rPr>
          <w:u w:val="single"/>
        </w:rPr>
      </w:pPr>
      <w:r>
        <w:rPr>
          <w:u w:val="single"/>
        </w:rPr>
        <w:tab/>
      </w:r>
    </w:p>
  </w:footnote>
  <w:footnote w:type="continuationNotice" w:id="1">
    <w:p w14:paraId="6EBC11A6" w14:textId="77777777" w:rsidR="000101B9" w:rsidRDefault="000101B9"/>
  </w:footnote>
  <w:footnote w:id="2">
    <w:p w14:paraId="34D166C5" w14:textId="385EDEA9" w:rsidR="00326F56" w:rsidRPr="00326F56" w:rsidRDefault="00326F56">
      <w:pPr>
        <w:pStyle w:val="FootnoteText"/>
        <w:rPr>
          <w:lang w:val="fr-CH"/>
        </w:rPr>
      </w:pPr>
      <w:r>
        <w:rPr>
          <w:rStyle w:val="FootnoteReference"/>
        </w:rPr>
        <w:tab/>
      </w:r>
      <w:r w:rsidRPr="008F63BB">
        <w:rPr>
          <w:rStyle w:val="FootnoteReference"/>
          <w:sz w:val="20"/>
        </w:rPr>
        <w:t>*</w:t>
      </w:r>
      <w:r>
        <w:rPr>
          <w:rStyle w:val="FootnoteReference"/>
          <w:sz w:val="20"/>
          <w:vertAlign w:val="baseline"/>
        </w:rPr>
        <w:tab/>
      </w:r>
      <w:r w:rsidR="00D62D90">
        <w:rPr>
          <w:sz w:val="20"/>
        </w:rPr>
        <w:t xml:space="preserve"> A/7</w:t>
      </w:r>
      <w:r w:rsidR="00571722">
        <w:rPr>
          <w:sz w:val="20"/>
        </w:rPr>
        <w:t>8</w:t>
      </w:r>
      <w:r w:rsidR="00D62D90">
        <w:rPr>
          <w:sz w:val="20"/>
        </w:rPr>
        <w:t xml:space="preserve">/6 (Sect.20), </w:t>
      </w:r>
      <w:r w:rsidR="00571722">
        <w:rPr>
          <w:sz w:val="20"/>
        </w:rPr>
        <w:t>table</w:t>
      </w:r>
      <w:r w:rsidR="00D62D90">
        <w:rPr>
          <w:sz w:val="20"/>
        </w:rPr>
        <w:t xml:space="preserve"> 20.</w:t>
      </w:r>
      <w:r w:rsidR="00571722">
        <w:rPr>
          <w:sz w:val="20"/>
        </w:rPr>
        <w:t>5</w:t>
      </w:r>
      <w:r w:rsidR="00D62D90">
        <w:rPr>
          <w:sz w:val="20"/>
        </w:rPr>
        <w:t>.</w:t>
      </w:r>
    </w:p>
  </w:footnote>
  <w:footnote w:id="3">
    <w:p w14:paraId="00B6AB3A" w14:textId="4FAAB941" w:rsidR="00D62D90" w:rsidRPr="00D62D90" w:rsidRDefault="00D62D90">
      <w:pPr>
        <w:pStyle w:val="FootnoteText"/>
        <w:rPr>
          <w:lang w:val="fr-CH"/>
        </w:rPr>
      </w:pPr>
      <w:r>
        <w:rPr>
          <w:rStyle w:val="FootnoteReference"/>
        </w:rPr>
        <w:tab/>
      </w:r>
      <w:r w:rsidRPr="008F63BB">
        <w:rPr>
          <w:rStyle w:val="FootnoteReference"/>
          <w:sz w:val="20"/>
        </w:rPr>
        <w:t>**</w:t>
      </w:r>
      <w:r>
        <w:rPr>
          <w:rStyle w:val="FootnoteReference"/>
          <w:sz w:val="20"/>
          <w:vertAlign w:val="baseline"/>
        </w:rPr>
        <w:tab/>
      </w:r>
      <w:r w:rsidR="007E7D7C">
        <w:rPr>
          <w:sz w:val="20"/>
        </w:rPr>
        <w:t xml:space="preserve"> </w:t>
      </w:r>
      <w:r w:rsidR="007E7D7C" w:rsidRPr="00F30C99">
        <w:t xml:space="preserve">Circulated by the Intergovernmental Organisation for International Carriage by Rail (OTIF) under the symbol </w:t>
      </w:r>
      <w:r w:rsidR="007E7D7C" w:rsidRPr="00561474">
        <w:t>OTIF/RID/RC/20</w:t>
      </w:r>
      <w:r w:rsidR="007E7D7C">
        <w:t>24</w:t>
      </w:r>
      <w:r w:rsidR="007E7D7C" w:rsidRPr="00561474">
        <w:t>/</w:t>
      </w:r>
      <w:r w:rsidR="007E7D7C">
        <w:t>7</w:t>
      </w:r>
      <w:r w:rsidR="007E7D7C"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2535" w14:textId="4C8AE379" w:rsidR="00085CF0" w:rsidRPr="00085CF0" w:rsidRDefault="002853A7">
    <w:pPr>
      <w:pStyle w:val="Header"/>
    </w:pPr>
    <w:fldSimple w:instr=" TITLE  \* MERGEFORMAT ">
      <w:r w:rsidR="00523173">
        <w:t>ECE</w:t>
      </w:r>
      <w:r w:rsidR="00085CF0">
        <w:t>/</w:t>
      </w:r>
      <w:r w:rsidR="00523173">
        <w:t>TRANS</w:t>
      </w:r>
      <w:r w:rsidR="00085CF0">
        <w:t>/</w:t>
      </w:r>
      <w:r w:rsidR="00523173">
        <w:t>WP.15/AC.1</w:t>
      </w:r>
      <w:r w:rsidR="00085CF0">
        <w:t>/2024/7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B51A" w14:textId="067B1AAF" w:rsidR="00085CF0" w:rsidRPr="00085CF0" w:rsidRDefault="002853A7" w:rsidP="00085CF0">
    <w:pPr>
      <w:pStyle w:val="Header"/>
      <w:jc w:val="right"/>
    </w:pPr>
    <w:fldSimple w:instr=" TITLE  \* MERGEFORMAT ">
      <w:r w:rsidR="005D6028">
        <w:t>ECE/TRANS/WP.15/AC.1/</w:t>
      </w:r>
      <w:r w:rsidR="00085CF0">
        <w:t>2024/7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355A0"/>
    <w:multiLevelType w:val="hybridMultilevel"/>
    <w:tmpl w:val="67C0B4A2"/>
    <w:lvl w:ilvl="0" w:tplc="23A2889A">
      <w:numFmt w:val="bullet"/>
      <w:lvlText w:val="-"/>
      <w:lvlJc w:val="left"/>
      <w:pPr>
        <w:ind w:left="720" w:hanging="360"/>
      </w:pPr>
      <w:rPr>
        <w:rFonts w:ascii="Calibri" w:hAnsi="Calibri" w:hint="default"/>
      </w:rPr>
    </w:lvl>
    <w:lvl w:ilvl="1" w:tplc="FBF6B8AA">
      <w:start w:val="1"/>
      <w:numFmt w:val="bullet"/>
      <w:lvlText w:val="o"/>
      <w:lvlJc w:val="left"/>
      <w:pPr>
        <w:ind w:left="1440" w:hanging="360"/>
      </w:pPr>
      <w:rPr>
        <w:rFonts w:ascii="Courier New" w:hAnsi="Courier New" w:hint="default"/>
      </w:rPr>
    </w:lvl>
    <w:lvl w:ilvl="2" w:tplc="094C0E24">
      <w:start w:val="1"/>
      <w:numFmt w:val="bullet"/>
      <w:lvlText w:val=""/>
      <w:lvlJc w:val="left"/>
      <w:pPr>
        <w:ind w:left="2160" w:hanging="360"/>
      </w:pPr>
      <w:rPr>
        <w:rFonts w:ascii="Wingdings" w:hAnsi="Wingdings" w:hint="default"/>
      </w:rPr>
    </w:lvl>
    <w:lvl w:ilvl="3" w:tplc="C4C6782E">
      <w:start w:val="1"/>
      <w:numFmt w:val="bullet"/>
      <w:lvlText w:val=""/>
      <w:lvlJc w:val="left"/>
      <w:pPr>
        <w:ind w:left="2880" w:hanging="360"/>
      </w:pPr>
      <w:rPr>
        <w:rFonts w:ascii="Symbol" w:hAnsi="Symbol" w:hint="default"/>
      </w:rPr>
    </w:lvl>
    <w:lvl w:ilvl="4" w:tplc="1B0ACEB0">
      <w:start w:val="1"/>
      <w:numFmt w:val="bullet"/>
      <w:lvlText w:val="o"/>
      <w:lvlJc w:val="left"/>
      <w:pPr>
        <w:ind w:left="3600" w:hanging="360"/>
      </w:pPr>
      <w:rPr>
        <w:rFonts w:ascii="Courier New" w:hAnsi="Courier New" w:hint="default"/>
      </w:rPr>
    </w:lvl>
    <w:lvl w:ilvl="5" w:tplc="B4965496">
      <w:start w:val="1"/>
      <w:numFmt w:val="bullet"/>
      <w:lvlText w:val=""/>
      <w:lvlJc w:val="left"/>
      <w:pPr>
        <w:ind w:left="4320" w:hanging="360"/>
      </w:pPr>
      <w:rPr>
        <w:rFonts w:ascii="Wingdings" w:hAnsi="Wingdings" w:hint="default"/>
      </w:rPr>
    </w:lvl>
    <w:lvl w:ilvl="6" w:tplc="74521156">
      <w:start w:val="1"/>
      <w:numFmt w:val="bullet"/>
      <w:lvlText w:val=""/>
      <w:lvlJc w:val="left"/>
      <w:pPr>
        <w:ind w:left="5040" w:hanging="360"/>
      </w:pPr>
      <w:rPr>
        <w:rFonts w:ascii="Symbol" w:hAnsi="Symbol" w:hint="default"/>
      </w:rPr>
    </w:lvl>
    <w:lvl w:ilvl="7" w:tplc="563A44CA">
      <w:start w:val="1"/>
      <w:numFmt w:val="bullet"/>
      <w:lvlText w:val="o"/>
      <w:lvlJc w:val="left"/>
      <w:pPr>
        <w:ind w:left="5760" w:hanging="360"/>
      </w:pPr>
      <w:rPr>
        <w:rFonts w:ascii="Courier New" w:hAnsi="Courier New" w:hint="default"/>
      </w:rPr>
    </w:lvl>
    <w:lvl w:ilvl="8" w:tplc="656C49D8">
      <w:start w:val="1"/>
      <w:numFmt w:val="bullet"/>
      <w:lvlText w:val=""/>
      <w:lvlJc w:val="left"/>
      <w:pPr>
        <w:ind w:left="6480" w:hanging="360"/>
      </w:pPr>
      <w:rPr>
        <w:rFonts w:ascii="Wingdings" w:hAnsi="Wingdings" w:hint="default"/>
      </w:rPr>
    </w:lvl>
  </w:abstractNum>
  <w:abstractNum w:abstractNumId="16" w15:restartNumberingAfterBreak="0">
    <w:nsid w:val="2F972E94"/>
    <w:multiLevelType w:val="hybridMultilevel"/>
    <w:tmpl w:val="6F2ED0D8"/>
    <w:lvl w:ilvl="0" w:tplc="6592FC9C">
      <w:start w:val="1"/>
      <w:numFmt w:val="bullet"/>
      <w:lvlText w:val=""/>
      <w:lvlJc w:val="left"/>
      <w:pPr>
        <w:ind w:left="765" w:hanging="360"/>
      </w:pPr>
      <w:rPr>
        <w:rFonts w:ascii="Symbol" w:hAnsi="Symbol" w:hint="default"/>
      </w:rPr>
    </w:lvl>
    <w:lvl w:ilvl="1" w:tplc="71845C22">
      <w:start w:val="1"/>
      <w:numFmt w:val="bullet"/>
      <w:lvlText w:val="o"/>
      <w:lvlJc w:val="left"/>
      <w:pPr>
        <w:ind w:left="1440" w:hanging="360"/>
      </w:pPr>
      <w:rPr>
        <w:rFonts w:ascii="Courier New" w:hAnsi="Courier New" w:hint="default"/>
      </w:rPr>
    </w:lvl>
    <w:lvl w:ilvl="2" w:tplc="0F6E641C">
      <w:start w:val="1"/>
      <w:numFmt w:val="bullet"/>
      <w:lvlText w:val=""/>
      <w:lvlJc w:val="left"/>
      <w:pPr>
        <w:ind w:left="2160" w:hanging="360"/>
      </w:pPr>
      <w:rPr>
        <w:rFonts w:ascii="Wingdings" w:hAnsi="Wingdings" w:hint="default"/>
      </w:rPr>
    </w:lvl>
    <w:lvl w:ilvl="3" w:tplc="EF8C97CC">
      <w:start w:val="1"/>
      <w:numFmt w:val="bullet"/>
      <w:lvlText w:val=""/>
      <w:lvlJc w:val="left"/>
      <w:pPr>
        <w:ind w:left="2880" w:hanging="360"/>
      </w:pPr>
      <w:rPr>
        <w:rFonts w:ascii="Symbol" w:hAnsi="Symbol" w:hint="default"/>
      </w:rPr>
    </w:lvl>
    <w:lvl w:ilvl="4" w:tplc="12D48C3E">
      <w:start w:val="1"/>
      <w:numFmt w:val="bullet"/>
      <w:lvlText w:val="o"/>
      <w:lvlJc w:val="left"/>
      <w:pPr>
        <w:ind w:left="3600" w:hanging="360"/>
      </w:pPr>
      <w:rPr>
        <w:rFonts w:ascii="Courier New" w:hAnsi="Courier New" w:hint="default"/>
      </w:rPr>
    </w:lvl>
    <w:lvl w:ilvl="5" w:tplc="8F0EB4EC">
      <w:start w:val="1"/>
      <w:numFmt w:val="bullet"/>
      <w:lvlText w:val=""/>
      <w:lvlJc w:val="left"/>
      <w:pPr>
        <w:ind w:left="4320" w:hanging="360"/>
      </w:pPr>
      <w:rPr>
        <w:rFonts w:ascii="Wingdings" w:hAnsi="Wingdings" w:hint="default"/>
      </w:rPr>
    </w:lvl>
    <w:lvl w:ilvl="6" w:tplc="432C6472">
      <w:start w:val="1"/>
      <w:numFmt w:val="bullet"/>
      <w:lvlText w:val=""/>
      <w:lvlJc w:val="left"/>
      <w:pPr>
        <w:ind w:left="5040" w:hanging="360"/>
      </w:pPr>
      <w:rPr>
        <w:rFonts w:ascii="Symbol" w:hAnsi="Symbol" w:hint="default"/>
      </w:rPr>
    </w:lvl>
    <w:lvl w:ilvl="7" w:tplc="BF526554">
      <w:start w:val="1"/>
      <w:numFmt w:val="bullet"/>
      <w:lvlText w:val="o"/>
      <w:lvlJc w:val="left"/>
      <w:pPr>
        <w:ind w:left="5760" w:hanging="360"/>
      </w:pPr>
      <w:rPr>
        <w:rFonts w:ascii="Courier New" w:hAnsi="Courier New" w:hint="default"/>
      </w:rPr>
    </w:lvl>
    <w:lvl w:ilvl="8" w:tplc="C2C805E6">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344AF3"/>
    <w:multiLevelType w:val="hybridMultilevel"/>
    <w:tmpl w:val="E20CA1FA"/>
    <w:lvl w:ilvl="0" w:tplc="55308B92">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3D8254C5"/>
    <w:multiLevelType w:val="hybridMultilevel"/>
    <w:tmpl w:val="51CEC01A"/>
    <w:lvl w:ilvl="0" w:tplc="A55A0460">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F9C0D17"/>
    <w:multiLevelType w:val="hybridMultilevel"/>
    <w:tmpl w:val="50D8F1B6"/>
    <w:lvl w:ilvl="0" w:tplc="52481FE8">
      <w:start w:val="1"/>
      <w:numFmt w:val="decimal"/>
      <w:lvlText w:val="%1."/>
      <w:lvlJc w:val="left"/>
      <w:pPr>
        <w:ind w:left="786"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09522"/>
    <w:multiLevelType w:val="hybridMultilevel"/>
    <w:tmpl w:val="D7D8FBFC"/>
    <w:lvl w:ilvl="0" w:tplc="7764B10E">
      <w:start w:val="1"/>
      <w:numFmt w:val="bullet"/>
      <w:lvlText w:val=""/>
      <w:lvlJc w:val="left"/>
      <w:pPr>
        <w:ind w:left="720" w:hanging="360"/>
      </w:pPr>
      <w:rPr>
        <w:rFonts w:ascii="Symbol" w:hAnsi="Symbol" w:hint="default"/>
      </w:rPr>
    </w:lvl>
    <w:lvl w:ilvl="1" w:tplc="FEC435D0">
      <w:start w:val="1"/>
      <w:numFmt w:val="bullet"/>
      <w:lvlText w:val="o"/>
      <w:lvlJc w:val="left"/>
      <w:pPr>
        <w:ind w:left="1440" w:hanging="360"/>
      </w:pPr>
      <w:rPr>
        <w:rFonts w:ascii="Courier New" w:hAnsi="Courier New" w:hint="default"/>
      </w:rPr>
    </w:lvl>
    <w:lvl w:ilvl="2" w:tplc="D024AC64">
      <w:start w:val="1"/>
      <w:numFmt w:val="bullet"/>
      <w:lvlText w:val=""/>
      <w:lvlJc w:val="left"/>
      <w:pPr>
        <w:ind w:left="2160" w:hanging="360"/>
      </w:pPr>
      <w:rPr>
        <w:rFonts w:ascii="Wingdings" w:hAnsi="Wingdings" w:hint="default"/>
      </w:rPr>
    </w:lvl>
    <w:lvl w:ilvl="3" w:tplc="F656F4AA">
      <w:start w:val="1"/>
      <w:numFmt w:val="bullet"/>
      <w:lvlText w:val=""/>
      <w:lvlJc w:val="left"/>
      <w:pPr>
        <w:ind w:left="2880" w:hanging="360"/>
      </w:pPr>
      <w:rPr>
        <w:rFonts w:ascii="Symbol" w:hAnsi="Symbol" w:hint="default"/>
      </w:rPr>
    </w:lvl>
    <w:lvl w:ilvl="4" w:tplc="D8C81E3C">
      <w:start w:val="1"/>
      <w:numFmt w:val="bullet"/>
      <w:lvlText w:val="o"/>
      <w:lvlJc w:val="left"/>
      <w:pPr>
        <w:ind w:left="3600" w:hanging="360"/>
      </w:pPr>
      <w:rPr>
        <w:rFonts w:ascii="Courier New" w:hAnsi="Courier New" w:hint="default"/>
      </w:rPr>
    </w:lvl>
    <w:lvl w:ilvl="5" w:tplc="3412E9A2">
      <w:start w:val="1"/>
      <w:numFmt w:val="bullet"/>
      <w:lvlText w:val=""/>
      <w:lvlJc w:val="left"/>
      <w:pPr>
        <w:ind w:left="4320" w:hanging="360"/>
      </w:pPr>
      <w:rPr>
        <w:rFonts w:ascii="Wingdings" w:hAnsi="Wingdings" w:hint="default"/>
      </w:rPr>
    </w:lvl>
    <w:lvl w:ilvl="6" w:tplc="8B88721E">
      <w:start w:val="1"/>
      <w:numFmt w:val="bullet"/>
      <w:lvlText w:val=""/>
      <w:lvlJc w:val="left"/>
      <w:pPr>
        <w:ind w:left="5040" w:hanging="360"/>
      </w:pPr>
      <w:rPr>
        <w:rFonts w:ascii="Symbol" w:hAnsi="Symbol" w:hint="default"/>
      </w:rPr>
    </w:lvl>
    <w:lvl w:ilvl="7" w:tplc="54D28928">
      <w:start w:val="1"/>
      <w:numFmt w:val="bullet"/>
      <w:lvlText w:val="o"/>
      <w:lvlJc w:val="left"/>
      <w:pPr>
        <w:ind w:left="5760" w:hanging="360"/>
      </w:pPr>
      <w:rPr>
        <w:rFonts w:ascii="Courier New" w:hAnsi="Courier New" w:hint="default"/>
      </w:rPr>
    </w:lvl>
    <w:lvl w:ilvl="8" w:tplc="2BD2A03A">
      <w:start w:val="1"/>
      <w:numFmt w:val="bullet"/>
      <w:lvlText w:val=""/>
      <w:lvlJc w:val="left"/>
      <w:pPr>
        <w:ind w:left="6480" w:hanging="360"/>
      </w:pPr>
      <w:rPr>
        <w:rFonts w:ascii="Wingdings" w:hAnsi="Wingdings" w:hint="default"/>
      </w:rPr>
    </w:lvl>
  </w:abstractNum>
  <w:abstractNum w:abstractNumId="23" w15:restartNumberingAfterBreak="0">
    <w:nsid w:val="54D70CB5"/>
    <w:multiLevelType w:val="hybridMultilevel"/>
    <w:tmpl w:val="CAACD450"/>
    <w:lvl w:ilvl="0" w:tplc="8CDC4E1A">
      <w:start w:val="2"/>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24" w15:restartNumberingAfterBreak="0">
    <w:nsid w:val="644B321B"/>
    <w:multiLevelType w:val="hybridMultilevel"/>
    <w:tmpl w:val="D0E8E936"/>
    <w:lvl w:ilvl="0" w:tplc="39CEFA76">
      <w:start w:val="1"/>
      <w:numFmt w:val="bullet"/>
      <w:lvlText w:val=""/>
      <w:lvlJc w:val="left"/>
      <w:pPr>
        <w:ind w:left="720" w:hanging="360"/>
      </w:pPr>
      <w:rPr>
        <w:rFonts w:ascii="Symbol" w:hAnsi="Symbol" w:hint="default"/>
      </w:rPr>
    </w:lvl>
    <w:lvl w:ilvl="1" w:tplc="08AAA0EC">
      <w:start w:val="1"/>
      <w:numFmt w:val="bullet"/>
      <w:lvlText w:val="o"/>
      <w:lvlJc w:val="left"/>
      <w:pPr>
        <w:ind w:left="1440" w:hanging="360"/>
      </w:pPr>
      <w:rPr>
        <w:rFonts w:ascii="Courier New" w:hAnsi="Courier New" w:hint="default"/>
      </w:rPr>
    </w:lvl>
    <w:lvl w:ilvl="2" w:tplc="F1525F5E">
      <w:start w:val="1"/>
      <w:numFmt w:val="bullet"/>
      <w:lvlText w:val=""/>
      <w:lvlJc w:val="left"/>
      <w:pPr>
        <w:ind w:left="2160" w:hanging="360"/>
      </w:pPr>
      <w:rPr>
        <w:rFonts w:ascii="Wingdings" w:hAnsi="Wingdings" w:hint="default"/>
      </w:rPr>
    </w:lvl>
    <w:lvl w:ilvl="3" w:tplc="0C92A516">
      <w:start w:val="1"/>
      <w:numFmt w:val="bullet"/>
      <w:lvlText w:val=""/>
      <w:lvlJc w:val="left"/>
      <w:pPr>
        <w:ind w:left="2880" w:hanging="360"/>
      </w:pPr>
      <w:rPr>
        <w:rFonts w:ascii="Symbol" w:hAnsi="Symbol" w:hint="default"/>
      </w:rPr>
    </w:lvl>
    <w:lvl w:ilvl="4" w:tplc="DEA4F842">
      <w:start w:val="1"/>
      <w:numFmt w:val="bullet"/>
      <w:lvlText w:val="o"/>
      <w:lvlJc w:val="left"/>
      <w:pPr>
        <w:ind w:left="3600" w:hanging="360"/>
      </w:pPr>
      <w:rPr>
        <w:rFonts w:ascii="Courier New" w:hAnsi="Courier New" w:hint="default"/>
      </w:rPr>
    </w:lvl>
    <w:lvl w:ilvl="5" w:tplc="A44C6C88">
      <w:start w:val="1"/>
      <w:numFmt w:val="bullet"/>
      <w:lvlText w:val=""/>
      <w:lvlJc w:val="left"/>
      <w:pPr>
        <w:ind w:left="4320" w:hanging="360"/>
      </w:pPr>
      <w:rPr>
        <w:rFonts w:ascii="Wingdings" w:hAnsi="Wingdings" w:hint="default"/>
      </w:rPr>
    </w:lvl>
    <w:lvl w:ilvl="6" w:tplc="0540D912">
      <w:start w:val="1"/>
      <w:numFmt w:val="bullet"/>
      <w:lvlText w:val=""/>
      <w:lvlJc w:val="left"/>
      <w:pPr>
        <w:ind w:left="5040" w:hanging="360"/>
      </w:pPr>
      <w:rPr>
        <w:rFonts w:ascii="Symbol" w:hAnsi="Symbol" w:hint="default"/>
      </w:rPr>
    </w:lvl>
    <w:lvl w:ilvl="7" w:tplc="31121094">
      <w:start w:val="1"/>
      <w:numFmt w:val="bullet"/>
      <w:lvlText w:val="o"/>
      <w:lvlJc w:val="left"/>
      <w:pPr>
        <w:ind w:left="5760" w:hanging="360"/>
      </w:pPr>
      <w:rPr>
        <w:rFonts w:ascii="Courier New" w:hAnsi="Courier New" w:hint="default"/>
      </w:rPr>
    </w:lvl>
    <w:lvl w:ilvl="8" w:tplc="5680025C">
      <w:start w:val="1"/>
      <w:numFmt w:val="bullet"/>
      <w:lvlText w:val=""/>
      <w:lvlJc w:val="left"/>
      <w:pPr>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D1171"/>
    <w:multiLevelType w:val="hybridMultilevel"/>
    <w:tmpl w:val="EA9C2740"/>
    <w:lvl w:ilvl="0" w:tplc="3BD02266">
      <w:start w:val="1"/>
      <w:numFmt w:val="upperRoman"/>
      <w:lvlText w:val="%1."/>
      <w:lvlJc w:val="left"/>
      <w:pPr>
        <w:ind w:left="1215" w:hanging="855"/>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3262456">
    <w:abstractNumId w:val="1"/>
  </w:num>
  <w:num w:numId="2" w16cid:durableId="1780485413">
    <w:abstractNumId w:val="0"/>
  </w:num>
  <w:num w:numId="3" w16cid:durableId="1426151791">
    <w:abstractNumId w:val="2"/>
  </w:num>
  <w:num w:numId="4" w16cid:durableId="378361847">
    <w:abstractNumId w:val="3"/>
  </w:num>
  <w:num w:numId="5" w16cid:durableId="649213881">
    <w:abstractNumId w:val="8"/>
  </w:num>
  <w:num w:numId="6" w16cid:durableId="131144496">
    <w:abstractNumId w:val="9"/>
  </w:num>
  <w:num w:numId="7" w16cid:durableId="1095827639">
    <w:abstractNumId w:val="7"/>
  </w:num>
  <w:num w:numId="8" w16cid:durableId="998189750">
    <w:abstractNumId w:val="6"/>
  </w:num>
  <w:num w:numId="9" w16cid:durableId="789587487">
    <w:abstractNumId w:val="5"/>
  </w:num>
  <w:num w:numId="10" w16cid:durableId="2110541986">
    <w:abstractNumId w:val="4"/>
  </w:num>
  <w:num w:numId="11" w16cid:durableId="282661183">
    <w:abstractNumId w:val="17"/>
  </w:num>
  <w:num w:numId="12" w16cid:durableId="1427117096">
    <w:abstractNumId w:val="14"/>
  </w:num>
  <w:num w:numId="13" w16cid:durableId="1077440051">
    <w:abstractNumId w:val="10"/>
  </w:num>
  <w:num w:numId="14" w16cid:durableId="718826711">
    <w:abstractNumId w:val="12"/>
  </w:num>
  <w:num w:numId="15" w16cid:durableId="1138567920">
    <w:abstractNumId w:val="18"/>
  </w:num>
  <w:num w:numId="16" w16cid:durableId="1827503217">
    <w:abstractNumId w:val="13"/>
  </w:num>
  <w:num w:numId="17" w16cid:durableId="1478111183">
    <w:abstractNumId w:val="25"/>
  </w:num>
  <w:num w:numId="18" w16cid:durableId="1451782973">
    <w:abstractNumId w:val="27"/>
  </w:num>
  <w:num w:numId="19" w16cid:durableId="662707927">
    <w:abstractNumId w:val="11"/>
  </w:num>
  <w:num w:numId="20" w16cid:durableId="1326518996">
    <w:abstractNumId w:val="11"/>
  </w:num>
  <w:num w:numId="21" w16cid:durableId="581960954">
    <w:abstractNumId w:val="24"/>
  </w:num>
  <w:num w:numId="22" w16cid:durableId="394284657">
    <w:abstractNumId w:val="16"/>
  </w:num>
  <w:num w:numId="23" w16cid:durableId="469589091">
    <w:abstractNumId w:val="15"/>
  </w:num>
  <w:num w:numId="24" w16cid:durableId="56322523">
    <w:abstractNumId w:val="22"/>
  </w:num>
  <w:num w:numId="25" w16cid:durableId="1444378457">
    <w:abstractNumId w:val="21"/>
  </w:num>
  <w:num w:numId="26" w16cid:durableId="1649743047">
    <w:abstractNumId w:val="20"/>
  </w:num>
  <w:num w:numId="27" w16cid:durableId="1721661268">
    <w:abstractNumId w:val="26"/>
  </w:num>
  <w:num w:numId="28" w16cid:durableId="1001736618">
    <w:abstractNumId w:val="23"/>
  </w:num>
  <w:num w:numId="29" w16cid:durableId="95894780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F0"/>
    <w:rsid w:val="00002A7D"/>
    <w:rsid w:val="000038A8"/>
    <w:rsid w:val="00006790"/>
    <w:rsid w:val="000101B9"/>
    <w:rsid w:val="00027624"/>
    <w:rsid w:val="00043D1C"/>
    <w:rsid w:val="00047BD9"/>
    <w:rsid w:val="00050F6B"/>
    <w:rsid w:val="00061A9E"/>
    <w:rsid w:val="00064DD6"/>
    <w:rsid w:val="000678CD"/>
    <w:rsid w:val="00072C8C"/>
    <w:rsid w:val="00081CE0"/>
    <w:rsid w:val="00084D30"/>
    <w:rsid w:val="00085CF0"/>
    <w:rsid w:val="00090320"/>
    <w:rsid w:val="000931C0"/>
    <w:rsid w:val="00095BE2"/>
    <w:rsid w:val="0009732C"/>
    <w:rsid w:val="000A01F9"/>
    <w:rsid w:val="000A2E09"/>
    <w:rsid w:val="000B175B"/>
    <w:rsid w:val="000B3A0F"/>
    <w:rsid w:val="000E0415"/>
    <w:rsid w:val="000F47F1"/>
    <w:rsid w:val="000F7715"/>
    <w:rsid w:val="00113653"/>
    <w:rsid w:val="00124718"/>
    <w:rsid w:val="00156B99"/>
    <w:rsid w:val="00166124"/>
    <w:rsid w:val="00180D6B"/>
    <w:rsid w:val="00181BDC"/>
    <w:rsid w:val="00184DDA"/>
    <w:rsid w:val="001900CD"/>
    <w:rsid w:val="001A0452"/>
    <w:rsid w:val="001A3AA2"/>
    <w:rsid w:val="001A6A97"/>
    <w:rsid w:val="001B4B04"/>
    <w:rsid w:val="001B5875"/>
    <w:rsid w:val="001C1BE9"/>
    <w:rsid w:val="001C4B9C"/>
    <w:rsid w:val="001C6663"/>
    <w:rsid w:val="001C7895"/>
    <w:rsid w:val="001D26DF"/>
    <w:rsid w:val="001D6683"/>
    <w:rsid w:val="001E555D"/>
    <w:rsid w:val="001E59D7"/>
    <w:rsid w:val="001F1599"/>
    <w:rsid w:val="001F19C4"/>
    <w:rsid w:val="00203778"/>
    <w:rsid w:val="002043F0"/>
    <w:rsid w:val="002061BA"/>
    <w:rsid w:val="00211E0B"/>
    <w:rsid w:val="00212CC3"/>
    <w:rsid w:val="0022388A"/>
    <w:rsid w:val="00232575"/>
    <w:rsid w:val="00247258"/>
    <w:rsid w:val="002510B7"/>
    <w:rsid w:val="00257CAC"/>
    <w:rsid w:val="00264441"/>
    <w:rsid w:val="0027126E"/>
    <w:rsid w:val="0027237A"/>
    <w:rsid w:val="00276DA3"/>
    <w:rsid w:val="002853A7"/>
    <w:rsid w:val="00293CF9"/>
    <w:rsid w:val="00295B4E"/>
    <w:rsid w:val="002974E9"/>
    <w:rsid w:val="002A7653"/>
    <w:rsid w:val="002A7F94"/>
    <w:rsid w:val="002B109A"/>
    <w:rsid w:val="002C6D45"/>
    <w:rsid w:val="002D6B6C"/>
    <w:rsid w:val="002D6E53"/>
    <w:rsid w:val="002E2802"/>
    <w:rsid w:val="002F046D"/>
    <w:rsid w:val="002F3023"/>
    <w:rsid w:val="00301764"/>
    <w:rsid w:val="003229B9"/>
    <w:rsid w:val="003229D8"/>
    <w:rsid w:val="00326F56"/>
    <w:rsid w:val="00336311"/>
    <w:rsid w:val="00336C97"/>
    <w:rsid w:val="00337F88"/>
    <w:rsid w:val="00342432"/>
    <w:rsid w:val="0035223F"/>
    <w:rsid w:val="00352D4B"/>
    <w:rsid w:val="0035638C"/>
    <w:rsid w:val="0036770B"/>
    <w:rsid w:val="00373B2F"/>
    <w:rsid w:val="00397FFE"/>
    <w:rsid w:val="003A46BB"/>
    <w:rsid w:val="003A4EC7"/>
    <w:rsid w:val="003A7295"/>
    <w:rsid w:val="003B1F60"/>
    <w:rsid w:val="003C2CC4"/>
    <w:rsid w:val="003C610D"/>
    <w:rsid w:val="003D4B23"/>
    <w:rsid w:val="003E278A"/>
    <w:rsid w:val="003E7C4A"/>
    <w:rsid w:val="004076D8"/>
    <w:rsid w:val="00413520"/>
    <w:rsid w:val="0042305F"/>
    <w:rsid w:val="00430D57"/>
    <w:rsid w:val="004325CB"/>
    <w:rsid w:val="00440A07"/>
    <w:rsid w:val="00462880"/>
    <w:rsid w:val="00476F24"/>
    <w:rsid w:val="004B7132"/>
    <w:rsid w:val="004C1346"/>
    <w:rsid w:val="004C55B0"/>
    <w:rsid w:val="004D7D93"/>
    <w:rsid w:val="004E6820"/>
    <w:rsid w:val="004F6BA0"/>
    <w:rsid w:val="00503BEA"/>
    <w:rsid w:val="00504021"/>
    <w:rsid w:val="00510377"/>
    <w:rsid w:val="00512040"/>
    <w:rsid w:val="00523173"/>
    <w:rsid w:val="00530AC3"/>
    <w:rsid w:val="00533616"/>
    <w:rsid w:val="00535ABA"/>
    <w:rsid w:val="0053768B"/>
    <w:rsid w:val="00537985"/>
    <w:rsid w:val="005420F2"/>
    <w:rsid w:val="0054285C"/>
    <w:rsid w:val="00546A95"/>
    <w:rsid w:val="0056577E"/>
    <w:rsid w:val="00571722"/>
    <w:rsid w:val="00577DF8"/>
    <w:rsid w:val="00584173"/>
    <w:rsid w:val="00595520"/>
    <w:rsid w:val="00596771"/>
    <w:rsid w:val="00597A43"/>
    <w:rsid w:val="005A44B9"/>
    <w:rsid w:val="005A641F"/>
    <w:rsid w:val="005B1BA0"/>
    <w:rsid w:val="005B3DB3"/>
    <w:rsid w:val="005D15CA"/>
    <w:rsid w:val="005D4A4B"/>
    <w:rsid w:val="005D6028"/>
    <w:rsid w:val="005D7969"/>
    <w:rsid w:val="005F08DF"/>
    <w:rsid w:val="005F3066"/>
    <w:rsid w:val="005F3E61"/>
    <w:rsid w:val="0060097B"/>
    <w:rsid w:val="00603164"/>
    <w:rsid w:val="00603A3B"/>
    <w:rsid w:val="00604DDD"/>
    <w:rsid w:val="006115CC"/>
    <w:rsid w:val="00611FC4"/>
    <w:rsid w:val="006156BE"/>
    <w:rsid w:val="006176FB"/>
    <w:rsid w:val="00630FCB"/>
    <w:rsid w:val="00640B26"/>
    <w:rsid w:val="00656D26"/>
    <w:rsid w:val="0065766B"/>
    <w:rsid w:val="006770B2"/>
    <w:rsid w:val="006809AC"/>
    <w:rsid w:val="00686A48"/>
    <w:rsid w:val="00687E07"/>
    <w:rsid w:val="006940E1"/>
    <w:rsid w:val="006956C1"/>
    <w:rsid w:val="006A21ED"/>
    <w:rsid w:val="006A3C72"/>
    <w:rsid w:val="006A4F82"/>
    <w:rsid w:val="006A7392"/>
    <w:rsid w:val="006B03A1"/>
    <w:rsid w:val="006B43CB"/>
    <w:rsid w:val="006B67D9"/>
    <w:rsid w:val="006C1883"/>
    <w:rsid w:val="006C5535"/>
    <w:rsid w:val="006C72B3"/>
    <w:rsid w:val="006D0589"/>
    <w:rsid w:val="006E3AB9"/>
    <w:rsid w:val="006E564B"/>
    <w:rsid w:val="006E7154"/>
    <w:rsid w:val="006F4D25"/>
    <w:rsid w:val="006F6EBE"/>
    <w:rsid w:val="007003CD"/>
    <w:rsid w:val="007024E5"/>
    <w:rsid w:val="0070701E"/>
    <w:rsid w:val="00711086"/>
    <w:rsid w:val="00714F4F"/>
    <w:rsid w:val="007173E0"/>
    <w:rsid w:val="0072632A"/>
    <w:rsid w:val="007358E8"/>
    <w:rsid w:val="007367C6"/>
    <w:rsid w:val="00736ECE"/>
    <w:rsid w:val="0074533B"/>
    <w:rsid w:val="007643BC"/>
    <w:rsid w:val="00771C2D"/>
    <w:rsid w:val="007801C5"/>
    <w:rsid w:val="00780C68"/>
    <w:rsid w:val="007959FE"/>
    <w:rsid w:val="007A0CF1"/>
    <w:rsid w:val="007A478E"/>
    <w:rsid w:val="007B2203"/>
    <w:rsid w:val="007B6BA5"/>
    <w:rsid w:val="007C1EFE"/>
    <w:rsid w:val="007C3390"/>
    <w:rsid w:val="007C42D8"/>
    <w:rsid w:val="007C4F4B"/>
    <w:rsid w:val="007D13D7"/>
    <w:rsid w:val="007D7362"/>
    <w:rsid w:val="007E7D7C"/>
    <w:rsid w:val="007F3687"/>
    <w:rsid w:val="007F5CE2"/>
    <w:rsid w:val="007F6611"/>
    <w:rsid w:val="00800522"/>
    <w:rsid w:val="00810BAC"/>
    <w:rsid w:val="008175E9"/>
    <w:rsid w:val="008242D7"/>
    <w:rsid w:val="0082577B"/>
    <w:rsid w:val="008272DD"/>
    <w:rsid w:val="0083291A"/>
    <w:rsid w:val="00834CD5"/>
    <w:rsid w:val="00852555"/>
    <w:rsid w:val="00866893"/>
    <w:rsid w:val="00866F02"/>
    <w:rsid w:val="00867D18"/>
    <w:rsid w:val="00871F9A"/>
    <w:rsid w:val="00871FD5"/>
    <w:rsid w:val="0088172E"/>
    <w:rsid w:val="00881ED0"/>
    <w:rsid w:val="00881EFA"/>
    <w:rsid w:val="008879CB"/>
    <w:rsid w:val="00891DEB"/>
    <w:rsid w:val="008979B1"/>
    <w:rsid w:val="008A6B25"/>
    <w:rsid w:val="008A6C4F"/>
    <w:rsid w:val="008A77AE"/>
    <w:rsid w:val="008B389E"/>
    <w:rsid w:val="008B600A"/>
    <w:rsid w:val="008C0405"/>
    <w:rsid w:val="008C4998"/>
    <w:rsid w:val="008D045E"/>
    <w:rsid w:val="008D3F25"/>
    <w:rsid w:val="008D4D82"/>
    <w:rsid w:val="008E0E46"/>
    <w:rsid w:val="008E3810"/>
    <w:rsid w:val="008E7116"/>
    <w:rsid w:val="008F143B"/>
    <w:rsid w:val="008F3882"/>
    <w:rsid w:val="008F4B7C"/>
    <w:rsid w:val="008F63BB"/>
    <w:rsid w:val="00904F80"/>
    <w:rsid w:val="00926E47"/>
    <w:rsid w:val="00937E26"/>
    <w:rsid w:val="009414AC"/>
    <w:rsid w:val="00947162"/>
    <w:rsid w:val="00950B4C"/>
    <w:rsid w:val="009610D0"/>
    <w:rsid w:val="0096375C"/>
    <w:rsid w:val="009662E6"/>
    <w:rsid w:val="009705C0"/>
    <w:rsid w:val="0097095E"/>
    <w:rsid w:val="009810AA"/>
    <w:rsid w:val="0098592B"/>
    <w:rsid w:val="00985D5B"/>
    <w:rsid w:val="00985FC4"/>
    <w:rsid w:val="00990766"/>
    <w:rsid w:val="00991261"/>
    <w:rsid w:val="0099225F"/>
    <w:rsid w:val="009964C4"/>
    <w:rsid w:val="009A7B81"/>
    <w:rsid w:val="009C3BC1"/>
    <w:rsid w:val="009D01C0"/>
    <w:rsid w:val="009D1307"/>
    <w:rsid w:val="009D6A08"/>
    <w:rsid w:val="009E0A16"/>
    <w:rsid w:val="009E344F"/>
    <w:rsid w:val="009E6CB7"/>
    <w:rsid w:val="009E7970"/>
    <w:rsid w:val="009F2EAC"/>
    <w:rsid w:val="009F57E3"/>
    <w:rsid w:val="00A10F4F"/>
    <w:rsid w:val="00A11067"/>
    <w:rsid w:val="00A13125"/>
    <w:rsid w:val="00A1704A"/>
    <w:rsid w:val="00A25FE5"/>
    <w:rsid w:val="00A425EB"/>
    <w:rsid w:val="00A50B96"/>
    <w:rsid w:val="00A62E56"/>
    <w:rsid w:val="00A6759F"/>
    <w:rsid w:val="00A718AA"/>
    <w:rsid w:val="00A72F22"/>
    <w:rsid w:val="00A733BC"/>
    <w:rsid w:val="00A748A6"/>
    <w:rsid w:val="00A754C0"/>
    <w:rsid w:val="00A76A69"/>
    <w:rsid w:val="00A8789C"/>
    <w:rsid w:val="00A879A4"/>
    <w:rsid w:val="00A93F8A"/>
    <w:rsid w:val="00A97B52"/>
    <w:rsid w:val="00AA0FF8"/>
    <w:rsid w:val="00AB58FC"/>
    <w:rsid w:val="00AC0F2C"/>
    <w:rsid w:val="00AC502A"/>
    <w:rsid w:val="00AE668A"/>
    <w:rsid w:val="00AF58C1"/>
    <w:rsid w:val="00B04A3F"/>
    <w:rsid w:val="00B04B13"/>
    <w:rsid w:val="00B06643"/>
    <w:rsid w:val="00B15055"/>
    <w:rsid w:val="00B20551"/>
    <w:rsid w:val="00B23D55"/>
    <w:rsid w:val="00B247EE"/>
    <w:rsid w:val="00B30179"/>
    <w:rsid w:val="00B33FC7"/>
    <w:rsid w:val="00B37B15"/>
    <w:rsid w:val="00B45C02"/>
    <w:rsid w:val="00B57A61"/>
    <w:rsid w:val="00B70B63"/>
    <w:rsid w:val="00B72A1E"/>
    <w:rsid w:val="00B7697E"/>
    <w:rsid w:val="00B803F5"/>
    <w:rsid w:val="00B81E12"/>
    <w:rsid w:val="00B87442"/>
    <w:rsid w:val="00BA339B"/>
    <w:rsid w:val="00BB23CC"/>
    <w:rsid w:val="00BB70A6"/>
    <w:rsid w:val="00BC1E7E"/>
    <w:rsid w:val="00BC74E9"/>
    <w:rsid w:val="00BD0966"/>
    <w:rsid w:val="00BE36A9"/>
    <w:rsid w:val="00BE618E"/>
    <w:rsid w:val="00BE7BEC"/>
    <w:rsid w:val="00BF0A5A"/>
    <w:rsid w:val="00BF0E63"/>
    <w:rsid w:val="00BF12A3"/>
    <w:rsid w:val="00BF16D7"/>
    <w:rsid w:val="00BF2373"/>
    <w:rsid w:val="00C0294F"/>
    <w:rsid w:val="00C044E2"/>
    <w:rsid w:val="00C048CB"/>
    <w:rsid w:val="00C066F3"/>
    <w:rsid w:val="00C365B7"/>
    <w:rsid w:val="00C408B7"/>
    <w:rsid w:val="00C411EB"/>
    <w:rsid w:val="00C463DD"/>
    <w:rsid w:val="00C71F79"/>
    <w:rsid w:val="00C74458"/>
    <w:rsid w:val="00C745C3"/>
    <w:rsid w:val="00C76D04"/>
    <w:rsid w:val="00C831E5"/>
    <w:rsid w:val="00C978F5"/>
    <w:rsid w:val="00CA24A4"/>
    <w:rsid w:val="00CB2078"/>
    <w:rsid w:val="00CB348D"/>
    <w:rsid w:val="00CD46F5"/>
    <w:rsid w:val="00CD5420"/>
    <w:rsid w:val="00CE4A8F"/>
    <w:rsid w:val="00CE78F6"/>
    <w:rsid w:val="00CF071D"/>
    <w:rsid w:val="00CF2113"/>
    <w:rsid w:val="00D0123D"/>
    <w:rsid w:val="00D116BF"/>
    <w:rsid w:val="00D15B04"/>
    <w:rsid w:val="00D2031B"/>
    <w:rsid w:val="00D25FE2"/>
    <w:rsid w:val="00D368BE"/>
    <w:rsid w:val="00D37DA9"/>
    <w:rsid w:val="00D406A7"/>
    <w:rsid w:val="00D40765"/>
    <w:rsid w:val="00D40EB1"/>
    <w:rsid w:val="00D43252"/>
    <w:rsid w:val="00D44D86"/>
    <w:rsid w:val="00D50B7D"/>
    <w:rsid w:val="00D52012"/>
    <w:rsid w:val="00D62D90"/>
    <w:rsid w:val="00D704E5"/>
    <w:rsid w:val="00D72727"/>
    <w:rsid w:val="00D77D4D"/>
    <w:rsid w:val="00D87D7B"/>
    <w:rsid w:val="00D9280E"/>
    <w:rsid w:val="00D978C6"/>
    <w:rsid w:val="00DA0956"/>
    <w:rsid w:val="00DA357F"/>
    <w:rsid w:val="00DA3E12"/>
    <w:rsid w:val="00DB3D1F"/>
    <w:rsid w:val="00DB6908"/>
    <w:rsid w:val="00DC18AD"/>
    <w:rsid w:val="00DE53E6"/>
    <w:rsid w:val="00DF7CAE"/>
    <w:rsid w:val="00E02A9B"/>
    <w:rsid w:val="00E103D0"/>
    <w:rsid w:val="00E17A5D"/>
    <w:rsid w:val="00E2595A"/>
    <w:rsid w:val="00E423C0"/>
    <w:rsid w:val="00E6414C"/>
    <w:rsid w:val="00E7260F"/>
    <w:rsid w:val="00E8702D"/>
    <w:rsid w:val="00E905F4"/>
    <w:rsid w:val="00E916A9"/>
    <w:rsid w:val="00E916DE"/>
    <w:rsid w:val="00E925AD"/>
    <w:rsid w:val="00E96630"/>
    <w:rsid w:val="00EA08FE"/>
    <w:rsid w:val="00EA5202"/>
    <w:rsid w:val="00ED18DC"/>
    <w:rsid w:val="00ED1FB4"/>
    <w:rsid w:val="00ED6201"/>
    <w:rsid w:val="00ED7A2A"/>
    <w:rsid w:val="00EE17B4"/>
    <w:rsid w:val="00EF1D7F"/>
    <w:rsid w:val="00EF72D6"/>
    <w:rsid w:val="00F0137E"/>
    <w:rsid w:val="00F132B5"/>
    <w:rsid w:val="00F21786"/>
    <w:rsid w:val="00F2648E"/>
    <w:rsid w:val="00F3284C"/>
    <w:rsid w:val="00F34DA5"/>
    <w:rsid w:val="00F3742B"/>
    <w:rsid w:val="00F41FDB"/>
    <w:rsid w:val="00F4563F"/>
    <w:rsid w:val="00F47BB6"/>
    <w:rsid w:val="00F50596"/>
    <w:rsid w:val="00F55827"/>
    <w:rsid w:val="00F56D63"/>
    <w:rsid w:val="00F609A9"/>
    <w:rsid w:val="00F66F87"/>
    <w:rsid w:val="00F67ABB"/>
    <w:rsid w:val="00F716A7"/>
    <w:rsid w:val="00F753D1"/>
    <w:rsid w:val="00F80C99"/>
    <w:rsid w:val="00F83719"/>
    <w:rsid w:val="00F867EC"/>
    <w:rsid w:val="00F91B2B"/>
    <w:rsid w:val="00F95A80"/>
    <w:rsid w:val="00FB2EB9"/>
    <w:rsid w:val="00FC03CD"/>
    <w:rsid w:val="00FC0646"/>
    <w:rsid w:val="00FC165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424BD"/>
  <w15:docId w15:val="{4099CA4A-46EF-4927-B00F-6C4141C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BodyTextIndent">
    <w:name w:val="Body Text Indent"/>
    <w:basedOn w:val="Normal"/>
    <w:link w:val="BodyTextIndentChar"/>
    <w:rsid w:val="004B7132"/>
    <w:pPr>
      <w:suppressAutoHyphens/>
      <w:spacing w:after="120"/>
      <w:ind w:left="283"/>
    </w:pPr>
    <w:rPr>
      <w:lang w:val="x-none" w:eastAsia="en-US"/>
    </w:rPr>
  </w:style>
  <w:style w:type="character" w:customStyle="1" w:styleId="BodyTextIndentChar">
    <w:name w:val="Body Text Indent Char"/>
    <w:basedOn w:val="DefaultParagraphFont"/>
    <w:link w:val="BodyTextIndent"/>
    <w:rsid w:val="004B7132"/>
    <w:rPr>
      <w:lang w:val="x-none" w:eastAsia="en-US"/>
    </w:rPr>
  </w:style>
  <w:style w:type="paragraph" w:styleId="Title">
    <w:name w:val="Title"/>
    <w:basedOn w:val="Normal"/>
    <w:link w:val="TitleChar"/>
    <w:qFormat/>
    <w:rsid w:val="004B7132"/>
    <w:pPr>
      <w:suppressAutoHyphens/>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4B7132"/>
    <w:rPr>
      <w:rFonts w:ascii="Arial" w:hAnsi="Arial" w:cs="Arial"/>
      <w:b/>
      <w:bCs/>
      <w:kern w:val="28"/>
      <w:sz w:val="32"/>
      <w:szCs w:val="32"/>
      <w:lang w:val="en-GB" w:eastAsia="en-US"/>
    </w:rPr>
  </w:style>
  <w:style w:type="character" w:customStyle="1" w:styleId="HChGChar">
    <w:name w:val="_ H _Ch_G Char"/>
    <w:link w:val="HChG"/>
    <w:rsid w:val="004B7132"/>
    <w:rPr>
      <w:b/>
      <w:sz w:val="28"/>
      <w:lang w:val="en-GB"/>
    </w:rPr>
  </w:style>
  <w:style w:type="character" w:customStyle="1" w:styleId="Heading1Char">
    <w:name w:val="Heading 1 Char"/>
    <w:aliases w:val="Table_G Char"/>
    <w:link w:val="Heading1"/>
    <w:rsid w:val="004B7132"/>
    <w:rPr>
      <w:lang w:val="en-GB"/>
    </w:rPr>
  </w:style>
  <w:style w:type="paragraph" w:styleId="ListParagraph">
    <w:name w:val="List Paragraph"/>
    <w:basedOn w:val="Normal"/>
    <w:uiPriority w:val="34"/>
    <w:qFormat/>
    <w:rsid w:val="004B7132"/>
    <w:pPr>
      <w:suppressAutoHyphens/>
      <w:ind w:left="720"/>
    </w:pPr>
    <w:rPr>
      <w:lang w:eastAsia="en-US"/>
    </w:rPr>
  </w:style>
  <w:style w:type="character" w:customStyle="1" w:styleId="H23GChar">
    <w:name w:val="_ H_2/3_G Char"/>
    <w:basedOn w:val="DefaultParagraphFont"/>
    <w:link w:val="H23G"/>
    <w:locked/>
    <w:rsid w:val="004B7132"/>
    <w:rPr>
      <w:b/>
      <w:lang w:val="en-GB"/>
    </w:rPr>
  </w:style>
  <w:style w:type="character" w:customStyle="1" w:styleId="d9fyld">
    <w:name w:val="d9fyld"/>
    <w:basedOn w:val="DefaultParagraphFont"/>
    <w:rsid w:val="00597A43"/>
  </w:style>
  <w:style w:type="paragraph" w:styleId="Revision">
    <w:name w:val="Revision"/>
    <w:hidden/>
    <w:uiPriority w:val="99"/>
    <w:semiHidden/>
    <w:rsid w:val="009E344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2F931-A86C-4866-8432-39ED8087C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8</Pages>
  <Words>2827</Words>
  <Characters>14820</Characters>
  <Application>Microsoft Office Word</Application>
  <DocSecurity>0</DocSecurity>
  <Lines>419</Lines>
  <Paragraphs>239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ST/SG/AC.10/C.3/2024/7</vt:lpstr>
      <vt:lpstr/>
    </vt:vector>
  </TitlesOfParts>
  <Company>CSD</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ECE/TRANS/WP.15/AC.1/2024/7</dc:title>
  <dc:subject>2325519</dc:subject>
  <dc:creator>Alicia DORCA-GARCIA</dc:creator>
  <cp:keywords/>
  <dc:description/>
  <cp:lastModifiedBy>Maria Rosario Corazon Gatmaytan</cp:lastModifiedBy>
  <cp:revision>2</cp:revision>
  <cp:lastPrinted>2009-02-18T09:36:00Z</cp:lastPrinted>
  <dcterms:created xsi:type="dcterms:W3CDTF">2024-01-23T12:07:00Z</dcterms:created>
  <dcterms:modified xsi:type="dcterms:W3CDTF">2024-01-23T12:07:00Z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