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082A3266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8DD5FC4" w14:textId="77777777" w:rsidR="00F35BAF" w:rsidRPr="00DB58B5" w:rsidRDefault="00F35BAF" w:rsidP="00762380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FAF91A1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D72CCDF" w14:textId="5ECE2B38" w:rsidR="00F35BAF" w:rsidRPr="00DB58B5" w:rsidRDefault="00762380" w:rsidP="00762380">
            <w:pPr>
              <w:jc w:val="right"/>
            </w:pPr>
            <w:r w:rsidRPr="00762380">
              <w:rPr>
                <w:sz w:val="40"/>
              </w:rPr>
              <w:t>ECE</w:t>
            </w:r>
            <w:r>
              <w:t>/TRANS/WP.15/2024/8</w:t>
            </w:r>
          </w:p>
        </w:tc>
      </w:tr>
      <w:tr w:rsidR="00F35BAF" w:rsidRPr="00DB58B5" w14:paraId="429B7DE6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5DC2D0C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633712DF" wp14:editId="52DBD85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AB915D3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77019D4" w14:textId="77777777" w:rsidR="00F35BAF" w:rsidRDefault="00762380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46F2598E" w14:textId="77777777" w:rsidR="00762380" w:rsidRDefault="00762380" w:rsidP="00762380">
            <w:pPr>
              <w:spacing w:line="240" w:lineRule="exact"/>
            </w:pPr>
            <w:r>
              <w:t>15 janvier 2024</w:t>
            </w:r>
          </w:p>
          <w:p w14:paraId="123426A7" w14:textId="77777777" w:rsidR="00762380" w:rsidRDefault="00762380" w:rsidP="00762380">
            <w:pPr>
              <w:spacing w:line="240" w:lineRule="exact"/>
            </w:pPr>
            <w:r>
              <w:t>Français</w:t>
            </w:r>
          </w:p>
          <w:p w14:paraId="29873225" w14:textId="388D8C27" w:rsidR="00762380" w:rsidRPr="00DB58B5" w:rsidRDefault="00762380" w:rsidP="00762380">
            <w:pPr>
              <w:spacing w:line="240" w:lineRule="exact"/>
            </w:pPr>
            <w:r>
              <w:t>Original : anglais</w:t>
            </w:r>
          </w:p>
        </w:tc>
      </w:tr>
    </w:tbl>
    <w:p w14:paraId="6239ACD4" w14:textId="1172F03E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762380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59A83DC5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2FAA8628" w14:textId="77777777" w:rsidR="00762380" w:rsidRPr="009E01B8" w:rsidRDefault="00762380" w:rsidP="00E85C74">
      <w:pPr>
        <w:spacing w:before="120"/>
        <w:rPr>
          <w:b/>
          <w:sz w:val="24"/>
          <w:szCs w:val="24"/>
        </w:rPr>
      </w:pPr>
      <w:r w:rsidRPr="009E01B8">
        <w:rPr>
          <w:b/>
          <w:sz w:val="24"/>
          <w:szCs w:val="24"/>
        </w:rPr>
        <w:t>Groupe de travail des transports de marchandises dangereuses</w:t>
      </w:r>
    </w:p>
    <w:p w14:paraId="57479699" w14:textId="716FD43F" w:rsidR="00762380" w:rsidRPr="006567FE" w:rsidRDefault="00762380" w:rsidP="00762380">
      <w:pPr>
        <w:spacing w:before="120"/>
        <w:rPr>
          <w:rFonts w:eastAsia="SimSun"/>
          <w:b/>
          <w:lang w:val="fr-FR"/>
        </w:rPr>
      </w:pPr>
      <w:r w:rsidRPr="006567FE">
        <w:rPr>
          <w:b/>
          <w:bCs/>
          <w:lang w:val="fr-FR"/>
        </w:rPr>
        <w:t>115</w:t>
      </w:r>
      <w:r w:rsidRPr="006567FE">
        <w:rPr>
          <w:b/>
          <w:bCs/>
          <w:vertAlign w:val="superscript"/>
          <w:lang w:val="fr-FR"/>
        </w:rPr>
        <w:t>e</w:t>
      </w:r>
      <w:r w:rsidRPr="006567FE">
        <w:rPr>
          <w:b/>
          <w:bCs/>
          <w:lang w:val="fr-FR"/>
        </w:rPr>
        <w:t xml:space="preserve"> session</w:t>
      </w:r>
    </w:p>
    <w:p w14:paraId="70693CF4" w14:textId="77777777" w:rsidR="00762380" w:rsidRPr="006567FE" w:rsidRDefault="00762380" w:rsidP="00762380">
      <w:pPr>
        <w:rPr>
          <w:rFonts w:eastAsia="SimSun"/>
          <w:lang w:val="fr-FR"/>
        </w:rPr>
      </w:pPr>
      <w:r w:rsidRPr="006567FE">
        <w:rPr>
          <w:lang w:val="fr-FR"/>
        </w:rPr>
        <w:t>Genève, 2-5 avril 2024</w:t>
      </w:r>
    </w:p>
    <w:p w14:paraId="10544086" w14:textId="560C9213" w:rsidR="00762380" w:rsidRPr="006567FE" w:rsidRDefault="00762380" w:rsidP="00762380">
      <w:pPr>
        <w:rPr>
          <w:lang w:val="fr-FR"/>
        </w:rPr>
      </w:pPr>
      <w:r w:rsidRPr="006567FE">
        <w:rPr>
          <w:lang w:val="fr-FR"/>
        </w:rPr>
        <w:t>Point 5 a) de l</w:t>
      </w:r>
      <w:r>
        <w:rPr>
          <w:lang w:val="fr-FR"/>
        </w:rPr>
        <w:t>’</w:t>
      </w:r>
      <w:r w:rsidRPr="006567FE">
        <w:rPr>
          <w:lang w:val="fr-FR"/>
        </w:rPr>
        <w:t>ordre du jour provisoire</w:t>
      </w:r>
    </w:p>
    <w:p w14:paraId="0B3C0D1B" w14:textId="254479A7" w:rsidR="00762380" w:rsidRPr="006567FE" w:rsidRDefault="00762380" w:rsidP="00762380">
      <w:pPr>
        <w:rPr>
          <w:b/>
          <w:bCs/>
          <w:lang w:val="fr-FR"/>
        </w:rPr>
      </w:pPr>
      <w:r w:rsidRPr="006567FE">
        <w:rPr>
          <w:b/>
          <w:bCs/>
          <w:lang w:val="fr-FR"/>
        </w:rPr>
        <w:t>Propositions d</w:t>
      </w:r>
      <w:r>
        <w:rPr>
          <w:b/>
          <w:bCs/>
          <w:lang w:val="fr-FR"/>
        </w:rPr>
        <w:t>’</w:t>
      </w:r>
      <w:r w:rsidRPr="006567FE">
        <w:rPr>
          <w:b/>
          <w:bCs/>
          <w:lang w:val="fr-FR"/>
        </w:rPr>
        <w:t>amendements aux annexes A et B de l</w:t>
      </w:r>
      <w:r>
        <w:rPr>
          <w:b/>
          <w:bCs/>
          <w:lang w:val="fr-FR"/>
        </w:rPr>
        <w:t>’</w:t>
      </w:r>
      <w:r w:rsidRPr="006567FE">
        <w:rPr>
          <w:b/>
          <w:bCs/>
          <w:lang w:val="fr-FR"/>
        </w:rPr>
        <w:t>ADR :</w:t>
      </w:r>
    </w:p>
    <w:p w14:paraId="19CF6FAC" w14:textId="77777777" w:rsidR="00762380" w:rsidRPr="006567FE" w:rsidRDefault="00762380" w:rsidP="00762380">
      <w:pPr>
        <w:rPr>
          <w:b/>
          <w:bCs/>
          <w:lang w:val="fr-FR"/>
        </w:rPr>
      </w:pPr>
      <w:r w:rsidRPr="006567FE">
        <w:rPr>
          <w:b/>
          <w:bCs/>
          <w:lang w:val="fr-FR"/>
        </w:rPr>
        <w:t>Construction et agrément des véhicules</w:t>
      </w:r>
    </w:p>
    <w:p w14:paraId="45FBC910" w14:textId="2D437906" w:rsidR="00762380" w:rsidRPr="006567FE" w:rsidRDefault="00762380" w:rsidP="00762380">
      <w:pPr>
        <w:pStyle w:val="HChG"/>
        <w:rPr>
          <w:bCs/>
          <w:szCs w:val="28"/>
          <w:lang w:val="fr-FR"/>
        </w:rPr>
      </w:pPr>
      <w:r w:rsidRPr="006567FE">
        <w:rPr>
          <w:lang w:val="fr-FR"/>
        </w:rPr>
        <w:tab/>
      </w:r>
      <w:r w:rsidRPr="006567FE">
        <w:rPr>
          <w:lang w:val="fr-FR"/>
        </w:rPr>
        <w:tab/>
      </w:r>
      <w:r w:rsidRPr="006567FE">
        <w:rPr>
          <w:bCs/>
          <w:lang w:val="fr-FR"/>
        </w:rPr>
        <w:t xml:space="preserve">Véhicules électriques à batterie et véhicules alimentés </w:t>
      </w:r>
      <w:r>
        <w:rPr>
          <w:bCs/>
          <w:lang w:val="fr-FR"/>
        </w:rPr>
        <w:br/>
      </w:r>
      <w:r w:rsidRPr="006567FE">
        <w:rPr>
          <w:bCs/>
          <w:lang w:val="fr-FR"/>
        </w:rPr>
        <w:t>à l</w:t>
      </w:r>
      <w:r>
        <w:rPr>
          <w:bCs/>
          <w:lang w:val="fr-FR"/>
        </w:rPr>
        <w:t>’</w:t>
      </w:r>
      <w:r w:rsidRPr="006567FE">
        <w:rPr>
          <w:bCs/>
          <w:lang w:val="fr-FR"/>
        </w:rPr>
        <w:t>hydrogène</w:t>
      </w:r>
    </w:p>
    <w:p w14:paraId="675D51C3" w14:textId="7B9D6470" w:rsidR="00762380" w:rsidRPr="006567FE" w:rsidRDefault="00762380" w:rsidP="00762380">
      <w:pPr>
        <w:pStyle w:val="H1G"/>
        <w:rPr>
          <w:szCs w:val="24"/>
          <w:lang w:val="fr-FR"/>
        </w:rPr>
      </w:pPr>
      <w:r w:rsidRPr="006567FE">
        <w:rPr>
          <w:lang w:val="fr-FR"/>
        </w:rPr>
        <w:tab/>
      </w:r>
      <w:r w:rsidRPr="006567FE">
        <w:rPr>
          <w:lang w:val="fr-FR"/>
        </w:rPr>
        <w:tab/>
        <w:t xml:space="preserve">Communication du Gouvernement néerlandais au nom </w:t>
      </w:r>
      <w:r>
        <w:rPr>
          <w:lang w:val="fr-FR"/>
        </w:rPr>
        <w:br/>
      </w:r>
      <w:r w:rsidRPr="006567FE">
        <w:rPr>
          <w:lang w:val="fr-FR"/>
        </w:rPr>
        <w:t>du groupe de travail informel des véhicules électriques</w:t>
      </w:r>
      <w:r w:rsidRPr="00762380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p w14:paraId="021695B6" w14:textId="77777777" w:rsidR="00762380" w:rsidRPr="00762380" w:rsidRDefault="00762380" w:rsidP="00762380">
      <w:pPr>
        <w:pStyle w:val="HChG"/>
      </w:pPr>
      <w:r w:rsidRPr="006567FE">
        <w:rPr>
          <w:lang w:val="fr-FR"/>
        </w:rPr>
        <w:tab/>
        <w:t>I.</w:t>
      </w:r>
      <w:r w:rsidRPr="006567FE">
        <w:rPr>
          <w:lang w:val="fr-FR"/>
        </w:rPr>
        <w:tab/>
        <w:t>Introduction</w:t>
      </w:r>
    </w:p>
    <w:p w14:paraId="377A21DD" w14:textId="7A1A1444" w:rsidR="00762380" w:rsidRPr="006567FE" w:rsidRDefault="00762380" w:rsidP="00762380">
      <w:pPr>
        <w:pStyle w:val="SingleTxtG"/>
        <w:rPr>
          <w:lang w:val="fr-FR"/>
        </w:rPr>
      </w:pPr>
      <w:r w:rsidRPr="006567FE">
        <w:rPr>
          <w:lang w:val="fr-FR"/>
        </w:rPr>
        <w:t>1.</w:t>
      </w:r>
      <w:r w:rsidRPr="006567FE">
        <w:rPr>
          <w:lang w:val="fr-FR"/>
        </w:rPr>
        <w:tab/>
        <w:t>Les propositions d</w:t>
      </w:r>
      <w:r>
        <w:rPr>
          <w:lang w:val="fr-FR"/>
        </w:rPr>
        <w:t>’</w:t>
      </w:r>
      <w:r w:rsidRPr="006567FE">
        <w:rPr>
          <w:lang w:val="fr-FR"/>
        </w:rPr>
        <w:t>amendement</w:t>
      </w:r>
      <w:r>
        <w:rPr>
          <w:lang w:val="fr-FR"/>
        </w:rPr>
        <w:t>s</w:t>
      </w:r>
      <w:r w:rsidRPr="006567FE">
        <w:rPr>
          <w:lang w:val="fr-FR"/>
        </w:rPr>
        <w:t xml:space="preserve"> </w:t>
      </w:r>
      <w:r w:rsidRPr="009C3909">
        <w:rPr>
          <w:lang w:val="fr-FR"/>
        </w:rPr>
        <w:t xml:space="preserve">à </w:t>
      </w:r>
      <w:r w:rsidRPr="00DB26B8">
        <w:rPr>
          <w:lang w:val="fr-FR"/>
        </w:rPr>
        <w:t>l</w:t>
      </w:r>
      <w:r>
        <w:rPr>
          <w:lang w:val="fr-FR"/>
        </w:rPr>
        <w:t>’</w:t>
      </w:r>
      <w:r w:rsidRPr="00DB26B8">
        <w:rPr>
          <w:lang w:val="fr-FR"/>
        </w:rPr>
        <w:t>édition 2023 de l</w:t>
      </w:r>
      <w:r>
        <w:rPr>
          <w:lang w:val="fr-FR"/>
        </w:rPr>
        <w:t>’</w:t>
      </w:r>
      <w:r w:rsidRPr="00DB26B8">
        <w:rPr>
          <w:lang w:val="fr-FR"/>
        </w:rPr>
        <w:t>ADR</w:t>
      </w:r>
      <w:r w:rsidRPr="009C3909">
        <w:rPr>
          <w:lang w:val="fr-FR"/>
        </w:rPr>
        <w:t xml:space="preserve"> </w:t>
      </w:r>
      <w:r w:rsidRPr="006567FE">
        <w:rPr>
          <w:lang w:val="fr-FR"/>
        </w:rPr>
        <w:t xml:space="preserve">figurant dans le document ECE/TRANS/WP.15/2023/14 ont été adoptées à titre préliminaire </w:t>
      </w:r>
      <w:r w:rsidRPr="004E2D86">
        <w:rPr>
          <w:lang w:val="fr-FR"/>
        </w:rPr>
        <w:t>moyennant</w:t>
      </w:r>
      <w:r>
        <w:rPr>
          <w:lang w:val="fr-FR"/>
        </w:rPr>
        <w:t xml:space="preserve"> </w:t>
      </w:r>
      <w:r w:rsidRPr="004E2D86">
        <w:rPr>
          <w:lang w:val="fr-FR"/>
        </w:rPr>
        <w:t>des modifications</w:t>
      </w:r>
      <w:r w:rsidRPr="006567FE">
        <w:rPr>
          <w:lang w:val="fr-FR"/>
        </w:rPr>
        <w:t xml:space="preserve">. </w:t>
      </w:r>
      <w:r w:rsidRPr="004E2D86">
        <w:rPr>
          <w:lang w:val="fr-FR"/>
        </w:rPr>
        <w:t>Ces propositions</w:t>
      </w:r>
      <w:r>
        <w:rPr>
          <w:lang w:val="fr-FR"/>
        </w:rPr>
        <w:t xml:space="preserve"> </w:t>
      </w:r>
      <w:r w:rsidRPr="006567FE">
        <w:rPr>
          <w:lang w:val="fr-FR"/>
        </w:rPr>
        <w:t>figurent à l</w:t>
      </w:r>
      <w:r>
        <w:rPr>
          <w:lang w:val="fr-FR"/>
        </w:rPr>
        <w:t>’</w:t>
      </w:r>
      <w:r w:rsidRPr="006567FE">
        <w:rPr>
          <w:lang w:val="fr-FR"/>
        </w:rPr>
        <w:t>annexe III du rapport de la 114</w:t>
      </w:r>
      <w:r w:rsidRPr="006567FE">
        <w:rPr>
          <w:vertAlign w:val="superscript"/>
          <w:lang w:val="fr-FR"/>
        </w:rPr>
        <w:t>e</w:t>
      </w:r>
      <w:r w:rsidRPr="006567FE">
        <w:rPr>
          <w:lang w:val="fr-FR"/>
        </w:rPr>
        <w:t xml:space="preserve"> session du Groupe de travail</w:t>
      </w:r>
      <w:r>
        <w:rPr>
          <w:lang w:val="fr-FR"/>
        </w:rPr>
        <w:t>,</w:t>
      </w:r>
      <w:r w:rsidRPr="006567FE">
        <w:rPr>
          <w:lang w:val="fr-FR"/>
        </w:rPr>
        <w:t xml:space="preserve"> publié sous la cote ECE/TRANS/WP.15/264.</w:t>
      </w:r>
    </w:p>
    <w:p w14:paraId="6371DE59" w14:textId="77777777" w:rsidR="00762380" w:rsidRPr="006567FE" w:rsidRDefault="00762380" w:rsidP="00762380">
      <w:pPr>
        <w:pStyle w:val="SingleTxtG"/>
        <w:rPr>
          <w:lang w:val="fr-FR"/>
        </w:rPr>
      </w:pPr>
      <w:r w:rsidRPr="006567FE">
        <w:rPr>
          <w:lang w:val="fr-FR"/>
        </w:rPr>
        <w:t>2.</w:t>
      </w:r>
      <w:r w:rsidRPr="006567FE">
        <w:rPr>
          <w:lang w:val="fr-FR"/>
        </w:rPr>
        <w:tab/>
        <w:t xml:space="preserve">Les amendements contenaient un certain nombre de passages </w:t>
      </w:r>
      <w:r w:rsidRPr="00DB26B8">
        <w:rPr>
          <w:lang w:val="fr-FR"/>
        </w:rPr>
        <w:t>mis</w:t>
      </w:r>
      <w:r w:rsidRPr="006567FE">
        <w:rPr>
          <w:lang w:val="fr-FR"/>
        </w:rPr>
        <w:t xml:space="preserve"> entre crochets en vue de leur examen plus approfondi à la 115</w:t>
      </w:r>
      <w:r w:rsidRPr="006567FE">
        <w:rPr>
          <w:vertAlign w:val="superscript"/>
          <w:lang w:val="fr-FR"/>
        </w:rPr>
        <w:t>e</w:t>
      </w:r>
      <w:r w:rsidRPr="006567FE">
        <w:rPr>
          <w:lang w:val="fr-FR"/>
        </w:rPr>
        <w:t xml:space="preserve"> session. On trouvera </w:t>
      </w:r>
      <w:r>
        <w:rPr>
          <w:lang w:val="fr-FR"/>
        </w:rPr>
        <w:t xml:space="preserve">dans </w:t>
      </w:r>
      <w:r w:rsidRPr="006567FE">
        <w:rPr>
          <w:lang w:val="fr-FR"/>
        </w:rPr>
        <w:t>la section 1 du présent document les propositions finales et les justifications des décisions à prendre concernant les passages figurant entre crochets.</w:t>
      </w:r>
    </w:p>
    <w:p w14:paraId="226BDC9E" w14:textId="77777777" w:rsidR="00762380" w:rsidRPr="006567FE" w:rsidRDefault="00762380" w:rsidP="00762380">
      <w:pPr>
        <w:pStyle w:val="SingleTxtG"/>
        <w:rPr>
          <w:lang w:val="fr-FR"/>
        </w:rPr>
      </w:pPr>
      <w:r w:rsidRPr="006567FE">
        <w:rPr>
          <w:lang w:val="fr-FR"/>
        </w:rPr>
        <w:t>3.</w:t>
      </w:r>
      <w:r w:rsidRPr="006567FE">
        <w:rPr>
          <w:lang w:val="fr-FR"/>
        </w:rPr>
        <w:tab/>
      </w:r>
      <w:r>
        <w:rPr>
          <w:lang w:val="fr-FR"/>
        </w:rPr>
        <w:t xml:space="preserve">Il a ensuite été constaté </w:t>
      </w:r>
      <w:r w:rsidRPr="00DB26B8">
        <w:rPr>
          <w:lang w:val="fr-FR"/>
        </w:rPr>
        <w:t>que des amendements de conséquence étaient nécessaires. Ces am</w:t>
      </w:r>
      <w:r>
        <w:rPr>
          <w:lang w:val="fr-FR"/>
        </w:rPr>
        <w:t>en</w:t>
      </w:r>
      <w:r w:rsidRPr="00DB26B8">
        <w:rPr>
          <w:lang w:val="fr-FR"/>
        </w:rPr>
        <w:t>d</w:t>
      </w:r>
      <w:r>
        <w:rPr>
          <w:lang w:val="fr-FR"/>
        </w:rPr>
        <w:t>e</w:t>
      </w:r>
      <w:r w:rsidRPr="00DB26B8">
        <w:rPr>
          <w:lang w:val="fr-FR"/>
        </w:rPr>
        <w:t>m</w:t>
      </w:r>
      <w:r>
        <w:rPr>
          <w:lang w:val="fr-FR"/>
        </w:rPr>
        <w:t>en</w:t>
      </w:r>
      <w:r w:rsidRPr="00DB26B8">
        <w:rPr>
          <w:lang w:val="fr-FR"/>
        </w:rPr>
        <w:t>t</w:t>
      </w:r>
      <w:r>
        <w:rPr>
          <w:lang w:val="fr-FR"/>
        </w:rPr>
        <w:t>s</w:t>
      </w:r>
      <w:r w:rsidRPr="00DB26B8">
        <w:rPr>
          <w:lang w:val="fr-FR"/>
        </w:rPr>
        <w:t xml:space="preserve"> figurent dans la section 2 du présent document</w:t>
      </w:r>
      <w:r>
        <w:rPr>
          <w:lang w:val="fr-FR"/>
        </w:rPr>
        <w:t>.</w:t>
      </w:r>
    </w:p>
    <w:p w14:paraId="454DA914" w14:textId="1A15AC7A" w:rsidR="00F9573C" w:rsidRDefault="00762380" w:rsidP="00762380">
      <w:pPr>
        <w:pStyle w:val="SingleTxtG"/>
        <w:rPr>
          <w:lang w:val="fr-FR"/>
        </w:rPr>
      </w:pPr>
      <w:r w:rsidRPr="006567FE">
        <w:rPr>
          <w:lang w:val="fr-FR"/>
        </w:rPr>
        <w:t>4.</w:t>
      </w:r>
      <w:r w:rsidRPr="006567FE">
        <w:rPr>
          <w:lang w:val="fr-FR"/>
        </w:rPr>
        <w:tab/>
        <w:t>Le présent document contient les propositions telles qu</w:t>
      </w:r>
      <w:r>
        <w:rPr>
          <w:lang w:val="fr-FR"/>
        </w:rPr>
        <w:t>’</w:t>
      </w:r>
      <w:r w:rsidRPr="006567FE">
        <w:rPr>
          <w:lang w:val="fr-FR"/>
        </w:rPr>
        <w:t xml:space="preserve">elles avaient été communiquées à la date limite de soumission des documents officiels. Comme </w:t>
      </w:r>
      <w:r>
        <w:rPr>
          <w:lang w:val="fr-FR"/>
        </w:rPr>
        <w:t>l</w:t>
      </w:r>
      <w:r w:rsidRPr="006567FE">
        <w:rPr>
          <w:lang w:val="fr-FR"/>
        </w:rPr>
        <w:t xml:space="preserve">es travaux </w:t>
      </w:r>
      <w:r>
        <w:rPr>
          <w:lang w:val="fr-FR"/>
        </w:rPr>
        <w:t xml:space="preserve">sur la question </w:t>
      </w:r>
      <w:r w:rsidRPr="006567FE">
        <w:rPr>
          <w:lang w:val="fr-FR"/>
        </w:rPr>
        <w:t>sont toujours en cours, le présent document sera complété par un rapport du groupe de travail informel des véhicules électriques et, au besoin, par des propositions de modifications ou d</w:t>
      </w:r>
      <w:r>
        <w:rPr>
          <w:lang w:val="fr-FR"/>
        </w:rPr>
        <w:t>’</w:t>
      </w:r>
      <w:r w:rsidRPr="006567FE">
        <w:rPr>
          <w:lang w:val="fr-FR"/>
        </w:rPr>
        <w:t>ajouts mineurs.</w:t>
      </w:r>
    </w:p>
    <w:p w14:paraId="139B176F" w14:textId="77777777" w:rsidR="00762380" w:rsidRPr="006567FE" w:rsidRDefault="00762380" w:rsidP="00762380">
      <w:pPr>
        <w:pStyle w:val="HChG"/>
        <w:rPr>
          <w:lang w:val="fr-FR"/>
        </w:rPr>
      </w:pPr>
      <w:r w:rsidRPr="006567FE">
        <w:rPr>
          <w:bCs/>
          <w:lang w:val="fr-FR"/>
        </w:rPr>
        <w:lastRenderedPageBreak/>
        <w:tab/>
        <w:t>II.</w:t>
      </w:r>
      <w:r w:rsidRPr="006567FE">
        <w:rPr>
          <w:lang w:val="fr-FR"/>
        </w:rPr>
        <w:tab/>
      </w:r>
      <w:r w:rsidRPr="006567FE">
        <w:rPr>
          <w:bCs/>
          <w:lang w:val="fr-FR"/>
        </w:rPr>
        <w:t>Propositions</w:t>
      </w:r>
    </w:p>
    <w:p w14:paraId="3FDEB239" w14:textId="61FE6D1E" w:rsidR="00762380" w:rsidRPr="009E226F" w:rsidRDefault="00762380" w:rsidP="00762380">
      <w:pPr>
        <w:pStyle w:val="SingleTxtG"/>
        <w:keepNext/>
        <w:rPr>
          <w:spacing w:val="-3"/>
          <w:lang w:val="fr-FR"/>
        </w:rPr>
      </w:pPr>
      <w:r w:rsidRPr="006567FE">
        <w:rPr>
          <w:lang w:val="fr-FR"/>
        </w:rPr>
        <w:t>5.</w:t>
      </w:r>
      <w:r w:rsidRPr="006567FE">
        <w:rPr>
          <w:lang w:val="fr-FR"/>
        </w:rPr>
        <w:tab/>
      </w:r>
      <w:r w:rsidRPr="009E226F">
        <w:rPr>
          <w:spacing w:val="-3"/>
          <w:u w:val="single"/>
          <w:lang w:val="fr-FR"/>
        </w:rPr>
        <w:t>Section 1 : Texte entre crochets dans l’annexe III du document ECE/TRANS/WP.15/264</w:t>
      </w:r>
    </w:p>
    <w:p w14:paraId="2BAFD56A" w14:textId="47DF08F0" w:rsidR="00762380" w:rsidRDefault="00762380" w:rsidP="00762380">
      <w:pPr>
        <w:pStyle w:val="SingleTxtG"/>
        <w:rPr>
          <w:i/>
          <w:iCs/>
          <w:lang w:val="fr-FR"/>
        </w:rPr>
      </w:pPr>
      <w:r w:rsidRPr="006567FE">
        <w:rPr>
          <w:i/>
          <w:iCs/>
          <w:lang w:val="fr-FR"/>
        </w:rPr>
        <w:t>Remarque : dans le tableau ci-dessous, « SRSEE » est l</w:t>
      </w:r>
      <w:r>
        <w:rPr>
          <w:i/>
          <w:iCs/>
          <w:lang w:val="fr-FR"/>
        </w:rPr>
        <w:t>’</w:t>
      </w:r>
      <w:r w:rsidRPr="006567FE">
        <w:rPr>
          <w:i/>
          <w:iCs/>
          <w:lang w:val="fr-FR"/>
        </w:rPr>
        <w:t>abréviation de « système rechargeable de stockage de l</w:t>
      </w:r>
      <w:r>
        <w:rPr>
          <w:i/>
          <w:iCs/>
          <w:lang w:val="fr-FR"/>
        </w:rPr>
        <w:t>’</w:t>
      </w:r>
      <w:r w:rsidRPr="006567FE">
        <w:rPr>
          <w:i/>
          <w:iCs/>
          <w:lang w:val="fr-FR"/>
        </w:rPr>
        <w:t>énergie électrique ».</w:t>
      </w:r>
    </w:p>
    <w:tbl>
      <w:tblPr>
        <w:tblStyle w:val="Grilledutableau"/>
        <w:tblW w:w="8504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989"/>
        <w:gridCol w:w="3269"/>
      </w:tblGrid>
      <w:tr w:rsidR="009E226F" w:rsidRPr="00762380" w14:paraId="7EA6864F" w14:textId="77777777" w:rsidTr="009E226F">
        <w:trPr>
          <w:tblHeader/>
        </w:trPr>
        <w:tc>
          <w:tcPr>
            <w:tcW w:w="12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2292F8B" w14:textId="77777777" w:rsidR="00762380" w:rsidRPr="00762380" w:rsidRDefault="00762380" w:rsidP="00762380">
            <w:pPr>
              <w:spacing w:before="80" w:after="80" w:line="200" w:lineRule="exact"/>
              <w:ind w:right="113"/>
              <w:rPr>
                <w:i/>
                <w:sz w:val="16"/>
                <w:lang w:val="fr-FR"/>
              </w:rPr>
            </w:pPr>
            <w:r w:rsidRPr="00762380">
              <w:rPr>
                <w:i/>
                <w:sz w:val="16"/>
                <w:lang w:val="fr-FR"/>
              </w:rPr>
              <w:t>Référence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11DAAA" w14:textId="4973579D" w:rsidR="00762380" w:rsidRPr="00762380" w:rsidRDefault="00762380" w:rsidP="00762380">
            <w:pPr>
              <w:spacing w:before="80" w:after="80" w:line="200" w:lineRule="exact"/>
              <w:ind w:right="113"/>
              <w:rPr>
                <w:i/>
                <w:sz w:val="16"/>
                <w:lang w:val="fr-FR"/>
              </w:rPr>
            </w:pPr>
            <w:r w:rsidRPr="00762380">
              <w:rPr>
                <w:i/>
                <w:sz w:val="16"/>
                <w:lang w:val="fr-FR"/>
              </w:rPr>
              <w:t>Texte de l</w:t>
            </w:r>
            <w:r>
              <w:rPr>
                <w:i/>
                <w:sz w:val="16"/>
                <w:lang w:val="fr-FR"/>
              </w:rPr>
              <w:t>’</w:t>
            </w:r>
            <w:r w:rsidRPr="00762380">
              <w:rPr>
                <w:i/>
                <w:sz w:val="16"/>
                <w:lang w:val="fr-FR"/>
              </w:rPr>
              <w:t>annexe III du document ECE/TRANS/WP.15/264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4FE6648" w14:textId="77777777" w:rsidR="00762380" w:rsidRPr="00762380" w:rsidRDefault="00762380" w:rsidP="009E226F">
            <w:pPr>
              <w:spacing w:before="80" w:after="80" w:line="200" w:lineRule="exact"/>
              <w:rPr>
                <w:i/>
                <w:sz w:val="16"/>
                <w:lang w:val="fr-FR"/>
              </w:rPr>
            </w:pPr>
            <w:r w:rsidRPr="00762380">
              <w:rPr>
                <w:i/>
                <w:sz w:val="16"/>
                <w:lang w:val="fr-FR"/>
              </w:rPr>
              <w:t>Proposition et justification</w:t>
            </w:r>
          </w:p>
        </w:tc>
      </w:tr>
      <w:tr w:rsidR="00762380" w:rsidRPr="00762380" w14:paraId="60D88B14" w14:textId="77777777" w:rsidTr="009E226F">
        <w:trPr>
          <w:trHeight w:hRule="exact" w:val="113"/>
          <w:tblHeader/>
        </w:trPr>
        <w:tc>
          <w:tcPr>
            <w:tcW w:w="1246" w:type="dxa"/>
            <w:tcBorders>
              <w:top w:val="single" w:sz="12" w:space="0" w:color="auto"/>
            </w:tcBorders>
            <w:shd w:val="clear" w:color="auto" w:fill="auto"/>
          </w:tcPr>
          <w:p w14:paraId="6E4E0FFE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</w:p>
        </w:tc>
        <w:tc>
          <w:tcPr>
            <w:tcW w:w="3989" w:type="dxa"/>
            <w:tcBorders>
              <w:top w:val="single" w:sz="12" w:space="0" w:color="auto"/>
            </w:tcBorders>
            <w:shd w:val="clear" w:color="auto" w:fill="auto"/>
          </w:tcPr>
          <w:p w14:paraId="43C86701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</w:p>
        </w:tc>
        <w:tc>
          <w:tcPr>
            <w:tcW w:w="3269" w:type="dxa"/>
            <w:tcBorders>
              <w:top w:val="single" w:sz="12" w:space="0" w:color="auto"/>
            </w:tcBorders>
            <w:shd w:val="clear" w:color="auto" w:fill="auto"/>
          </w:tcPr>
          <w:p w14:paraId="7A246235" w14:textId="77777777" w:rsidR="00762380" w:rsidRPr="00762380" w:rsidRDefault="00762380" w:rsidP="009E226F">
            <w:pPr>
              <w:spacing w:before="40" w:after="120"/>
              <w:rPr>
                <w:lang w:val="fr-FR"/>
              </w:rPr>
            </w:pPr>
          </w:p>
        </w:tc>
      </w:tr>
      <w:tr w:rsidR="009E226F" w:rsidRPr="00762380" w14:paraId="0A7DF88F" w14:textId="77777777" w:rsidTr="009E226F">
        <w:tc>
          <w:tcPr>
            <w:tcW w:w="1246" w:type="dxa"/>
            <w:shd w:val="clear" w:color="auto" w:fill="auto"/>
          </w:tcPr>
          <w:p w14:paraId="6527B391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1.6.5.26</w:t>
            </w:r>
          </w:p>
        </w:tc>
        <w:tc>
          <w:tcPr>
            <w:tcW w:w="3989" w:type="dxa"/>
            <w:shd w:val="clear" w:color="auto" w:fill="auto"/>
          </w:tcPr>
          <w:p w14:paraId="3F20AB40" w14:textId="4ADB58DA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Les véhicules immatriculés pour la première fois (ou mis en circulation, si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immatriculation n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est pas obligatoire) avant le [1</w:t>
            </w:r>
            <w:r w:rsidRPr="009E226F">
              <w:rPr>
                <w:vertAlign w:val="superscript"/>
                <w:lang w:val="fr-FR"/>
              </w:rPr>
              <w:t>er</w:t>
            </w:r>
            <w:r w:rsidRPr="00762380">
              <w:rPr>
                <w:lang w:val="fr-FR"/>
              </w:rPr>
              <w:t xml:space="preserve"> avril 2026], agréés en tant que véhicules AT, qui ne sont pas conformes aux dispositions du 9.2.4.2 en</w:t>
            </w:r>
            <w:r w:rsidR="009E226F">
              <w:rPr>
                <w:lang w:val="fr-FR"/>
              </w:rPr>
              <w:t xml:space="preserve"> </w:t>
            </w:r>
            <w:r w:rsidRPr="00762380">
              <w:rPr>
                <w:lang w:val="fr-FR"/>
              </w:rPr>
              <w:t>ce qui concerne les réservoirs de carburant, peuvent encore être utilisés.</w:t>
            </w:r>
          </w:p>
        </w:tc>
        <w:tc>
          <w:tcPr>
            <w:tcW w:w="3269" w:type="dxa"/>
            <w:shd w:val="clear" w:color="auto" w:fill="auto"/>
          </w:tcPr>
          <w:p w14:paraId="63568D77" w14:textId="02581119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échéance du 1</w:t>
            </w:r>
            <w:r w:rsidRPr="00762380">
              <w:rPr>
                <w:vertAlign w:val="superscript"/>
                <w:lang w:val="fr-FR"/>
              </w:rPr>
              <w:t>er</w:t>
            </w:r>
            <w:r w:rsidRPr="00762380">
              <w:rPr>
                <w:lang w:val="fr-FR"/>
              </w:rPr>
              <w:t xml:space="preserve"> avril 2026 pour la mise à jour du Règlement ONU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105 et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achèvement des véhicules déjà en construction (par exemple, le montage du réservoir) est fixée conformément 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usage établi. Il est proposé de supprimer les crochets.</w:t>
            </w:r>
          </w:p>
        </w:tc>
      </w:tr>
      <w:tr w:rsidR="009E226F" w:rsidRPr="00762380" w14:paraId="46F71892" w14:textId="77777777" w:rsidTr="009E226F">
        <w:tc>
          <w:tcPr>
            <w:tcW w:w="1246" w:type="dxa"/>
            <w:shd w:val="clear" w:color="auto" w:fill="auto"/>
          </w:tcPr>
          <w:p w14:paraId="1DB52FC3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1.6.5.27</w:t>
            </w:r>
          </w:p>
        </w:tc>
        <w:tc>
          <w:tcPr>
            <w:tcW w:w="3989" w:type="dxa"/>
            <w:shd w:val="clear" w:color="auto" w:fill="auto"/>
          </w:tcPr>
          <w:p w14:paraId="4AF60CF4" w14:textId="76B5774D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Les véhicules immatriculés pour la première fois (ou mis en circulation, si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immatriculation n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est pas obligatoire) avant le [1</w:t>
            </w:r>
            <w:r w:rsidRPr="009E226F">
              <w:rPr>
                <w:vertAlign w:val="superscript"/>
                <w:lang w:val="fr-FR"/>
              </w:rPr>
              <w:t>er</w:t>
            </w:r>
            <w:r w:rsidRPr="00762380">
              <w:rPr>
                <w:lang w:val="fr-FR"/>
              </w:rPr>
              <w:t xml:space="preserve"> avril 2026], agréés en tant que véhicules AT, qui ne sont pas conformes aux dispositions du 9.2.4.4.2 en ce qui concerne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évaluation du SRSEE, peuvent encore être utilisés.</w:t>
            </w:r>
          </w:p>
        </w:tc>
        <w:tc>
          <w:tcPr>
            <w:tcW w:w="3269" w:type="dxa"/>
            <w:shd w:val="clear" w:color="auto" w:fill="auto"/>
          </w:tcPr>
          <w:p w14:paraId="5C5BC08F" w14:textId="4CA1239F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échéance du 1</w:t>
            </w:r>
            <w:r w:rsidRPr="00762380">
              <w:rPr>
                <w:vertAlign w:val="superscript"/>
                <w:lang w:val="fr-FR"/>
              </w:rPr>
              <w:t>er</w:t>
            </w:r>
            <w:r w:rsidRPr="00762380">
              <w:rPr>
                <w:lang w:val="fr-FR"/>
              </w:rPr>
              <w:t xml:space="preserve"> avril 2026 pour la mise à jour du Règlement ONU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105 et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achèvement des véhicules déjà en construction (par exemple, le montage du réservoir) est fixée conformément 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usage établi. Il est proposé de supprimer les crochets.</w:t>
            </w:r>
          </w:p>
        </w:tc>
      </w:tr>
      <w:tr w:rsidR="009E226F" w:rsidRPr="00762380" w14:paraId="688D0E21" w14:textId="77777777" w:rsidTr="009E226F">
        <w:tc>
          <w:tcPr>
            <w:tcW w:w="1246" w:type="dxa"/>
            <w:shd w:val="clear" w:color="auto" w:fill="auto"/>
          </w:tcPr>
          <w:p w14:paraId="10768517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9.2.1.1</w:t>
            </w:r>
          </w:p>
        </w:tc>
        <w:tc>
          <w:tcPr>
            <w:tcW w:w="3989" w:type="dxa"/>
            <w:shd w:val="clear" w:color="auto" w:fill="auto"/>
          </w:tcPr>
          <w:p w14:paraId="2DDC73FC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Dans la ligne 9.2.4.2 du tableau :</w:t>
            </w:r>
          </w:p>
          <w:p w14:paraId="7D5A5FF6" w14:textId="24909777" w:rsidR="00762380" w:rsidRPr="00762380" w:rsidRDefault="009E226F" w:rsidP="009E226F">
            <w:pPr>
              <w:pStyle w:val="Bullet1G"/>
              <w:ind w:left="170" w:right="113"/>
              <w:jc w:val="left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762380" w:rsidRPr="00762380">
              <w:rPr>
                <w:lang w:val="fr-FR"/>
              </w:rPr>
              <w:t xml:space="preserve">ans la colonne « AT », ajouter « </w:t>
            </w:r>
            <w:proofErr w:type="spellStart"/>
            <w:r w:rsidR="00762380" w:rsidRPr="00762380">
              <w:rPr>
                <w:lang w:val="fr-FR"/>
              </w:rPr>
              <w:t>X</w:t>
            </w:r>
            <w:r w:rsidR="00762380" w:rsidRPr="00762380">
              <w:rPr>
                <w:vertAlign w:val="superscript"/>
                <w:lang w:val="fr-FR"/>
              </w:rPr>
              <w:t>k</w:t>
            </w:r>
            <w:proofErr w:type="spellEnd"/>
            <w:r w:rsidR="00762380" w:rsidRPr="00762380">
              <w:rPr>
                <w:lang w:val="fr-FR"/>
              </w:rPr>
              <w:t xml:space="preserve"> » et dans la colonne « REMARQUES », ajouter «</w:t>
            </w:r>
            <w:r>
              <w:rPr>
                <w:lang w:val="fr-FR"/>
              </w:rPr>
              <w:t> </w:t>
            </w:r>
            <w:r w:rsidR="00762380" w:rsidRPr="00762380">
              <w:rPr>
                <w:vertAlign w:val="superscript"/>
                <w:lang w:val="fr-FR"/>
              </w:rPr>
              <w:t>k</w:t>
            </w:r>
            <w:r w:rsidR="00762380" w:rsidRPr="00762380">
              <w:rPr>
                <w:lang w:val="fr-FR"/>
              </w:rPr>
              <w:t xml:space="preserve"> Applicable aux véhicules à moteur </w:t>
            </w:r>
            <w:r w:rsidRPr="008E190B">
              <w:t>“</w:t>
            </w:r>
            <w:r w:rsidR="00762380" w:rsidRPr="00762380">
              <w:rPr>
                <w:u w:val="single"/>
                <w:lang w:val="fr-FR"/>
              </w:rPr>
              <w:t>utilisant d</w:t>
            </w:r>
            <w:r w:rsidR="00762380">
              <w:rPr>
                <w:u w:val="single"/>
                <w:lang w:val="fr-FR"/>
              </w:rPr>
              <w:t>’</w:t>
            </w:r>
            <w:r w:rsidR="00762380" w:rsidRPr="00762380">
              <w:rPr>
                <w:u w:val="single"/>
                <w:lang w:val="fr-FR"/>
              </w:rPr>
              <w:t>autres carburants que l</w:t>
            </w:r>
            <w:r w:rsidR="00762380">
              <w:rPr>
                <w:u w:val="single"/>
                <w:lang w:val="fr-FR"/>
              </w:rPr>
              <w:t>’</w:t>
            </w:r>
            <w:r w:rsidR="00762380" w:rsidRPr="00762380">
              <w:rPr>
                <w:u w:val="single"/>
                <w:lang w:val="fr-FR"/>
              </w:rPr>
              <w:t>hydrogène</w:t>
            </w:r>
            <w:r w:rsidRPr="008E190B">
              <w:t>”</w:t>
            </w:r>
            <w:r w:rsidR="00762380" w:rsidRPr="00762380">
              <w:rPr>
                <w:lang w:val="fr-FR"/>
              </w:rPr>
              <w:t xml:space="preserve"> immatriculés pour la</w:t>
            </w:r>
            <w:r w:rsidR="008E190B">
              <w:rPr>
                <w:lang w:val="fr-FR"/>
              </w:rPr>
              <w:t xml:space="preserve"> </w:t>
            </w:r>
            <w:r w:rsidR="00762380" w:rsidRPr="00762380">
              <w:rPr>
                <w:lang w:val="fr-FR"/>
              </w:rPr>
              <w:t>première fois [après le 31</w:t>
            </w:r>
            <w:r>
              <w:rPr>
                <w:lang w:val="fr-FR"/>
              </w:rPr>
              <w:t> </w:t>
            </w:r>
            <w:r w:rsidR="00762380" w:rsidRPr="00762380">
              <w:rPr>
                <w:lang w:val="fr-FR"/>
              </w:rPr>
              <w:t>mars 2026]</w:t>
            </w:r>
            <w:r>
              <w:rPr>
                <w:lang w:val="fr-FR"/>
              </w:rPr>
              <w:t> </w:t>
            </w:r>
            <w:r w:rsidR="00762380" w:rsidRPr="00762380">
              <w:rPr>
                <w:lang w:val="fr-FR"/>
              </w:rPr>
              <w:t>».</w:t>
            </w:r>
          </w:p>
        </w:tc>
        <w:tc>
          <w:tcPr>
            <w:tcW w:w="3269" w:type="dxa"/>
            <w:shd w:val="clear" w:color="auto" w:fill="auto"/>
          </w:tcPr>
          <w:p w14:paraId="0F206345" w14:textId="28F578DF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échéance relative 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application est fixée conformément 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usage établi et aux mesures transitoires mentionnées au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1.6.5.</w:t>
            </w:r>
          </w:p>
        </w:tc>
      </w:tr>
      <w:tr w:rsidR="009E226F" w:rsidRPr="00762380" w14:paraId="0F9E5F0C" w14:textId="77777777" w:rsidTr="009E226F">
        <w:tc>
          <w:tcPr>
            <w:tcW w:w="1246" w:type="dxa"/>
            <w:shd w:val="clear" w:color="auto" w:fill="auto"/>
          </w:tcPr>
          <w:p w14:paraId="0663ED72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9.2.1.1</w:t>
            </w:r>
          </w:p>
        </w:tc>
        <w:tc>
          <w:tcPr>
            <w:tcW w:w="3989" w:type="dxa"/>
            <w:shd w:val="clear" w:color="auto" w:fill="auto"/>
          </w:tcPr>
          <w:p w14:paraId="4298DFA4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Dans la ligne 9.2.4.4.2 du tableau :</w:t>
            </w:r>
          </w:p>
          <w:p w14:paraId="7DC87D60" w14:textId="56A9D56F" w:rsidR="00762380" w:rsidRPr="00762380" w:rsidRDefault="008E190B" w:rsidP="00762380">
            <w:pPr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762380" w:rsidRPr="00762380">
              <w:rPr>
                <w:lang w:val="fr-FR"/>
              </w:rPr>
              <w:t xml:space="preserve">ans la colonne « AT », ajouter « </w:t>
            </w:r>
            <w:proofErr w:type="spellStart"/>
            <w:r w:rsidR="00762380" w:rsidRPr="00762380">
              <w:rPr>
                <w:lang w:val="fr-FR"/>
              </w:rPr>
              <w:t>X</w:t>
            </w:r>
            <w:r w:rsidR="00762380" w:rsidRPr="00762380">
              <w:rPr>
                <w:vertAlign w:val="superscript"/>
                <w:lang w:val="fr-FR"/>
              </w:rPr>
              <w:t>k</w:t>
            </w:r>
            <w:proofErr w:type="spellEnd"/>
            <w:r w:rsidR="00762380" w:rsidRPr="00762380">
              <w:rPr>
                <w:lang w:val="fr-FR"/>
              </w:rPr>
              <w:t xml:space="preserve"> » et dans la colonne « REMARQUES », ajouter «</w:t>
            </w:r>
            <w:r w:rsidR="009E226F">
              <w:rPr>
                <w:lang w:val="fr-FR"/>
              </w:rPr>
              <w:t> </w:t>
            </w:r>
            <w:r w:rsidR="00762380" w:rsidRPr="00762380">
              <w:rPr>
                <w:vertAlign w:val="superscript"/>
                <w:lang w:val="fr-FR"/>
              </w:rPr>
              <w:t>k</w:t>
            </w:r>
            <w:r w:rsidR="009E226F" w:rsidRPr="009E226F">
              <w:rPr>
                <w:lang w:val="fr-FR"/>
              </w:rPr>
              <w:t> </w:t>
            </w:r>
            <w:r w:rsidR="00762380" w:rsidRPr="00762380">
              <w:rPr>
                <w:lang w:val="fr-FR"/>
              </w:rPr>
              <w:t xml:space="preserve">Applicable aux véhicules à moteur immatriculés pour la première fois </w:t>
            </w:r>
            <w:r w:rsidR="009E226F">
              <w:rPr>
                <w:lang w:val="fr-FR"/>
              </w:rPr>
              <w:br/>
            </w:r>
            <w:r w:rsidR="00762380" w:rsidRPr="00762380">
              <w:rPr>
                <w:lang w:val="fr-FR"/>
              </w:rPr>
              <w:t>[après le 31</w:t>
            </w:r>
            <w:r>
              <w:rPr>
                <w:lang w:val="fr-FR"/>
              </w:rPr>
              <w:t> </w:t>
            </w:r>
            <w:r w:rsidR="00762380" w:rsidRPr="00762380">
              <w:rPr>
                <w:lang w:val="fr-FR"/>
              </w:rPr>
              <w:t>mars 2026] ».</w:t>
            </w:r>
          </w:p>
        </w:tc>
        <w:tc>
          <w:tcPr>
            <w:tcW w:w="3269" w:type="dxa"/>
            <w:shd w:val="clear" w:color="auto" w:fill="auto"/>
          </w:tcPr>
          <w:p w14:paraId="0F7ED42C" w14:textId="1AC6E30C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échéance relative 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application est fixée conformément 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usage établi et aux mesures transitoires mentionnées au 1.6.5.</w:t>
            </w:r>
          </w:p>
        </w:tc>
      </w:tr>
      <w:tr w:rsidR="009E226F" w:rsidRPr="00762380" w14:paraId="2EFAA4C9" w14:textId="77777777" w:rsidTr="009E226F">
        <w:tc>
          <w:tcPr>
            <w:tcW w:w="1246" w:type="dxa"/>
            <w:shd w:val="clear" w:color="auto" w:fill="auto"/>
          </w:tcPr>
          <w:p w14:paraId="49B118A4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9.2.2.1</w:t>
            </w:r>
          </w:p>
        </w:tc>
        <w:tc>
          <w:tcPr>
            <w:tcW w:w="3989" w:type="dxa"/>
            <w:shd w:val="clear" w:color="auto" w:fill="auto"/>
          </w:tcPr>
          <w:p w14:paraId="2A0B17C8" w14:textId="29AB0F99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[Dans le première paragraphe, après «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inflammation », ajouter « , ni incendie ».]</w:t>
            </w:r>
          </w:p>
        </w:tc>
        <w:tc>
          <w:tcPr>
            <w:tcW w:w="3269" w:type="dxa"/>
            <w:shd w:val="clear" w:color="auto" w:fill="auto"/>
          </w:tcPr>
          <w:p w14:paraId="069C2316" w14:textId="04B6352E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Il a été estimé que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inflammation couvrait déjà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idée du développement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un incendie. Il est proposé de supprimer « , ni incendie » et les crochets.</w:t>
            </w:r>
          </w:p>
        </w:tc>
      </w:tr>
      <w:tr w:rsidR="009E226F" w:rsidRPr="00762380" w14:paraId="38C1542E" w14:textId="77777777" w:rsidTr="009E226F">
        <w:tc>
          <w:tcPr>
            <w:tcW w:w="1246" w:type="dxa"/>
            <w:shd w:val="clear" w:color="auto" w:fill="auto"/>
          </w:tcPr>
          <w:p w14:paraId="609089C9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9.2.4.2</w:t>
            </w:r>
          </w:p>
        </w:tc>
        <w:tc>
          <w:tcPr>
            <w:tcW w:w="3989" w:type="dxa"/>
            <w:shd w:val="clear" w:color="auto" w:fill="auto"/>
          </w:tcPr>
          <w:p w14:paraId="2402CAE6" w14:textId="47E3C19A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e)</w:t>
            </w:r>
            <w:r w:rsidRPr="00762380">
              <w:rPr>
                <w:lang w:val="fr-FR"/>
              </w:rPr>
              <w:tab/>
              <w:t>Les réservoirs et les bouteilles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 xml:space="preserve">hydrogène doivent satisfaire aux prescriptions pertinentes du Règlement ONU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134</w:t>
            </w:r>
            <w:r w:rsidRPr="009E226F">
              <w:rPr>
                <w:sz w:val="18"/>
                <w:szCs w:val="18"/>
                <w:vertAlign w:val="superscript"/>
                <w:lang w:val="fr-FR"/>
              </w:rPr>
              <w:t>9</w:t>
            </w:r>
            <w:r w:rsidRPr="00762380">
              <w:rPr>
                <w:lang w:val="fr-FR"/>
              </w:rPr>
              <w:t>, tel que modifié au minimum par la série 02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amendements ; les réservoirs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 xml:space="preserve">hydrogène liquide doivent satisfaire [aux prescriptions techniques de la partie 7 de la phase 2 du Règlement technique mondial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13</w:t>
            </w:r>
            <w:r w:rsidRPr="009E226F">
              <w:rPr>
                <w:sz w:val="18"/>
                <w:szCs w:val="18"/>
                <w:vertAlign w:val="superscript"/>
                <w:lang w:val="fr-FR"/>
              </w:rPr>
              <w:t>10</w:t>
            </w:r>
            <w:r w:rsidRPr="00762380">
              <w:rPr>
                <w:lang w:val="fr-FR"/>
              </w:rPr>
              <w:t>] ;</w:t>
            </w:r>
          </w:p>
        </w:tc>
        <w:tc>
          <w:tcPr>
            <w:tcW w:w="3269" w:type="dxa"/>
            <w:shd w:val="clear" w:color="auto" w:fill="auto"/>
          </w:tcPr>
          <w:p w14:paraId="1A2E9C18" w14:textId="591FD559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Après vérification, il apparaît que la référence correcte serait « la partie 7 du Règlement technique mondial (amendement 1) ». La partie 7</w:t>
            </w:r>
            <w:r w:rsidRPr="00762380">
              <w:rPr>
                <w:b/>
                <w:bCs/>
                <w:lang w:val="fr-FR"/>
              </w:rPr>
              <w:t xml:space="preserve"> </w:t>
            </w:r>
            <w:r w:rsidRPr="00762380">
              <w:rPr>
                <w:lang w:val="fr-FR"/>
              </w:rPr>
              <w:t>porte spécifiquement</w:t>
            </w:r>
            <w:r w:rsidRPr="00762380">
              <w:rPr>
                <w:b/>
                <w:bCs/>
                <w:lang w:val="fr-FR"/>
              </w:rPr>
              <w:t xml:space="preserve"> </w:t>
            </w:r>
            <w:r w:rsidRPr="00762380">
              <w:rPr>
                <w:lang w:val="fr-FR"/>
              </w:rPr>
              <w:t>sur le réservoir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hydrogène liquide.</w:t>
            </w:r>
          </w:p>
          <w:p w14:paraId="09270396" w14:textId="77777777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Il est proposé de modifier le libellé de ce passage et de supprimer les crochets.</w:t>
            </w:r>
          </w:p>
        </w:tc>
      </w:tr>
      <w:tr w:rsidR="009E226F" w:rsidRPr="00762380" w14:paraId="55682D12" w14:textId="77777777" w:rsidTr="009E226F">
        <w:tc>
          <w:tcPr>
            <w:tcW w:w="1246" w:type="dxa"/>
            <w:shd w:val="clear" w:color="auto" w:fill="auto"/>
          </w:tcPr>
          <w:p w14:paraId="6BC73583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9.2.4.3.1</w:t>
            </w:r>
          </w:p>
        </w:tc>
        <w:tc>
          <w:tcPr>
            <w:tcW w:w="3989" w:type="dxa"/>
            <w:shd w:val="clear" w:color="auto" w:fill="auto"/>
          </w:tcPr>
          <w:p w14:paraId="545CC365" w14:textId="4C6DEFE5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c)</w:t>
            </w:r>
            <w:r w:rsidRPr="00762380">
              <w:rPr>
                <w:lang w:val="fr-FR"/>
              </w:rPr>
              <w:tab/>
              <w:t xml:space="preserve">Du Règlement ONU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134</w:t>
            </w:r>
            <w:r w:rsidRPr="009E226F">
              <w:rPr>
                <w:sz w:val="18"/>
                <w:szCs w:val="18"/>
                <w:vertAlign w:val="superscript"/>
                <w:lang w:val="fr-FR"/>
              </w:rPr>
              <w:t>9</w:t>
            </w:r>
            <w:r w:rsidRPr="00762380">
              <w:rPr>
                <w:lang w:val="fr-FR"/>
              </w:rPr>
              <w:t xml:space="preserve"> pour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 xml:space="preserve">hydrogène comprimé et, le cas échéant, </w:t>
            </w:r>
            <w:r w:rsidR="008E190B">
              <w:rPr>
                <w:lang w:val="fr-FR"/>
              </w:rPr>
              <w:br/>
            </w:r>
            <w:r w:rsidRPr="00762380">
              <w:rPr>
                <w:lang w:val="fr-FR"/>
              </w:rPr>
              <w:t xml:space="preserve">[de la phase 2 du Règlement technique mondial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13</w:t>
            </w:r>
            <w:r w:rsidRPr="009E226F">
              <w:rPr>
                <w:sz w:val="18"/>
                <w:szCs w:val="18"/>
                <w:vertAlign w:val="superscript"/>
                <w:lang w:val="fr-FR"/>
              </w:rPr>
              <w:t>10</w:t>
            </w:r>
            <w:r w:rsidRPr="00762380">
              <w:rPr>
                <w:lang w:val="fr-FR"/>
              </w:rPr>
              <w:t>] pour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hydrogène liquide.</w:t>
            </w:r>
          </w:p>
        </w:tc>
        <w:tc>
          <w:tcPr>
            <w:tcW w:w="3269" w:type="dxa"/>
            <w:shd w:val="clear" w:color="auto" w:fill="auto"/>
          </w:tcPr>
          <w:p w14:paraId="05C0ED9C" w14:textId="77777777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Après vérification, il apparaît que la référence correcte serait « le Règlement technique mondial (amendement 1) ». Il est proposé de modifier le libellé de ce passage et de supprimer les crochets.</w:t>
            </w:r>
          </w:p>
        </w:tc>
      </w:tr>
      <w:tr w:rsidR="009E226F" w:rsidRPr="00762380" w14:paraId="695790CD" w14:textId="77777777" w:rsidTr="009E226F">
        <w:tc>
          <w:tcPr>
            <w:tcW w:w="1246" w:type="dxa"/>
            <w:shd w:val="clear" w:color="auto" w:fill="auto"/>
          </w:tcPr>
          <w:p w14:paraId="1895FC9C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9.2.4.4.2</w:t>
            </w:r>
          </w:p>
        </w:tc>
        <w:tc>
          <w:tcPr>
            <w:tcW w:w="3989" w:type="dxa"/>
            <w:shd w:val="clear" w:color="auto" w:fill="auto"/>
          </w:tcPr>
          <w:p w14:paraId="4D08A3D2" w14:textId="291AC71C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La conception et la construction du SRSEE des véhicules dotés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une chaîne de traction électrique doivent comprendre une évaluation des risques menée conformément à la norme ISO 6469-1:2019/</w:t>
            </w:r>
            <w:proofErr w:type="spellStart"/>
            <w:r w:rsidRPr="00762380">
              <w:rPr>
                <w:lang w:val="fr-FR"/>
              </w:rPr>
              <w:t>Amd</w:t>
            </w:r>
            <w:proofErr w:type="spellEnd"/>
            <w:r w:rsidRPr="00762380">
              <w:rPr>
                <w:lang w:val="fr-FR"/>
              </w:rPr>
              <w:t xml:space="preserve"> 1:2022 afin que la sécurité soit assurée dans des conditions normales de fonctionnement. [Un examen doit être effectué par un service technique (par</w:t>
            </w:r>
            <w:r w:rsidR="00537DEA">
              <w:rPr>
                <w:lang w:val="fr-FR"/>
              </w:rPr>
              <w:t> </w:t>
            </w:r>
            <w:r w:rsidRPr="00762380">
              <w:rPr>
                <w:lang w:val="fr-FR"/>
              </w:rPr>
              <w:t>exemple, service technique chargé de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 xml:space="preserve">homologation des véhicules conformément au règlement ONU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100</w:t>
            </w:r>
            <w:r w:rsidRPr="009E226F">
              <w:rPr>
                <w:sz w:val="18"/>
                <w:szCs w:val="18"/>
                <w:vertAlign w:val="superscript"/>
                <w:lang w:val="fr-FR"/>
              </w:rPr>
              <w:t>1</w:t>
            </w:r>
            <w:r w:rsidRPr="00762380">
              <w:rPr>
                <w:lang w:val="fr-FR"/>
              </w:rPr>
              <w:t>)].</w:t>
            </w:r>
          </w:p>
        </w:tc>
        <w:tc>
          <w:tcPr>
            <w:tcW w:w="3269" w:type="dxa"/>
            <w:shd w:val="clear" w:color="auto" w:fill="auto"/>
          </w:tcPr>
          <w:p w14:paraId="5F817D23" w14:textId="4E2EF1EA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Le texte entre crochets a pour objet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indiquer qu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un service indépendant ayant les compétences requises doit évaluer le travail effectué par le constructeur. Toutefois, la question s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est posée de savoir s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il devait s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agir du service technique chargé de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 xml:space="preserve">homologation conformément au Règlement ONU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 xml:space="preserve">105 ou au Règlement ONU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100.</w:t>
            </w:r>
          </w:p>
          <w:p w14:paraId="05AA9D5B" w14:textId="14E7789E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Au moment de la rédaction du présent document, il n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avait pas été possible de parvenir à un consensus sur ce point.</w:t>
            </w:r>
          </w:p>
          <w:p w14:paraId="7D636646" w14:textId="77777777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Il est proposé de maintenir les crochets et de prendre une décision finale à la 115</w:t>
            </w:r>
            <w:r w:rsidRPr="00762380">
              <w:rPr>
                <w:vertAlign w:val="superscript"/>
                <w:lang w:val="fr-FR"/>
              </w:rPr>
              <w:t>e</w:t>
            </w:r>
            <w:r w:rsidRPr="00762380">
              <w:rPr>
                <w:lang w:val="fr-FR"/>
              </w:rPr>
              <w:t xml:space="preserve"> session du Groupe de travail.</w:t>
            </w:r>
          </w:p>
        </w:tc>
      </w:tr>
      <w:tr w:rsidR="009E226F" w:rsidRPr="00762380" w14:paraId="3B9F3A87" w14:textId="77777777" w:rsidTr="009E226F">
        <w:tc>
          <w:tcPr>
            <w:tcW w:w="1246" w:type="dxa"/>
            <w:shd w:val="clear" w:color="auto" w:fill="auto"/>
          </w:tcPr>
          <w:p w14:paraId="5F5AEE99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9.2.4.4.3</w:t>
            </w:r>
          </w:p>
        </w:tc>
        <w:tc>
          <w:tcPr>
            <w:tcW w:w="3989" w:type="dxa"/>
            <w:shd w:val="clear" w:color="auto" w:fill="auto"/>
          </w:tcPr>
          <w:p w14:paraId="3E805386" w14:textId="7A03870E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En ce qui concerne les SRSEE comprenant des piles pour lesquelles il n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 xml:space="preserve">est pas possible de garantir que la propagation thermique soit limitée au système, des mesures doivent être prises pour </w:t>
            </w:r>
            <w:r w:rsidRPr="00762380">
              <w:rPr>
                <w:strike/>
                <w:lang w:val="fr-FR"/>
              </w:rPr>
              <w:t xml:space="preserve">éviter tout danger </w:t>
            </w:r>
            <w:r w:rsidRPr="00762380">
              <w:rPr>
                <w:u w:val="single"/>
                <w:lang w:val="fr-FR"/>
              </w:rPr>
              <w:t xml:space="preserve">limiter les dangers </w:t>
            </w:r>
            <w:r w:rsidRPr="00762380">
              <w:rPr>
                <w:lang w:val="fr-FR"/>
              </w:rPr>
              <w:t>pour le chargement à la suite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un échauffement ou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une inflammation. [La conception doit tenir compte de la nécessité de faciliter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intervention des services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urgence pour limiter les effets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une propagation thermique.]</w:t>
            </w:r>
          </w:p>
        </w:tc>
        <w:tc>
          <w:tcPr>
            <w:tcW w:w="3269" w:type="dxa"/>
            <w:shd w:val="clear" w:color="auto" w:fill="auto"/>
          </w:tcPr>
          <w:p w14:paraId="5C1123C1" w14:textId="7461173F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Il est proposé de remplacer « éviter » par « limiter », qui est plus approprié lorsqu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il s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agit de « dangers ».</w:t>
            </w:r>
          </w:p>
          <w:p w14:paraId="1895886B" w14:textId="02234CBD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Le texte entre crochets a pour objet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indiquer que la conception du véhicule doit permettre aux services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urgence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intervenir dans le cas où un incendie se propagerait 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extérieur du SRSEE. Toutefois, lorsqu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un incendie se propage du SRSEE vers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ensemble du véhicule, le plan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action des services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urgence ne diffère pas selon qu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il s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agit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un camion à moteur à combustion interne ou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 xml:space="preserve">un camion électrique </w:t>
            </w:r>
            <w:r w:rsidR="00454F35">
              <w:rPr>
                <w:lang w:val="fr-FR"/>
              </w:rPr>
              <w:t>−</w:t>
            </w:r>
            <w:r w:rsidRPr="00762380">
              <w:rPr>
                <w:lang w:val="fr-FR"/>
              </w:rPr>
              <w:t xml:space="preserve"> il est exécuté en maintenant une distance de sécurité. Il a donc été jugé inutile de concevoir le véhicule de manière à permettre cette intervention. En outre, on peut prévoir que les pompiers mettront au point des techniques leur permettant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intervenir quelle que soit la conception du véhicule. Il est proposé de supprimer la phrase entre crochets.</w:t>
            </w:r>
          </w:p>
        </w:tc>
      </w:tr>
      <w:tr w:rsidR="009E226F" w:rsidRPr="00762380" w14:paraId="0E79CF96" w14:textId="77777777" w:rsidTr="009E226F">
        <w:tc>
          <w:tcPr>
            <w:tcW w:w="1246" w:type="dxa"/>
            <w:shd w:val="clear" w:color="auto" w:fill="auto"/>
          </w:tcPr>
          <w:p w14:paraId="669515B9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9.2.4.5.2</w:t>
            </w:r>
          </w:p>
        </w:tc>
        <w:tc>
          <w:tcPr>
            <w:tcW w:w="3989" w:type="dxa"/>
            <w:shd w:val="clear" w:color="auto" w:fill="auto"/>
          </w:tcPr>
          <w:p w14:paraId="006F3B65" w14:textId="55994A4D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 xml:space="preserve">Les véhicules à pile à combustible à hydrogène doivent satisfaire aux prescriptions pertinentes du Règlement ONU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134</w:t>
            </w:r>
            <w:r w:rsidRPr="009E226F">
              <w:rPr>
                <w:sz w:val="18"/>
                <w:szCs w:val="18"/>
                <w:vertAlign w:val="superscript"/>
                <w:lang w:val="fr-FR"/>
              </w:rPr>
              <w:t>9</w:t>
            </w:r>
            <w:r w:rsidRPr="00762380">
              <w:rPr>
                <w:lang w:val="fr-FR"/>
              </w:rPr>
              <w:t>, tel que modifié au minimum par la série 02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amendements. Pour les véhicules utilisant de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 xml:space="preserve">hydrogène liquide, les prescriptions techniques de la [phase 2 du Règlement technique mondial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13</w:t>
            </w:r>
            <w:r w:rsidRPr="009E226F">
              <w:rPr>
                <w:sz w:val="18"/>
                <w:szCs w:val="18"/>
                <w:vertAlign w:val="superscript"/>
                <w:lang w:val="fr-FR"/>
              </w:rPr>
              <w:t>10</w:t>
            </w:r>
            <w:r w:rsidRPr="00762380">
              <w:rPr>
                <w:lang w:val="fr-FR"/>
              </w:rPr>
              <w:t xml:space="preserve"> s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appliquent].</w:t>
            </w:r>
          </w:p>
        </w:tc>
        <w:tc>
          <w:tcPr>
            <w:tcW w:w="3269" w:type="dxa"/>
            <w:shd w:val="clear" w:color="auto" w:fill="auto"/>
          </w:tcPr>
          <w:p w14:paraId="4646355B" w14:textId="7B00A42F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 xml:space="preserve">Après vérification, il apparaît que la référence correcte serait « le Règlement technique mondial </w:t>
            </w:r>
            <w:r w:rsidR="009E226F" w:rsidRPr="009E226F">
              <w:rPr>
                <w:rFonts w:eastAsia="MS Mincho"/>
                <w:szCs w:val="22"/>
                <w:lang w:val="fr-FR"/>
              </w:rPr>
              <w:t>n</w:t>
            </w:r>
            <w:r w:rsidR="009E226F" w:rsidRPr="009E226F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13 (amendement</w:t>
            </w:r>
            <w:r w:rsidR="009E226F">
              <w:rPr>
                <w:lang w:val="fr-FR"/>
              </w:rPr>
              <w:t> </w:t>
            </w:r>
            <w:r w:rsidRPr="00762380">
              <w:rPr>
                <w:lang w:val="fr-FR"/>
              </w:rPr>
              <w:t>1) ». Il est proposé de modifier le libellé de ce passage et de supprimer les crochets.</w:t>
            </w:r>
          </w:p>
        </w:tc>
      </w:tr>
      <w:tr w:rsidR="009E226F" w:rsidRPr="00762380" w14:paraId="41C81B65" w14:textId="77777777" w:rsidTr="009E226F">
        <w:tc>
          <w:tcPr>
            <w:tcW w:w="1246" w:type="dxa"/>
            <w:shd w:val="clear" w:color="auto" w:fill="auto"/>
          </w:tcPr>
          <w:p w14:paraId="721D5F2B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9.2.4.5.3</w:t>
            </w:r>
          </w:p>
        </w:tc>
        <w:tc>
          <w:tcPr>
            <w:tcW w:w="3989" w:type="dxa"/>
            <w:shd w:val="clear" w:color="auto" w:fill="auto"/>
          </w:tcPr>
          <w:p w14:paraId="6BD8DEDE" w14:textId="2BAFFBF4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b)</w:t>
            </w:r>
            <w:r w:rsidRPr="00762380">
              <w:rPr>
                <w:lang w:val="fr-FR"/>
              </w:rPr>
              <w:tab/>
              <w:t>Lors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une décélération de [3,25 m.s</w:t>
            </w:r>
            <w:r w:rsidRPr="00762380">
              <w:rPr>
                <w:vertAlign w:val="superscript"/>
                <w:lang w:val="fr-FR"/>
              </w:rPr>
              <w:t>-2</w:t>
            </w:r>
            <w:r w:rsidRPr="00762380">
              <w:rPr>
                <w:lang w:val="fr-FR"/>
              </w:rPr>
              <w:t xml:space="preserve"> pour 0,7 s] ;</w:t>
            </w:r>
          </w:p>
        </w:tc>
        <w:tc>
          <w:tcPr>
            <w:tcW w:w="3269" w:type="dxa"/>
            <w:shd w:val="clear" w:color="auto" w:fill="auto"/>
          </w:tcPr>
          <w:p w14:paraId="79EADA5D" w14:textId="4E10CFEC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Cette valeur est correcte (voir GRSG</w:t>
            </w:r>
            <w:r w:rsidR="009E226F">
              <w:rPr>
                <w:lang w:val="fr-FR"/>
              </w:rPr>
              <w:noBreakHyphen/>
            </w:r>
            <w:r w:rsidRPr="00762380">
              <w:rPr>
                <w:lang w:val="fr-FR"/>
              </w:rPr>
              <w:t>126-02r1, par. 5.3.1.1). Il est proposé de supprimer les crochets.</w:t>
            </w:r>
          </w:p>
        </w:tc>
      </w:tr>
      <w:tr w:rsidR="009E226F" w:rsidRPr="00762380" w14:paraId="0C8720FC" w14:textId="77777777" w:rsidTr="009E226F"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</w:tcPr>
          <w:p w14:paraId="34CFC40A" w14:textId="77777777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9.2.4</w:t>
            </w:r>
          </w:p>
        </w:tc>
        <w:tc>
          <w:tcPr>
            <w:tcW w:w="3989" w:type="dxa"/>
            <w:tcBorders>
              <w:bottom w:val="single" w:sz="12" w:space="0" w:color="auto"/>
            </w:tcBorders>
            <w:shd w:val="clear" w:color="auto" w:fill="auto"/>
          </w:tcPr>
          <w:p w14:paraId="21A07F03" w14:textId="4F699F71" w:rsidR="00762380" w:rsidRPr="00762380" w:rsidRDefault="00762380" w:rsidP="00762380">
            <w:pPr>
              <w:spacing w:before="40" w:after="120"/>
              <w:ind w:right="113"/>
              <w:rPr>
                <w:lang w:val="fr-FR"/>
              </w:rPr>
            </w:pPr>
            <w:r w:rsidRPr="00762380">
              <w:rPr>
                <w:lang w:val="fr-FR"/>
              </w:rPr>
              <w:t>[Après « GNL », ajouter « et 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hydrogène liquide ».]</w:t>
            </w:r>
          </w:p>
        </w:tc>
        <w:tc>
          <w:tcPr>
            <w:tcW w:w="3269" w:type="dxa"/>
            <w:tcBorders>
              <w:bottom w:val="single" w:sz="12" w:space="0" w:color="auto"/>
            </w:tcBorders>
            <w:shd w:val="clear" w:color="auto" w:fill="auto"/>
          </w:tcPr>
          <w:p w14:paraId="25356597" w14:textId="0165023F" w:rsidR="00762380" w:rsidRPr="00762380" w:rsidRDefault="00762380" w:rsidP="009E226F">
            <w:pPr>
              <w:spacing w:before="40" w:after="120"/>
              <w:rPr>
                <w:lang w:val="fr-FR"/>
              </w:rPr>
            </w:pPr>
            <w:r w:rsidRPr="00762380">
              <w:rPr>
                <w:lang w:val="fr-FR"/>
              </w:rPr>
              <w:t>Le gaz liquéfié peut être très froid et avoir un effet sur le réservoir de chargement. Le GNL et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hydrogène liquide se comporteront de la même manière. Il est proposé d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 xml:space="preserve">ajouter </w:t>
            </w:r>
            <w:r w:rsidR="00454F35">
              <w:rPr>
                <w:lang w:val="fr-FR"/>
              </w:rPr>
              <w:br/>
            </w:r>
            <w:r w:rsidRPr="00762380">
              <w:rPr>
                <w:lang w:val="fr-FR"/>
              </w:rPr>
              <w:t>« et à l</w:t>
            </w:r>
            <w:r>
              <w:rPr>
                <w:lang w:val="fr-FR"/>
              </w:rPr>
              <w:t>’</w:t>
            </w:r>
            <w:r w:rsidRPr="00762380">
              <w:rPr>
                <w:lang w:val="fr-FR"/>
              </w:rPr>
              <w:t>hydrogène liquide » et de supprimer les crochets.</w:t>
            </w:r>
          </w:p>
        </w:tc>
      </w:tr>
    </w:tbl>
    <w:p w14:paraId="2B7C3304" w14:textId="633DF35B" w:rsidR="00762380" w:rsidRPr="006567FE" w:rsidRDefault="00762380" w:rsidP="00762380">
      <w:pPr>
        <w:pStyle w:val="SingleTxtG"/>
        <w:spacing w:before="120"/>
        <w:rPr>
          <w:u w:val="single"/>
          <w:lang w:val="fr-FR"/>
        </w:rPr>
      </w:pPr>
      <w:r w:rsidRPr="006567FE">
        <w:rPr>
          <w:lang w:val="fr-FR"/>
        </w:rPr>
        <w:t>6.</w:t>
      </w:r>
      <w:r w:rsidRPr="006567FE">
        <w:rPr>
          <w:lang w:val="fr-FR"/>
        </w:rPr>
        <w:tab/>
      </w:r>
      <w:r w:rsidRPr="006567FE">
        <w:rPr>
          <w:u w:val="single"/>
          <w:lang w:val="fr-FR"/>
        </w:rPr>
        <w:t xml:space="preserve">Section 2 : </w:t>
      </w:r>
      <w:r w:rsidR="00454F35">
        <w:rPr>
          <w:u w:val="single"/>
          <w:lang w:val="fr-FR"/>
        </w:rPr>
        <w:t>A</w:t>
      </w:r>
      <w:r w:rsidRPr="006567FE">
        <w:rPr>
          <w:u w:val="single"/>
          <w:lang w:val="fr-FR"/>
        </w:rPr>
        <w:t>mendements de conséquence</w:t>
      </w:r>
    </w:p>
    <w:p w14:paraId="56BDFC9D" w14:textId="77777777" w:rsidR="00762380" w:rsidRPr="006567FE" w:rsidRDefault="00762380" w:rsidP="00762380">
      <w:pPr>
        <w:pStyle w:val="SingleTxtG"/>
        <w:ind w:left="2268" w:hanging="1134"/>
        <w:rPr>
          <w:lang w:val="fr-FR"/>
        </w:rPr>
      </w:pPr>
      <w:r w:rsidRPr="006567FE">
        <w:rPr>
          <w:b/>
          <w:bCs/>
          <w:lang w:val="fr-FR"/>
        </w:rPr>
        <w:t>Chapitre 9.2</w:t>
      </w:r>
    </w:p>
    <w:p w14:paraId="5190FCE8" w14:textId="3CE012D1" w:rsidR="00762380" w:rsidRPr="006567FE" w:rsidRDefault="00762380" w:rsidP="009E226F">
      <w:pPr>
        <w:pStyle w:val="SingleTxtG"/>
        <w:ind w:left="2268" w:hanging="1134"/>
        <w:rPr>
          <w:lang w:val="fr-FR"/>
        </w:rPr>
      </w:pPr>
      <w:r w:rsidRPr="006567FE">
        <w:rPr>
          <w:lang w:val="fr-FR"/>
        </w:rPr>
        <w:t>9.2.5.1</w:t>
      </w:r>
      <w:r w:rsidR="009E226F">
        <w:rPr>
          <w:lang w:val="fr-FR"/>
        </w:rPr>
        <w:tab/>
      </w:r>
      <w:r w:rsidRPr="006567FE">
        <w:rPr>
          <w:lang w:val="fr-FR"/>
        </w:rPr>
        <w:t xml:space="preserve">(actuel 9.2.4.8.1) Remplacer </w:t>
      </w:r>
      <w:r w:rsidR="009E226F">
        <w:rPr>
          <w:lang w:val="fr-FR"/>
        </w:rPr>
        <w:t>« </w:t>
      </w:r>
      <w:r w:rsidRPr="006567FE">
        <w:rPr>
          <w:lang w:val="fr-FR"/>
        </w:rPr>
        <w:t>9.2.4.8.2 à 9.2.4.8.6</w:t>
      </w:r>
      <w:r w:rsidR="009E226F">
        <w:rPr>
          <w:lang w:val="fr-FR"/>
        </w:rPr>
        <w:t> »</w:t>
      </w:r>
      <w:r w:rsidRPr="006567FE">
        <w:rPr>
          <w:lang w:val="fr-FR"/>
        </w:rPr>
        <w:t xml:space="preserve"> par </w:t>
      </w:r>
      <w:r w:rsidR="009E226F">
        <w:rPr>
          <w:lang w:val="fr-FR"/>
        </w:rPr>
        <w:t>« </w:t>
      </w:r>
      <w:r w:rsidRPr="006567FE">
        <w:rPr>
          <w:lang w:val="fr-FR"/>
        </w:rPr>
        <w:t>9.2.5.2 à 9.2.5.6</w:t>
      </w:r>
      <w:r w:rsidR="009E226F">
        <w:rPr>
          <w:lang w:val="fr-FR"/>
        </w:rPr>
        <w:t> »</w:t>
      </w:r>
      <w:r w:rsidRPr="006567FE">
        <w:rPr>
          <w:lang w:val="fr-FR"/>
        </w:rPr>
        <w:t>.</w:t>
      </w:r>
    </w:p>
    <w:p w14:paraId="4243435F" w14:textId="02E75E21" w:rsidR="00762380" w:rsidRPr="006567FE" w:rsidRDefault="00762380" w:rsidP="00762380">
      <w:pPr>
        <w:pStyle w:val="SingleTxtG"/>
        <w:ind w:left="2268" w:hanging="1134"/>
        <w:rPr>
          <w:lang w:val="fr-FR"/>
        </w:rPr>
      </w:pPr>
      <w:r w:rsidRPr="006567FE">
        <w:rPr>
          <w:lang w:val="fr-FR"/>
        </w:rPr>
        <w:t>9.2.5.2</w:t>
      </w:r>
      <w:r w:rsidR="009E226F">
        <w:rPr>
          <w:lang w:val="fr-FR"/>
        </w:rPr>
        <w:tab/>
      </w:r>
      <w:r w:rsidRPr="006567FE">
        <w:rPr>
          <w:lang w:val="fr-FR"/>
        </w:rPr>
        <w:t xml:space="preserve">(actuel 9.2.4.8.2) Remplacer </w:t>
      </w:r>
      <w:r w:rsidR="009E226F">
        <w:rPr>
          <w:lang w:val="fr-FR"/>
        </w:rPr>
        <w:t>« </w:t>
      </w:r>
      <w:r w:rsidRPr="006567FE">
        <w:rPr>
          <w:lang w:val="fr-FR"/>
        </w:rPr>
        <w:t>9.2.4.3 et 9.2.4.5</w:t>
      </w:r>
      <w:r w:rsidR="009E226F">
        <w:rPr>
          <w:lang w:val="fr-FR"/>
        </w:rPr>
        <w:t> »</w:t>
      </w:r>
      <w:r w:rsidRPr="006567FE">
        <w:rPr>
          <w:lang w:val="fr-FR"/>
        </w:rPr>
        <w:t xml:space="preserve"> par </w:t>
      </w:r>
      <w:r w:rsidR="009E226F">
        <w:rPr>
          <w:lang w:val="fr-FR"/>
        </w:rPr>
        <w:t>« </w:t>
      </w:r>
      <w:r w:rsidRPr="006567FE">
        <w:rPr>
          <w:lang w:val="fr-FR"/>
        </w:rPr>
        <w:t>9.2.4.2 et 9.2.4.3.2</w:t>
      </w:r>
      <w:r w:rsidR="009E226F">
        <w:rPr>
          <w:lang w:val="fr-FR"/>
        </w:rPr>
        <w:t> »</w:t>
      </w:r>
      <w:r w:rsidRPr="006567FE">
        <w:rPr>
          <w:lang w:val="fr-FR"/>
        </w:rPr>
        <w:t>.</w:t>
      </w:r>
    </w:p>
    <w:p w14:paraId="297C6D5A" w14:textId="2DD009C4" w:rsidR="00762380" w:rsidRPr="006567FE" w:rsidRDefault="00762380" w:rsidP="00762380">
      <w:pPr>
        <w:pStyle w:val="SingleTxtG"/>
        <w:ind w:left="2268" w:hanging="1134"/>
        <w:rPr>
          <w:lang w:val="fr-FR"/>
        </w:rPr>
      </w:pPr>
      <w:r w:rsidRPr="006567FE">
        <w:rPr>
          <w:lang w:val="fr-FR"/>
        </w:rPr>
        <w:t>9.2.5.4</w:t>
      </w:r>
      <w:r w:rsidR="009E226F">
        <w:rPr>
          <w:lang w:val="fr-FR"/>
        </w:rPr>
        <w:tab/>
      </w:r>
      <w:r w:rsidRPr="006567FE">
        <w:rPr>
          <w:lang w:val="fr-FR"/>
        </w:rPr>
        <w:t xml:space="preserve">(actuel 9.2.4.8.4) Dans la première phrase, remplacer </w:t>
      </w:r>
      <w:r w:rsidR="009E226F">
        <w:rPr>
          <w:lang w:val="fr-FR"/>
        </w:rPr>
        <w:t>« </w:t>
      </w:r>
      <w:r w:rsidRPr="006567FE">
        <w:rPr>
          <w:lang w:val="fr-FR"/>
        </w:rPr>
        <w:t>9.2.4.8.3 b) et c)</w:t>
      </w:r>
      <w:r w:rsidR="009E226F">
        <w:rPr>
          <w:lang w:val="fr-FR"/>
        </w:rPr>
        <w:t> »</w:t>
      </w:r>
      <w:r w:rsidRPr="006567FE">
        <w:rPr>
          <w:lang w:val="fr-FR"/>
        </w:rPr>
        <w:t xml:space="preserve"> par</w:t>
      </w:r>
      <w:r>
        <w:rPr>
          <w:lang w:val="fr-FR"/>
        </w:rPr>
        <w:t xml:space="preserve"> </w:t>
      </w:r>
      <w:r w:rsidR="009E226F">
        <w:rPr>
          <w:lang w:val="fr-FR"/>
        </w:rPr>
        <w:t>« </w:t>
      </w:r>
      <w:r w:rsidRPr="006567FE">
        <w:rPr>
          <w:lang w:val="fr-FR"/>
        </w:rPr>
        <w:t>9.2.5.3 b) et c)</w:t>
      </w:r>
      <w:r w:rsidR="009E226F">
        <w:rPr>
          <w:lang w:val="fr-FR"/>
        </w:rPr>
        <w:t> »</w:t>
      </w:r>
      <w:r w:rsidRPr="006567FE">
        <w:rPr>
          <w:lang w:val="fr-FR"/>
        </w:rPr>
        <w:t>.</w:t>
      </w:r>
    </w:p>
    <w:p w14:paraId="257BE75E" w14:textId="749B70B1" w:rsidR="00762380" w:rsidRPr="006567FE" w:rsidRDefault="00762380" w:rsidP="00762380">
      <w:pPr>
        <w:pStyle w:val="SingleTxtG"/>
        <w:ind w:left="2268" w:hanging="1134"/>
        <w:rPr>
          <w:b/>
          <w:bCs/>
          <w:lang w:val="fr-FR"/>
        </w:rPr>
      </w:pPr>
      <w:r w:rsidRPr="006567FE">
        <w:rPr>
          <w:b/>
          <w:bCs/>
          <w:lang w:val="fr-FR"/>
        </w:rPr>
        <w:t>C</w:t>
      </w:r>
      <w:r w:rsidR="009E226F">
        <w:rPr>
          <w:b/>
          <w:bCs/>
          <w:lang w:val="fr-FR"/>
        </w:rPr>
        <w:t>hapitre</w:t>
      </w:r>
      <w:r w:rsidRPr="006567FE">
        <w:rPr>
          <w:b/>
          <w:bCs/>
          <w:lang w:val="fr-FR"/>
        </w:rPr>
        <w:t xml:space="preserve"> 9.3</w:t>
      </w:r>
    </w:p>
    <w:p w14:paraId="1D67DA8A" w14:textId="7600C15E" w:rsidR="00762380" w:rsidRPr="006567FE" w:rsidRDefault="00762380" w:rsidP="00762380">
      <w:pPr>
        <w:pStyle w:val="SingleTxtG"/>
        <w:ind w:left="2268" w:hanging="1134"/>
        <w:rPr>
          <w:lang w:val="fr-FR"/>
        </w:rPr>
      </w:pPr>
      <w:r w:rsidRPr="006567FE">
        <w:rPr>
          <w:lang w:val="fr-FR"/>
        </w:rPr>
        <w:t>9.3.2.2</w:t>
      </w:r>
      <w:r w:rsidR="009E226F">
        <w:rPr>
          <w:lang w:val="fr-FR"/>
        </w:rPr>
        <w:tab/>
      </w:r>
      <w:r w:rsidRPr="006567FE">
        <w:rPr>
          <w:lang w:val="fr-FR"/>
        </w:rPr>
        <w:t xml:space="preserve">Remplacer </w:t>
      </w:r>
      <w:r w:rsidR="009E226F">
        <w:rPr>
          <w:lang w:val="fr-FR"/>
        </w:rPr>
        <w:t>« </w:t>
      </w:r>
      <w:r w:rsidRPr="006567FE">
        <w:rPr>
          <w:lang w:val="fr-FR"/>
        </w:rPr>
        <w:t>9.2.4.8.1, 9.2.4.8.2, 9.2.4.8.5 et 9.2.4.8.6</w:t>
      </w:r>
      <w:r w:rsidR="009E226F">
        <w:rPr>
          <w:lang w:val="fr-FR"/>
        </w:rPr>
        <w:t> »</w:t>
      </w:r>
      <w:r w:rsidRPr="006567FE">
        <w:rPr>
          <w:lang w:val="fr-FR"/>
        </w:rPr>
        <w:t xml:space="preserve"> par </w:t>
      </w:r>
      <w:r w:rsidR="009E226F">
        <w:rPr>
          <w:lang w:val="fr-FR"/>
        </w:rPr>
        <w:t>« </w:t>
      </w:r>
      <w:r w:rsidRPr="006567FE">
        <w:rPr>
          <w:lang w:val="fr-FR"/>
        </w:rPr>
        <w:t>9.2.5.1, 9.2.5.2, 9.2.5.5 et 9.2.5.6</w:t>
      </w:r>
      <w:r w:rsidR="009E226F">
        <w:rPr>
          <w:lang w:val="fr-FR"/>
        </w:rPr>
        <w:t> »</w:t>
      </w:r>
      <w:r w:rsidRPr="006567FE">
        <w:rPr>
          <w:lang w:val="fr-FR"/>
        </w:rPr>
        <w:t>.</w:t>
      </w:r>
    </w:p>
    <w:p w14:paraId="3437AE5C" w14:textId="77777777" w:rsidR="00762380" w:rsidRPr="006567FE" w:rsidRDefault="00762380" w:rsidP="00762380">
      <w:pPr>
        <w:pStyle w:val="SingleTxtG"/>
        <w:ind w:left="2268" w:hanging="1134"/>
        <w:rPr>
          <w:b/>
          <w:bCs/>
          <w:lang w:val="fr-FR"/>
        </w:rPr>
      </w:pPr>
      <w:r w:rsidRPr="006567FE">
        <w:rPr>
          <w:b/>
          <w:bCs/>
          <w:lang w:val="fr-FR"/>
        </w:rPr>
        <w:t>Chapitre 9.7</w:t>
      </w:r>
    </w:p>
    <w:p w14:paraId="5728CB2C" w14:textId="308973B3" w:rsidR="00762380" w:rsidRPr="006567FE" w:rsidRDefault="00762380" w:rsidP="00762380">
      <w:pPr>
        <w:pStyle w:val="SingleTxtG"/>
        <w:ind w:left="2268" w:hanging="1134"/>
        <w:rPr>
          <w:lang w:val="fr-FR"/>
        </w:rPr>
      </w:pPr>
      <w:r w:rsidRPr="006567FE">
        <w:rPr>
          <w:lang w:val="fr-FR"/>
        </w:rPr>
        <w:t>9.7.7.1</w:t>
      </w:r>
      <w:r w:rsidR="009E226F">
        <w:rPr>
          <w:lang w:val="fr-FR"/>
        </w:rPr>
        <w:tab/>
      </w:r>
      <w:r w:rsidRPr="006567FE">
        <w:rPr>
          <w:lang w:val="fr-FR"/>
        </w:rPr>
        <w:t xml:space="preserve">Au premier paragraphe, remplacer </w:t>
      </w:r>
      <w:r w:rsidR="009E226F">
        <w:rPr>
          <w:lang w:val="fr-FR"/>
        </w:rPr>
        <w:t>« </w:t>
      </w:r>
      <w:r w:rsidRPr="006567FE">
        <w:rPr>
          <w:lang w:val="fr-FR"/>
        </w:rPr>
        <w:t>9.2.4.8.1, 9.2.4.8.2, 9.2.4.8.5</w:t>
      </w:r>
      <w:r w:rsidR="009E226F">
        <w:rPr>
          <w:lang w:val="fr-FR"/>
        </w:rPr>
        <w:t> »</w:t>
      </w:r>
      <w:r w:rsidRPr="006567FE">
        <w:rPr>
          <w:lang w:val="fr-FR"/>
        </w:rPr>
        <w:t xml:space="preserve"> par </w:t>
      </w:r>
      <w:r w:rsidR="009E226F">
        <w:rPr>
          <w:lang w:val="fr-FR"/>
        </w:rPr>
        <w:t>« </w:t>
      </w:r>
      <w:r w:rsidRPr="006567FE">
        <w:rPr>
          <w:lang w:val="fr-FR"/>
        </w:rPr>
        <w:t>9.2.5.1, 9.2.5.2, 9.2.5.5</w:t>
      </w:r>
      <w:r w:rsidR="009E226F">
        <w:rPr>
          <w:lang w:val="fr-FR"/>
        </w:rPr>
        <w:t> »</w:t>
      </w:r>
      <w:r w:rsidRPr="006567FE">
        <w:rPr>
          <w:lang w:val="fr-FR"/>
        </w:rPr>
        <w:t>.</w:t>
      </w:r>
    </w:p>
    <w:p w14:paraId="53074953" w14:textId="6385B3D4" w:rsidR="00762380" w:rsidRPr="006567FE" w:rsidRDefault="00762380" w:rsidP="00762380">
      <w:pPr>
        <w:pStyle w:val="SingleTxtG"/>
        <w:ind w:left="2268"/>
        <w:rPr>
          <w:lang w:val="fr-FR"/>
        </w:rPr>
      </w:pPr>
      <w:r w:rsidRPr="006567FE">
        <w:rPr>
          <w:lang w:val="fr-FR"/>
        </w:rPr>
        <w:t xml:space="preserve">Au deuxième paragraphe, remplacer </w:t>
      </w:r>
      <w:r w:rsidR="009E226F">
        <w:rPr>
          <w:lang w:val="fr-FR"/>
        </w:rPr>
        <w:t>« </w:t>
      </w:r>
      <w:r w:rsidRPr="006567FE">
        <w:rPr>
          <w:lang w:val="fr-FR"/>
        </w:rPr>
        <w:t>9.2.4.8.3 et 9.2.4.8.4</w:t>
      </w:r>
      <w:r w:rsidR="009E226F">
        <w:rPr>
          <w:lang w:val="fr-FR"/>
        </w:rPr>
        <w:t> »</w:t>
      </w:r>
      <w:r w:rsidRPr="006567FE">
        <w:rPr>
          <w:lang w:val="fr-FR"/>
        </w:rPr>
        <w:t xml:space="preserve"> par </w:t>
      </w:r>
      <w:r w:rsidR="009E226F">
        <w:rPr>
          <w:lang w:val="fr-FR"/>
        </w:rPr>
        <w:t>« </w:t>
      </w:r>
      <w:r w:rsidRPr="006567FE">
        <w:rPr>
          <w:lang w:val="fr-FR"/>
        </w:rPr>
        <w:t>9.2.5.3 et 9.2.5.4</w:t>
      </w:r>
      <w:r w:rsidR="009E226F">
        <w:rPr>
          <w:lang w:val="fr-FR"/>
        </w:rPr>
        <w:t> »</w:t>
      </w:r>
      <w:r w:rsidRPr="006567FE">
        <w:rPr>
          <w:lang w:val="fr-FR"/>
        </w:rPr>
        <w:t>.</w:t>
      </w:r>
    </w:p>
    <w:p w14:paraId="5994D609" w14:textId="77777777" w:rsidR="00762380" w:rsidRPr="006567FE" w:rsidRDefault="00762380" w:rsidP="00762380">
      <w:pPr>
        <w:pStyle w:val="SingleTxtG"/>
        <w:ind w:left="2268" w:hanging="1134"/>
        <w:rPr>
          <w:b/>
          <w:bCs/>
          <w:lang w:val="fr-FR"/>
        </w:rPr>
      </w:pPr>
      <w:r w:rsidRPr="006567FE">
        <w:rPr>
          <w:b/>
          <w:bCs/>
          <w:lang w:val="fr-FR"/>
        </w:rPr>
        <w:lastRenderedPageBreak/>
        <w:t>Chapitre 9.8</w:t>
      </w:r>
    </w:p>
    <w:p w14:paraId="67F4B406" w14:textId="6017BF1E" w:rsidR="00762380" w:rsidRDefault="00762380" w:rsidP="009E226F">
      <w:pPr>
        <w:pStyle w:val="SingleTxtG"/>
        <w:ind w:left="2268" w:hanging="1134"/>
        <w:rPr>
          <w:lang w:val="fr-FR"/>
        </w:rPr>
      </w:pPr>
      <w:r w:rsidRPr="006567FE">
        <w:rPr>
          <w:lang w:val="fr-FR"/>
        </w:rPr>
        <w:t>9.8.6.1</w:t>
      </w:r>
      <w:r w:rsidR="009E226F">
        <w:rPr>
          <w:lang w:val="fr-FR"/>
        </w:rPr>
        <w:tab/>
      </w:r>
      <w:r w:rsidR="009E226F">
        <w:rPr>
          <w:lang w:val="fr-FR"/>
        </w:rPr>
        <w:tab/>
      </w:r>
      <w:r w:rsidRPr="006567FE">
        <w:rPr>
          <w:lang w:val="fr-FR"/>
        </w:rPr>
        <w:t xml:space="preserve">Remplacer </w:t>
      </w:r>
      <w:r w:rsidR="009E226F">
        <w:rPr>
          <w:lang w:val="fr-FR"/>
        </w:rPr>
        <w:t>« </w:t>
      </w:r>
      <w:r w:rsidRPr="006567FE">
        <w:rPr>
          <w:lang w:val="fr-FR"/>
        </w:rPr>
        <w:t>9.2.4.8.1, 9.2.4.8.2, 9.2.4.8.5, 9.2.4.8.6</w:t>
      </w:r>
      <w:r w:rsidR="009E226F">
        <w:rPr>
          <w:lang w:val="fr-FR"/>
        </w:rPr>
        <w:t> »</w:t>
      </w:r>
      <w:r w:rsidRPr="006567FE">
        <w:rPr>
          <w:lang w:val="fr-FR"/>
        </w:rPr>
        <w:t xml:space="preserve"> par </w:t>
      </w:r>
      <w:r w:rsidR="009E226F">
        <w:rPr>
          <w:lang w:val="fr-FR"/>
        </w:rPr>
        <w:t>« </w:t>
      </w:r>
      <w:r w:rsidRPr="006567FE">
        <w:rPr>
          <w:lang w:val="fr-FR"/>
        </w:rPr>
        <w:t>9.2.5.1, 9.2.5.2, 9.2.5.5, 9.2.5.6</w:t>
      </w:r>
      <w:r w:rsidR="009E226F">
        <w:rPr>
          <w:lang w:val="fr-FR"/>
        </w:rPr>
        <w:t> »</w:t>
      </w:r>
      <w:r w:rsidRPr="006567FE">
        <w:rPr>
          <w:lang w:val="fr-FR"/>
        </w:rPr>
        <w:t>.</w:t>
      </w:r>
    </w:p>
    <w:p w14:paraId="7ACCBFCE" w14:textId="307800A7" w:rsidR="00762380" w:rsidRPr="00762380" w:rsidRDefault="00762380" w:rsidP="00762380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62380" w:rsidRPr="00762380" w:rsidSect="0076238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A337" w14:textId="77777777" w:rsidR="00C2240B" w:rsidRDefault="00C2240B" w:rsidP="00F95C08">
      <w:pPr>
        <w:spacing w:line="240" w:lineRule="auto"/>
      </w:pPr>
    </w:p>
  </w:endnote>
  <w:endnote w:type="continuationSeparator" w:id="0">
    <w:p w14:paraId="1321F857" w14:textId="77777777" w:rsidR="00C2240B" w:rsidRPr="00AC3823" w:rsidRDefault="00C2240B" w:rsidP="00AC3823">
      <w:pPr>
        <w:pStyle w:val="Pieddepage"/>
      </w:pPr>
    </w:p>
  </w:endnote>
  <w:endnote w:type="continuationNotice" w:id="1">
    <w:p w14:paraId="65B18A04" w14:textId="77777777" w:rsidR="00C2240B" w:rsidRDefault="00C224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1640" w14:textId="53A0088C" w:rsidR="00762380" w:rsidRPr="00762380" w:rsidRDefault="00762380" w:rsidP="00762380">
    <w:pPr>
      <w:pStyle w:val="Pieddepage"/>
      <w:tabs>
        <w:tab w:val="right" w:pos="9638"/>
      </w:tabs>
    </w:pPr>
    <w:r w:rsidRPr="00762380">
      <w:rPr>
        <w:b/>
        <w:sz w:val="18"/>
      </w:rPr>
      <w:fldChar w:fldCharType="begin"/>
    </w:r>
    <w:r w:rsidRPr="00762380">
      <w:rPr>
        <w:b/>
        <w:sz w:val="18"/>
      </w:rPr>
      <w:instrText xml:space="preserve"> PAGE  \* MERGEFORMAT </w:instrText>
    </w:r>
    <w:r w:rsidRPr="00762380">
      <w:rPr>
        <w:b/>
        <w:sz w:val="18"/>
      </w:rPr>
      <w:fldChar w:fldCharType="separate"/>
    </w:r>
    <w:r w:rsidRPr="00762380">
      <w:rPr>
        <w:b/>
        <w:noProof/>
        <w:sz w:val="18"/>
      </w:rPr>
      <w:t>2</w:t>
    </w:r>
    <w:r w:rsidRPr="00762380">
      <w:rPr>
        <w:b/>
        <w:sz w:val="18"/>
      </w:rPr>
      <w:fldChar w:fldCharType="end"/>
    </w:r>
    <w:r>
      <w:rPr>
        <w:b/>
        <w:sz w:val="18"/>
      </w:rPr>
      <w:tab/>
    </w:r>
    <w:r>
      <w:t>GE.24-00634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0687" w14:textId="793DCD24" w:rsidR="00762380" w:rsidRPr="00762380" w:rsidRDefault="00762380" w:rsidP="00762380">
    <w:pPr>
      <w:pStyle w:val="Pieddepage"/>
      <w:tabs>
        <w:tab w:val="right" w:pos="9638"/>
      </w:tabs>
      <w:rPr>
        <w:b/>
        <w:sz w:val="18"/>
      </w:rPr>
    </w:pPr>
    <w:r>
      <w:t>GE.24-00634</w:t>
    </w:r>
    <w:r>
      <w:tab/>
    </w:r>
    <w:r w:rsidRPr="00762380">
      <w:rPr>
        <w:b/>
        <w:sz w:val="18"/>
      </w:rPr>
      <w:fldChar w:fldCharType="begin"/>
    </w:r>
    <w:r w:rsidRPr="00762380">
      <w:rPr>
        <w:b/>
        <w:sz w:val="18"/>
      </w:rPr>
      <w:instrText xml:space="preserve"> PAGE  \* MERGEFORMAT </w:instrText>
    </w:r>
    <w:r w:rsidRPr="00762380">
      <w:rPr>
        <w:b/>
        <w:sz w:val="18"/>
      </w:rPr>
      <w:fldChar w:fldCharType="separate"/>
    </w:r>
    <w:r w:rsidRPr="00762380">
      <w:rPr>
        <w:b/>
        <w:noProof/>
        <w:sz w:val="18"/>
      </w:rPr>
      <w:t>3</w:t>
    </w:r>
    <w:r w:rsidRPr="0076238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E13B" w14:textId="397006F4" w:rsidR="007F20FA" w:rsidRPr="00762380" w:rsidRDefault="00762380" w:rsidP="00762380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62171235" wp14:editId="60DCD34C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24-00634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3ED552A" wp14:editId="1D70F52E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849214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130224    130224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7026" w14:textId="77777777" w:rsidR="00C2240B" w:rsidRPr="00AC3823" w:rsidRDefault="00C2240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80CBC9D" w14:textId="77777777" w:rsidR="00C2240B" w:rsidRPr="00AC3823" w:rsidRDefault="00C2240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82F190C" w14:textId="77777777" w:rsidR="00C2240B" w:rsidRPr="00AC3823" w:rsidRDefault="00C2240B">
      <w:pPr>
        <w:spacing w:line="240" w:lineRule="auto"/>
        <w:rPr>
          <w:sz w:val="2"/>
          <w:szCs w:val="2"/>
        </w:rPr>
      </w:pPr>
    </w:p>
  </w:footnote>
  <w:footnote w:id="2">
    <w:p w14:paraId="2C19C405" w14:textId="77777777" w:rsidR="00762380" w:rsidRPr="00763EB1" w:rsidRDefault="00762380" w:rsidP="00762380">
      <w:pPr>
        <w:pStyle w:val="Notedebasdepage"/>
      </w:pPr>
      <w:r>
        <w:rPr>
          <w:lang w:val="fr-FR"/>
        </w:rPr>
        <w:tab/>
      </w:r>
      <w:r w:rsidRPr="00762380">
        <w:rPr>
          <w:sz w:val="20"/>
          <w:lang w:val="fr-FR"/>
        </w:rPr>
        <w:t>*</w:t>
      </w:r>
      <w:r>
        <w:rPr>
          <w:lang w:val="fr-FR"/>
        </w:rPr>
        <w:tab/>
      </w:r>
      <w:r>
        <w:rPr>
          <w:lang w:val="fr-FR"/>
        </w:rPr>
        <w:tab/>
        <w:t>A/78/6 (Sect. 20),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1FB1" w14:textId="41F553FB" w:rsidR="00762380" w:rsidRPr="00762380" w:rsidRDefault="00762380">
    <w:pPr>
      <w:pStyle w:val="En-tte"/>
    </w:pPr>
    <w:fldSimple w:instr=" TITLE  \* MERGEFORMAT ">
      <w:r>
        <w:t>ECE/TRANS/WP.15/2024/8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16CF" w14:textId="4F02CC72" w:rsidR="00762380" w:rsidRPr="00762380" w:rsidRDefault="00762380" w:rsidP="00762380">
    <w:pPr>
      <w:pStyle w:val="En-tte"/>
      <w:jc w:val="right"/>
    </w:pPr>
    <w:fldSimple w:instr=" TITLE  \* MERGEFORMAT ">
      <w:r>
        <w:t>ECE/TRANS/WP.15/2024/8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51483920">
    <w:abstractNumId w:val="12"/>
  </w:num>
  <w:num w:numId="2" w16cid:durableId="1107457691">
    <w:abstractNumId w:val="11"/>
  </w:num>
  <w:num w:numId="3" w16cid:durableId="1337073418">
    <w:abstractNumId w:val="10"/>
  </w:num>
  <w:num w:numId="4" w16cid:durableId="1788115232">
    <w:abstractNumId w:val="8"/>
  </w:num>
  <w:num w:numId="5" w16cid:durableId="1254777967">
    <w:abstractNumId w:val="3"/>
  </w:num>
  <w:num w:numId="6" w16cid:durableId="667053832">
    <w:abstractNumId w:val="2"/>
  </w:num>
  <w:num w:numId="7" w16cid:durableId="1947497009">
    <w:abstractNumId w:val="1"/>
  </w:num>
  <w:num w:numId="8" w16cid:durableId="1174490432">
    <w:abstractNumId w:val="0"/>
  </w:num>
  <w:num w:numId="9" w16cid:durableId="275330183">
    <w:abstractNumId w:val="9"/>
  </w:num>
  <w:num w:numId="10" w16cid:durableId="347685697">
    <w:abstractNumId w:val="7"/>
  </w:num>
  <w:num w:numId="11" w16cid:durableId="694159297">
    <w:abstractNumId w:val="6"/>
  </w:num>
  <w:num w:numId="12" w16cid:durableId="1317223275">
    <w:abstractNumId w:val="5"/>
  </w:num>
  <w:num w:numId="13" w16cid:durableId="851994152">
    <w:abstractNumId w:val="4"/>
  </w:num>
  <w:num w:numId="14" w16cid:durableId="906035521">
    <w:abstractNumId w:val="12"/>
  </w:num>
  <w:num w:numId="15" w16cid:durableId="1450009383">
    <w:abstractNumId w:val="11"/>
  </w:num>
  <w:num w:numId="16" w16cid:durableId="1956911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0B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2F6274"/>
    <w:rsid w:val="00305801"/>
    <w:rsid w:val="003916DE"/>
    <w:rsid w:val="00421996"/>
    <w:rsid w:val="00441C3B"/>
    <w:rsid w:val="00446FE5"/>
    <w:rsid w:val="00452396"/>
    <w:rsid w:val="00454F35"/>
    <w:rsid w:val="00477EB2"/>
    <w:rsid w:val="004837D8"/>
    <w:rsid w:val="004E2EED"/>
    <w:rsid w:val="004E468C"/>
    <w:rsid w:val="00537DEA"/>
    <w:rsid w:val="005505B7"/>
    <w:rsid w:val="005712EF"/>
    <w:rsid w:val="00573BE5"/>
    <w:rsid w:val="00586ED3"/>
    <w:rsid w:val="00596AA9"/>
    <w:rsid w:val="005C2116"/>
    <w:rsid w:val="0071601D"/>
    <w:rsid w:val="00762380"/>
    <w:rsid w:val="007A62E6"/>
    <w:rsid w:val="007F20FA"/>
    <w:rsid w:val="0080684C"/>
    <w:rsid w:val="00871C75"/>
    <w:rsid w:val="008776DC"/>
    <w:rsid w:val="008D5EF9"/>
    <w:rsid w:val="008E190B"/>
    <w:rsid w:val="009446C0"/>
    <w:rsid w:val="009705C8"/>
    <w:rsid w:val="009C1CF4"/>
    <w:rsid w:val="009E226F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2240B"/>
    <w:rsid w:val="00C97039"/>
    <w:rsid w:val="00D17A2C"/>
    <w:rsid w:val="00D3439C"/>
    <w:rsid w:val="00D7622E"/>
    <w:rsid w:val="00DB1831"/>
    <w:rsid w:val="00DD3BFD"/>
    <w:rsid w:val="00DF6678"/>
    <w:rsid w:val="00E0299A"/>
    <w:rsid w:val="00E32FB2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DBB00"/>
  <w15:docId w15:val="{395D83EF-FF06-4237-80E0-FFF36BF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Footnote Reference/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uiPriority w:val="39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76238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762380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paragraph" w:styleId="Rvision">
    <w:name w:val="Revision"/>
    <w:hidden/>
    <w:uiPriority w:val="99"/>
    <w:semiHidden/>
    <w:rsid w:val="009E226F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FC387-3C06-45C3-A300-D49BAD3F8D0F}"/>
</file>

<file path=customXml/itemProps2.xml><?xml version="1.0" encoding="utf-8"?>
<ds:datastoreItem xmlns:ds="http://schemas.openxmlformats.org/officeDocument/2006/customXml" ds:itemID="{6139CF67-BFEA-447F-8870-5EEB3AEADBF2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4</Pages>
  <Words>1179</Words>
  <Characters>8256</Characters>
  <Application>Microsoft Office Word</Application>
  <DocSecurity>0</DocSecurity>
  <Lines>688</Lines>
  <Paragraphs>377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ECE/TRANS/WP.15/2024/8</vt:lpstr>
    </vt:vector>
  </TitlesOfParts>
  <Company>DCM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ECE/TRANS/WP.15/2024/8</dc:title>
  <dc:subject/>
  <dc:creator>Corinne ROBERT</dc:creator>
  <cp:keywords/>
  <cp:lastModifiedBy>Corinne Robert</cp:lastModifiedBy>
  <cp:revision>2</cp:revision>
  <cp:lastPrinted>2014-05-14T10:59:00Z</cp:lastPrinted>
  <dcterms:created xsi:type="dcterms:W3CDTF">2024-02-13T14:00:00Z</dcterms:created>
  <dcterms:modified xsi:type="dcterms:W3CDTF">2024-02-13T14:00:00Z</dcterms:modified>
</cp:coreProperties>
</file>