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4EE30A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30E5B61" w14:textId="77777777" w:rsidR="002D5AAC" w:rsidRDefault="002D5AAC" w:rsidP="00EF65C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8D453E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4A2CF0E" w14:textId="1769AD32" w:rsidR="002D5AAC" w:rsidRDefault="00EF65C6" w:rsidP="00EF65C6">
            <w:pPr>
              <w:jc w:val="right"/>
            </w:pPr>
            <w:r w:rsidRPr="00EF65C6">
              <w:rPr>
                <w:sz w:val="40"/>
              </w:rPr>
              <w:t>ECE</w:t>
            </w:r>
            <w:r>
              <w:t>/TRANS/WP.29/GRSG/2024/25</w:t>
            </w:r>
          </w:p>
        </w:tc>
      </w:tr>
      <w:tr w:rsidR="002D5AAC" w14:paraId="3E948E5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CCD46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988529" wp14:editId="2C394D6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FE331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E68BB0E" w14:textId="77777777" w:rsidR="002D5AAC" w:rsidRDefault="00EF65C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DD22C7C" w14:textId="77777777" w:rsidR="00EF65C6" w:rsidRDefault="00EF65C6" w:rsidP="00EF65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January 2024</w:t>
            </w:r>
          </w:p>
          <w:p w14:paraId="0B910923" w14:textId="77777777" w:rsidR="00EF65C6" w:rsidRDefault="00EF65C6" w:rsidP="00EF65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EF9C202" w14:textId="7B77340C" w:rsidR="00EF65C6" w:rsidRPr="008D53B6" w:rsidRDefault="00EF65C6" w:rsidP="00EF65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4262BC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77AF99D" w14:textId="77777777" w:rsidR="00EF65C6" w:rsidRPr="008D1C55" w:rsidRDefault="00EF65C6" w:rsidP="00EF65C6">
      <w:pPr>
        <w:spacing w:before="120"/>
        <w:rPr>
          <w:sz w:val="28"/>
          <w:szCs w:val="28"/>
        </w:rPr>
      </w:pPr>
      <w:r w:rsidRPr="008D1C55">
        <w:rPr>
          <w:sz w:val="28"/>
          <w:szCs w:val="28"/>
        </w:rPr>
        <w:t>Комитет по внутреннему транспорту</w:t>
      </w:r>
    </w:p>
    <w:p w14:paraId="33C6C3AB" w14:textId="77777777" w:rsidR="00EF65C6" w:rsidRPr="008D1C55" w:rsidRDefault="00EF65C6" w:rsidP="00EF65C6">
      <w:pPr>
        <w:spacing w:before="120"/>
        <w:rPr>
          <w:b/>
          <w:sz w:val="24"/>
          <w:szCs w:val="24"/>
        </w:rPr>
      </w:pPr>
      <w:r w:rsidRPr="008D1C55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8D1C55">
        <w:rPr>
          <w:b/>
          <w:bCs/>
          <w:sz w:val="24"/>
          <w:szCs w:val="24"/>
        </w:rPr>
        <w:br/>
        <w:t>в области транспортных средств</w:t>
      </w:r>
    </w:p>
    <w:p w14:paraId="6B4D4379" w14:textId="77777777" w:rsidR="00EF65C6" w:rsidRPr="008D1C55" w:rsidRDefault="00EF65C6" w:rsidP="00EF65C6">
      <w:pPr>
        <w:spacing w:before="120"/>
        <w:ind w:right="4961"/>
        <w:rPr>
          <w:b/>
        </w:rPr>
      </w:pPr>
      <w:r w:rsidRPr="008D1C55">
        <w:rPr>
          <w:b/>
        </w:rPr>
        <w:t xml:space="preserve">Рабочая группа по общим предписаниям, </w:t>
      </w:r>
      <w:r w:rsidRPr="008D1C55">
        <w:rPr>
          <w:b/>
          <w:bCs/>
        </w:rPr>
        <w:t>касающимся безопасности</w:t>
      </w:r>
    </w:p>
    <w:p w14:paraId="0E225652" w14:textId="77777777" w:rsidR="00EF65C6" w:rsidRPr="008D1C55" w:rsidRDefault="00EF65C6" w:rsidP="00EF65C6">
      <w:pPr>
        <w:spacing w:before="120"/>
        <w:rPr>
          <w:b/>
        </w:rPr>
      </w:pPr>
      <w:r w:rsidRPr="008D1C55">
        <w:rPr>
          <w:b/>
        </w:rPr>
        <w:t>Сто двадцать седьмая сессия</w:t>
      </w:r>
    </w:p>
    <w:p w14:paraId="565647DA" w14:textId="77777777" w:rsidR="00EF65C6" w:rsidRPr="008D1C55" w:rsidRDefault="00EF65C6" w:rsidP="00EF65C6">
      <w:r w:rsidRPr="008D1C55">
        <w:t>Женева, 15–19 апреля 2024 года</w:t>
      </w:r>
    </w:p>
    <w:p w14:paraId="470F5BA6" w14:textId="77777777" w:rsidR="00EF65C6" w:rsidRPr="008D1C55" w:rsidRDefault="00EF65C6" w:rsidP="00EF65C6">
      <w:r w:rsidRPr="008D1C55">
        <w:t xml:space="preserve">Пункт </w:t>
      </w:r>
      <w:r w:rsidRPr="008D1C55">
        <w:rPr>
          <w:bCs/>
        </w:rPr>
        <w:t>4 d)</w:t>
      </w:r>
      <w:r w:rsidRPr="008D1C55">
        <w:t xml:space="preserve"> предварительной повестки дня</w:t>
      </w:r>
    </w:p>
    <w:p w14:paraId="333BC6E6" w14:textId="77777777" w:rsidR="00EF65C6" w:rsidRPr="008D1C55" w:rsidRDefault="00EF65C6" w:rsidP="00EF65C6">
      <w:pPr>
        <w:ind w:right="4252"/>
        <w:rPr>
          <w:b/>
        </w:rPr>
      </w:pPr>
      <w:r w:rsidRPr="008D1C55">
        <w:rPr>
          <w:b/>
          <w:bCs/>
          <w:shd w:val="clear" w:color="auto" w:fill="FFFFFF"/>
        </w:rPr>
        <w:t>Предупреждение о присутствии уязвимых участников дорожного движения в непосредственной близости:</w:t>
      </w:r>
    </w:p>
    <w:p w14:paraId="174A25FF" w14:textId="77777777" w:rsidR="00EF65C6" w:rsidRPr="008D1C55" w:rsidRDefault="00EF65C6" w:rsidP="00EF65C6">
      <w:pPr>
        <w:ind w:right="3402"/>
        <w:rPr>
          <w:bCs/>
        </w:rPr>
      </w:pPr>
      <w:r w:rsidRPr="008D1C55">
        <w:rPr>
          <w:b/>
          <w:bCs/>
          <w:shd w:val="clear" w:color="auto" w:fill="FFFFFF"/>
        </w:rPr>
        <w:t>Правила № 166 ООН (присутствие уязвимых участников дорожного движения в непосредственной близости спереди и сбоку)</w:t>
      </w:r>
    </w:p>
    <w:p w14:paraId="12A06335" w14:textId="77777777" w:rsidR="00EF65C6" w:rsidRPr="008D1C55" w:rsidRDefault="00EF65C6" w:rsidP="00EF65C6">
      <w:pPr>
        <w:pStyle w:val="HChG"/>
      </w:pPr>
      <w:r w:rsidRPr="008D1C55">
        <w:tab/>
      </w:r>
      <w:r w:rsidRPr="008D1C55">
        <w:tab/>
        <w:t>Предложение по дополнению 4 к первоначальному варианту Правил № 166 ООН (присутствие уязвимых участников дорожного движения в непосредственной близости спереди и сбоку)</w:t>
      </w:r>
    </w:p>
    <w:p w14:paraId="2E0AAB3E" w14:textId="77777777" w:rsidR="00EF65C6" w:rsidRPr="008D1C55" w:rsidRDefault="00EF65C6" w:rsidP="00EF65C6">
      <w:pPr>
        <w:pStyle w:val="H1G"/>
        <w:rPr>
          <w:b w:val="0"/>
        </w:rPr>
      </w:pPr>
      <w:r w:rsidRPr="008D1C55">
        <w:tab/>
      </w:r>
      <w:r w:rsidRPr="008D1C55">
        <w:tab/>
      </w:r>
      <w:bookmarkStart w:id="0" w:name="_Hlk158400186"/>
      <w:r w:rsidRPr="008D1C55">
        <w:rPr>
          <w:szCs w:val="24"/>
        </w:rPr>
        <w:t>Представлено экспертом от Нидерландов</w:t>
      </w:r>
      <w:bookmarkEnd w:id="0"/>
      <w:r w:rsidRPr="00EF65C6">
        <w:rPr>
          <w:b w:val="0"/>
          <w:bCs/>
          <w:sz w:val="20"/>
        </w:rPr>
        <w:footnoteReference w:customMarkFollows="1" w:id="1"/>
        <w:t>*</w:t>
      </w:r>
    </w:p>
    <w:p w14:paraId="6A582BD5" w14:textId="436A4AE0" w:rsidR="00EF65C6" w:rsidRPr="008D1C55" w:rsidRDefault="00EF65C6" w:rsidP="00EF65C6">
      <w:pPr>
        <w:pStyle w:val="SingleTxtG"/>
        <w:rPr>
          <w:b/>
          <w:shd w:val="clear" w:color="auto" w:fill="FFFFFF"/>
        </w:rPr>
      </w:pPr>
      <w:r>
        <w:rPr>
          <w:shd w:val="clear" w:color="auto" w:fill="FFFFFF"/>
        </w:rPr>
        <w:tab/>
      </w:r>
      <w:r w:rsidRPr="008D1C55">
        <w:rPr>
          <w:shd w:val="clear" w:color="auto" w:fill="FFFFFF"/>
        </w:rPr>
        <w:t xml:space="preserve">Воспроизведенный ниже текст был подготовлен экспертом от Нидерландов с целью обновления ссылок на объемный механизм определения точки «H» </w:t>
      </w:r>
      <w:r>
        <w:rPr>
          <w:shd w:val="clear" w:color="auto" w:fill="FFFFFF"/>
        </w:rPr>
        <w:br/>
      </w:r>
      <w:r w:rsidRPr="008D1C55">
        <w:rPr>
          <w:shd w:val="clear" w:color="auto" w:fill="FFFFFF"/>
        </w:rPr>
        <w:t>(механизм 3-D «H») и процедуру его калибровки, которые в настоящее время пересматриваются и переносятся из Сводной резолюции о конструкции транспортных средств (СР.3) в Общую резолюцию № 1 (ОР.1). Изменения к нынешнему тексту Правил № 166 ООН выделены жирным шрифтом в случае новых или зачеркиванием</w:t>
      </w:r>
      <w:r>
        <w:rPr>
          <w:shd w:val="clear" w:color="auto" w:fill="FFFFFF"/>
          <w:lang w:val="en-US"/>
        </w:rPr>
        <w:t> </w:t>
      </w:r>
      <w:r w:rsidRPr="008D1C55">
        <w:rPr>
          <w:shd w:val="clear" w:color="auto" w:fill="FFFFFF"/>
        </w:rPr>
        <w:t>— в случае исключенных элементов.</w:t>
      </w:r>
    </w:p>
    <w:p w14:paraId="53968110" w14:textId="77777777" w:rsidR="00EF65C6" w:rsidRPr="008D1C55" w:rsidRDefault="00EF65C6" w:rsidP="00EF65C6">
      <w:pPr>
        <w:pStyle w:val="HChG"/>
        <w:tabs>
          <w:tab w:val="left" w:pos="8505"/>
        </w:tabs>
        <w:spacing w:before="0" w:after="0" w:line="240" w:lineRule="auto"/>
        <w:ind w:left="0" w:firstLine="0"/>
        <w:jc w:val="lowKashida"/>
        <w:rPr>
          <w:rFonts w:asciiTheme="majorBidi" w:hAnsiTheme="majorBidi" w:cstheme="majorBidi"/>
        </w:rPr>
      </w:pPr>
      <w:r w:rsidRPr="008D1C55">
        <w:rPr>
          <w:rFonts w:asciiTheme="majorBidi" w:hAnsiTheme="majorBidi" w:cstheme="majorBidi"/>
        </w:rPr>
        <w:br w:type="page"/>
      </w:r>
    </w:p>
    <w:p w14:paraId="4FE23839" w14:textId="77777777" w:rsidR="00EF65C6" w:rsidRPr="008D1C55" w:rsidRDefault="00EF65C6" w:rsidP="00EF65C6">
      <w:pPr>
        <w:suppressAutoHyphens w:val="0"/>
        <w:spacing w:line="240" w:lineRule="auto"/>
        <w:rPr>
          <w:rFonts w:eastAsia="MS Mincho"/>
          <w:b/>
          <w:sz w:val="28"/>
          <w:szCs w:val="28"/>
        </w:rPr>
      </w:pPr>
      <w:r w:rsidRPr="008D1C55">
        <w:rPr>
          <w:rFonts w:eastAsia="MS Mincho"/>
          <w:b/>
          <w:sz w:val="28"/>
          <w:szCs w:val="28"/>
        </w:rPr>
        <w:lastRenderedPageBreak/>
        <w:tab/>
        <w:t>I.</w:t>
      </w:r>
      <w:r w:rsidRPr="008D1C55">
        <w:rPr>
          <w:rFonts w:eastAsia="MS Mincho"/>
          <w:b/>
          <w:sz w:val="28"/>
          <w:szCs w:val="28"/>
        </w:rPr>
        <w:tab/>
        <w:t>Предложение</w:t>
      </w:r>
      <w:r w:rsidRPr="008D1C55">
        <w:rPr>
          <w:rFonts w:eastAsia="MS Mincho"/>
          <w:b/>
          <w:sz w:val="28"/>
          <w:szCs w:val="28"/>
        </w:rPr>
        <w:tab/>
      </w:r>
    </w:p>
    <w:p w14:paraId="3493D4C0" w14:textId="77777777" w:rsidR="00EF65C6" w:rsidRPr="008D1C55" w:rsidRDefault="00EF65C6" w:rsidP="00EF65C6">
      <w:pPr>
        <w:pStyle w:val="Para"/>
        <w:spacing w:before="240" w:after="0"/>
        <w:ind w:left="2276" w:right="1138" w:hanging="1138"/>
        <w:jc w:val="left"/>
        <w:rPr>
          <w:bCs/>
          <w:lang w:val="ru-RU"/>
        </w:rPr>
      </w:pPr>
      <w:bookmarkStart w:id="1" w:name="_Toc107305524"/>
      <w:bookmarkStart w:id="2" w:name="_Hlk107305755"/>
      <w:r w:rsidRPr="008D1C55">
        <w:rPr>
          <w:bCs/>
          <w:i/>
          <w:iCs/>
          <w:lang w:val="ru-RU"/>
        </w:rPr>
        <w:t xml:space="preserve">Пункт 5.4.1, сноску 1 </w:t>
      </w:r>
      <w:r w:rsidRPr="008D1C55">
        <w:rPr>
          <w:iCs/>
          <w:lang w:val="ru-RU"/>
        </w:rPr>
        <w:t>изменить следующим образом</w:t>
      </w:r>
      <w:r w:rsidRPr="008D1C55">
        <w:rPr>
          <w:bCs/>
          <w:lang w:val="ru-RU"/>
        </w:rPr>
        <w:t>:</w:t>
      </w:r>
    </w:p>
    <w:p w14:paraId="26558EC3" w14:textId="48767FA7" w:rsidR="00EF65C6" w:rsidRPr="008D1C55" w:rsidRDefault="00EF65C6" w:rsidP="00EF65C6">
      <w:pPr>
        <w:pStyle w:val="Para"/>
        <w:spacing w:before="120"/>
        <w:ind w:left="1426" w:right="992" w:hanging="288"/>
        <w:rPr>
          <w:bCs/>
          <w:sz w:val="18"/>
          <w:szCs w:val="18"/>
          <w:lang w:val="ru-RU"/>
        </w:rPr>
      </w:pPr>
      <w:r w:rsidRPr="008D1C55">
        <w:rPr>
          <w:bCs/>
          <w:sz w:val="18"/>
          <w:szCs w:val="18"/>
          <w:lang w:val="ru-RU"/>
        </w:rPr>
        <w:t>«</w:t>
      </w:r>
      <w:r w:rsidRPr="008D1C55">
        <w:rPr>
          <w:bCs/>
          <w:sz w:val="18"/>
          <w:szCs w:val="18"/>
          <w:vertAlign w:val="superscript"/>
          <w:lang w:val="ru-RU"/>
        </w:rPr>
        <w:t>1</w:t>
      </w:r>
      <w:r w:rsidRPr="008D1C55">
        <w:rPr>
          <w:bCs/>
          <w:sz w:val="18"/>
          <w:szCs w:val="18"/>
          <w:lang w:val="ru-RU"/>
        </w:rPr>
        <w:tab/>
      </w:r>
      <w:r w:rsidRPr="008D1C55">
        <w:rPr>
          <w:sz w:val="18"/>
          <w:szCs w:val="18"/>
          <w:shd w:val="clear" w:color="auto" w:fill="FFFFFF"/>
          <w:lang w:val="ru-RU"/>
        </w:rPr>
        <w:t xml:space="preserve">Отличительные номера Договаривающихся сторон Соглашения 1958 года указаны в приложении 3 к Сводной резолюции о конструкции транспортных средств (СР.3), документ </w:t>
      </w:r>
      <w:r w:rsidRPr="008D1C55">
        <w:rPr>
          <w:sz w:val="18"/>
          <w:szCs w:val="18"/>
          <w:shd w:val="clear" w:color="auto" w:fill="FFFFFF"/>
        </w:rPr>
        <w:t>ECE</w:t>
      </w:r>
      <w:r w:rsidRPr="008D1C55">
        <w:rPr>
          <w:sz w:val="18"/>
          <w:szCs w:val="18"/>
          <w:shd w:val="clear" w:color="auto" w:fill="FFFFFF"/>
          <w:lang w:val="ru-RU"/>
        </w:rPr>
        <w:t>/</w:t>
      </w:r>
      <w:r w:rsidRPr="008D1C55">
        <w:rPr>
          <w:sz w:val="18"/>
          <w:szCs w:val="18"/>
          <w:shd w:val="clear" w:color="auto" w:fill="FFFFFF"/>
        </w:rPr>
        <w:t>TRANS</w:t>
      </w:r>
      <w:r w:rsidRPr="008D1C55">
        <w:rPr>
          <w:sz w:val="18"/>
          <w:szCs w:val="18"/>
          <w:shd w:val="clear" w:color="auto" w:fill="FFFFFF"/>
          <w:lang w:val="ru-RU"/>
        </w:rPr>
        <w:t>/</w:t>
      </w:r>
      <w:r w:rsidRPr="008D1C55">
        <w:rPr>
          <w:sz w:val="18"/>
          <w:szCs w:val="18"/>
          <w:shd w:val="clear" w:color="auto" w:fill="FFFFFF"/>
        </w:rPr>
        <w:t>WP</w:t>
      </w:r>
      <w:r w:rsidRPr="008D1C55">
        <w:rPr>
          <w:sz w:val="18"/>
          <w:szCs w:val="18"/>
          <w:shd w:val="clear" w:color="auto" w:fill="FFFFFF"/>
          <w:lang w:val="ru-RU"/>
        </w:rPr>
        <w:t>.29/78/</w:t>
      </w:r>
      <w:r w:rsidRPr="008D1C55">
        <w:rPr>
          <w:sz w:val="18"/>
          <w:szCs w:val="18"/>
          <w:shd w:val="clear" w:color="auto" w:fill="FFFFFF"/>
        </w:rPr>
        <w:t>Rev</w:t>
      </w:r>
      <w:r w:rsidRPr="008D1C55">
        <w:rPr>
          <w:sz w:val="18"/>
          <w:szCs w:val="18"/>
          <w:shd w:val="clear" w:color="auto" w:fill="FFFFFF"/>
          <w:lang w:val="ru-RU"/>
        </w:rPr>
        <w:t>.</w:t>
      </w:r>
      <w:r w:rsidRPr="008D1C55">
        <w:rPr>
          <w:bCs/>
          <w:strike/>
          <w:sz w:val="18"/>
          <w:szCs w:val="18"/>
          <w:lang w:val="ru-RU"/>
        </w:rPr>
        <w:t>6</w:t>
      </w:r>
      <w:r w:rsidRPr="008D1C55">
        <w:rPr>
          <w:b/>
          <w:sz w:val="18"/>
          <w:szCs w:val="18"/>
          <w:lang w:val="ru-RU"/>
        </w:rPr>
        <w:t>7</w:t>
      </w:r>
      <w:r w:rsidRPr="008D1C55">
        <w:rPr>
          <w:sz w:val="18"/>
          <w:szCs w:val="18"/>
          <w:shd w:val="clear" w:color="auto" w:fill="FFFFFF"/>
          <w:lang w:val="ru-RU"/>
        </w:rPr>
        <w:t xml:space="preserve"> </w:t>
      </w:r>
      <w:r w:rsidRPr="00EF65C6">
        <w:rPr>
          <w:sz w:val="18"/>
          <w:szCs w:val="18"/>
          <w:shd w:val="clear" w:color="auto" w:fill="FFFFFF"/>
          <w:lang w:val="ru-RU"/>
        </w:rPr>
        <w:t>—</w:t>
      </w:r>
      <w:r w:rsidRPr="008D1C55">
        <w:rPr>
          <w:sz w:val="18"/>
          <w:szCs w:val="18"/>
          <w:shd w:val="clear" w:color="auto" w:fill="FFFFFF"/>
          <w:lang w:val="ru-RU"/>
        </w:rPr>
        <w:t xml:space="preserve"> </w:t>
      </w:r>
      <w:r w:rsidRPr="008D1C55">
        <w:rPr>
          <w:strike/>
          <w:sz w:val="18"/>
          <w:szCs w:val="18"/>
          <w:shd w:val="clear" w:color="auto" w:fill="FFFFFF"/>
        </w:rPr>
        <w:t>https</w:t>
      </w:r>
      <w:r w:rsidRPr="008D1C55">
        <w:rPr>
          <w:strike/>
          <w:sz w:val="18"/>
          <w:szCs w:val="18"/>
          <w:shd w:val="clear" w:color="auto" w:fill="FFFFFF"/>
          <w:lang w:val="ru-RU"/>
        </w:rPr>
        <w:t>://</w:t>
      </w:r>
      <w:r w:rsidRPr="008D1C55">
        <w:rPr>
          <w:strike/>
          <w:sz w:val="18"/>
          <w:szCs w:val="18"/>
          <w:shd w:val="clear" w:color="auto" w:fill="FFFFFF"/>
        </w:rPr>
        <w:t>unece</w:t>
      </w:r>
      <w:r w:rsidRPr="008D1C55">
        <w:rPr>
          <w:strike/>
          <w:sz w:val="18"/>
          <w:szCs w:val="18"/>
          <w:shd w:val="clear" w:color="auto" w:fill="FFFFFF"/>
          <w:lang w:val="ru-RU"/>
        </w:rPr>
        <w:t>.</w:t>
      </w:r>
      <w:r w:rsidRPr="008D1C55">
        <w:rPr>
          <w:strike/>
          <w:sz w:val="18"/>
          <w:szCs w:val="18"/>
          <w:shd w:val="clear" w:color="auto" w:fill="FFFFFF"/>
        </w:rPr>
        <w:t>org</w:t>
      </w:r>
      <w:r w:rsidRPr="008D1C55">
        <w:rPr>
          <w:strike/>
          <w:sz w:val="18"/>
          <w:szCs w:val="18"/>
          <w:shd w:val="clear" w:color="auto" w:fill="FFFFFF"/>
          <w:lang w:val="ru-RU"/>
        </w:rPr>
        <w:t>/</w:t>
      </w:r>
      <w:r w:rsidRPr="008D1C55">
        <w:rPr>
          <w:strike/>
          <w:sz w:val="18"/>
          <w:szCs w:val="18"/>
          <w:shd w:val="clear" w:color="auto" w:fill="FFFFFF"/>
        </w:rPr>
        <w:t>transport</w:t>
      </w:r>
      <w:r w:rsidRPr="008D1C55">
        <w:rPr>
          <w:strike/>
          <w:sz w:val="18"/>
          <w:szCs w:val="18"/>
          <w:shd w:val="clear" w:color="auto" w:fill="FFFFFF"/>
          <w:lang w:val="ru-RU"/>
        </w:rPr>
        <w:t>/</w:t>
      </w:r>
      <w:r w:rsidRPr="008D1C55">
        <w:rPr>
          <w:strike/>
          <w:sz w:val="18"/>
          <w:szCs w:val="18"/>
          <w:shd w:val="clear" w:color="auto" w:fill="FFFFFF"/>
        </w:rPr>
        <w:t>standards</w:t>
      </w:r>
      <w:r w:rsidRPr="008D1C55">
        <w:rPr>
          <w:strike/>
          <w:sz w:val="18"/>
          <w:szCs w:val="18"/>
          <w:shd w:val="clear" w:color="auto" w:fill="FFFFFF"/>
          <w:lang w:val="ru-RU"/>
        </w:rPr>
        <w:t>/</w:t>
      </w:r>
      <w:r w:rsidRPr="008D1C55">
        <w:rPr>
          <w:strike/>
          <w:sz w:val="18"/>
          <w:szCs w:val="18"/>
          <w:shd w:val="clear" w:color="auto" w:fill="FFFFFF"/>
        </w:rPr>
        <w:t>transport</w:t>
      </w:r>
      <w:r w:rsidRPr="008D1C55">
        <w:rPr>
          <w:strike/>
          <w:sz w:val="18"/>
          <w:szCs w:val="18"/>
          <w:shd w:val="clear" w:color="auto" w:fill="FFFFFF"/>
          <w:lang w:val="ru-RU"/>
        </w:rPr>
        <w:t>/</w:t>
      </w:r>
      <w:r w:rsidRPr="008D1C55">
        <w:rPr>
          <w:strike/>
          <w:sz w:val="18"/>
          <w:szCs w:val="18"/>
          <w:shd w:val="clear" w:color="auto" w:fill="FFFFFF"/>
        </w:rPr>
        <w:t>vehicle</w:t>
      </w:r>
      <w:r w:rsidRPr="008D1C55">
        <w:rPr>
          <w:strike/>
          <w:sz w:val="18"/>
          <w:szCs w:val="18"/>
          <w:shd w:val="clear" w:color="auto" w:fill="FFFFFF"/>
          <w:lang w:val="ru-RU"/>
        </w:rPr>
        <w:t>-</w:t>
      </w:r>
      <w:r w:rsidRPr="008D1C55">
        <w:rPr>
          <w:strike/>
          <w:sz w:val="18"/>
          <w:szCs w:val="18"/>
          <w:shd w:val="clear" w:color="auto" w:fill="FFFFFF"/>
        </w:rPr>
        <w:t>regulations</w:t>
      </w:r>
      <w:r w:rsidRPr="008D1C55">
        <w:rPr>
          <w:strike/>
          <w:sz w:val="18"/>
          <w:szCs w:val="18"/>
          <w:shd w:val="clear" w:color="auto" w:fill="FFFFFF"/>
          <w:lang w:val="ru-RU"/>
        </w:rPr>
        <w:t>-</w:t>
      </w:r>
      <w:r w:rsidRPr="008D1C55">
        <w:rPr>
          <w:strike/>
          <w:sz w:val="18"/>
          <w:szCs w:val="18"/>
          <w:shd w:val="clear" w:color="auto" w:fill="FFFFFF"/>
        </w:rPr>
        <w:t>wp</w:t>
      </w:r>
      <w:r w:rsidRPr="008D1C55">
        <w:rPr>
          <w:strike/>
          <w:sz w:val="18"/>
          <w:szCs w:val="18"/>
          <w:shd w:val="clear" w:color="auto" w:fill="FFFFFF"/>
          <w:lang w:val="ru-RU"/>
        </w:rPr>
        <w:t>29/</w:t>
      </w:r>
      <w:r w:rsidRPr="008D1C55">
        <w:rPr>
          <w:strike/>
          <w:sz w:val="18"/>
          <w:szCs w:val="18"/>
          <w:shd w:val="clear" w:color="auto" w:fill="FFFFFF"/>
        </w:rPr>
        <w:t>resolutions</w:t>
      </w:r>
      <w:r w:rsidRPr="008D1C55">
        <w:rPr>
          <w:bCs/>
          <w:sz w:val="18"/>
          <w:szCs w:val="18"/>
          <w:lang w:val="ru-RU"/>
        </w:rPr>
        <w:t xml:space="preserve"> </w:t>
      </w:r>
      <w:hyperlink r:id="rId8" w:history="1">
        <w:r w:rsidRPr="008D1C55">
          <w:rPr>
            <w:rStyle w:val="af1"/>
            <w:b/>
            <w:sz w:val="18"/>
            <w:szCs w:val="18"/>
          </w:rPr>
          <w:t>https</w:t>
        </w:r>
        <w:r w:rsidRPr="008D1C55">
          <w:rPr>
            <w:rStyle w:val="af1"/>
            <w:b/>
            <w:sz w:val="18"/>
            <w:szCs w:val="18"/>
            <w:lang w:val="ru-RU"/>
          </w:rPr>
          <w:t>://</w:t>
        </w:r>
        <w:r w:rsidRPr="008D1C55">
          <w:rPr>
            <w:rStyle w:val="af1"/>
            <w:b/>
            <w:sz w:val="18"/>
            <w:szCs w:val="18"/>
          </w:rPr>
          <w:t>unece</w:t>
        </w:r>
        <w:r w:rsidRPr="008D1C55">
          <w:rPr>
            <w:rStyle w:val="af1"/>
            <w:b/>
            <w:sz w:val="18"/>
            <w:szCs w:val="18"/>
            <w:lang w:val="ru-RU"/>
          </w:rPr>
          <w:t>.</w:t>
        </w:r>
        <w:r w:rsidRPr="008D1C55">
          <w:rPr>
            <w:rStyle w:val="af1"/>
            <w:b/>
            <w:sz w:val="18"/>
            <w:szCs w:val="18"/>
          </w:rPr>
          <w:t>org</w:t>
        </w:r>
        <w:r w:rsidRPr="008D1C55">
          <w:rPr>
            <w:rStyle w:val="af1"/>
            <w:b/>
            <w:sz w:val="18"/>
            <w:szCs w:val="18"/>
            <w:lang w:val="ru-RU"/>
          </w:rPr>
          <w:t>/</w:t>
        </w:r>
        <w:r w:rsidRPr="008D1C55">
          <w:rPr>
            <w:rStyle w:val="af1"/>
            <w:b/>
            <w:sz w:val="18"/>
            <w:szCs w:val="18"/>
          </w:rPr>
          <w:t>transport</w:t>
        </w:r>
        <w:r w:rsidRPr="008D1C55">
          <w:rPr>
            <w:rStyle w:val="af1"/>
            <w:b/>
            <w:sz w:val="18"/>
            <w:szCs w:val="18"/>
            <w:lang w:val="ru-RU"/>
          </w:rPr>
          <w:t>/</w:t>
        </w:r>
        <w:r w:rsidRPr="008D1C55">
          <w:rPr>
            <w:rStyle w:val="af1"/>
            <w:b/>
            <w:sz w:val="18"/>
            <w:szCs w:val="18"/>
          </w:rPr>
          <w:t>vehicle</w:t>
        </w:r>
        <w:r w:rsidRPr="008D1C55">
          <w:rPr>
            <w:rStyle w:val="af1"/>
            <w:b/>
            <w:sz w:val="18"/>
            <w:szCs w:val="18"/>
            <w:lang w:val="ru-RU"/>
          </w:rPr>
          <w:t>-</w:t>
        </w:r>
        <w:r w:rsidRPr="008D1C55">
          <w:rPr>
            <w:rStyle w:val="af1"/>
            <w:b/>
            <w:sz w:val="18"/>
            <w:szCs w:val="18"/>
          </w:rPr>
          <w:t>regulations</w:t>
        </w:r>
        <w:r w:rsidRPr="008D1C55">
          <w:rPr>
            <w:rStyle w:val="af1"/>
            <w:b/>
            <w:sz w:val="18"/>
            <w:szCs w:val="18"/>
            <w:lang w:val="ru-RU"/>
          </w:rPr>
          <w:t>/</w:t>
        </w:r>
        <w:r w:rsidRPr="008D1C55">
          <w:rPr>
            <w:rStyle w:val="af1"/>
            <w:b/>
            <w:sz w:val="18"/>
            <w:szCs w:val="18"/>
          </w:rPr>
          <w:t>wp</w:t>
        </w:r>
        <w:r w:rsidRPr="008D1C55">
          <w:rPr>
            <w:rStyle w:val="af1"/>
            <w:b/>
            <w:sz w:val="18"/>
            <w:szCs w:val="18"/>
            <w:lang w:val="ru-RU"/>
          </w:rPr>
          <w:t>29/</w:t>
        </w:r>
        <w:r w:rsidRPr="008D1C55">
          <w:rPr>
            <w:rStyle w:val="af1"/>
            <w:b/>
            <w:sz w:val="18"/>
            <w:szCs w:val="18"/>
          </w:rPr>
          <w:t>resolutions</w:t>
        </w:r>
      </w:hyperlink>
      <w:r w:rsidRPr="00EF65C6">
        <w:rPr>
          <w:rStyle w:val="af1"/>
          <w:bCs/>
          <w:color w:val="auto"/>
          <w:sz w:val="18"/>
          <w:szCs w:val="18"/>
          <w:lang w:val="ru-RU"/>
        </w:rPr>
        <w:t>».</w:t>
      </w:r>
    </w:p>
    <w:p w14:paraId="3B528D7B" w14:textId="77777777" w:rsidR="00EF65C6" w:rsidRPr="008D1C55" w:rsidRDefault="00EF65C6" w:rsidP="00EF65C6">
      <w:pPr>
        <w:pStyle w:val="Para"/>
        <w:spacing w:after="0"/>
        <w:jc w:val="left"/>
        <w:rPr>
          <w:bCs/>
          <w:lang w:val="ru-RU"/>
        </w:rPr>
      </w:pPr>
      <w:r w:rsidRPr="008D1C55">
        <w:rPr>
          <w:bCs/>
          <w:i/>
          <w:iCs/>
          <w:lang w:val="ru-RU"/>
        </w:rPr>
        <w:t xml:space="preserve">Пункт 15.2.5 </w:t>
      </w:r>
      <w:r w:rsidRPr="008D1C55">
        <w:rPr>
          <w:iCs/>
          <w:lang w:val="ru-RU"/>
        </w:rPr>
        <w:t>изменить следующим образом</w:t>
      </w:r>
      <w:r w:rsidRPr="008D1C55">
        <w:rPr>
          <w:bCs/>
          <w:lang w:val="ru-RU"/>
        </w:rPr>
        <w:t>:</w:t>
      </w:r>
    </w:p>
    <w:p w14:paraId="690A7BD3" w14:textId="4D8C2108" w:rsidR="00EF65C6" w:rsidRPr="008D1C55" w:rsidRDefault="00EF65C6" w:rsidP="00EF65C6">
      <w:pPr>
        <w:pStyle w:val="Para"/>
        <w:spacing w:before="120"/>
        <w:ind w:left="2276" w:right="1138" w:hanging="1138"/>
        <w:rPr>
          <w:bCs/>
          <w:lang w:val="ru-RU"/>
        </w:rPr>
      </w:pPr>
      <w:r w:rsidRPr="008D1C55">
        <w:rPr>
          <w:bCs/>
          <w:lang w:val="ru-RU"/>
        </w:rPr>
        <w:t>«15.2.5</w:t>
      </w:r>
      <w:r w:rsidRPr="008D1C55">
        <w:rPr>
          <w:bCs/>
          <w:lang w:val="ru-RU"/>
        </w:rPr>
        <w:tab/>
      </w:r>
      <w:r w:rsidRPr="008D1C55">
        <w:rPr>
          <w:shd w:val="clear" w:color="auto" w:fill="FFFFFF"/>
          <w:lang w:val="ru-RU"/>
        </w:rPr>
        <w:t>Поле переднего и бокового обзора в непосредственной близости определяется с помощью амбинокулярного наблюдения из скорректированных окулярных точек водителя, при этом положению глаз соответствуют окулярные точки водителя, определенные в пункте</w:t>
      </w:r>
      <w:r>
        <w:rPr>
          <w:shd w:val="clear" w:color="auto" w:fill="FFFFFF"/>
          <w:lang w:val="en-US"/>
        </w:rPr>
        <w:t> </w:t>
      </w:r>
      <w:r w:rsidRPr="008D1C55">
        <w:rPr>
          <w:shd w:val="clear" w:color="auto" w:fill="FFFFFF"/>
          <w:lang w:val="ru-RU"/>
        </w:rPr>
        <w:t>12.1, или с помощью бинокулярного наблюдения из скорректированной окулярной исходной точки. Поля обзора определяют на транспортном средстве в снаряженном состоянии, установленном в Сводной резолюции о конструкции транспортных средств (СР.3) (ЕСЕ/</w:t>
      </w:r>
      <w:r w:rsidRPr="008D1C55">
        <w:rPr>
          <w:shd w:val="clear" w:color="auto" w:fill="FFFFFF"/>
        </w:rPr>
        <w:t>TRANS</w:t>
      </w:r>
      <w:r w:rsidRPr="008D1C55">
        <w:rPr>
          <w:shd w:val="clear" w:color="auto" w:fill="FFFFFF"/>
          <w:lang w:val="ru-RU"/>
        </w:rPr>
        <w:t xml:space="preserve">/ </w:t>
      </w:r>
      <w:r w:rsidRPr="008D1C55">
        <w:rPr>
          <w:shd w:val="clear" w:color="auto" w:fill="FFFFFF"/>
        </w:rPr>
        <w:t>WP</w:t>
      </w:r>
      <w:r w:rsidRPr="008D1C55">
        <w:rPr>
          <w:shd w:val="clear" w:color="auto" w:fill="FFFFFF"/>
          <w:lang w:val="ru-RU"/>
        </w:rPr>
        <w:t>.29/78/</w:t>
      </w:r>
      <w:r w:rsidRPr="008D1C55">
        <w:rPr>
          <w:shd w:val="clear" w:color="auto" w:fill="FFFFFF"/>
        </w:rPr>
        <w:t>Rev</w:t>
      </w:r>
      <w:r w:rsidRPr="008D1C55">
        <w:rPr>
          <w:shd w:val="clear" w:color="auto" w:fill="FFFFFF"/>
          <w:lang w:val="ru-RU"/>
        </w:rPr>
        <w:t>.</w:t>
      </w:r>
      <w:r w:rsidRPr="008D1C55">
        <w:rPr>
          <w:bCs/>
          <w:strike/>
          <w:lang w:val="ru-RU"/>
        </w:rPr>
        <w:t>6</w:t>
      </w:r>
      <w:r w:rsidRPr="008D1C55">
        <w:rPr>
          <w:b/>
          <w:lang w:val="ru-RU"/>
        </w:rPr>
        <w:t>7</w:t>
      </w:r>
      <w:r w:rsidRPr="008D1C55">
        <w:rPr>
          <w:shd w:val="clear" w:color="auto" w:fill="FFFFFF"/>
          <w:lang w:val="ru-RU"/>
        </w:rPr>
        <w:t>, пункт 2.2.5.4), а для транспортных средств категорий М</w:t>
      </w:r>
      <w:r w:rsidRPr="008D1C55">
        <w:rPr>
          <w:shd w:val="clear" w:color="auto" w:fill="FFFFFF"/>
          <w:vertAlign w:val="subscript"/>
          <w:lang w:val="ru-RU"/>
        </w:rPr>
        <w:t>1</w:t>
      </w:r>
      <w:r w:rsidRPr="008D1C55">
        <w:rPr>
          <w:shd w:val="clear" w:color="auto" w:fill="FFFFFF"/>
          <w:lang w:val="ru-RU"/>
        </w:rPr>
        <w:t xml:space="preserve"> и </w:t>
      </w:r>
      <w:r w:rsidRPr="008D1C55">
        <w:rPr>
          <w:shd w:val="clear" w:color="auto" w:fill="FFFFFF"/>
        </w:rPr>
        <w:t>N</w:t>
      </w:r>
      <w:r w:rsidRPr="008D1C55">
        <w:rPr>
          <w:shd w:val="clear" w:color="auto" w:fill="FFFFFF"/>
          <w:vertAlign w:val="subscript"/>
          <w:lang w:val="ru-RU"/>
        </w:rPr>
        <w:t>1</w:t>
      </w:r>
      <w:r w:rsidRPr="008D1C55">
        <w:rPr>
          <w:shd w:val="clear" w:color="auto" w:fill="FFFFFF"/>
          <w:lang w:val="ru-RU"/>
        </w:rPr>
        <w:t xml:space="preserve"> дополнительно используется один пассажир (весом 75</w:t>
      </w:r>
      <w:r w:rsidRPr="008D1C55">
        <w:rPr>
          <w:shd w:val="clear" w:color="auto" w:fill="FFFFFF"/>
        </w:rPr>
        <w:t> </w:t>
      </w:r>
      <w:r w:rsidRPr="008D1C55">
        <w:rPr>
          <w:shd w:val="clear" w:color="auto" w:fill="FFFFFF"/>
          <w:lang w:val="ru-RU"/>
        </w:rPr>
        <w:t>кг), сидящий на переднем сиденье. Если определяется поле обзора сквозь окна, то общий коэффициент пропускания света остеклением должен соответствовать положениям приложения 24 к Правилам № 43 ООН с поправками серии 04».</w:t>
      </w:r>
    </w:p>
    <w:p w14:paraId="523D4D2E" w14:textId="77777777" w:rsidR="00EF65C6" w:rsidRPr="008D1C55" w:rsidRDefault="00EF65C6" w:rsidP="00EF65C6">
      <w:pPr>
        <w:pStyle w:val="Para"/>
        <w:spacing w:after="0"/>
        <w:jc w:val="left"/>
        <w:rPr>
          <w:bCs/>
          <w:lang w:val="ru-RU"/>
        </w:rPr>
      </w:pPr>
      <w:r w:rsidRPr="008D1C55">
        <w:rPr>
          <w:bCs/>
          <w:i/>
          <w:iCs/>
          <w:lang w:val="ru-RU"/>
        </w:rPr>
        <w:t xml:space="preserve">Приложение 8, сноску 1 </w:t>
      </w:r>
      <w:r w:rsidRPr="008D1C55">
        <w:rPr>
          <w:iCs/>
          <w:lang w:val="ru-RU"/>
        </w:rPr>
        <w:t>изменить следующим образом</w:t>
      </w:r>
      <w:r w:rsidRPr="008D1C55">
        <w:rPr>
          <w:bCs/>
          <w:lang w:val="ru-RU"/>
        </w:rPr>
        <w:t>:</w:t>
      </w:r>
    </w:p>
    <w:p w14:paraId="14C6BD66" w14:textId="77777777" w:rsidR="00EF65C6" w:rsidRPr="008D1C55" w:rsidRDefault="00EF65C6" w:rsidP="00EF65C6">
      <w:pPr>
        <w:pStyle w:val="Para"/>
        <w:spacing w:before="120"/>
        <w:ind w:left="1426" w:right="562" w:hanging="288"/>
        <w:jc w:val="left"/>
        <w:rPr>
          <w:b/>
          <w:sz w:val="18"/>
          <w:szCs w:val="18"/>
          <w:lang w:val="ru-RU"/>
        </w:rPr>
      </w:pPr>
      <w:r w:rsidRPr="008D1C55">
        <w:rPr>
          <w:bCs/>
          <w:sz w:val="18"/>
          <w:szCs w:val="18"/>
          <w:lang w:val="ru-RU"/>
        </w:rPr>
        <w:t>«</w:t>
      </w:r>
      <w:r w:rsidRPr="008D1C55">
        <w:rPr>
          <w:b/>
          <w:sz w:val="18"/>
          <w:szCs w:val="18"/>
          <w:vertAlign w:val="superscript"/>
          <w:lang w:val="ru-RU"/>
        </w:rPr>
        <w:t>1</w:t>
      </w:r>
      <w:r w:rsidRPr="008D1C55">
        <w:rPr>
          <w:b/>
          <w:sz w:val="18"/>
          <w:szCs w:val="18"/>
          <w:lang w:val="ru-RU"/>
        </w:rPr>
        <w:tab/>
      </w:r>
      <w:r w:rsidRPr="008D1C55">
        <w:rPr>
          <w:b/>
          <w:bCs/>
          <w:sz w:val="18"/>
          <w:szCs w:val="18"/>
          <w:shd w:val="clear" w:color="auto" w:fill="FFFFFF"/>
          <w:lang w:val="ru-RU"/>
        </w:rPr>
        <w:t xml:space="preserve">Процедура описана в добавлении 6 к Общей резолюции № 1 (ОР.1) (документ </w:t>
      </w:r>
      <w:r w:rsidRPr="008D1C55">
        <w:rPr>
          <w:b/>
          <w:bCs/>
          <w:sz w:val="18"/>
          <w:szCs w:val="18"/>
          <w:shd w:val="clear" w:color="auto" w:fill="FFFFFF"/>
        </w:rPr>
        <w:t>ECE</w:t>
      </w:r>
      <w:r w:rsidRPr="008D1C55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8D1C55">
        <w:rPr>
          <w:b/>
          <w:bCs/>
          <w:sz w:val="18"/>
          <w:szCs w:val="18"/>
          <w:shd w:val="clear" w:color="auto" w:fill="FFFFFF"/>
        </w:rPr>
        <w:t>TRANS</w:t>
      </w:r>
      <w:r w:rsidRPr="008D1C55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8D1C55">
        <w:rPr>
          <w:b/>
          <w:bCs/>
          <w:sz w:val="18"/>
          <w:szCs w:val="18"/>
          <w:shd w:val="clear" w:color="auto" w:fill="FFFFFF"/>
        </w:rPr>
        <w:t>WP</w:t>
      </w:r>
      <w:r w:rsidRPr="008D1C55">
        <w:rPr>
          <w:b/>
          <w:bCs/>
          <w:sz w:val="18"/>
          <w:szCs w:val="18"/>
          <w:shd w:val="clear" w:color="auto" w:fill="FFFFFF"/>
          <w:lang w:val="ru-RU"/>
        </w:rPr>
        <w:t>.29/1101/</w:t>
      </w:r>
      <w:r w:rsidRPr="008D1C55">
        <w:rPr>
          <w:b/>
          <w:bCs/>
          <w:sz w:val="18"/>
          <w:szCs w:val="18"/>
          <w:shd w:val="clear" w:color="auto" w:fill="FFFFFF"/>
        </w:rPr>
        <w:t>Amend</w:t>
      </w:r>
      <w:r w:rsidRPr="008D1C55">
        <w:rPr>
          <w:b/>
          <w:bCs/>
          <w:sz w:val="18"/>
          <w:szCs w:val="18"/>
          <w:shd w:val="clear" w:color="auto" w:fill="FFFFFF"/>
          <w:lang w:val="ru-RU"/>
        </w:rPr>
        <w:t>.5);</w:t>
      </w:r>
      <w:bookmarkStart w:id="3" w:name="_Hlk156421770"/>
      <w:r w:rsidRPr="008D1C55">
        <w:rPr>
          <w:b/>
          <w:bCs/>
          <w:sz w:val="18"/>
          <w:szCs w:val="18"/>
          <w:shd w:val="clear" w:color="auto" w:fill="FFFFFF"/>
          <w:lang w:val="ru-RU"/>
        </w:rPr>
        <w:t xml:space="preserve"> </w:t>
      </w:r>
      <w:r w:rsidRPr="008D1C55">
        <w:rPr>
          <w:b/>
          <w:sz w:val="18"/>
          <w:szCs w:val="18"/>
          <w:lang w:val="ru-RU"/>
        </w:rPr>
        <w:t xml:space="preserve">см. </w:t>
      </w:r>
      <w:hyperlink r:id="rId9" w:history="1">
        <w:r w:rsidRPr="008D1C55">
          <w:rPr>
            <w:rStyle w:val="af1"/>
            <w:b/>
            <w:sz w:val="18"/>
            <w:szCs w:val="18"/>
          </w:rPr>
          <w:t>https</w:t>
        </w:r>
        <w:r w:rsidRPr="008D1C55">
          <w:rPr>
            <w:rStyle w:val="af1"/>
            <w:b/>
            <w:sz w:val="18"/>
            <w:szCs w:val="18"/>
            <w:lang w:val="ru-RU"/>
          </w:rPr>
          <w:t>://</w:t>
        </w:r>
        <w:r w:rsidRPr="008D1C55">
          <w:rPr>
            <w:rStyle w:val="af1"/>
            <w:b/>
            <w:sz w:val="18"/>
            <w:szCs w:val="18"/>
          </w:rPr>
          <w:t>unece</w:t>
        </w:r>
        <w:r w:rsidRPr="008D1C55">
          <w:rPr>
            <w:rStyle w:val="af1"/>
            <w:b/>
            <w:sz w:val="18"/>
            <w:szCs w:val="18"/>
            <w:lang w:val="ru-RU"/>
          </w:rPr>
          <w:t>.</w:t>
        </w:r>
        <w:r w:rsidRPr="008D1C55">
          <w:rPr>
            <w:rStyle w:val="af1"/>
            <w:b/>
            <w:sz w:val="18"/>
            <w:szCs w:val="18"/>
          </w:rPr>
          <w:t>org</w:t>
        </w:r>
        <w:r w:rsidRPr="008D1C55">
          <w:rPr>
            <w:rStyle w:val="af1"/>
            <w:b/>
            <w:sz w:val="18"/>
            <w:szCs w:val="18"/>
            <w:lang w:val="ru-RU"/>
          </w:rPr>
          <w:t>/</w:t>
        </w:r>
        <w:r w:rsidRPr="008D1C55">
          <w:rPr>
            <w:rStyle w:val="af1"/>
            <w:b/>
            <w:sz w:val="18"/>
            <w:szCs w:val="18"/>
          </w:rPr>
          <w:t>transport</w:t>
        </w:r>
        <w:r w:rsidRPr="008D1C55">
          <w:rPr>
            <w:rStyle w:val="af1"/>
            <w:b/>
            <w:sz w:val="18"/>
            <w:szCs w:val="18"/>
            <w:lang w:val="ru-RU"/>
          </w:rPr>
          <w:t>/</w:t>
        </w:r>
        <w:r w:rsidRPr="008D1C55">
          <w:rPr>
            <w:rStyle w:val="af1"/>
            <w:b/>
            <w:sz w:val="18"/>
            <w:szCs w:val="18"/>
          </w:rPr>
          <w:t>vehicle</w:t>
        </w:r>
        <w:r w:rsidRPr="008D1C55">
          <w:rPr>
            <w:rStyle w:val="af1"/>
            <w:b/>
            <w:sz w:val="18"/>
            <w:szCs w:val="18"/>
            <w:lang w:val="ru-RU"/>
          </w:rPr>
          <w:t>-</w:t>
        </w:r>
        <w:r w:rsidRPr="008D1C55">
          <w:rPr>
            <w:rStyle w:val="af1"/>
            <w:b/>
            <w:sz w:val="18"/>
            <w:szCs w:val="18"/>
          </w:rPr>
          <w:t>regulations</w:t>
        </w:r>
        <w:r w:rsidRPr="008D1C55">
          <w:rPr>
            <w:rStyle w:val="af1"/>
            <w:b/>
            <w:sz w:val="18"/>
            <w:szCs w:val="18"/>
            <w:lang w:val="ru-RU"/>
          </w:rPr>
          <w:t>/</w:t>
        </w:r>
        <w:r w:rsidRPr="008D1C55">
          <w:rPr>
            <w:rStyle w:val="af1"/>
            <w:b/>
            <w:sz w:val="18"/>
            <w:szCs w:val="18"/>
          </w:rPr>
          <w:t>wp</w:t>
        </w:r>
        <w:r w:rsidRPr="008D1C55">
          <w:rPr>
            <w:rStyle w:val="af1"/>
            <w:b/>
            <w:sz w:val="18"/>
            <w:szCs w:val="18"/>
            <w:lang w:val="ru-RU"/>
          </w:rPr>
          <w:t>29/</w:t>
        </w:r>
        <w:r w:rsidRPr="008D1C55">
          <w:rPr>
            <w:rStyle w:val="af1"/>
            <w:b/>
            <w:sz w:val="18"/>
            <w:szCs w:val="18"/>
          </w:rPr>
          <w:t>resolutions</w:t>
        </w:r>
      </w:hyperlink>
      <w:r w:rsidRPr="00EF65C6">
        <w:rPr>
          <w:rStyle w:val="af1"/>
          <w:bCs/>
          <w:color w:val="auto"/>
          <w:sz w:val="18"/>
          <w:szCs w:val="18"/>
          <w:lang w:val="ru-RU"/>
        </w:rPr>
        <w:t>».</w:t>
      </w:r>
    </w:p>
    <w:bookmarkEnd w:id="3"/>
    <w:p w14:paraId="275CA3CF" w14:textId="77777777" w:rsidR="00EF65C6" w:rsidRPr="008D1C55" w:rsidRDefault="00EF65C6" w:rsidP="00EF65C6">
      <w:pPr>
        <w:suppressAutoHyphens w:val="0"/>
        <w:spacing w:line="240" w:lineRule="auto"/>
        <w:ind w:left="567" w:firstLine="567"/>
        <w:rPr>
          <w:bCs/>
        </w:rPr>
      </w:pPr>
      <w:r w:rsidRPr="008D1C55">
        <w:rPr>
          <w:bCs/>
          <w:i/>
          <w:iCs/>
        </w:rPr>
        <w:t>Приложение 9, пункт 1.3.3.2</w:t>
      </w:r>
      <w:r w:rsidRPr="008D1C55">
        <w:rPr>
          <w:bCs/>
        </w:rPr>
        <w:t xml:space="preserve"> </w:t>
      </w:r>
      <w:r w:rsidRPr="008D1C55">
        <w:rPr>
          <w:iCs/>
        </w:rPr>
        <w:t>изменить следующим образом</w:t>
      </w:r>
      <w:r w:rsidRPr="008D1C55">
        <w:rPr>
          <w:bCs/>
        </w:rPr>
        <w:t>:</w:t>
      </w:r>
    </w:p>
    <w:p w14:paraId="2805070E" w14:textId="77777777" w:rsidR="00EF65C6" w:rsidRPr="008D1C55" w:rsidRDefault="00EF65C6" w:rsidP="00EF65C6">
      <w:pPr>
        <w:suppressAutoHyphens w:val="0"/>
        <w:spacing w:before="120" w:after="120" w:line="240" w:lineRule="auto"/>
        <w:ind w:left="2261" w:hanging="1123"/>
        <w:rPr>
          <w:bCs/>
        </w:rPr>
      </w:pPr>
      <w:r w:rsidRPr="008D1C55">
        <w:rPr>
          <w:bCs/>
        </w:rPr>
        <w:t>«1.3.3.2</w:t>
      </w:r>
      <w:r w:rsidRPr="008D1C55">
        <w:rPr>
          <w:bCs/>
        </w:rPr>
        <w:tab/>
      </w:r>
      <w:r w:rsidRPr="008D1C55">
        <w:rPr>
          <w:shd w:val="clear" w:color="auto" w:fill="FFFFFF"/>
        </w:rPr>
        <w:t>Загрузка транспортного средства</w:t>
      </w:r>
    </w:p>
    <w:p w14:paraId="63EC692B" w14:textId="77777777" w:rsidR="00EF65C6" w:rsidRPr="008D1C55" w:rsidRDefault="00EF65C6" w:rsidP="00EF65C6">
      <w:pPr>
        <w:pStyle w:val="SingleTxtG"/>
        <w:ind w:left="2261"/>
      </w:pPr>
      <w:r w:rsidRPr="008D1C55">
        <w:rPr>
          <w:shd w:val="clear" w:color="auto" w:fill="FFFFFF"/>
        </w:rPr>
        <w:t>Транспортное средство находится в снаряженном состоянии, определенном в Сводной резолюции о конструкции транспортных средств (СР.3) (ЕСЕ/TRANS/WP.29/78/Rev.</w:t>
      </w:r>
      <w:r w:rsidRPr="008D1C55">
        <w:rPr>
          <w:strike/>
        </w:rPr>
        <w:t>6</w:t>
      </w:r>
      <w:r w:rsidRPr="008D1C55">
        <w:rPr>
          <w:b/>
        </w:rPr>
        <w:t>7</w:t>
      </w:r>
      <w:r w:rsidRPr="008D1C55">
        <w:rPr>
          <w:shd w:val="clear" w:color="auto" w:fill="FFFFFF"/>
        </w:rPr>
        <w:t>, пункт 2.2.5.4), а для транспортных средств категорий М</w:t>
      </w:r>
      <w:r w:rsidRPr="008D1C55">
        <w:rPr>
          <w:shd w:val="clear" w:color="auto" w:fill="FFFFFF"/>
          <w:vertAlign w:val="subscript"/>
        </w:rPr>
        <w:t>1</w:t>
      </w:r>
      <w:r w:rsidRPr="008D1C55">
        <w:rPr>
          <w:shd w:val="clear" w:color="auto" w:fill="FFFFFF"/>
        </w:rPr>
        <w:t xml:space="preserve"> и N</w:t>
      </w:r>
      <w:r w:rsidRPr="008D1C55">
        <w:rPr>
          <w:shd w:val="clear" w:color="auto" w:fill="FFFFFF"/>
          <w:vertAlign w:val="subscript"/>
        </w:rPr>
        <w:t>1</w:t>
      </w:r>
      <w:r w:rsidRPr="008D1C55">
        <w:rPr>
          <w:shd w:val="clear" w:color="auto" w:fill="FFFFFF"/>
        </w:rPr>
        <w:t xml:space="preserve"> дополнительно используется один пассажир (весом 75 кг), сидящий на переднем сиденье».</w:t>
      </w:r>
    </w:p>
    <w:bookmarkEnd w:id="1"/>
    <w:bookmarkEnd w:id="2"/>
    <w:p w14:paraId="7F8B8297" w14:textId="77777777" w:rsidR="00EF65C6" w:rsidRPr="008D1C55" w:rsidRDefault="00EF65C6" w:rsidP="00EF65C6">
      <w:pPr>
        <w:suppressAutoHyphens w:val="0"/>
        <w:spacing w:before="360" w:after="240" w:line="240" w:lineRule="auto"/>
        <w:rPr>
          <w:rFonts w:eastAsia="MS Mincho"/>
          <w:b/>
          <w:sz w:val="28"/>
          <w:szCs w:val="28"/>
        </w:rPr>
      </w:pPr>
      <w:r w:rsidRPr="008D1C55">
        <w:rPr>
          <w:rFonts w:eastAsia="MS Mincho"/>
          <w:b/>
          <w:sz w:val="28"/>
          <w:szCs w:val="28"/>
        </w:rPr>
        <w:tab/>
        <w:t>II.</w:t>
      </w:r>
      <w:r w:rsidRPr="008D1C55">
        <w:rPr>
          <w:rFonts w:eastAsia="MS Mincho"/>
          <w:b/>
          <w:sz w:val="28"/>
          <w:szCs w:val="28"/>
        </w:rPr>
        <w:tab/>
        <w:t>Обоснование</w:t>
      </w:r>
    </w:p>
    <w:p w14:paraId="261DD13E" w14:textId="77777777" w:rsidR="00EF65C6" w:rsidRPr="008D1C55" w:rsidRDefault="00EF65C6" w:rsidP="00EF65C6">
      <w:pPr>
        <w:pStyle w:val="SingleTxtG"/>
        <w:rPr>
          <w:rFonts w:eastAsia="Malgun Gothic"/>
          <w:lang w:eastAsia="ko-KR"/>
        </w:rPr>
      </w:pPr>
      <w:r w:rsidRPr="008D1C55">
        <w:rPr>
          <w:rFonts w:eastAsia="Malgun Gothic"/>
          <w:lang w:eastAsia="ko-KR"/>
        </w:rPr>
        <w:t>1.</w:t>
      </w:r>
      <w:r w:rsidRPr="008D1C55">
        <w:rPr>
          <w:rFonts w:eastAsia="Malgun Gothic"/>
          <w:lang w:eastAsia="ko-KR"/>
        </w:rPr>
        <w:tab/>
        <w:t>Обновление текста с указанием на последнюю версию (пересмотр 7) СР.3.</w:t>
      </w:r>
    </w:p>
    <w:p w14:paraId="60F11110" w14:textId="1DE61757" w:rsidR="00EF65C6" w:rsidRPr="008D1C55" w:rsidRDefault="00EF65C6" w:rsidP="00EF65C6">
      <w:pPr>
        <w:pStyle w:val="SingleTxtG"/>
        <w:rPr>
          <w:rFonts w:eastAsia="Malgun Gothic"/>
        </w:rPr>
      </w:pPr>
      <w:r w:rsidRPr="008D1C55">
        <w:rPr>
          <w:rFonts w:eastAsia="Malgun Gothic"/>
        </w:rPr>
        <w:t>2.</w:t>
      </w:r>
      <w:r w:rsidRPr="008D1C55">
        <w:rPr>
          <w:rFonts w:eastAsia="Malgun Gothic"/>
        </w:rPr>
        <w:tab/>
      </w:r>
      <w:r w:rsidRPr="008D1C55">
        <w:rPr>
          <w:shd w:val="clear" w:color="auto" w:fill="FFFFFF"/>
        </w:rPr>
        <w:t xml:space="preserve">Технические требования к механизму 3-D «H» были обновлены и перенесены из СР.3 в ОР.1. Была также добавлена процедура калибровки, с тем чтобы </w:t>
      </w:r>
      <w:r>
        <w:rPr>
          <w:shd w:val="clear" w:color="auto" w:fill="FFFFFF"/>
        </w:rPr>
        <w:br/>
      </w:r>
      <w:r w:rsidRPr="008D1C55">
        <w:rPr>
          <w:shd w:val="clear" w:color="auto" w:fill="FFFFFF"/>
        </w:rPr>
        <w:t>механизм 3-D «H», используемый для проведения всех испытаний в контексте правил ООН и глобальных технических правил ООН, соответствовал всем правилам и обеспечивал получение последовательных результатов испытаний по всем правилам.</w:t>
      </w:r>
    </w:p>
    <w:p w14:paraId="1B286EFA" w14:textId="77777777" w:rsidR="00EF65C6" w:rsidRPr="008D1C55" w:rsidRDefault="00EF65C6" w:rsidP="00EF65C6">
      <w:pPr>
        <w:pStyle w:val="SingleTxtG"/>
        <w:rPr>
          <w:rFonts w:eastAsia="Malgun Gothic"/>
        </w:rPr>
      </w:pPr>
      <w:r w:rsidRPr="008D1C55">
        <w:rPr>
          <w:rFonts w:eastAsia="Malgun Gothic"/>
        </w:rPr>
        <w:t>3.</w:t>
      </w:r>
      <w:r w:rsidRPr="008D1C55">
        <w:rPr>
          <w:rFonts w:eastAsia="Malgun Gothic"/>
        </w:rPr>
        <w:tab/>
        <w:t xml:space="preserve">Примечание: поскольку </w:t>
      </w:r>
      <w:r w:rsidRPr="008D1C55">
        <w:rPr>
          <w:shd w:val="clear" w:color="auto" w:fill="FFFFFF"/>
        </w:rPr>
        <w:t xml:space="preserve">в первоначальном документе </w:t>
      </w:r>
      <w:r w:rsidRPr="00EF65C6">
        <w:t>ECE</w:t>
      </w:r>
      <w:r w:rsidRPr="008D1C55">
        <w:rPr>
          <w:shd w:val="clear" w:color="auto" w:fill="FFFFFF"/>
        </w:rPr>
        <w:t>/TRANS/WP.29/ 2022/139 сноска 1 в приложении 8, по-видимому, отсутствовала, то она была добавлена с новой ссылкой на ОР.1.</w:t>
      </w:r>
    </w:p>
    <w:p w14:paraId="74414E71" w14:textId="77777777" w:rsidR="00EF65C6" w:rsidRDefault="00EF65C6" w:rsidP="00EF65C6">
      <w:pPr>
        <w:spacing w:before="240"/>
        <w:jc w:val="center"/>
        <w:rPr>
          <w:u w:val="single"/>
        </w:rPr>
      </w:pPr>
      <w:r w:rsidRPr="008D1C55">
        <w:rPr>
          <w:u w:val="single"/>
        </w:rPr>
        <w:tab/>
      </w:r>
      <w:r w:rsidRPr="008D1C55">
        <w:rPr>
          <w:u w:val="single"/>
        </w:rPr>
        <w:tab/>
      </w:r>
      <w:r w:rsidRPr="008D1C55">
        <w:rPr>
          <w:u w:val="single"/>
        </w:rPr>
        <w:tab/>
      </w:r>
    </w:p>
    <w:p w14:paraId="7D5FFDAD" w14:textId="3546B2AC" w:rsidR="00E12C5F" w:rsidRPr="008D53B6" w:rsidRDefault="00E12C5F" w:rsidP="00D9145B"/>
    <w:sectPr w:rsidR="00E12C5F" w:rsidRPr="008D53B6" w:rsidSect="00EF65C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BBF5" w14:textId="77777777" w:rsidR="0089349B" w:rsidRPr="00A312BC" w:rsidRDefault="0089349B" w:rsidP="00A312BC"/>
  </w:endnote>
  <w:endnote w:type="continuationSeparator" w:id="0">
    <w:p w14:paraId="0D5BAB16" w14:textId="77777777" w:rsidR="0089349B" w:rsidRPr="00A312BC" w:rsidRDefault="0089349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8953" w14:textId="5EC477DA" w:rsidR="00EF65C6" w:rsidRPr="00EF65C6" w:rsidRDefault="00EF65C6">
    <w:pPr>
      <w:pStyle w:val="a8"/>
    </w:pPr>
    <w:r w:rsidRPr="00EF65C6">
      <w:rPr>
        <w:b/>
        <w:sz w:val="18"/>
      </w:rPr>
      <w:fldChar w:fldCharType="begin"/>
    </w:r>
    <w:r w:rsidRPr="00EF65C6">
      <w:rPr>
        <w:b/>
        <w:sz w:val="18"/>
      </w:rPr>
      <w:instrText xml:space="preserve"> PAGE  \* MERGEFORMAT </w:instrText>
    </w:r>
    <w:r w:rsidRPr="00EF65C6">
      <w:rPr>
        <w:b/>
        <w:sz w:val="18"/>
      </w:rPr>
      <w:fldChar w:fldCharType="separate"/>
    </w:r>
    <w:r w:rsidRPr="00EF65C6">
      <w:rPr>
        <w:b/>
        <w:noProof/>
        <w:sz w:val="18"/>
      </w:rPr>
      <w:t>2</w:t>
    </w:r>
    <w:r w:rsidRPr="00EF65C6">
      <w:rPr>
        <w:b/>
        <w:sz w:val="18"/>
      </w:rPr>
      <w:fldChar w:fldCharType="end"/>
    </w:r>
    <w:r>
      <w:rPr>
        <w:b/>
        <w:sz w:val="18"/>
      </w:rPr>
      <w:tab/>
    </w:r>
    <w:r>
      <w:t>GE.24-01579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917E" w14:textId="5DB8BA0E" w:rsidR="00EF65C6" w:rsidRPr="00EF65C6" w:rsidRDefault="00EF65C6" w:rsidP="00EF65C6">
    <w:pPr>
      <w:pStyle w:val="a8"/>
      <w:tabs>
        <w:tab w:val="clear" w:pos="9639"/>
        <w:tab w:val="right" w:pos="9638"/>
      </w:tabs>
      <w:rPr>
        <w:b/>
        <w:sz w:val="18"/>
      </w:rPr>
    </w:pPr>
    <w:r>
      <w:t>GE.24-01579</w:t>
    </w:r>
    <w:r>
      <w:tab/>
    </w:r>
    <w:r w:rsidRPr="00EF65C6">
      <w:rPr>
        <w:b/>
        <w:sz w:val="18"/>
      </w:rPr>
      <w:fldChar w:fldCharType="begin"/>
    </w:r>
    <w:r w:rsidRPr="00EF65C6">
      <w:rPr>
        <w:b/>
        <w:sz w:val="18"/>
      </w:rPr>
      <w:instrText xml:space="preserve"> PAGE  \* MERGEFORMAT </w:instrText>
    </w:r>
    <w:r w:rsidRPr="00EF65C6">
      <w:rPr>
        <w:b/>
        <w:sz w:val="18"/>
      </w:rPr>
      <w:fldChar w:fldCharType="separate"/>
    </w:r>
    <w:r w:rsidRPr="00EF65C6">
      <w:rPr>
        <w:b/>
        <w:noProof/>
        <w:sz w:val="18"/>
      </w:rPr>
      <w:t>3</w:t>
    </w:r>
    <w:r w:rsidRPr="00EF65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70F1" w14:textId="62A667C5" w:rsidR="00042B72" w:rsidRPr="00EF65C6" w:rsidRDefault="00EF65C6" w:rsidP="00EF65C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3ED9B4E" wp14:editId="5A216AF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24-01579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EAE9304" wp14:editId="088498C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140224   150224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94FB" w14:textId="77777777" w:rsidR="0089349B" w:rsidRPr="001075E9" w:rsidRDefault="0089349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4CF3FD" w14:textId="77777777" w:rsidR="0089349B" w:rsidRDefault="0089349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EE8F99B" w14:textId="77777777" w:rsidR="00EF65C6" w:rsidRPr="00EA370C" w:rsidRDefault="00EF65C6" w:rsidP="00EF65C6">
      <w:pPr>
        <w:pStyle w:val="ad"/>
        <w:rPr>
          <w:lang w:val="en-US"/>
        </w:rPr>
      </w:pPr>
      <w:r>
        <w:tab/>
      </w:r>
      <w:r w:rsidRPr="00EF65C6">
        <w:rPr>
          <w:rStyle w:val="aa"/>
          <w:sz w:val="20"/>
          <w:vertAlign w:val="baseline"/>
        </w:rPr>
        <w:t>*</w:t>
      </w:r>
      <w:r w:rsidRPr="00EF65C6">
        <w:rPr>
          <w:sz w:val="20"/>
        </w:rPr>
        <w:tab/>
      </w:r>
      <w:r w:rsidRPr="004F2FF4"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Pr="004F2FF4">
        <w:rPr>
          <w:lang w:val="fr-CH"/>
        </w:rPr>
        <w:t> </w:t>
      </w:r>
      <w:r w:rsidRPr="004F2FF4"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</w:t>
      </w:r>
      <w:r w:rsidRPr="005B1A7B">
        <w:t xml:space="preserve"> </w:t>
      </w:r>
      <w:r w:rsidRPr="004F2FF4">
        <w:t>документ</w:t>
      </w:r>
      <w:r w:rsidRPr="005B1A7B">
        <w:t xml:space="preserve"> </w:t>
      </w:r>
      <w:r w:rsidRPr="004F2FF4">
        <w:t>представлен</w:t>
      </w:r>
      <w:r w:rsidRPr="005B1A7B">
        <w:t xml:space="preserve"> </w:t>
      </w:r>
      <w:r w:rsidRPr="004F2FF4">
        <w:t>в</w:t>
      </w:r>
      <w:r w:rsidRPr="005B1A7B">
        <w:t xml:space="preserve"> </w:t>
      </w:r>
      <w:r w:rsidRPr="004F2FF4">
        <w:t>соответствии</w:t>
      </w:r>
      <w:r w:rsidRPr="005B1A7B">
        <w:t xml:space="preserve"> </w:t>
      </w:r>
      <w:r w:rsidRPr="004F2FF4">
        <w:t>с</w:t>
      </w:r>
      <w:r w:rsidRPr="005B1A7B">
        <w:t xml:space="preserve"> </w:t>
      </w:r>
      <w:r w:rsidRPr="004F2FF4">
        <w:t>этим</w:t>
      </w:r>
      <w:r w:rsidRPr="005B1A7B">
        <w:t xml:space="preserve"> </w:t>
      </w:r>
      <w:r w:rsidRPr="004F2FF4">
        <w:t>мандатом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3361" w14:textId="566B5DD3" w:rsidR="00EF65C6" w:rsidRPr="00EF65C6" w:rsidRDefault="00EF65C6">
    <w:pPr>
      <w:pStyle w:val="a5"/>
    </w:pPr>
    <w:fldSimple w:instr=" TITLE  \* MERGEFORMAT ">
      <w:r w:rsidR="00773DCE">
        <w:t>ECE/TRANS/WP.29/GRSG/2024/25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AAD2" w14:textId="14B33475" w:rsidR="00EF65C6" w:rsidRPr="00EF65C6" w:rsidRDefault="00EF65C6" w:rsidP="00EF65C6">
    <w:pPr>
      <w:pStyle w:val="a5"/>
      <w:jc w:val="right"/>
    </w:pPr>
    <w:fldSimple w:instr=" TITLE  \* MERGEFORMAT ">
      <w:r w:rsidR="00773DCE">
        <w:t>ECE/TRANS/WP.29/GRSG/2024/25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62C46EB"/>
    <w:multiLevelType w:val="hybridMultilevel"/>
    <w:tmpl w:val="1A0C7F02"/>
    <w:lvl w:ilvl="0" w:tplc="FD0C83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 w:numId="22" w16cid:durableId="2146584483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9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3DCE"/>
    <w:rsid w:val="00792497"/>
    <w:rsid w:val="00806737"/>
    <w:rsid w:val="00825F8D"/>
    <w:rsid w:val="00834B71"/>
    <w:rsid w:val="0086445C"/>
    <w:rsid w:val="0089349B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EF65C6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827B3"/>
  <w15:docId w15:val="{6B76CBC2-E4A5-42BB-A99E-D950695F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EF65C6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EF65C6"/>
    <w:rPr>
      <w:lang w:val="ru-RU" w:eastAsia="en-US"/>
    </w:rPr>
  </w:style>
  <w:style w:type="paragraph" w:customStyle="1" w:styleId="Para">
    <w:name w:val="Para"/>
    <w:basedOn w:val="a"/>
    <w:qFormat/>
    <w:rsid w:val="00EF65C6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vehicle-regulations/wp29/resolution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nece.org/transport/vehicle-regulations/wp29/resolutions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38E2A-DFE6-465E-B209-EC973B7FF08D}"/>
</file>

<file path=customXml/itemProps2.xml><?xml version="1.0" encoding="utf-8"?>
<ds:datastoreItem xmlns:ds="http://schemas.openxmlformats.org/officeDocument/2006/customXml" ds:itemID="{307236D0-32EA-4590-950C-510E8A24495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478</Words>
  <Characters>3444</Characters>
  <Application>Microsoft Office Word</Application>
  <DocSecurity>0</DocSecurity>
  <Lines>79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ECE/TRANS/WP.29/GRSG/2024/25</dc:title>
  <dc:subject/>
  <dc:creator>Anna BLAGODATSKIKH</dc:creator>
  <cp:keywords/>
  <cp:lastModifiedBy>Anna Blagodatskikh</cp:lastModifiedBy>
  <cp:revision>3</cp:revision>
  <cp:lastPrinted>2024-02-15T15:24:00Z</cp:lastPrinted>
  <dcterms:created xsi:type="dcterms:W3CDTF">2024-02-15T15:24:00Z</dcterms:created>
  <dcterms:modified xsi:type="dcterms:W3CDTF">2024-02-15T15:25:00Z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