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42BAC25" w14:textId="77777777" w:rsidTr="00C97039">
        <w:trPr>
          <w:trHeight w:hRule="exact" w:val="851"/>
        </w:trPr>
        <w:tc>
          <w:tcPr>
            <w:tcW w:w="1276" w:type="dxa"/>
            <w:tcBorders>
              <w:bottom w:val="single" w:sz="4" w:space="0" w:color="auto"/>
            </w:tcBorders>
          </w:tcPr>
          <w:p w14:paraId="0D6D8A84" w14:textId="77777777" w:rsidR="00F35BAF" w:rsidRPr="00DB58B5" w:rsidRDefault="00F35BAF" w:rsidP="00A61820"/>
        </w:tc>
        <w:tc>
          <w:tcPr>
            <w:tcW w:w="2268" w:type="dxa"/>
            <w:tcBorders>
              <w:bottom w:val="single" w:sz="4" w:space="0" w:color="auto"/>
            </w:tcBorders>
            <w:vAlign w:val="bottom"/>
          </w:tcPr>
          <w:p w14:paraId="3E67B0B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F21566" w14:textId="1AEA799D" w:rsidR="00F35BAF" w:rsidRPr="00DB58B5" w:rsidRDefault="00A61820" w:rsidP="00A61820">
            <w:pPr>
              <w:jc w:val="right"/>
            </w:pPr>
            <w:r w:rsidRPr="00A61820">
              <w:rPr>
                <w:sz w:val="40"/>
              </w:rPr>
              <w:t>ECE</w:t>
            </w:r>
            <w:r>
              <w:t>/TRANS/WP.29/GRSG/2024/23</w:t>
            </w:r>
          </w:p>
        </w:tc>
      </w:tr>
      <w:tr w:rsidR="00F35BAF" w:rsidRPr="00DB58B5" w14:paraId="75D5AFAE" w14:textId="77777777" w:rsidTr="00C97039">
        <w:trPr>
          <w:trHeight w:hRule="exact" w:val="2835"/>
        </w:trPr>
        <w:tc>
          <w:tcPr>
            <w:tcW w:w="1276" w:type="dxa"/>
            <w:tcBorders>
              <w:top w:val="single" w:sz="4" w:space="0" w:color="auto"/>
              <w:bottom w:val="single" w:sz="12" w:space="0" w:color="auto"/>
            </w:tcBorders>
          </w:tcPr>
          <w:p w14:paraId="3A77C2DC" w14:textId="77777777" w:rsidR="00F35BAF" w:rsidRPr="00DB58B5" w:rsidRDefault="00F35BAF" w:rsidP="00C97039">
            <w:pPr>
              <w:spacing w:before="120"/>
              <w:jc w:val="center"/>
            </w:pPr>
            <w:r>
              <w:rPr>
                <w:noProof/>
                <w:lang w:eastAsia="fr-CH"/>
              </w:rPr>
              <w:drawing>
                <wp:inline distT="0" distB="0" distL="0" distR="0" wp14:anchorId="33B50B6D" wp14:editId="438410F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7B4D5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64302DB" w14:textId="77777777" w:rsidR="00F35BAF" w:rsidRDefault="00A61820" w:rsidP="00C97039">
            <w:pPr>
              <w:spacing w:before="240"/>
            </w:pPr>
            <w:r>
              <w:t>Distr. générale</w:t>
            </w:r>
          </w:p>
          <w:p w14:paraId="62CC4E3B" w14:textId="77777777" w:rsidR="00A61820" w:rsidRDefault="00A61820" w:rsidP="00A61820">
            <w:pPr>
              <w:spacing w:line="240" w:lineRule="exact"/>
            </w:pPr>
            <w:r>
              <w:t>30 janvier 2024</w:t>
            </w:r>
          </w:p>
          <w:p w14:paraId="5E3BBA14" w14:textId="77777777" w:rsidR="00A61820" w:rsidRDefault="00A61820" w:rsidP="00A61820">
            <w:pPr>
              <w:spacing w:line="240" w:lineRule="exact"/>
            </w:pPr>
            <w:r>
              <w:t>Français</w:t>
            </w:r>
          </w:p>
          <w:p w14:paraId="5852A6CB" w14:textId="26C6AAE5" w:rsidR="00A61820" w:rsidRPr="00DB58B5" w:rsidRDefault="00A61820" w:rsidP="00A61820">
            <w:pPr>
              <w:spacing w:line="240" w:lineRule="exact"/>
            </w:pPr>
            <w:r>
              <w:t>Original : anglais</w:t>
            </w:r>
          </w:p>
        </w:tc>
      </w:tr>
    </w:tbl>
    <w:p w14:paraId="21C1A2AB" w14:textId="77777777" w:rsidR="007F20FA" w:rsidRPr="000312C0" w:rsidRDefault="007F20FA" w:rsidP="007F20FA">
      <w:pPr>
        <w:spacing w:before="120"/>
        <w:rPr>
          <w:b/>
          <w:sz w:val="28"/>
          <w:szCs w:val="28"/>
        </w:rPr>
      </w:pPr>
      <w:r w:rsidRPr="000312C0">
        <w:rPr>
          <w:b/>
          <w:sz w:val="28"/>
          <w:szCs w:val="28"/>
        </w:rPr>
        <w:t>Commission économique pour l’Europe</w:t>
      </w:r>
    </w:p>
    <w:p w14:paraId="1C8A48B9" w14:textId="77777777" w:rsidR="007F20FA" w:rsidRDefault="007F20FA" w:rsidP="007F20FA">
      <w:pPr>
        <w:spacing w:before="120"/>
        <w:rPr>
          <w:sz w:val="28"/>
          <w:szCs w:val="28"/>
        </w:rPr>
      </w:pPr>
      <w:r w:rsidRPr="00685843">
        <w:rPr>
          <w:sz w:val="28"/>
          <w:szCs w:val="28"/>
        </w:rPr>
        <w:t>Comité des transports intérieurs</w:t>
      </w:r>
    </w:p>
    <w:p w14:paraId="06E31F30" w14:textId="77777777" w:rsidR="00A61820" w:rsidRDefault="00A6182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2302584" w14:textId="77777777" w:rsidR="00A61820" w:rsidRDefault="00A61820" w:rsidP="00257168">
      <w:pPr>
        <w:spacing w:before="120" w:after="120" w:line="240" w:lineRule="exact"/>
        <w:rPr>
          <w:b/>
        </w:rPr>
      </w:pPr>
      <w:r>
        <w:rPr>
          <w:b/>
        </w:rPr>
        <w:t>Groupe de travail des dispositions générales de sécurité</w:t>
      </w:r>
    </w:p>
    <w:p w14:paraId="396B6682" w14:textId="45DBF010" w:rsidR="00A61820" w:rsidRPr="00F2075A" w:rsidRDefault="00A61820" w:rsidP="00A61820">
      <w:pPr>
        <w:spacing w:before="120"/>
        <w:rPr>
          <w:b/>
        </w:rPr>
      </w:pPr>
      <w:r>
        <w:rPr>
          <w:b/>
          <w:bCs/>
          <w:lang w:val="fr-FR"/>
        </w:rPr>
        <w:t>127</w:t>
      </w:r>
      <w:r w:rsidRPr="00A61820">
        <w:rPr>
          <w:b/>
          <w:bCs/>
          <w:vertAlign w:val="superscript"/>
          <w:lang w:val="fr-FR"/>
        </w:rPr>
        <w:t>e</w:t>
      </w:r>
      <w:r>
        <w:rPr>
          <w:b/>
          <w:bCs/>
          <w:lang w:val="fr-FR"/>
        </w:rPr>
        <w:t xml:space="preserve"> </w:t>
      </w:r>
      <w:r>
        <w:rPr>
          <w:b/>
          <w:bCs/>
          <w:lang w:val="fr-FR"/>
        </w:rPr>
        <w:t>session</w:t>
      </w:r>
    </w:p>
    <w:p w14:paraId="68484B63" w14:textId="77777777" w:rsidR="00A61820" w:rsidRPr="00F2075A" w:rsidRDefault="00A61820" w:rsidP="00A61820">
      <w:r>
        <w:rPr>
          <w:lang w:val="fr-FR"/>
        </w:rPr>
        <w:t>Genève, 15-19 avril 2024</w:t>
      </w:r>
    </w:p>
    <w:p w14:paraId="3880FDB7" w14:textId="77777777" w:rsidR="00A61820" w:rsidRPr="00F2075A" w:rsidRDefault="00A61820" w:rsidP="00A61820">
      <w:pPr>
        <w:rPr>
          <w:bCs/>
        </w:rPr>
      </w:pPr>
      <w:r>
        <w:rPr>
          <w:lang w:val="fr-FR"/>
        </w:rPr>
        <w:t>Point 15 de l’ordre du jour provisoire</w:t>
      </w:r>
    </w:p>
    <w:p w14:paraId="47922CC6" w14:textId="7F3950B2" w:rsidR="00A61820" w:rsidRPr="00F2075A" w:rsidRDefault="00A61820" w:rsidP="00A61820">
      <w:pPr>
        <w:rPr>
          <w:bCs/>
        </w:rPr>
      </w:pPr>
      <w:r>
        <w:rPr>
          <w:b/>
          <w:bCs/>
          <w:lang w:val="fr-FR"/>
        </w:rPr>
        <w:t xml:space="preserve">Règlement ONU </w:t>
      </w:r>
      <w:r w:rsidRPr="00A61820">
        <w:rPr>
          <w:rFonts w:eastAsia="MS Mincho"/>
          <w:b/>
          <w:bCs/>
          <w:lang w:val="fr-FR"/>
        </w:rPr>
        <w:t>n</w:t>
      </w:r>
      <w:r w:rsidRPr="00A61820">
        <w:rPr>
          <w:rFonts w:eastAsia="MS Mincho"/>
          <w:b/>
          <w:bCs/>
          <w:vertAlign w:val="superscript"/>
          <w:lang w:val="fr-FR"/>
        </w:rPr>
        <w:t>o</w:t>
      </w:r>
      <w:r>
        <w:rPr>
          <w:b/>
          <w:bCs/>
          <w:lang w:val="fr-FR"/>
        </w:rPr>
        <w:t xml:space="preserve"> 125 (Champ de vision du conducteur vers l’avant)</w:t>
      </w:r>
    </w:p>
    <w:p w14:paraId="4DCC72DC" w14:textId="3F5C19F7" w:rsidR="00A61820" w:rsidRPr="00F2075A" w:rsidRDefault="00A61820" w:rsidP="00A61820">
      <w:pPr>
        <w:pStyle w:val="HChG"/>
      </w:pPr>
      <w:r>
        <w:rPr>
          <w:lang w:val="fr-FR"/>
        </w:rPr>
        <w:tab/>
      </w:r>
      <w:r>
        <w:rPr>
          <w:lang w:val="fr-FR"/>
        </w:rPr>
        <w:tab/>
        <w:t xml:space="preserve">Proposition de série 03 d’amendements au Règlement ONU </w:t>
      </w:r>
      <w:r w:rsidRPr="00A61820">
        <w:rPr>
          <w:rFonts w:eastAsia="MS Mincho"/>
          <w:lang w:val="fr-FR"/>
        </w:rPr>
        <w:t>n</w:t>
      </w:r>
      <w:r w:rsidRPr="00A61820">
        <w:rPr>
          <w:rFonts w:eastAsia="MS Mincho"/>
          <w:vertAlign w:val="superscript"/>
          <w:lang w:val="fr-FR"/>
        </w:rPr>
        <w:t>o</w:t>
      </w:r>
      <w:r>
        <w:rPr>
          <w:rFonts w:eastAsia="MS Mincho"/>
          <w:vertAlign w:val="superscript"/>
          <w:lang w:val="fr-FR"/>
        </w:rPr>
        <w:t> </w:t>
      </w:r>
      <w:r>
        <w:rPr>
          <w:lang w:val="fr-FR"/>
        </w:rPr>
        <w:t>125 (Champ de vision du conducteur vers l’avant)</w:t>
      </w:r>
    </w:p>
    <w:p w14:paraId="375F2DFA" w14:textId="22E5D2AE" w:rsidR="00A61820" w:rsidRPr="00F2075A" w:rsidRDefault="00A61820" w:rsidP="00A61820">
      <w:pPr>
        <w:pStyle w:val="H1G"/>
      </w:pPr>
      <w:r>
        <w:rPr>
          <w:lang w:val="fr-FR"/>
        </w:rPr>
        <w:tab/>
      </w:r>
      <w:r>
        <w:rPr>
          <w:lang w:val="fr-FR"/>
        </w:rPr>
        <w:tab/>
        <w:t xml:space="preserve">Communication du groupe de travail informel de l’assistance </w:t>
      </w:r>
      <w:r w:rsidR="0071391F">
        <w:rPr>
          <w:lang w:val="fr-FR"/>
        </w:rPr>
        <w:br/>
      </w:r>
      <w:r>
        <w:rPr>
          <w:lang w:val="fr-FR"/>
        </w:rPr>
        <w:t>par affichage dans le champ de vision</w:t>
      </w:r>
      <w:r w:rsidRPr="00A61820">
        <w:rPr>
          <w:b w:val="0"/>
          <w:bCs/>
          <w:sz w:val="20"/>
          <w:lang w:val="fr-FR"/>
        </w:rPr>
        <w:t>*</w:t>
      </w:r>
    </w:p>
    <w:p w14:paraId="5973914E" w14:textId="581A43EC" w:rsidR="00A61820" w:rsidRDefault="00A61820" w:rsidP="00A61820">
      <w:pPr>
        <w:pStyle w:val="SingleTxtG"/>
        <w:ind w:firstLine="567"/>
        <w:rPr>
          <w:bCs/>
          <w:color w:val="000000" w:themeColor="text1"/>
        </w:rPr>
      </w:pPr>
      <w:r>
        <w:rPr>
          <w:lang w:val="fr-FR"/>
        </w:rPr>
        <w:footnoteReference w:customMarkFollows="1" w:id="2"/>
        <w:t xml:space="preserve">Le texte ci-après a été établi par le groupe de travail informel de l’assistance par affichage dans le champ de vision (groupe FVA), dans le cadre du processus de scission du Règlement ONU </w:t>
      </w:r>
      <w:r w:rsidRPr="00A61820">
        <w:rPr>
          <w:rFonts w:eastAsia="MS Mincho"/>
          <w:lang w:val="fr-FR"/>
        </w:rPr>
        <w:t>n</w:t>
      </w:r>
      <w:r w:rsidRPr="00A61820">
        <w:rPr>
          <w:rFonts w:eastAsia="MS Mincho"/>
          <w:vertAlign w:val="superscript"/>
          <w:lang w:val="fr-FR"/>
        </w:rPr>
        <w:t>o</w:t>
      </w:r>
      <w:r>
        <w:rPr>
          <w:lang w:val="fr-FR"/>
        </w:rPr>
        <w:t xml:space="preserve"> 125 en deux Règlements ONU distincts et de la création d’un nouveau Règlement ONU portant sur les prescriptions techniques uniformes relatives à l’homologation d’un véhicule en ce qui concerne son dispositif d’assistance par affichage dans le champ de vision. On y trouvera une mise à jour des renvois aux procédures de détermination du point H et d’étalonnage de la machine tridimensionnelle point H (3-D H), celles-ci étant actualisées et transférées de la Résolution d’ensemble sur la construction des véhicules (R.E.3) à la Résolution mutuelle </w:t>
      </w:r>
      <w:r w:rsidRPr="00A61820">
        <w:rPr>
          <w:rFonts w:eastAsia="MS Mincho"/>
          <w:lang w:val="fr-FR"/>
        </w:rPr>
        <w:t>n</w:t>
      </w:r>
      <w:r w:rsidRPr="00A61820">
        <w:rPr>
          <w:rFonts w:eastAsia="MS Mincho"/>
          <w:vertAlign w:val="superscript"/>
          <w:lang w:val="fr-FR"/>
        </w:rPr>
        <w:t>o</w:t>
      </w:r>
      <w:r>
        <w:rPr>
          <w:lang w:val="fr-FR"/>
        </w:rPr>
        <w:t xml:space="preserve"> 1 (R.M.1). Les modifications qu’il est proposé d’apporter au texte actuel du Règlement ONU </w:t>
      </w:r>
      <w:r w:rsidRPr="00A61820">
        <w:rPr>
          <w:rFonts w:eastAsia="MS Mincho"/>
          <w:lang w:val="fr-FR"/>
        </w:rPr>
        <w:t>n</w:t>
      </w:r>
      <w:r w:rsidRPr="00A61820">
        <w:rPr>
          <w:rFonts w:eastAsia="MS Mincho"/>
          <w:vertAlign w:val="superscript"/>
          <w:lang w:val="fr-FR"/>
        </w:rPr>
        <w:t>o</w:t>
      </w:r>
      <w:r>
        <w:rPr>
          <w:lang w:val="fr-FR"/>
        </w:rPr>
        <w:t xml:space="preserve"> 125 figurent en caractères gras pour les ajouts et biffés pour les suppressions.</w:t>
      </w:r>
      <w:bookmarkStart w:id="0" w:name="_Hlk46250566"/>
      <w:bookmarkEnd w:id="0"/>
    </w:p>
    <w:p w14:paraId="58991919" w14:textId="77777777" w:rsidR="00A61820" w:rsidRPr="00F2075A" w:rsidRDefault="00A61820" w:rsidP="00A61820">
      <w:pPr>
        <w:pStyle w:val="HChG"/>
        <w:tabs>
          <w:tab w:val="left" w:pos="8505"/>
        </w:tabs>
        <w:spacing w:before="0" w:after="0" w:line="240" w:lineRule="auto"/>
        <w:ind w:firstLine="425"/>
        <w:jc w:val="lowKashida"/>
        <w:rPr>
          <w:rFonts w:asciiTheme="majorBidi" w:hAnsiTheme="majorBidi" w:cstheme="majorBidi"/>
        </w:rPr>
      </w:pPr>
      <w:r w:rsidRPr="00F2075A">
        <w:rPr>
          <w:rFonts w:asciiTheme="majorBidi" w:hAnsiTheme="majorBidi" w:cstheme="majorBidi"/>
        </w:rPr>
        <w:br w:type="page"/>
      </w:r>
    </w:p>
    <w:p w14:paraId="0464C201" w14:textId="7F4AB496" w:rsidR="00A61820" w:rsidRPr="00F2075A" w:rsidRDefault="00A61820" w:rsidP="00A61820">
      <w:pPr>
        <w:pStyle w:val="HChG"/>
        <w:rPr>
          <w:rFonts w:eastAsia="MS Mincho"/>
          <w:color w:val="000000"/>
          <w:szCs w:val="28"/>
        </w:rPr>
      </w:pPr>
      <w:r>
        <w:rPr>
          <w:lang w:val="fr-FR"/>
        </w:rPr>
        <w:lastRenderedPageBreak/>
        <w:tab/>
      </w:r>
      <w:r>
        <w:rPr>
          <w:lang w:val="fr-FR"/>
        </w:rPr>
        <w:t>I.</w:t>
      </w:r>
      <w:r>
        <w:rPr>
          <w:lang w:val="fr-FR"/>
        </w:rPr>
        <w:tab/>
        <w:t>Proposition</w:t>
      </w:r>
    </w:p>
    <w:p w14:paraId="287365C0" w14:textId="7BC91136" w:rsidR="00A61820" w:rsidRPr="00F2075A" w:rsidRDefault="00A61820" w:rsidP="00A61820">
      <w:pPr>
        <w:pStyle w:val="SingleTxtG"/>
        <w:rPr>
          <w:bCs/>
        </w:rPr>
      </w:pPr>
      <w:bookmarkStart w:id="1" w:name="_Toc387935141"/>
      <w:bookmarkStart w:id="2" w:name="_Toc397517931"/>
      <w:bookmarkStart w:id="3" w:name="_Toc456777134"/>
      <w:r w:rsidRPr="00A61820">
        <w:rPr>
          <w:i/>
          <w:iCs/>
          <w:lang w:val="fr-FR"/>
        </w:rPr>
        <w:t>Paragraphes 2.3 à 2.10</w:t>
      </w:r>
      <w:r>
        <w:rPr>
          <w:lang w:val="fr-FR"/>
        </w:rPr>
        <w:t>, lire</w:t>
      </w:r>
      <w:r>
        <w:rPr>
          <w:lang w:val="fr-FR"/>
        </w:rPr>
        <w:t> </w:t>
      </w:r>
      <w:r>
        <w:rPr>
          <w:lang w:val="fr-FR"/>
        </w:rPr>
        <w:t>:</w:t>
      </w:r>
    </w:p>
    <w:p w14:paraId="6E1331DE" w14:textId="15603CCC" w:rsidR="00A61820" w:rsidRPr="00F2075A" w:rsidRDefault="00A61820" w:rsidP="00A61820">
      <w:pPr>
        <w:pStyle w:val="SingleTxtG"/>
        <w:ind w:left="2268" w:hanging="1134"/>
        <w:rPr>
          <w:bCs/>
        </w:rPr>
      </w:pPr>
      <w:r>
        <w:rPr>
          <w:lang w:val="fr-FR"/>
        </w:rPr>
        <w:t>« 2.3</w:t>
      </w:r>
      <w:r>
        <w:rPr>
          <w:lang w:val="fr-FR"/>
        </w:rPr>
        <w:tab/>
        <w:t xml:space="preserve">Par </w:t>
      </w:r>
      <w:r>
        <w:rPr>
          <w:bCs/>
          <w:i/>
          <w:iCs/>
        </w:rPr>
        <w:t>“</w:t>
      </w:r>
      <w:r>
        <w:rPr>
          <w:i/>
          <w:iCs/>
          <w:lang w:val="fr-FR"/>
        </w:rPr>
        <w:t>système de référence tridimensionnel</w:t>
      </w:r>
      <w:r>
        <w:rPr>
          <w:i/>
          <w:iCs/>
          <w:lang w:val="fr-FR"/>
        </w:rPr>
        <w:t>”</w:t>
      </w:r>
      <w:r>
        <w:rPr>
          <w:lang w:val="fr-FR"/>
        </w:rPr>
        <w:t xml:space="preserve">, on entend un système de référence qui consiste en un plan vertical longitudinal X-Z, un plan horizontal X-Y et un plan vertical transversal Y-Z </w:t>
      </w:r>
      <w:r>
        <w:rPr>
          <w:strike/>
          <w:lang w:val="fr-FR"/>
        </w:rPr>
        <w:t>(voir annexe 4, appendice, fig. 6)</w:t>
      </w:r>
      <w:r>
        <w:rPr>
          <w:lang w:val="fr-FR"/>
        </w:rPr>
        <w:t xml:space="preserve"> et qui sert à déterminer les distances relatives entre la position prévue pour les points sur les plans et leur position réelle sur le véhicule. La méthode permettant de situer le véhicule par rapport aux trois plans est indiquée à l’</w:t>
      </w:r>
      <w:r>
        <w:rPr>
          <w:strike/>
          <w:lang w:val="fr-FR"/>
        </w:rPr>
        <w:t>annexe 4</w:t>
      </w:r>
      <w:r>
        <w:rPr>
          <w:b/>
          <w:bCs/>
          <w:lang w:val="fr-FR"/>
        </w:rPr>
        <w:t xml:space="preserve"> additif 6 à la Résolution mutuelle </w:t>
      </w:r>
      <w:r w:rsidRPr="00A61820">
        <w:rPr>
          <w:rFonts w:eastAsia="MS Mincho"/>
          <w:b/>
          <w:bCs/>
          <w:lang w:val="fr-FR"/>
        </w:rPr>
        <w:t>n</w:t>
      </w:r>
      <w:r w:rsidRPr="00A61820">
        <w:rPr>
          <w:rFonts w:eastAsia="MS Mincho"/>
          <w:b/>
          <w:bCs/>
          <w:vertAlign w:val="superscript"/>
          <w:lang w:val="fr-FR"/>
        </w:rPr>
        <w:t>o</w:t>
      </w:r>
      <w:r>
        <w:rPr>
          <w:b/>
          <w:bCs/>
          <w:lang w:val="fr-FR"/>
        </w:rPr>
        <w:t xml:space="preserve"> 1 (R.M.1)</w:t>
      </w:r>
      <w:r w:rsidRPr="00983D0E">
        <w:rPr>
          <w:rStyle w:val="Appelnotedebasdep"/>
          <w:b/>
          <w:bCs/>
          <w:lang w:val="fr-FR"/>
        </w:rPr>
        <w:footnoteReference w:id="3"/>
      </w:r>
      <w:r>
        <w:rPr>
          <w:lang w:val="fr-FR"/>
        </w:rPr>
        <w:t> ; toutes les coordonnées rapportées à l’origine au sol doivent être calculées pour un véhicule en ordre de marche</w:t>
      </w:r>
      <w:r>
        <w:rPr>
          <w:vertAlign w:val="superscript"/>
          <w:lang w:val="fr-FR"/>
        </w:rPr>
        <w:t>2</w:t>
      </w:r>
      <w:r>
        <w:rPr>
          <w:lang w:val="fr-FR"/>
        </w:rPr>
        <w:t xml:space="preserve"> , plus un passager assis sur le</w:t>
      </w:r>
      <w:r>
        <w:rPr>
          <w:lang w:val="fr-FR"/>
        </w:rPr>
        <w:t xml:space="preserve"> </w:t>
      </w:r>
      <w:r>
        <w:rPr>
          <w:lang w:val="fr-FR"/>
        </w:rPr>
        <w:t xml:space="preserve">siège avant, le passager ayant une masse de 75 kg </w:t>
      </w:r>
      <w:r>
        <w:rPr>
          <w:lang w:val="fr-FR"/>
        </w:rPr>
        <w:sym w:font="Symbol" w:char="F0B1"/>
      </w:r>
      <w:r>
        <w:rPr>
          <w:lang w:val="fr-FR"/>
        </w:rPr>
        <w:t xml:space="preserve"> 1 %. </w:t>
      </w:r>
    </w:p>
    <w:p w14:paraId="716CF78C" w14:textId="3F1DB09A" w:rsidR="00A61820" w:rsidRPr="00F2075A" w:rsidRDefault="00A61820" w:rsidP="00A61820">
      <w:pPr>
        <w:pStyle w:val="SingleTxtG"/>
        <w:ind w:left="2268" w:hanging="1134"/>
        <w:rPr>
          <w:bCs/>
        </w:rPr>
      </w:pPr>
      <w:r>
        <w:rPr>
          <w:lang w:val="fr-FR"/>
        </w:rPr>
        <w:t>2.3.1</w:t>
      </w:r>
      <w:r>
        <w:rPr>
          <w:lang w:val="fr-FR"/>
        </w:rPr>
        <w:tab/>
        <w:t xml:space="preserve">Les véhicules équipés d’une suspension permettant le réglage de la garde au sol sont essayés dans les conditions normales d’utilisation spécifiées par le constructeur. </w:t>
      </w:r>
    </w:p>
    <w:p w14:paraId="7C61B742" w14:textId="28092777" w:rsidR="00A61820" w:rsidRPr="00F2075A" w:rsidRDefault="00A61820" w:rsidP="00A61820">
      <w:pPr>
        <w:pStyle w:val="SingleTxtG"/>
        <w:ind w:left="2268" w:hanging="1134"/>
        <w:rPr>
          <w:bCs/>
        </w:rPr>
      </w:pPr>
      <w:r>
        <w:rPr>
          <w:lang w:val="fr-FR"/>
        </w:rPr>
        <w:t>2.4</w:t>
      </w:r>
      <w:r>
        <w:rPr>
          <w:lang w:val="fr-FR"/>
        </w:rPr>
        <w:tab/>
        <w:t xml:space="preserve">Par </w:t>
      </w:r>
      <w:r>
        <w:rPr>
          <w:i/>
          <w:iCs/>
          <w:lang w:val="fr-FR"/>
        </w:rPr>
        <w:t>“</w:t>
      </w:r>
      <w:r>
        <w:rPr>
          <w:i/>
          <w:iCs/>
          <w:lang w:val="fr-FR"/>
        </w:rPr>
        <w:t>repères primaires</w:t>
      </w:r>
      <w:r>
        <w:rPr>
          <w:i/>
          <w:iCs/>
          <w:lang w:val="fr-FR"/>
        </w:rPr>
        <w:t>”</w:t>
      </w:r>
      <w:r>
        <w:rPr>
          <w:lang w:val="fr-FR"/>
        </w:rPr>
        <w:t xml:space="preserve">, on entend des trous, surfaces, marques et identifications de la carrosserie du véhicule. Le type de repère utilisé et la position de chaque repère (en coordonnées X, Y et Z du système de référence tridimensionnel) ainsi que leur distance par rapport à un plan théorique représentant le sol doivent être indiqués par le constructeur. Ces repères peuvent être ceux utilisés pour le montage de la carrosserie. </w:t>
      </w:r>
    </w:p>
    <w:p w14:paraId="4BC0537D" w14:textId="7DC53EBD" w:rsidR="00A61820" w:rsidRPr="00F2075A" w:rsidRDefault="00A61820" w:rsidP="00A61820">
      <w:pPr>
        <w:pStyle w:val="SingleTxtG"/>
        <w:ind w:left="2268" w:hanging="1134"/>
        <w:rPr>
          <w:bCs/>
        </w:rPr>
      </w:pPr>
      <w:r>
        <w:rPr>
          <w:lang w:val="fr-FR"/>
        </w:rPr>
        <w:t>2.5</w:t>
      </w:r>
      <w:r>
        <w:rPr>
          <w:lang w:val="fr-FR"/>
        </w:rPr>
        <w:tab/>
        <w:t xml:space="preserve">Par </w:t>
      </w:r>
      <w:r>
        <w:rPr>
          <w:i/>
          <w:iCs/>
          <w:lang w:val="fr-FR"/>
        </w:rPr>
        <w:t>“</w:t>
      </w:r>
      <w:r w:rsidRPr="00F2075A">
        <w:rPr>
          <w:i/>
          <w:iCs/>
          <w:lang w:val="fr-FR"/>
        </w:rPr>
        <w:t>angle d</w:t>
      </w:r>
      <w:r>
        <w:rPr>
          <w:i/>
          <w:iCs/>
          <w:lang w:val="fr-FR"/>
        </w:rPr>
        <w:t>’</w:t>
      </w:r>
      <w:r w:rsidRPr="00F2075A">
        <w:rPr>
          <w:i/>
          <w:iCs/>
          <w:lang w:val="fr-FR"/>
        </w:rPr>
        <w:t>inclinaison du dossier</w:t>
      </w:r>
      <w:r>
        <w:rPr>
          <w:i/>
          <w:iCs/>
          <w:lang w:val="fr-FR"/>
        </w:rPr>
        <w:t>”</w:t>
      </w:r>
      <w:r>
        <w:rPr>
          <w:lang w:val="fr-FR"/>
        </w:rPr>
        <w:t xml:space="preserve">, on entend l’angle défini dans </w:t>
      </w:r>
      <w:r>
        <w:rPr>
          <w:strike/>
          <w:lang w:val="fr-FR"/>
        </w:rPr>
        <w:t>la Résolution d’ensemble sur la construction des véhicules (R.E.3) révisée</w:t>
      </w:r>
      <w:r w:rsidRPr="00A61820">
        <w:rPr>
          <w:strike/>
          <w:vertAlign w:val="superscript"/>
          <w:lang w:val="fr-FR"/>
        </w:rPr>
        <w:t>3</w:t>
      </w:r>
      <w:r>
        <w:rPr>
          <w:strike/>
          <w:lang w:val="fr-FR"/>
        </w:rPr>
        <w:t>, annexe 1, paragraphe 2.6 ou 2.7.</w:t>
      </w:r>
      <w:r>
        <w:rPr>
          <w:lang w:val="fr-FR"/>
        </w:rPr>
        <w:t xml:space="preserve"> </w:t>
      </w:r>
      <w:r>
        <w:rPr>
          <w:b/>
          <w:bCs/>
          <w:lang w:val="fr-FR"/>
        </w:rPr>
        <w:t xml:space="preserve">l’additif 6 à la Résolution mutuelle </w:t>
      </w:r>
      <w:r w:rsidRPr="00A61820">
        <w:rPr>
          <w:rFonts w:eastAsia="MS Mincho"/>
          <w:b/>
          <w:bCs/>
          <w:lang w:val="fr-FR"/>
        </w:rPr>
        <w:t>n</w:t>
      </w:r>
      <w:r w:rsidRPr="00A61820">
        <w:rPr>
          <w:rFonts w:eastAsia="MS Mincho"/>
          <w:b/>
          <w:bCs/>
          <w:vertAlign w:val="superscript"/>
          <w:lang w:val="fr-FR"/>
        </w:rPr>
        <w:t>o</w:t>
      </w:r>
      <w:r>
        <w:rPr>
          <w:b/>
          <w:bCs/>
          <w:lang w:val="fr-FR"/>
        </w:rPr>
        <w:t xml:space="preserve"> 1 (R.M.1), paragraphe 1.2.6 ou 1.2.7.</w:t>
      </w:r>
    </w:p>
    <w:p w14:paraId="2C4FCDA2" w14:textId="05CA9D0C" w:rsidR="00A61820" w:rsidRPr="00F2075A" w:rsidRDefault="00A61820" w:rsidP="00A61820">
      <w:pPr>
        <w:pStyle w:val="SingleTxtG"/>
        <w:ind w:left="2268" w:hanging="1134"/>
        <w:rPr>
          <w:bCs/>
        </w:rPr>
      </w:pPr>
      <w:r>
        <w:rPr>
          <w:lang w:val="fr-FR"/>
        </w:rPr>
        <w:t>2.6</w:t>
      </w:r>
      <w:r>
        <w:rPr>
          <w:lang w:val="fr-FR"/>
        </w:rPr>
        <w:tab/>
        <w:t xml:space="preserve">Par </w:t>
      </w:r>
      <w:r>
        <w:rPr>
          <w:i/>
          <w:iCs/>
          <w:lang w:val="fr-FR"/>
        </w:rPr>
        <w:t>“</w:t>
      </w:r>
      <w:r>
        <w:rPr>
          <w:i/>
          <w:iCs/>
          <w:lang w:val="fr-FR"/>
        </w:rPr>
        <w:t>angle réel d’inclinaison du dossier</w:t>
      </w:r>
      <w:r>
        <w:rPr>
          <w:i/>
          <w:iCs/>
          <w:lang w:val="fr-FR"/>
        </w:rPr>
        <w:t>”</w:t>
      </w:r>
      <w:r>
        <w:rPr>
          <w:lang w:val="fr-FR"/>
        </w:rPr>
        <w:t xml:space="preserve">, on entend l’angle défini dans </w:t>
      </w:r>
      <w:r>
        <w:rPr>
          <w:strike/>
          <w:lang w:val="fr-FR"/>
        </w:rPr>
        <w:t xml:space="preserve">la R.E.3 révisée, annexe 1, paragraphe 2.6. </w:t>
      </w:r>
      <w:r>
        <w:rPr>
          <w:b/>
          <w:bCs/>
          <w:lang w:val="fr-FR"/>
        </w:rPr>
        <w:t>l’additif 6 à la R.M.1, paragraphe</w:t>
      </w:r>
      <w:r>
        <w:rPr>
          <w:b/>
          <w:bCs/>
          <w:lang w:val="fr-FR"/>
        </w:rPr>
        <w:t> </w:t>
      </w:r>
      <w:r>
        <w:rPr>
          <w:b/>
          <w:bCs/>
          <w:lang w:val="fr-FR"/>
        </w:rPr>
        <w:t>1.2.6.</w:t>
      </w:r>
      <w:r>
        <w:rPr>
          <w:lang w:val="fr-FR"/>
        </w:rPr>
        <w:t xml:space="preserve"> </w:t>
      </w:r>
    </w:p>
    <w:p w14:paraId="0C9096EC" w14:textId="375C95BE" w:rsidR="00A61820" w:rsidRPr="00F2075A" w:rsidRDefault="00A61820" w:rsidP="00A61820">
      <w:pPr>
        <w:pStyle w:val="SingleTxtG"/>
        <w:ind w:left="2268" w:hanging="1134"/>
        <w:rPr>
          <w:bCs/>
        </w:rPr>
      </w:pPr>
      <w:r>
        <w:rPr>
          <w:lang w:val="fr-FR"/>
        </w:rPr>
        <w:t>2.7</w:t>
      </w:r>
      <w:r>
        <w:rPr>
          <w:lang w:val="fr-FR"/>
        </w:rPr>
        <w:tab/>
        <w:t xml:space="preserve">Par </w:t>
      </w:r>
      <w:r>
        <w:rPr>
          <w:i/>
          <w:iCs/>
          <w:lang w:val="fr-FR"/>
        </w:rPr>
        <w:t>“</w:t>
      </w:r>
      <w:r>
        <w:rPr>
          <w:i/>
          <w:iCs/>
          <w:lang w:val="fr-FR"/>
        </w:rPr>
        <w:t>angle prévu d’inclinaison du dossier</w:t>
      </w:r>
      <w:r>
        <w:rPr>
          <w:i/>
          <w:iCs/>
          <w:lang w:val="fr-FR"/>
        </w:rPr>
        <w:t>”</w:t>
      </w:r>
      <w:r>
        <w:rPr>
          <w:lang w:val="fr-FR"/>
        </w:rPr>
        <w:t xml:space="preserve">, on entend l’angle défini dans </w:t>
      </w:r>
      <w:r>
        <w:rPr>
          <w:strike/>
          <w:lang w:val="fr-FR"/>
        </w:rPr>
        <w:t>la R.E.3 révisée, annexe 1, paragraphe 2.7.</w:t>
      </w:r>
      <w:r>
        <w:rPr>
          <w:lang w:val="fr-FR"/>
        </w:rPr>
        <w:t xml:space="preserve"> </w:t>
      </w:r>
      <w:r>
        <w:rPr>
          <w:b/>
          <w:bCs/>
          <w:lang w:val="fr-FR"/>
        </w:rPr>
        <w:t>l’additif 6 à la R.M.1, paragraphe</w:t>
      </w:r>
      <w:r>
        <w:rPr>
          <w:b/>
          <w:bCs/>
          <w:lang w:val="fr-FR"/>
        </w:rPr>
        <w:t> </w:t>
      </w:r>
      <w:r>
        <w:rPr>
          <w:b/>
          <w:bCs/>
          <w:lang w:val="fr-FR"/>
        </w:rPr>
        <w:t>1.2.7.</w:t>
      </w:r>
    </w:p>
    <w:p w14:paraId="21FA91C3" w14:textId="75E96E17" w:rsidR="00A61820" w:rsidRPr="00F2075A" w:rsidRDefault="00A61820" w:rsidP="00A61820">
      <w:pPr>
        <w:pStyle w:val="SingleTxtG"/>
        <w:ind w:left="2268" w:hanging="1134"/>
        <w:rPr>
          <w:bCs/>
        </w:rPr>
      </w:pPr>
      <w:r>
        <w:rPr>
          <w:lang w:val="fr-FR"/>
        </w:rPr>
        <w:t>2.8</w:t>
      </w:r>
      <w:r>
        <w:rPr>
          <w:lang w:val="fr-FR"/>
        </w:rPr>
        <w:tab/>
        <w:t xml:space="preserve">Par </w:t>
      </w:r>
      <w:r>
        <w:rPr>
          <w:i/>
          <w:iCs/>
          <w:lang w:val="fr-FR"/>
        </w:rPr>
        <w:t>“</w:t>
      </w:r>
      <w:r>
        <w:rPr>
          <w:i/>
          <w:iCs/>
          <w:lang w:val="fr-FR"/>
        </w:rPr>
        <w:t>points V</w:t>
      </w:r>
      <w:r>
        <w:rPr>
          <w:i/>
          <w:iCs/>
          <w:lang w:val="fr-FR"/>
        </w:rPr>
        <w:t>”</w:t>
      </w:r>
      <w:r>
        <w:rPr>
          <w:lang w:val="fr-FR"/>
        </w:rPr>
        <w:t xml:space="preserve">, on entend les points dont la position à l’intérieur de l’habitacle est déterminée par des plans verticaux longitudinaux passant par les centres des places assises prévues extrêmes sur le siège avant, et par rapport au point </w:t>
      </w:r>
      <w:r>
        <w:rPr>
          <w:lang w:val="fr-FR"/>
        </w:rPr>
        <w:t>“</w:t>
      </w:r>
      <w:r>
        <w:rPr>
          <w:lang w:val="fr-FR"/>
        </w:rPr>
        <w:t>R</w:t>
      </w:r>
      <w:r>
        <w:rPr>
          <w:lang w:val="fr-FR"/>
        </w:rPr>
        <w:t>”</w:t>
      </w:r>
      <w:r>
        <w:rPr>
          <w:lang w:val="fr-FR"/>
        </w:rPr>
        <w:t xml:space="preserve"> et à l’angle d’inclinaison prévu du dossier, qui servent à vérifier la conformité aux exigences relatives au champ de vision. </w:t>
      </w:r>
    </w:p>
    <w:p w14:paraId="24B697E5" w14:textId="6376E72C" w:rsidR="00A61820" w:rsidRPr="00F2075A" w:rsidRDefault="00A61820" w:rsidP="00A61820">
      <w:pPr>
        <w:pStyle w:val="SingleTxtG"/>
        <w:ind w:left="2268" w:hanging="1134"/>
        <w:rPr>
          <w:bCs/>
        </w:rPr>
      </w:pPr>
      <w:r>
        <w:rPr>
          <w:lang w:val="fr-FR"/>
        </w:rPr>
        <w:t>2.9</w:t>
      </w:r>
      <w:r>
        <w:rPr>
          <w:lang w:val="fr-FR"/>
        </w:rPr>
        <w:tab/>
        <w:t xml:space="preserve">Par </w:t>
      </w:r>
      <w:r>
        <w:rPr>
          <w:i/>
          <w:iCs/>
          <w:lang w:val="fr-FR"/>
        </w:rPr>
        <w:t>“</w:t>
      </w:r>
      <w:r>
        <w:rPr>
          <w:i/>
          <w:iCs/>
          <w:lang w:val="fr-FR"/>
        </w:rPr>
        <w:t>point R ou point de référence de place assise</w:t>
      </w:r>
      <w:r>
        <w:rPr>
          <w:i/>
          <w:iCs/>
          <w:lang w:val="fr-FR"/>
        </w:rPr>
        <w:t>”</w:t>
      </w:r>
      <w:r>
        <w:rPr>
          <w:lang w:val="fr-FR"/>
        </w:rPr>
        <w:t xml:space="preserve">, on entend le point défini dans </w:t>
      </w:r>
      <w:r>
        <w:rPr>
          <w:strike/>
          <w:lang w:val="fr-FR"/>
        </w:rPr>
        <w:t>la R.E.3 révisée, annexe 1, paragraphe 2.4.</w:t>
      </w:r>
      <w:r>
        <w:rPr>
          <w:lang w:val="fr-FR"/>
        </w:rPr>
        <w:t xml:space="preserve"> </w:t>
      </w:r>
      <w:r>
        <w:rPr>
          <w:b/>
          <w:bCs/>
          <w:lang w:val="fr-FR"/>
        </w:rPr>
        <w:t>l’additif 6 à la R.M.1, paragraphe</w:t>
      </w:r>
      <w:r>
        <w:rPr>
          <w:b/>
          <w:bCs/>
          <w:lang w:val="fr-FR"/>
        </w:rPr>
        <w:t> </w:t>
      </w:r>
      <w:r>
        <w:rPr>
          <w:b/>
          <w:bCs/>
          <w:lang w:val="fr-FR"/>
        </w:rPr>
        <w:t>1.2.4.</w:t>
      </w:r>
    </w:p>
    <w:p w14:paraId="0BEDEC8F" w14:textId="638F739A" w:rsidR="00A61820" w:rsidRPr="00F2075A" w:rsidRDefault="00A61820" w:rsidP="00A61820">
      <w:pPr>
        <w:pStyle w:val="SingleTxtG"/>
        <w:ind w:left="2268" w:hanging="1134"/>
        <w:rPr>
          <w:bCs/>
        </w:rPr>
      </w:pPr>
      <w:r>
        <w:rPr>
          <w:lang w:val="fr-FR"/>
        </w:rPr>
        <w:t>2.10</w:t>
      </w:r>
      <w:r>
        <w:rPr>
          <w:lang w:val="fr-FR"/>
        </w:rPr>
        <w:tab/>
        <w:t xml:space="preserve">Par </w:t>
      </w:r>
      <w:r>
        <w:rPr>
          <w:i/>
          <w:iCs/>
          <w:lang w:val="fr-FR"/>
        </w:rPr>
        <w:t>“</w:t>
      </w:r>
      <w:r>
        <w:rPr>
          <w:i/>
          <w:iCs/>
          <w:lang w:val="fr-FR"/>
        </w:rPr>
        <w:t>point H</w:t>
      </w:r>
      <w:r>
        <w:rPr>
          <w:i/>
          <w:iCs/>
          <w:lang w:val="fr-FR"/>
        </w:rPr>
        <w:t>”</w:t>
      </w:r>
      <w:r>
        <w:rPr>
          <w:lang w:val="fr-FR"/>
        </w:rPr>
        <w:t xml:space="preserve">, on entend le point défini dans </w:t>
      </w:r>
      <w:r>
        <w:rPr>
          <w:strike/>
          <w:lang w:val="fr-FR"/>
        </w:rPr>
        <w:t>la R.E.3 révisée, annexe 1, paragraphe 2.3.</w:t>
      </w:r>
      <w:r>
        <w:rPr>
          <w:lang w:val="fr-FR"/>
        </w:rPr>
        <w:t xml:space="preserve"> </w:t>
      </w:r>
      <w:r>
        <w:rPr>
          <w:b/>
          <w:bCs/>
          <w:lang w:val="fr-FR"/>
        </w:rPr>
        <w:t>l’additif 6 à la R.M.1, paragraphe 1.2.3. </w:t>
      </w:r>
      <w:r w:rsidRPr="008945FE">
        <w:rPr>
          <w:lang w:val="fr-FR"/>
        </w:rPr>
        <w:t>».</w:t>
      </w:r>
    </w:p>
    <w:p w14:paraId="4198DE8D" w14:textId="2CF6F44E" w:rsidR="00A61820" w:rsidRPr="00F2075A" w:rsidRDefault="00A61820" w:rsidP="00A61820">
      <w:pPr>
        <w:pStyle w:val="SingleTxtG"/>
        <w:rPr>
          <w:bCs/>
        </w:rPr>
      </w:pPr>
      <w:bookmarkStart w:id="4" w:name="_Toc107305524"/>
      <w:bookmarkStart w:id="5" w:name="_Hlk107305755"/>
      <w:bookmarkEnd w:id="1"/>
      <w:bookmarkEnd w:id="2"/>
      <w:bookmarkEnd w:id="3"/>
      <w:r>
        <w:rPr>
          <w:i/>
          <w:iCs/>
          <w:lang w:val="fr-FR"/>
        </w:rPr>
        <w:t>Paragraphe 5.1.3.5</w:t>
      </w:r>
      <w:r>
        <w:rPr>
          <w:lang w:val="fr-FR"/>
        </w:rPr>
        <w:t>, lire</w:t>
      </w:r>
      <w:r>
        <w:rPr>
          <w:lang w:val="fr-FR"/>
        </w:rPr>
        <w:t> </w:t>
      </w:r>
      <w:r>
        <w:rPr>
          <w:lang w:val="fr-FR"/>
        </w:rPr>
        <w:t>:</w:t>
      </w:r>
    </w:p>
    <w:p w14:paraId="209E8E55" w14:textId="77777777" w:rsidR="00A61820" w:rsidRPr="00F2075A" w:rsidRDefault="00A61820" w:rsidP="00A61820">
      <w:pPr>
        <w:pStyle w:val="SingleTxtG"/>
        <w:ind w:left="2268" w:hanging="1134"/>
        <w:rPr>
          <w:b/>
        </w:rPr>
      </w:pPr>
      <w:r>
        <w:rPr>
          <w:lang w:val="fr-FR"/>
        </w:rPr>
        <w:t>« 5.1.3.5</w:t>
      </w:r>
      <w:r>
        <w:rPr>
          <w:lang w:val="fr-FR"/>
        </w:rPr>
        <w:tab/>
        <w:t>Les informations fournies par le dispositif d’assistance par affichage dans le champ de vision peuvent se superposer à la partie transparente telle que définie au paragraphe 5.1.1</w:t>
      </w:r>
      <w:r>
        <w:rPr>
          <w:b/>
          <w:bCs/>
          <w:lang w:val="fr-FR"/>
        </w:rPr>
        <w:t>, conformément aux prescriptions du Règlement ONU no [XXX]. </w:t>
      </w:r>
      <w:r w:rsidRPr="008945FE">
        <w:rPr>
          <w:lang w:val="fr-FR"/>
        </w:rPr>
        <w:t>».</w:t>
      </w:r>
    </w:p>
    <w:p w14:paraId="7DC714D0" w14:textId="77777777" w:rsidR="00A61820" w:rsidRPr="00F2075A" w:rsidRDefault="00A61820" w:rsidP="00A61820">
      <w:pPr>
        <w:pStyle w:val="SingleTxtG"/>
        <w:rPr>
          <w:bCs/>
        </w:rPr>
      </w:pPr>
      <w:r>
        <w:rPr>
          <w:i/>
          <w:iCs/>
          <w:lang w:val="fr-FR"/>
        </w:rPr>
        <w:t>Paragraphes 5.1.3.5.1 à 5.1.3.7</w:t>
      </w:r>
      <w:r>
        <w:rPr>
          <w:lang w:val="fr-FR"/>
        </w:rPr>
        <w:t>, supprimer.</w:t>
      </w:r>
    </w:p>
    <w:p w14:paraId="597669C5" w14:textId="77777777" w:rsidR="00A61820" w:rsidRPr="00F2075A" w:rsidRDefault="00A61820" w:rsidP="00A61820">
      <w:pPr>
        <w:pStyle w:val="SingleTxtG"/>
        <w:rPr>
          <w:bCs/>
        </w:rPr>
      </w:pPr>
      <w:r>
        <w:rPr>
          <w:i/>
          <w:iCs/>
          <w:lang w:val="fr-FR"/>
        </w:rPr>
        <w:t>Paragraphe 6.2.2</w:t>
      </w:r>
      <w:r>
        <w:rPr>
          <w:lang w:val="fr-FR"/>
        </w:rPr>
        <w:t xml:space="preserve">, supprimer. </w:t>
      </w:r>
    </w:p>
    <w:p w14:paraId="2EC48E4C" w14:textId="4197BC22" w:rsidR="00A61820" w:rsidRPr="00F2075A" w:rsidRDefault="00A61820" w:rsidP="00A61820">
      <w:pPr>
        <w:pStyle w:val="SingleTxtG"/>
        <w:rPr>
          <w:bCs/>
        </w:rPr>
      </w:pPr>
      <w:r>
        <w:rPr>
          <w:i/>
          <w:iCs/>
          <w:lang w:val="fr-FR"/>
        </w:rPr>
        <w:lastRenderedPageBreak/>
        <w:t>Ajouter les nouveaux paragraphes 12.12 à 12.16</w:t>
      </w:r>
      <w:r>
        <w:rPr>
          <w:lang w:val="fr-FR"/>
        </w:rPr>
        <w:t>, libellés comme suit</w:t>
      </w:r>
      <w:r>
        <w:rPr>
          <w:lang w:val="fr-FR"/>
        </w:rPr>
        <w:t> </w:t>
      </w:r>
      <w:r>
        <w:rPr>
          <w:lang w:val="fr-FR"/>
        </w:rPr>
        <w:t>:</w:t>
      </w:r>
    </w:p>
    <w:p w14:paraId="4593CA62" w14:textId="77777777" w:rsidR="00A61820" w:rsidRPr="00F2075A" w:rsidRDefault="00A61820" w:rsidP="00A61820">
      <w:pPr>
        <w:pStyle w:val="SingleTxtG"/>
        <w:ind w:left="2268" w:hanging="1134"/>
        <w:rPr>
          <w:b/>
        </w:rPr>
      </w:pPr>
      <w:r w:rsidRPr="008945FE">
        <w:rPr>
          <w:lang w:val="fr-FR"/>
        </w:rPr>
        <w:t>« </w:t>
      </w:r>
      <w:r>
        <w:rPr>
          <w:b/>
          <w:bCs/>
          <w:lang w:val="fr-FR"/>
        </w:rPr>
        <w:t>12.12</w:t>
      </w:r>
      <w:r>
        <w:rPr>
          <w:lang w:val="fr-FR"/>
        </w:rPr>
        <w:tab/>
      </w:r>
      <w:r>
        <w:rPr>
          <w:b/>
          <w:bCs/>
          <w:lang w:val="fr-FR"/>
        </w:rPr>
        <w:t>À compter de la date officielle d’entrée en vigueur de la série 03 d’amendements, aucune Partie contractante appliquant le présent Règlement ne pourra refuser d’accorder ou d’accepter une homologation de type en vertu du présent Règlement tel que modifié par la série 03 d’amendements.</w:t>
      </w:r>
    </w:p>
    <w:p w14:paraId="51C7E419" w14:textId="03D62A1F" w:rsidR="00A61820" w:rsidRPr="00F2075A" w:rsidRDefault="00A61820" w:rsidP="00A61820">
      <w:pPr>
        <w:pStyle w:val="SingleTxtG"/>
        <w:ind w:left="2268" w:hanging="1134"/>
        <w:rPr>
          <w:b/>
        </w:rPr>
      </w:pPr>
      <w:r>
        <w:rPr>
          <w:b/>
          <w:bCs/>
          <w:lang w:val="fr-FR"/>
        </w:rPr>
        <w:t>12.13</w:t>
      </w:r>
      <w:r>
        <w:rPr>
          <w:lang w:val="fr-FR"/>
        </w:rPr>
        <w:tab/>
      </w:r>
      <w:r>
        <w:rPr>
          <w:b/>
          <w:bCs/>
          <w:lang w:val="fr-FR"/>
        </w:rPr>
        <w:t>À compter du [1</w:t>
      </w:r>
      <w:r w:rsidRPr="00A61820">
        <w:rPr>
          <w:b/>
          <w:bCs/>
          <w:vertAlign w:val="superscript"/>
          <w:lang w:val="fr-FR"/>
        </w:rPr>
        <w:t>er</w:t>
      </w:r>
      <w:r>
        <w:rPr>
          <w:b/>
          <w:bCs/>
          <w:lang w:val="fr-FR"/>
        </w:rPr>
        <w:t xml:space="preserve"> </w:t>
      </w:r>
      <w:r>
        <w:rPr>
          <w:b/>
          <w:bCs/>
          <w:lang w:val="fr-FR"/>
        </w:rPr>
        <w:t>septembre 2026], les Parties contractantes appliquant le présent Règlement ne seront plus tenues d’accepter les homologations de type établies conformément aux précédentes séries d’amendements, délivrées pour la première fois après le [1</w:t>
      </w:r>
      <w:r w:rsidRPr="00A61820">
        <w:rPr>
          <w:b/>
          <w:bCs/>
          <w:vertAlign w:val="superscript"/>
          <w:lang w:val="fr-FR"/>
        </w:rPr>
        <w:t>er</w:t>
      </w:r>
      <w:r>
        <w:rPr>
          <w:b/>
          <w:bCs/>
          <w:lang w:val="fr-FR"/>
        </w:rPr>
        <w:t xml:space="preserve"> </w:t>
      </w:r>
      <w:r>
        <w:rPr>
          <w:b/>
          <w:bCs/>
          <w:lang w:val="fr-FR"/>
        </w:rPr>
        <w:t>septembre 2026].</w:t>
      </w:r>
    </w:p>
    <w:p w14:paraId="7C866C65" w14:textId="7F68A285" w:rsidR="00A61820" w:rsidRPr="00F2075A" w:rsidRDefault="00A61820" w:rsidP="00A61820">
      <w:pPr>
        <w:pStyle w:val="SingleTxtG"/>
        <w:ind w:left="2268" w:hanging="1134"/>
        <w:rPr>
          <w:b/>
        </w:rPr>
      </w:pPr>
      <w:r>
        <w:rPr>
          <w:b/>
          <w:bCs/>
          <w:lang w:val="fr-FR"/>
        </w:rPr>
        <w:t>12.14</w:t>
      </w:r>
      <w:r>
        <w:rPr>
          <w:lang w:val="fr-FR"/>
        </w:rPr>
        <w:tab/>
      </w:r>
      <w:r>
        <w:rPr>
          <w:b/>
          <w:bCs/>
          <w:lang w:val="fr-FR"/>
        </w:rPr>
        <w:t>Jusqu’au [1</w:t>
      </w:r>
      <w:r w:rsidRPr="00A61820">
        <w:rPr>
          <w:b/>
          <w:bCs/>
          <w:vertAlign w:val="superscript"/>
          <w:lang w:val="fr-FR"/>
        </w:rPr>
        <w:t>er</w:t>
      </w:r>
      <w:r>
        <w:rPr>
          <w:b/>
          <w:bCs/>
          <w:lang w:val="fr-FR"/>
        </w:rPr>
        <w:t xml:space="preserve"> </w:t>
      </w:r>
      <w:r>
        <w:rPr>
          <w:b/>
          <w:bCs/>
          <w:lang w:val="fr-FR"/>
        </w:rPr>
        <w:t>septembre 2028], les Parties contractantes appliquant le présent Règlement seront tenues d’accepter les homologations de type établies conformément aux précédentes séries d’amendements, délivrées pour la première fois avant le [1</w:t>
      </w:r>
      <w:r w:rsidRPr="00A61820">
        <w:rPr>
          <w:b/>
          <w:bCs/>
          <w:vertAlign w:val="superscript"/>
          <w:lang w:val="fr-FR"/>
        </w:rPr>
        <w:t>er</w:t>
      </w:r>
      <w:r>
        <w:rPr>
          <w:b/>
          <w:bCs/>
          <w:lang w:val="fr-FR"/>
        </w:rPr>
        <w:t xml:space="preserve"> </w:t>
      </w:r>
      <w:r>
        <w:rPr>
          <w:b/>
          <w:bCs/>
          <w:lang w:val="fr-FR"/>
        </w:rPr>
        <w:t>septembre 2026].</w:t>
      </w:r>
    </w:p>
    <w:p w14:paraId="4BF94C50" w14:textId="6F96AEC8" w:rsidR="00A61820" w:rsidRPr="00F2075A" w:rsidRDefault="00A61820" w:rsidP="00A61820">
      <w:pPr>
        <w:pStyle w:val="SingleTxtG"/>
        <w:ind w:left="2268" w:hanging="1134"/>
        <w:rPr>
          <w:b/>
        </w:rPr>
      </w:pPr>
      <w:r>
        <w:rPr>
          <w:b/>
          <w:bCs/>
          <w:lang w:val="fr-FR"/>
        </w:rPr>
        <w:t>12.15</w:t>
      </w:r>
      <w:r>
        <w:rPr>
          <w:lang w:val="fr-FR"/>
        </w:rPr>
        <w:tab/>
      </w:r>
      <w:r>
        <w:rPr>
          <w:b/>
          <w:bCs/>
          <w:lang w:val="fr-FR"/>
        </w:rPr>
        <w:t>À compter du [1</w:t>
      </w:r>
      <w:r w:rsidRPr="00A61820">
        <w:rPr>
          <w:b/>
          <w:bCs/>
          <w:vertAlign w:val="superscript"/>
          <w:lang w:val="fr-FR"/>
        </w:rPr>
        <w:t>er</w:t>
      </w:r>
      <w:r>
        <w:rPr>
          <w:b/>
          <w:bCs/>
          <w:lang w:val="fr-FR"/>
        </w:rPr>
        <w:t xml:space="preserve"> </w:t>
      </w:r>
      <w:r>
        <w:rPr>
          <w:b/>
          <w:bCs/>
          <w:lang w:val="fr-FR"/>
        </w:rPr>
        <w:t>septembre 2028], les Parties contractantes appliquant le présent Règlement ne seront plus tenues d’accepter les homologations de type délivrées en vertu des précédentes séries d’amendements audit Règlement.</w:t>
      </w:r>
    </w:p>
    <w:p w14:paraId="35F16903" w14:textId="6A0D729E" w:rsidR="00A61820" w:rsidRPr="00F2075A" w:rsidRDefault="00A61820" w:rsidP="00A61820">
      <w:pPr>
        <w:pStyle w:val="SingleTxtG"/>
        <w:ind w:left="2268" w:hanging="1134"/>
        <w:rPr>
          <w:rFonts w:eastAsia="MS Mincho"/>
          <w:b/>
        </w:rPr>
      </w:pPr>
      <w:r>
        <w:rPr>
          <w:b/>
          <w:bCs/>
          <w:lang w:val="fr-FR"/>
        </w:rPr>
        <w:t>12.16</w:t>
      </w:r>
      <w:r>
        <w:rPr>
          <w:lang w:val="fr-FR"/>
        </w:rPr>
        <w:tab/>
      </w:r>
      <w:r>
        <w:rPr>
          <w:b/>
          <w:bCs/>
          <w:lang w:val="fr-FR"/>
        </w:rPr>
        <w:t>Nonobstant les dispositions du paragraphe 12.13, les Parties contractantes appliquant le présent Règlement continueront de reconnaître les homologations de type délivrées au titre des précédentes séries d’amendements audit Règlement pour les types de véhicule non concernés par les modifications apportées par la série 03 d’amendements (c’est</w:t>
      </w:r>
      <w:r>
        <w:rPr>
          <w:b/>
          <w:bCs/>
          <w:lang w:val="fr-FR"/>
        </w:rPr>
        <w:noBreakHyphen/>
      </w:r>
      <w:r>
        <w:rPr>
          <w:b/>
          <w:bCs/>
          <w:lang w:val="fr-FR"/>
        </w:rPr>
        <w:t>à</w:t>
      </w:r>
      <w:r>
        <w:rPr>
          <w:b/>
          <w:bCs/>
          <w:lang w:val="fr-FR"/>
        </w:rPr>
        <w:noBreakHyphen/>
      </w:r>
      <w:r>
        <w:rPr>
          <w:b/>
          <w:bCs/>
          <w:lang w:val="fr-FR"/>
        </w:rPr>
        <w:t>dire les véhicules qui ne sont pas équipés de dispositif d’assistance par affichage dans le champ de vision). </w:t>
      </w:r>
      <w:r w:rsidRPr="008945FE">
        <w:rPr>
          <w:lang w:val="fr-FR"/>
        </w:rPr>
        <w:t>».</w:t>
      </w:r>
    </w:p>
    <w:p w14:paraId="09566AAA" w14:textId="77777777" w:rsidR="00A61820" w:rsidRPr="00F2075A" w:rsidRDefault="00A61820" w:rsidP="00A61820">
      <w:pPr>
        <w:pStyle w:val="SingleTxtG"/>
      </w:pPr>
      <w:r>
        <w:rPr>
          <w:i/>
          <w:iCs/>
          <w:lang w:val="fr-FR"/>
        </w:rPr>
        <w:t xml:space="preserve">Les paragraphes 12.12 et 12.13 </w:t>
      </w:r>
      <w:r>
        <w:rPr>
          <w:lang w:val="fr-FR"/>
        </w:rPr>
        <w:t>deviennent les paragraphes 12.17 et 12.18.</w:t>
      </w:r>
    </w:p>
    <w:p w14:paraId="5346B5AD" w14:textId="261D004E" w:rsidR="00A61820" w:rsidRPr="00F2075A" w:rsidRDefault="00A61820" w:rsidP="00A61820">
      <w:pPr>
        <w:pStyle w:val="SingleTxtG"/>
        <w:rPr>
          <w:bCs/>
        </w:rPr>
      </w:pPr>
      <w:r>
        <w:rPr>
          <w:i/>
          <w:iCs/>
          <w:lang w:val="fr-FR"/>
        </w:rPr>
        <w:t>Annexe 2</w:t>
      </w:r>
      <w:r>
        <w:rPr>
          <w:lang w:val="fr-FR"/>
        </w:rPr>
        <w:t>, lire</w:t>
      </w:r>
      <w:r>
        <w:rPr>
          <w:lang w:val="fr-FR"/>
        </w:rPr>
        <w:t> </w:t>
      </w:r>
      <w:r>
        <w:rPr>
          <w:lang w:val="fr-FR"/>
        </w:rPr>
        <w:t>:</w:t>
      </w:r>
    </w:p>
    <w:p w14:paraId="5AB49758" w14:textId="77777777" w:rsidR="00A61820" w:rsidRPr="00F2075A" w:rsidRDefault="00A61820" w:rsidP="00A61820">
      <w:pPr>
        <w:pStyle w:val="HChG"/>
      </w:pPr>
      <w:bookmarkStart w:id="6" w:name="_Toc108926532"/>
      <w:bookmarkStart w:id="7" w:name="_Toc108926533"/>
      <w:r w:rsidRPr="00A61820">
        <w:rPr>
          <w:b w:val="0"/>
          <w:bCs/>
          <w:sz w:val="20"/>
          <w:lang w:val="fr-FR"/>
        </w:rPr>
        <w:t>«</w:t>
      </w:r>
      <w:r>
        <w:rPr>
          <w:lang w:val="fr-FR"/>
        </w:rPr>
        <w:t> Annexe 2</w:t>
      </w:r>
      <w:bookmarkEnd w:id="6"/>
    </w:p>
    <w:p w14:paraId="5D1F0194" w14:textId="77777777" w:rsidR="00A61820" w:rsidRPr="00F2075A" w:rsidRDefault="00A61820" w:rsidP="00A61820">
      <w:pPr>
        <w:pStyle w:val="HChG"/>
      </w:pPr>
      <w:r>
        <w:rPr>
          <w:lang w:val="fr-FR"/>
        </w:rPr>
        <w:tab/>
      </w:r>
      <w:r>
        <w:rPr>
          <w:lang w:val="fr-FR"/>
        </w:rPr>
        <w:tab/>
        <w:t>Exemples de marques d’homologation</w:t>
      </w:r>
      <w:bookmarkEnd w:id="7"/>
    </w:p>
    <w:p w14:paraId="098C7937" w14:textId="2F3150F2" w:rsidR="00A61820" w:rsidRDefault="00A61820" w:rsidP="00A61820">
      <w:pPr>
        <w:pStyle w:val="SingleTxtG"/>
        <w:rPr>
          <w:vanish/>
          <w:sz w:val="16"/>
          <w:szCs w:val="16"/>
          <w:lang w:val="fr-FR"/>
        </w:rPr>
      </w:pPr>
      <w:r>
        <w:rPr>
          <w:lang w:val="fr-FR"/>
        </w:rPr>
        <w:t>(Voir les paragraphes 4.4 à 4.4.2 du présent Règlement)</w:t>
      </w:r>
      <w:r w:rsidRPr="00983D0E">
        <w:rPr>
          <w:vanish/>
          <w:sz w:val="16"/>
          <w:szCs w:val="16"/>
          <w:lang w:val="fr-FR"/>
        </w:rPr>
        <w:t>)</w:t>
      </w:r>
    </w:p>
    <w:p w14:paraId="11FB2E95" w14:textId="5DB091CA" w:rsidR="0071391F" w:rsidRDefault="0071391F" w:rsidP="00A61820">
      <w:pPr>
        <w:pStyle w:val="SingleTxtG"/>
      </w:pPr>
      <w:r>
        <w:rPr>
          <w:noProof/>
        </w:rPr>
        <w:drawing>
          <wp:inline distT="0" distB="0" distL="0" distR="0" wp14:anchorId="59D5EB64" wp14:editId="2656F6BE">
            <wp:extent cx="4680000" cy="1100897"/>
            <wp:effectExtent l="0" t="0" r="635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000" cy="1100897"/>
                    </a:xfrm>
                    <a:prstGeom prst="rect">
                      <a:avLst/>
                    </a:prstGeom>
                  </pic:spPr>
                </pic:pic>
              </a:graphicData>
            </a:graphic>
          </wp:inline>
        </w:drawing>
      </w:r>
    </w:p>
    <w:p w14:paraId="701428B6" w14:textId="05DD27DA" w:rsidR="00A61820" w:rsidRPr="00F2075A" w:rsidRDefault="00A61820" w:rsidP="00A61820">
      <w:pPr>
        <w:pStyle w:val="SingleTxtG"/>
        <w:spacing w:before="120"/>
        <w:ind w:firstLine="567"/>
      </w:pPr>
      <w:r>
        <w:rPr>
          <w:lang w:val="fr-FR"/>
        </w:rPr>
        <w:t>La marque d’homologation ci-dessus, apposée sur un véhicule, indique que le type de ce véhicule a été homologué en Belgique (E6) en ce qui concerne le champ de vision du conducteur</w:t>
      </w:r>
      <w:r w:rsidRPr="00424BCE">
        <w:rPr>
          <w:lang w:val="fr-FR"/>
        </w:rPr>
        <w:t xml:space="preserve"> </w:t>
      </w:r>
      <w:r>
        <w:rPr>
          <w:lang w:val="fr-FR"/>
        </w:rPr>
        <w:t xml:space="preserve">vers l’avant, en vertu du Règlement </w:t>
      </w:r>
      <w:r w:rsidRPr="00A61820">
        <w:rPr>
          <w:rFonts w:eastAsia="MS Mincho"/>
          <w:lang w:val="fr-FR"/>
        </w:rPr>
        <w:t>n</w:t>
      </w:r>
      <w:r w:rsidRPr="00A61820">
        <w:rPr>
          <w:rFonts w:eastAsia="MS Mincho"/>
          <w:vertAlign w:val="superscript"/>
          <w:lang w:val="fr-FR"/>
        </w:rPr>
        <w:t>o</w:t>
      </w:r>
      <w:r>
        <w:rPr>
          <w:lang w:val="fr-FR"/>
        </w:rPr>
        <w:t xml:space="preserve"> 125. Les deux premiers chiffres du numéro d’homologation indiquent que celle-ci a été délivrée conformément aux dispositions du Règlement ONU </w:t>
      </w:r>
      <w:r w:rsidRPr="00A61820">
        <w:rPr>
          <w:rFonts w:eastAsia="MS Mincho"/>
          <w:lang w:val="fr-FR"/>
        </w:rPr>
        <w:t>n</w:t>
      </w:r>
      <w:r w:rsidRPr="00A61820">
        <w:rPr>
          <w:rFonts w:eastAsia="MS Mincho"/>
          <w:vertAlign w:val="superscript"/>
          <w:lang w:val="fr-FR"/>
        </w:rPr>
        <w:t>o</w:t>
      </w:r>
      <w:r>
        <w:rPr>
          <w:lang w:val="fr-FR"/>
        </w:rPr>
        <w:t xml:space="preserve"> 125 tel que modifié par la série </w:t>
      </w:r>
      <w:r>
        <w:rPr>
          <w:b/>
          <w:bCs/>
          <w:lang w:val="fr-FR"/>
        </w:rPr>
        <w:t>03</w:t>
      </w:r>
      <w:r>
        <w:rPr>
          <w:lang w:val="fr-FR"/>
        </w:rPr>
        <w:t xml:space="preserve"> d’amendements. ».</w:t>
      </w:r>
    </w:p>
    <w:p w14:paraId="506ACBEC" w14:textId="77777777" w:rsidR="00A61820" w:rsidRPr="00F2075A" w:rsidRDefault="00A61820" w:rsidP="00A61820">
      <w:pPr>
        <w:pStyle w:val="SingleTxtG"/>
        <w:rPr>
          <w:bCs/>
        </w:rPr>
      </w:pPr>
      <w:r>
        <w:rPr>
          <w:i/>
          <w:iCs/>
          <w:lang w:val="fr-FR"/>
        </w:rPr>
        <w:t>Annexe 3, note de bas de page 1</w:t>
      </w:r>
      <w:r>
        <w:rPr>
          <w:lang w:val="fr-FR"/>
        </w:rPr>
        <w:t xml:space="preserve">, lire : </w:t>
      </w:r>
    </w:p>
    <w:p w14:paraId="12FB220B" w14:textId="5AAC853B" w:rsidR="00A61820" w:rsidRPr="00F2075A" w:rsidRDefault="00A61820" w:rsidP="0071391F">
      <w:pPr>
        <w:pStyle w:val="Notedebasdepage"/>
        <w:widowControl w:val="0"/>
        <w:kinsoku/>
        <w:overflowPunct/>
        <w:autoSpaceDE/>
        <w:autoSpaceDN/>
        <w:adjustRightInd/>
        <w:snapToGrid/>
        <w:rPr>
          <w:rFonts w:eastAsia="MS Mincho"/>
          <w:b/>
          <w:color w:val="000000"/>
          <w:sz w:val="28"/>
          <w:szCs w:val="28"/>
        </w:rPr>
      </w:pPr>
      <w:r>
        <w:rPr>
          <w:lang w:val="fr-FR"/>
        </w:rPr>
        <w:tab/>
      </w:r>
      <w:r>
        <w:rPr>
          <w:lang w:val="fr-FR"/>
        </w:rPr>
        <w:t>« </w:t>
      </w:r>
      <w:r>
        <w:rPr>
          <w:vertAlign w:val="superscript"/>
          <w:lang w:val="fr-FR"/>
        </w:rPr>
        <w:t>1</w:t>
      </w:r>
      <w:r>
        <w:rPr>
          <w:lang w:val="fr-FR"/>
        </w:rPr>
        <w:tab/>
        <w:t xml:space="preserve">La procédure est décrite </w:t>
      </w:r>
      <w:r>
        <w:rPr>
          <w:strike/>
          <w:lang w:val="fr-FR"/>
        </w:rPr>
        <w:t xml:space="preserve">à l’annexe 1 de la Résolution d’ensemble sur la construction des véhicules (R.E.3) (document </w:t>
      </w:r>
      <w:r w:rsidRPr="0071391F">
        <w:rPr>
          <w:strike/>
          <w:lang w:val="fr-FR"/>
        </w:rPr>
        <w:t>ECE/TRANS/WP.29/78/Rev.2</w:t>
      </w:r>
      <w:r>
        <w:rPr>
          <w:strike/>
          <w:lang w:val="fr-FR"/>
        </w:rPr>
        <w:t xml:space="preserve">) − www.unece.org/trans/main/wp29/wp29wgs/wp29gen/wp29resolutions.html. </w:t>
      </w:r>
      <w:r>
        <w:rPr>
          <w:b/>
          <w:bCs/>
          <w:lang w:val="fr-FR"/>
        </w:rPr>
        <w:t xml:space="preserve">dans l’additif 6 à la R.M.1, document </w:t>
      </w:r>
      <w:hyperlink r:id="rId9" w:history="1">
        <w:r w:rsidRPr="00A61820">
          <w:rPr>
            <w:rStyle w:val="Lienhypertexte"/>
            <w:b/>
            <w:bCs/>
            <w:lang w:val="fr-FR"/>
          </w:rPr>
          <w:t>ECE/TRANS/WP.29/1101/Amend.5</w:t>
        </w:r>
      </w:hyperlink>
      <w:r>
        <w:rPr>
          <w:lang w:val="fr-FR"/>
        </w:rPr>
        <w:t xml:space="preserve"> (</w:t>
      </w:r>
      <w:r>
        <w:rPr>
          <w:b/>
          <w:bCs/>
          <w:lang w:val="fr-FR"/>
        </w:rPr>
        <w:t xml:space="preserve">voir </w:t>
      </w:r>
      <w:hyperlink r:id="rId10" w:history="1">
        <w:r w:rsidR="0071391F" w:rsidRPr="00B77573">
          <w:rPr>
            <w:rStyle w:val="Lienhypertexte"/>
            <w:b/>
            <w:bCs/>
            <w:lang w:val="fr-FR"/>
          </w:rPr>
          <w:t>https://unece.org/transport/vehicle-regulations/wp29/resolutions</w:t>
        </w:r>
      </w:hyperlink>
      <w:r>
        <w:rPr>
          <w:b/>
          <w:bCs/>
          <w:lang w:val="fr-FR"/>
        </w:rPr>
        <w:t>). </w:t>
      </w:r>
      <w:r w:rsidRPr="008945FE">
        <w:rPr>
          <w:lang w:val="fr-FR"/>
        </w:rPr>
        <w:t>».</w:t>
      </w:r>
      <w:bookmarkEnd w:id="4"/>
      <w:bookmarkEnd w:id="5"/>
      <w:r w:rsidRPr="00F2075A">
        <w:rPr>
          <w:rFonts w:eastAsia="MS Mincho"/>
          <w:b/>
          <w:color w:val="000000"/>
          <w:sz w:val="28"/>
          <w:szCs w:val="28"/>
        </w:rPr>
        <w:br w:type="page"/>
      </w:r>
    </w:p>
    <w:p w14:paraId="4755A948" w14:textId="7145EC3F" w:rsidR="00A61820" w:rsidRDefault="0071391F" w:rsidP="0071391F">
      <w:pPr>
        <w:pStyle w:val="HChG"/>
        <w:rPr>
          <w:rFonts w:eastAsia="MS Mincho"/>
          <w:color w:val="000000"/>
          <w:szCs w:val="28"/>
        </w:rPr>
      </w:pPr>
      <w:r>
        <w:rPr>
          <w:lang w:val="fr-FR"/>
        </w:rPr>
        <w:tab/>
      </w:r>
      <w:r w:rsidR="00A61820">
        <w:rPr>
          <w:lang w:val="fr-FR"/>
        </w:rPr>
        <w:t>II.</w:t>
      </w:r>
      <w:r w:rsidR="00A61820">
        <w:rPr>
          <w:lang w:val="fr-FR"/>
        </w:rPr>
        <w:tab/>
        <w:t>Justification</w:t>
      </w:r>
    </w:p>
    <w:p w14:paraId="3C4C0C38" w14:textId="3E5C8468" w:rsidR="00A61820" w:rsidRPr="00F2075A" w:rsidRDefault="00A61820" w:rsidP="00A61820">
      <w:pPr>
        <w:pStyle w:val="SingleTxtG"/>
        <w:rPr>
          <w:rFonts w:eastAsia="Malgun Gothic"/>
        </w:rPr>
      </w:pPr>
      <w:r w:rsidRPr="0071391F">
        <w:rPr>
          <w:lang w:val="fr-FR"/>
        </w:rPr>
        <w:t>1.</w:t>
      </w:r>
      <w:r w:rsidRPr="0071391F">
        <w:rPr>
          <w:lang w:val="fr-FR"/>
        </w:rPr>
        <w:tab/>
        <w:t xml:space="preserve">Le groupe FVA a élaboré un nouveau Règlement ONU relatif aux dispositifs d’assistance par affichage dans le champ de vision, qui s’applique à l’ensemble des véhicules des catégories M et N et remplace les prescriptions particulières introduites dans la série 02 d’amendements au Règlement ONU </w:t>
      </w:r>
      <w:r w:rsidR="0071391F" w:rsidRPr="0071391F">
        <w:rPr>
          <w:rFonts w:eastAsia="MS Mincho"/>
          <w:lang w:val="fr-FR"/>
        </w:rPr>
        <w:t>n</w:t>
      </w:r>
      <w:r w:rsidR="0071391F" w:rsidRPr="0071391F">
        <w:rPr>
          <w:rFonts w:eastAsia="MS Mincho"/>
          <w:vertAlign w:val="superscript"/>
          <w:lang w:val="fr-FR"/>
        </w:rPr>
        <w:t>o</w:t>
      </w:r>
      <w:r w:rsidRPr="0071391F">
        <w:rPr>
          <w:lang w:val="fr-FR"/>
        </w:rPr>
        <w:t xml:space="preserve"> 125 pour les véhicules des catégories M</w:t>
      </w:r>
      <w:r w:rsidRPr="0071391F">
        <w:rPr>
          <w:vertAlign w:val="subscript"/>
          <w:lang w:val="fr-FR"/>
        </w:rPr>
        <w:t>1</w:t>
      </w:r>
      <w:r w:rsidRPr="0071391F">
        <w:rPr>
          <w:lang w:val="fr-FR"/>
        </w:rPr>
        <w:t xml:space="preserve"> et N</w:t>
      </w:r>
      <w:r w:rsidRPr="0071391F">
        <w:rPr>
          <w:vertAlign w:val="subscript"/>
          <w:lang w:val="fr-FR"/>
        </w:rPr>
        <w:t>1</w:t>
      </w:r>
      <w:r w:rsidRPr="0071391F">
        <w:rPr>
          <w:lang w:val="fr-FR"/>
        </w:rPr>
        <w:t>. Les dispositions transitoires du Règlement ONU n</w:t>
      </w:r>
      <w:r w:rsidRPr="0071391F">
        <w:rPr>
          <w:vertAlign w:val="superscript"/>
          <w:lang w:val="fr-FR"/>
        </w:rPr>
        <w:t>o</w:t>
      </w:r>
      <w:r w:rsidRPr="0071391F">
        <w:rPr>
          <w:lang w:val="fr-FR"/>
        </w:rPr>
        <w:t xml:space="preserve"> 125 sont donc alignées sur le calendrier d’entrée en vigueur du nouveau Règlement ONU et les prescriptions particulières relatives aux dispositifs d’assistance par affichage dans le champ de vision sont supprimées. Les dispositions relatives aux dispositifs d’assistance par affichage dans le champ de vision énoncées dans le nouveau Règlement étant plus spécifiques et détaillées que celles auparavant énoncées dans le Règlement ONU </w:t>
      </w:r>
      <w:r w:rsidR="0071391F" w:rsidRPr="0071391F">
        <w:rPr>
          <w:rFonts w:eastAsia="MS Mincho"/>
          <w:lang w:val="fr-FR"/>
        </w:rPr>
        <w:t>n</w:t>
      </w:r>
      <w:r w:rsidR="0071391F" w:rsidRPr="0071391F">
        <w:rPr>
          <w:rFonts w:eastAsia="MS Mincho"/>
          <w:vertAlign w:val="superscript"/>
          <w:lang w:val="fr-FR"/>
        </w:rPr>
        <w:t>o</w:t>
      </w:r>
      <w:r w:rsidRPr="0071391F">
        <w:rPr>
          <w:lang w:val="fr-FR"/>
        </w:rPr>
        <w:t xml:space="preserve"> 125, une période de transition s’impose pour les types de véhicules existants.</w:t>
      </w:r>
    </w:p>
    <w:p w14:paraId="4C7D8ABF" w14:textId="77777777" w:rsidR="00A61820" w:rsidRPr="00F2075A" w:rsidRDefault="00A61820" w:rsidP="00A61820">
      <w:pPr>
        <w:pStyle w:val="SingleTxtG"/>
        <w:rPr>
          <w:rFonts w:eastAsia="Malgun Gothic"/>
        </w:rPr>
      </w:pPr>
      <w:r>
        <w:rPr>
          <w:lang w:val="fr-FR"/>
        </w:rPr>
        <w:t>2.</w:t>
      </w:r>
      <w:r>
        <w:rPr>
          <w:lang w:val="fr-FR"/>
        </w:rPr>
        <w:tab/>
        <w:t>Les spécifications de la machine tridimensionnelle de positionnement du point H ont été actualisées et transférées de la R.E.3. à la M.R.1. Une procédure d’étalonnage a également été ajoutée afin que la machine 3-D H utilisée pour tous les essais prévus dans les Règlements ONU et Règlements techniques mondiaux ONU soit toujours la même et donne des résultats cohérents d’un Règlement à l’autre.</w:t>
      </w:r>
    </w:p>
    <w:p w14:paraId="565006AC" w14:textId="6D07EF46" w:rsidR="00F9573C" w:rsidRPr="00A61820" w:rsidRDefault="00A61820" w:rsidP="00A61820">
      <w:pPr>
        <w:spacing w:before="240"/>
        <w:jc w:val="center"/>
        <w:rPr>
          <w:u w:val="single"/>
        </w:rPr>
      </w:pPr>
      <w:r w:rsidRPr="00F2075A">
        <w:rPr>
          <w:u w:val="single"/>
        </w:rPr>
        <w:tab/>
      </w:r>
      <w:r w:rsidRPr="00F2075A">
        <w:rPr>
          <w:u w:val="single"/>
        </w:rPr>
        <w:tab/>
      </w:r>
      <w:r w:rsidRPr="00F2075A">
        <w:rPr>
          <w:u w:val="single"/>
        </w:rPr>
        <w:tab/>
      </w:r>
    </w:p>
    <w:sectPr w:rsidR="00F9573C" w:rsidRPr="00A61820" w:rsidSect="00A6182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0222" w14:textId="77777777" w:rsidR="00A71225" w:rsidRDefault="00A71225" w:rsidP="00F95C08">
      <w:pPr>
        <w:spacing w:line="240" w:lineRule="auto"/>
      </w:pPr>
    </w:p>
  </w:endnote>
  <w:endnote w:type="continuationSeparator" w:id="0">
    <w:p w14:paraId="758594CE" w14:textId="77777777" w:rsidR="00A71225" w:rsidRPr="00AC3823" w:rsidRDefault="00A71225" w:rsidP="00AC3823">
      <w:pPr>
        <w:pStyle w:val="Pieddepage"/>
      </w:pPr>
    </w:p>
  </w:endnote>
  <w:endnote w:type="continuationNotice" w:id="1">
    <w:p w14:paraId="493E366B" w14:textId="77777777" w:rsidR="00A71225" w:rsidRDefault="00A712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2E91" w14:textId="158697E3" w:rsidR="00A61820" w:rsidRPr="00A61820" w:rsidRDefault="00A61820" w:rsidP="00A61820">
    <w:pPr>
      <w:pStyle w:val="Pieddepage"/>
      <w:tabs>
        <w:tab w:val="right" w:pos="9638"/>
      </w:tabs>
    </w:pPr>
    <w:r w:rsidRPr="00A61820">
      <w:rPr>
        <w:b/>
        <w:sz w:val="18"/>
      </w:rPr>
      <w:fldChar w:fldCharType="begin"/>
    </w:r>
    <w:r w:rsidRPr="00A61820">
      <w:rPr>
        <w:b/>
        <w:sz w:val="18"/>
      </w:rPr>
      <w:instrText xml:space="preserve"> PAGE  \* MERGEFORMAT </w:instrText>
    </w:r>
    <w:r w:rsidRPr="00A61820">
      <w:rPr>
        <w:b/>
        <w:sz w:val="18"/>
      </w:rPr>
      <w:fldChar w:fldCharType="separate"/>
    </w:r>
    <w:r w:rsidRPr="00A61820">
      <w:rPr>
        <w:b/>
        <w:noProof/>
        <w:sz w:val="18"/>
      </w:rPr>
      <w:t>2</w:t>
    </w:r>
    <w:r w:rsidRPr="00A61820">
      <w:rPr>
        <w:b/>
        <w:sz w:val="18"/>
      </w:rPr>
      <w:fldChar w:fldCharType="end"/>
    </w:r>
    <w:r>
      <w:rPr>
        <w:b/>
        <w:sz w:val="18"/>
      </w:rPr>
      <w:tab/>
    </w:r>
    <w:r>
      <w:t>GE.24-01577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80B7" w14:textId="08EA755C" w:rsidR="00A61820" w:rsidRPr="00A61820" w:rsidRDefault="00A61820" w:rsidP="00A61820">
    <w:pPr>
      <w:pStyle w:val="Pieddepage"/>
      <w:tabs>
        <w:tab w:val="right" w:pos="9638"/>
      </w:tabs>
      <w:rPr>
        <w:b/>
        <w:sz w:val="18"/>
      </w:rPr>
    </w:pPr>
    <w:r>
      <w:t>GE.24-01577</w:t>
    </w:r>
    <w:r>
      <w:tab/>
    </w:r>
    <w:r w:rsidRPr="00A61820">
      <w:rPr>
        <w:b/>
        <w:sz w:val="18"/>
      </w:rPr>
      <w:fldChar w:fldCharType="begin"/>
    </w:r>
    <w:r w:rsidRPr="00A61820">
      <w:rPr>
        <w:b/>
        <w:sz w:val="18"/>
      </w:rPr>
      <w:instrText xml:space="preserve"> PAGE  \* MERGEFORMAT </w:instrText>
    </w:r>
    <w:r w:rsidRPr="00A61820">
      <w:rPr>
        <w:b/>
        <w:sz w:val="18"/>
      </w:rPr>
      <w:fldChar w:fldCharType="separate"/>
    </w:r>
    <w:r w:rsidRPr="00A61820">
      <w:rPr>
        <w:b/>
        <w:noProof/>
        <w:sz w:val="18"/>
      </w:rPr>
      <w:t>3</w:t>
    </w:r>
    <w:r w:rsidRPr="00A618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1C7F" w14:textId="155D2A1C" w:rsidR="007F20FA" w:rsidRPr="00A61820" w:rsidRDefault="00A61820" w:rsidP="00A6182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AFB69E7" wp14:editId="4B04143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24-01577  (F)</w:t>
    </w:r>
    <w:r>
      <w:rPr>
        <w:noProof/>
        <w:sz w:val="20"/>
      </w:rPr>
      <w:drawing>
        <wp:anchor distT="0" distB="0" distL="114300" distR="114300" simplePos="0" relativeHeight="251660288" behindDoc="0" locked="0" layoutInCell="1" allowOverlap="1" wp14:anchorId="74E3961C" wp14:editId="7429358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190224    200224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B0D2" w14:textId="77777777" w:rsidR="00A71225" w:rsidRPr="00AC3823" w:rsidRDefault="00A71225" w:rsidP="00AC3823">
      <w:pPr>
        <w:pStyle w:val="Pieddepage"/>
        <w:tabs>
          <w:tab w:val="right" w:pos="2155"/>
        </w:tabs>
        <w:spacing w:after="80" w:line="240" w:lineRule="atLeast"/>
        <w:ind w:left="680"/>
        <w:rPr>
          <w:u w:val="single"/>
        </w:rPr>
      </w:pPr>
      <w:r>
        <w:rPr>
          <w:u w:val="single"/>
        </w:rPr>
        <w:tab/>
      </w:r>
    </w:p>
  </w:footnote>
  <w:footnote w:type="continuationSeparator" w:id="0">
    <w:p w14:paraId="4841CC33" w14:textId="77777777" w:rsidR="00A71225" w:rsidRPr="00AC3823" w:rsidRDefault="00A71225" w:rsidP="00AC3823">
      <w:pPr>
        <w:pStyle w:val="Pieddepage"/>
        <w:tabs>
          <w:tab w:val="right" w:pos="2155"/>
        </w:tabs>
        <w:spacing w:after="80" w:line="240" w:lineRule="atLeast"/>
        <w:ind w:left="680"/>
        <w:rPr>
          <w:u w:val="single"/>
        </w:rPr>
      </w:pPr>
      <w:r>
        <w:rPr>
          <w:u w:val="single"/>
        </w:rPr>
        <w:tab/>
      </w:r>
    </w:p>
  </w:footnote>
  <w:footnote w:type="continuationNotice" w:id="1">
    <w:p w14:paraId="0254797E" w14:textId="77777777" w:rsidR="00A71225" w:rsidRPr="00AC3823" w:rsidRDefault="00A71225">
      <w:pPr>
        <w:spacing w:line="240" w:lineRule="auto"/>
        <w:rPr>
          <w:sz w:val="2"/>
          <w:szCs w:val="2"/>
        </w:rPr>
      </w:pPr>
    </w:p>
  </w:footnote>
  <w:footnote w:id="2">
    <w:p w14:paraId="3515A705" w14:textId="0DF2BD12" w:rsidR="00A61820" w:rsidRPr="00F2075A" w:rsidRDefault="00A61820" w:rsidP="00A61820">
      <w:pPr>
        <w:pStyle w:val="Notedebasdepage"/>
      </w:pPr>
      <w:r>
        <w:rPr>
          <w:lang w:val="fr-FR"/>
        </w:rPr>
        <w:tab/>
      </w:r>
      <w:r w:rsidRPr="00A61820">
        <w:t>*</w:t>
      </w:r>
      <w:r>
        <w:rPr>
          <w:lang w:val="fr-FR"/>
        </w:rPr>
        <w:tab/>
        <w:t>Conformément au programme de travail du Comité des transports intérieurs pour 2024 tel qu’il figure dans le projet de budget-programme pour 2024 (</w:t>
      </w:r>
      <w:hyperlink r:id="rId1" w:history="1">
        <w:r w:rsidRPr="00A61820">
          <w:rPr>
            <w:rStyle w:val="Lienhypertexte"/>
            <w:lang w:val="fr-FR"/>
          </w:rPr>
          <w:t>A/78/6</w:t>
        </w:r>
      </w:hyperlink>
      <w:r>
        <w:rPr>
          <w:lang w:val="fr-FR"/>
        </w:rPr>
        <w:t xml:space="preserve">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1AB52E1B" w14:textId="5A7C2C1E" w:rsidR="00A61820" w:rsidRPr="008945FE" w:rsidRDefault="00A61820" w:rsidP="00A61820">
      <w:pPr>
        <w:pStyle w:val="Notedebasdepage"/>
        <w:tabs>
          <w:tab w:val="clear" w:pos="1021"/>
          <w:tab w:val="right" w:pos="993"/>
        </w:tabs>
        <w:ind w:hanging="141"/>
        <w:rPr>
          <w:b/>
          <w:bCs/>
        </w:rPr>
      </w:pPr>
      <w:r>
        <w:rPr>
          <w:rStyle w:val="Appelnotedebasdep"/>
          <w:lang w:val="fr-FR"/>
        </w:rPr>
        <w:footnoteRef/>
      </w:r>
      <w:r>
        <w:rPr>
          <w:lang w:val="fr-FR"/>
        </w:rPr>
        <w:t xml:space="preserve"> </w:t>
      </w:r>
      <w:r>
        <w:rPr>
          <w:lang w:val="fr-FR"/>
        </w:rPr>
        <w:tab/>
      </w:r>
      <w:r>
        <w:rPr>
          <w:b/>
          <w:bCs/>
          <w:lang w:val="fr-FR"/>
        </w:rPr>
        <w:t xml:space="preserve">Additif 6 à la Résolution mutuelle no 1 (M.R.1), document </w:t>
      </w:r>
      <w:hyperlink r:id="rId2" w:history="1">
        <w:r w:rsidRPr="00A61820">
          <w:rPr>
            <w:rStyle w:val="Lienhypertexte"/>
            <w:b/>
            <w:bCs/>
            <w:lang w:val="fr-FR"/>
          </w:rPr>
          <w:t>ECE/TRANS/WP.29/1101/Amend.5</w:t>
        </w:r>
      </w:hyperlink>
      <w:r w:rsidRPr="008945FE">
        <w:rPr>
          <w:b/>
          <w:bCs/>
          <w:lang w:val="fr-FR"/>
        </w:rPr>
        <w:t xml:space="preserve"> (voir https://unece.org/transport/vehicle-regulations/wp29/resolutions).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6F5B" w14:textId="2E271F6A" w:rsidR="00A61820" w:rsidRPr="00A61820" w:rsidRDefault="00A61820">
    <w:pPr>
      <w:pStyle w:val="En-tte"/>
    </w:pPr>
    <w:fldSimple w:instr=" TITLE  \* MERGEFORMAT ">
      <w:r>
        <w:t>ECE/TRANS/WP.29/GRSG/2024/23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CD39" w14:textId="216C06AE" w:rsidR="00A61820" w:rsidRPr="00A61820" w:rsidRDefault="00A61820" w:rsidP="00A61820">
    <w:pPr>
      <w:pStyle w:val="En-tte"/>
      <w:jc w:val="right"/>
    </w:pPr>
    <w:fldSimple w:instr=" TITLE  \* MERGEFORMAT ">
      <w:r>
        <w:t>ECE/TRANS/WP.29/GRSG/2024/23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5373299">
    <w:abstractNumId w:val="12"/>
  </w:num>
  <w:num w:numId="2" w16cid:durableId="673344740">
    <w:abstractNumId w:val="11"/>
  </w:num>
  <w:num w:numId="3" w16cid:durableId="250742403">
    <w:abstractNumId w:val="10"/>
  </w:num>
  <w:num w:numId="4" w16cid:durableId="715590251">
    <w:abstractNumId w:val="8"/>
  </w:num>
  <w:num w:numId="5" w16cid:durableId="1205168321">
    <w:abstractNumId w:val="3"/>
  </w:num>
  <w:num w:numId="6" w16cid:durableId="249048965">
    <w:abstractNumId w:val="2"/>
  </w:num>
  <w:num w:numId="7" w16cid:durableId="1720782747">
    <w:abstractNumId w:val="1"/>
  </w:num>
  <w:num w:numId="8" w16cid:durableId="1227104849">
    <w:abstractNumId w:val="0"/>
  </w:num>
  <w:num w:numId="9" w16cid:durableId="754672838">
    <w:abstractNumId w:val="9"/>
  </w:num>
  <w:num w:numId="10" w16cid:durableId="1324317046">
    <w:abstractNumId w:val="7"/>
  </w:num>
  <w:num w:numId="11" w16cid:durableId="1207567568">
    <w:abstractNumId w:val="6"/>
  </w:num>
  <w:num w:numId="12" w16cid:durableId="1112087444">
    <w:abstractNumId w:val="5"/>
  </w:num>
  <w:num w:numId="13" w16cid:durableId="178354473">
    <w:abstractNumId w:val="4"/>
  </w:num>
  <w:num w:numId="14" w16cid:durableId="1725366830">
    <w:abstractNumId w:val="12"/>
  </w:num>
  <w:num w:numId="15" w16cid:durableId="976954658">
    <w:abstractNumId w:val="11"/>
  </w:num>
  <w:num w:numId="16" w16cid:durableId="7144317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25"/>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0233"/>
    <w:rsid w:val="00421996"/>
    <w:rsid w:val="00441C3B"/>
    <w:rsid w:val="00446FE5"/>
    <w:rsid w:val="00452396"/>
    <w:rsid w:val="00477EB2"/>
    <w:rsid w:val="004837D8"/>
    <w:rsid w:val="004E2EED"/>
    <w:rsid w:val="004E468C"/>
    <w:rsid w:val="005505B7"/>
    <w:rsid w:val="00573BE5"/>
    <w:rsid w:val="00586ED3"/>
    <w:rsid w:val="00596AA9"/>
    <w:rsid w:val="0071391F"/>
    <w:rsid w:val="0071601D"/>
    <w:rsid w:val="007A62E6"/>
    <w:rsid w:val="007F20FA"/>
    <w:rsid w:val="0080684C"/>
    <w:rsid w:val="00871C75"/>
    <w:rsid w:val="008776DC"/>
    <w:rsid w:val="008D5EF9"/>
    <w:rsid w:val="009446C0"/>
    <w:rsid w:val="009705C8"/>
    <w:rsid w:val="009C1CF4"/>
    <w:rsid w:val="009F6B74"/>
    <w:rsid w:val="00A3029F"/>
    <w:rsid w:val="00A30353"/>
    <w:rsid w:val="00A61820"/>
    <w:rsid w:val="00A71225"/>
    <w:rsid w:val="00AC3823"/>
    <w:rsid w:val="00AE323C"/>
    <w:rsid w:val="00AF0CB5"/>
    <w:rsid w:val="00B00181"/>
    <w:rsid w:val="00B00B0D"/>
    <w:rsid w:val="00B45F2E"/>
    <w:rsid w:val="00B765F7"/>
    <w:rsid w:val="00B77993"/>
    <w:rsid w:val="00BA0CA9"/>
    <w:rsid w:val="00C02897"/>
    <w:rsid w:val="00C50704"/>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E78762"/>
  <w15:docId w15:val="{06842FBF-CD30-4375-B3A3-02DD2DF7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A61820"/>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A61820"/>
    <w:rPr>
      <w:rFonts w:ascii="Times New Roman" w:eastAsiaTheme="minorHAnsi" w:hAnsi="Times New Roman" w:cs="Times New Roman"/>
      <w:sz w:val="20"/>
      <w:szCs w:val="20"/>
      <w:lang w:eastAsia="en-US"/>
    </w:rPr>
  </w:style>
  <w:style w:type="paragraph" w:customStyle="1" w:styleId="Para">
    <w:name w:val="Para"/>
    <w:basedOn w:val="Normal"/>
    <w:qFormat/>
    <w:rsid w:val="00A61820"/>
    <w:pPr>
      <w:suppressAutoHyphens w:val="0"/>
      <w:kinsoku/>
      <w:overflowPunct/>
      <w:autoSpaceDE/>
      <w:autoSpaceDN/>
      <w:adjustRightInd/>
      <w:snapToGrid/>
      <w:spacing w:after="120"/>
      <w:ind w:left="2268" w:right="1134" w:hanging="1134"/>
      <w:jc w:val="both"/>
    </w:pPr>
    <w:rPr>
      <w:rFonts w:eastAsia="Times New Roman"/>
      <w:lang w:val="en-GB"/>
    </w:rPr>
  </w:style>
  <w:style w:type="character" w:styleId="Mentionnonrsolue">
    <w:name w:val="Unresolved Mention"/>
    <w:basedOn w:val="Policepardfaut"/>
    <w:uiPriority w:val="99"/>
    <w:semiHidden/>
    <w:unhideWhenUsed/>
    <w:rsid w:val="00A61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nece.org/transport/vehicle-regulations/wp29/resolution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undocs.org/fr/ECE/TRANS/WP.29/1101/Amend.5"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fr/ECE/TRANS/WP.29/1101/Amend.5" TargetMode="External"/><Relationship Id="rId1" Type="http://schemas.openxmlformats.org/officeDocument/2006/relationships/hyperlink" Target="http://undocs.org/fr/A/7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731F0-0239-43DD-8274-0A1E0D716F8B}"/>
</file>

<file path=customXml/itemProps2.xml><?xml version="1.0" encoding="utf-8"?>
<ds:datastoreItem xmlns:ds="http://schemas.openxmlformats.org/officeDocument/2006/customXml" ds:itemID="{1A2ED326-739C-47F4-91A4-7816EB4CDB64}"/>
</file>

<file path=docProps/app.xml><?xml version="1.0" encoding="utf-8"?>
<Properties xmlns="http://schemas.openxmlformats.org/officeDocument/2006/extended-properties" xmlns:vt="http://schemas.openxmlformats.org/officeDocument/2006/docPropsVTypes">
  <Template>ECE_TRANS.dotm</Template>
  <TotalTime>2</TotalTime>
  <Pages>4</Pages>
  <Words>1340</Words>
  <Characters>7399</Characters>
  <Application>Microsoft Office Word</Application>
  <DocSecurity>0</DocSecurity>
  <Lines>151</Lines>
  <Paragraphs>61</Paragraphs>
  <ScaleCrop>false</ScaleCrop>
  <HeadingPairs>
    <vt:vector size="2" baseType="variant">
      <vt:variant>
        <vt:lpstr>Titre</vt:lpstr>
      </vt:variant>
      <vt:variant>
        <vt:i4>1</vt:i4>
      </vt:variant>
    </vt:vector>
  </HeadingPairs>
  <TitlesOfParts>
    <vt:vector size="1" baseType="lpstr">
      <vt:lpstr>ECE/TRANS/WP.29/GRSG/2024/23</vt:lpstr>
    </vt:vector>
  </TitlesOfParts>
  <Company>DCM</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ECE/TRANS/WP.29/GRSG/2024/23</dc:title>
  <dc:subject/>
  <dc:creator>Sandrine CLERE</dc:creator>
  <cp:keywords/>
  <cp:lastModifiedBy>Sandrine Clere</cp:lastModifiedBy>
  <cp:revision>2</cp:revision>
  <cp:lastPrinted>2014-05-14T10:59:00Z</cp:lastPrinted>
  <dcterms:created xsi:type="dcterms:W3CDTF">2024-02-20T09:30:00Z</dcterms:created>
  <dcterms:modified xsi:type="dcterms:W3CDTF">2024-02-20T09:30:00Z</dcterms:modified>
</cp:coreProperties>
</file>