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396AE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41D518" w14:textId="77777777" w:rsidR="00F35BAF" w:rsidRPr="00DB58B5" w:rsidRDefault="00F35BAF" w:rsidP="008D06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98CCE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F91221" w14:textId="26C26AA5" w:rsidR="00F35BAF" w:rsidRPr="00DB58B5" w:rsidRDefault="008D06D4" w:rsidP="008D06D4">
            <w:pPr>
              <w:jc w:val="right"/>
            </w:pPr>
            <w:r w:rsidRPr="008D06D4">
              <w:rPr>
                <w:sz w:val="40"/>
              </w:rPr>
              <w:t>ECE</w:t>
            </w:r>
            <w:r>
              <w:t>/TRANS/WP.29/GRSG/2024/19</w:t>
            </w:r>
          </w:p>
        </w:tc>
      </w:tr>
      <w:tr w:rsidR="00F35BAF" w:rsidRPr="00DB58B5" w14:paraId="3CB8137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C6335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369BB0" wp14:editId="0DFF629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ACAF9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2680C3" w14:textId="77777777" w:rsidR="00F35BAF" w:rsidRDefault="008D06D4" w:rsidP="00C97039">
            <w:pPr>
              <w:spacing w:before="240"/>
            </w:pPr>
            <w:r>
              <w:t>Distr. générale</w:t>
            </w:r>
          </w:p>
          <w:p w14:paraId="72416A5F" w14:textId="77777777" w:rsidR="008D06D4" w:rsidRDefault="008D06D4" w:rsidP="008D06D4">
            <w:pPr>
              <w:spacing w:line="240" w:lineRule="exact"/>
            </w:pPr>
            <w:r>
              <w:t>30 janvier 2024</w:t>
            </w:r>
          </w:p>
          <w:p w14:paraId="6984E164" w14:textId="77777777" w:rsidR="008D06D4" w:rsidRDefault="008D06D4" w:rsidP="008D06D4">
            <w:pPr>
              <w:spacing w:line="240" w:lineRule="exact"/>
            </w:pPr>
            <w:r>
              <w:t>Français</w:t>
            </w:r>
          </w:p>
          <w:p w14:paraId="33D991B8" w14:textId="69571F6D" w:rsidR="008D06D4" w:rsidRPr="00DB58B5" w:rsidRDefault="008D06D4" w:rsidP="008D06D4">
            <w:pPr>
              <w:spacing w:line="240" w:lineRule="exact"/>
            </w:pPr>
            <w:r>
              <w:t>Original : anglais</w:t>
            </w:r>
          </w:p>
        </w:tc>
      </w:tr>
    </w:tbl>
    <w:p w14:paraId="7CCF8AF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13955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3CBE648" w14:textId="77777777" w:rsidR="008D06D4" w:rsidRDefault="008D06D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04E244A" w14:textId="77777777" w:rsidR="008D06D4" w:rsidRDefault="008D06D4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56DD98D" w14:textId="77777777" w:rsidR="008D06D4" w:rsidRPr="00637BBB" w:rsidRDefault="008D06D4" w:rsidP="008D06D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127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23FCC76" w14:textId="77777777" w:rsidR="008D06D4" w:rsidRPr="00637BBB" w:rsidRDefault="008D06D4" w:rsidP="008D06D4">
      <w:pPr>
        <w:rPr>
          <w:lang w:val="fr-FR"/>
        </w:rPr>
      </w:pPr>
      <w:r>
        <w:rPr>
          <w:lang w:val="fr-FR"/>
        </w:rPr>
        <w:t>Genève, 15-19 avril 2024</w:t>
      </w:r>
    </w:p>
    <w:p w14:paraId="1493CDB2" w14:textId="77777777" w:rsidR="008D06D4" w:rsidRDefault="008D06D4" w:rsidP="008D06D4">
      <w:pPr>
        <w:rPr>
          <w:lang w:val="fr-FR"/>
        </w:rPr>
      </w:pPr>
      <w:r>
        <w:rPr>
          <w:lang w:val="fr-FR"/>
        </w:rPr>
        <w:t xml:space="preserve">Point 3 b) de l’ordre du jour provisoire </w:t>
      </w:r>
    </w:p>
    <w:p w14:paraId="0546DED7" w14:textId="059E5E83" w:rsidR="008D06D4" w:rsidRPr="00637BBB" w:rsidRDefault="008D06D4" w:rsidP="008D06D4">
      <w:pPr>
        <w:rPr>
          <w:b/>
          <w:lang w:val="fr-FR"/>
        </w:rPr>
      </w:pPr>
      <w:r>
        <w:rPr>
          <w:b/>
          <w:bCs/>
          <w:lang w:val="fr-FR"/>
        </w:rPr>
        <w:t>Amendements aux Règlements sur les vitrages de sécurité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0ADF81ED" w14:textId="77777777" w:rsidR="008D06D4" w:rsidRPr="00637BBB" w:rsidRDefault="008D06D4" w:rsidP="008D06D4">
      <w:pPr>
        <w:rPr>
          <w:bCs/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43 (Vitrages de sécurité)</w:t>
      </w:r>
    </w:p>
    <w:p w14:paraId="3B880DD5" w14:textId="77777777" w:rsidR="008D06D4" w:rsidRPr="00637BBB" w:rsidRDefault="008D06D4" w:rsidP="008D06D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12 à la série 01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43 (Vitrages de sécurité)</w:t>
      </w:r>
    </w:p>
    <w:p w14:paraId="6D8768B6" w14:textId="77777777" w:rsidR="008D06D4" w:rsidRPr="00637BBB" w:rsidRDefault="008D06D4" w:rsidP="008D06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des Pays-Bas</w:t>
      </w:r>
      <w:r w:rsidRPr="008D06D4">
        <w:rPr>
          <w:b w:val="0"/>
          <w:bCs/>
          <w:sz w:val="20"/>
          <w:lang w:val="fr-FR"/>
        </w:rPr>
        <w:t>*</w:t>
      </w:r>
    </w:p>
    <w:p w14:paraId="7EC90121" w14:textId="77777777" w:rsidR="008D06D4" w:rsidRDefault="008D06D4" w:rsidP="008D06D4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2"/>
        <w:t>Le texte ci-après, établi par l’expert des Pays-Bas, vise à mettre à jour les renvois aux procédures de détermination du point H et d’étalonnage de la machine tridimensionnelle point H (3-D H), celles-ci étant actualisées et transférées de la Résolution d’ensemble sur la construction des véhicules (R.E.3) à la Résolution mutuelle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 (R.M.1).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43 figurent en caractères gras pour les ajouts et biffés pour les suppressions.</w:t>
      </w:r>
    </w:p>
    <w:p w14:paraId="003D484D" w14:textId="77777777" w:rsidR="008D06D4" w:rsidRPr="00637BBB" w:rsidRDefault="008D06D4" w:rsidP="008D06D4">
      <w:pPr>
        <w:pStyle w:val="SingleTxtG"/>
        <w:rPr>
          <w:lang w:val="fr-FR"/>
        </w:rPr>
      </w:pPr>
      <w:r w:rsidRPr="00637BBB">
        <w:rPr>
          <w:lang w:val="fr-FR"/>
        </w:rPr>
        <w:br w:type="page"/>
      </w:r>
    </w:p>
    <w:p w14:paraId="4A0B6872" w14:textId="77777777" w:rsidR="008D06D4" w:rsidRPr="00AE7052" w:rsidRDefault="008D06D4" w:rsidP="008D06D4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lastRenderedPageBreak/>
        <w:tab/>
      </w:r>
      <w:r w:rsidRPr="00AE7052">
        <w:rPr>
          <w:lang w:val="fr-FR"/>
        </w:rPr>
        <w:t>I.</w:t>
      </w:r>
      <w:r w:rsidRPr="00AE7052">
        <w:rPr>
          <w:lang w:val="fr-FR"/>
        </w:rPr>
        <w:tab/>
        <w:t>Proposition</w:t>
      </w:r>
    </w:p>
    <w:p w14:paraId="32B2B947" w14:textId="7A4446E9" w:rsidR="008D06D4" w:rsidRPr="00637BBB" w:rsidRDefault="008D06D4" w:rsidP="008D06D4">
      <w:pPr>
        <w:pStyle w:val="SingleTxtG"/>
        <w:rPr>
          <w:rFonts w:eastAsia="DengXian"/>
          <w:i/>
          <w:lang w:val="fr-FR"/>
        </w:rPr>
      </w:pPr>
      <w:bookmarkStart w:id="0" w:name="_Toc107305524"/>
      <w:bookmarkStart w:id="1" w:name="_Hlk107305755"/>
      <w:r>
        <w:rPr>
          <w:i/>
          <w:iCs/>
          <w:lang w:val="fr-FR"/>
        </w:rPr>
        <w:t>Paragraphe 1 a),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D7AB52F" w14:textId="2D56E77A" w:rsidR="008D06D4" w:rsidRPr="008D06D4" w:rsidRDefault="008D06D4" w:rsidP="008D06D4">
      <w:pPr>
        <w:pStyle w:val="Notedebasdepage"/>
        <w:widowControl w:val="0"/>
        <w:spacing w:after="120"/>
        <w:rPr>
          <w:b/>
          <w:bCs/>
          <w:iCs/>
          <w:szCs w:val="18"/>
          <w:lang w:val="fr-FR"/>
        </w:rPr>
      </w:pPr>
      <w:r>
        <w:rPr>
          <w:lang w:val="fr-FR"/>
        </w:rPr>
        <w:tab/>
      </w:r>
      <w:r w:rsidRPr="00EA02B4">
        <w:rPr>
          <w:sz w:val="20"/>
          <w:szCs w:val="22"/>
          <w:lang w:val="fr-FR"/>
        </w:rPr>
        <w:t>«</w:t>
      </w:r>
      <w:r>
        <w:rPr>
          <w:lang w:val="fr-FR"/>
        </w:rPr>
        <w:t> </w:t>
      </w:r>
      <w:r>
        <w:rPr>
          <w:vertAlign w:val="superscript"/>
          <w:lang w:val="fr-FR"/>
        </w:rPr>
        <w:t>1</w:t>
      </w:r>
      <w:r>
        <w:rPr>
          <w:lang w:val="fr-FR"/>
        </w:rPr>
        <w:tab/>
        <w:t xml:space="preserve">Définies dans la Résolution d’ensemble sur la construction des véhicules (R.E.3), document </w:t>
      </w:r>
      <w:r w:rsidRPr="001314CA">
        <w:rPr>
          <w:lang w:val="fr-FR"/>
        </w:rPr>
        <w:t>ECE/TRANS/WP.29/78/</w:t>
      </w:r>
      <w:r w:rsidRPr="001314CA">
        <w:rPr>
          <w:strike/>
          <w:lang w:val="fr-FR"/>
        </w:rPr>
        <w:t>Rev.3</w:t>
      </w:r>
      <w:r w:rsidRPr="001314CA">
        <w:rPr>
          <w:b/>
          <w:bCs/>
          <w:lang w:val="fr-FR"/>
        </w:rPr>
        <w:t>Rev.7</w:t>
      </w:r>
      <w:r>
        <w:rPr>
          <w:lang w:val="fr-FR"/>
        </w:rPr>
        <w:t>, par. 2</w:t>
      </w:r>
      <w:r>
        <w:rPr>
          <w:strike/>
          <w:lang w:val="fr-FR"/>
        </w:rPr>
        <w:t xml:space="preserve"> − www.unece.org/trans/main/wp29/wp29wgs/wp29gen/wp29resolutions.html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(</w:t>
      </w:r>
      <w:hyperlink r:id="rId8" w:history="1">
        <w:r w:rsidRPr="00487F91">
          <w:rPr>
            <w:rStyle w:val="Lienhypertexte"/>
            <w:b/>
            <w:bCs/>
            <w:lang w:val="fr-FR"/>
          </w:rPr>
          <w:t>https://unece.org/transport/vehicle-regulations/wp29/resolutions</w:t>
        </w:r>
      </w:hyperlink>
      <w:r>
        <w:rPr>
          <w:b/>
          <w:bCs/>
          <w:lang w:val="fr-FR"/>
        </w:rPr>
        <w:t>)</w:t>
      </w:r>
      <w:r>
        <w:rPr>
          <w:lang w:val="fr-FR"/>
        </w:rPr>
        <w:t>.</w:t>
      </w:r>
      <w:r w:rsidRPr="00EA02B4">
        <w:rPr>
          <w:sz w:val="20"/>
          <w:szCs w:val="22"/>
          <w:lang w:val="fr-FR"/>
        </w:rPr>
        <w:t> ».</w:t>
      </w:r>
    </w:p>
    <w:p w14:paraId="37857E21" w14:textId="7AC21B92" w:rsidR="008D06D4" w:rsidRPr="00637BBB" w:rsidRDefault="008D06D4" w:rsidP="008D06D4">
      <w:pPr>
        <w:pStyle w:val="SingleTxtG"/>
        <w:rPr>
          <w:lang w:val="fr-FR"/>
        </w:rPr>
      </w:pPr>
      <w:r>
        <w:rPr>
          <w:i/>
          <w:iCs/>
          <w:lang w:val="fr-FR"/>
        </w:rPr>
        <w:t>Paragraphe 5.4.1, note de bas de page 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744785B" w14:textId="169C0708" w:rsidR="008D06D4" w:rsidRPr="00EA02B4" w:rsidRDefault="008D06D4" w:rsidP="008D06D4">
      <w:pPr>
        <w:widowControl w:val="0"/>
        <w:tabs>
          <w:tab w:val="right" w:pos="993"/>
          <w:tab w:val="left" w:pos="1418"/>
        </w:tabs>
        <w:spacing w:line="220" w:lineRule="exact"/>
        <w:ind w:left="1134" w:right="1134" w:hanging="993"/>
        <w:rPr>
          <w:sz w:val="16"/>
          <w:szCs w:val="16"/>
          <w:lang w:val="fr-FR"/>
        </w:rPr>
      </w:pPr>
      <w:r>
        <w:rPr>
          <w:lang w:val="fr-FR"/>
        </w:rPr>
        <w:tab/>
        <w:t>« 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</w:r>
      <w:r w:rsidRPr="00EA02B4">
        <w:rPr>
          <w:sz w:val="18"/>
          <w:szCs w:val="18"/>
          <w:lang w:val="fr-FR"/>
        </w:rPr>
        <w:t>La liste des numéros distinctifs des Parties contractantes à l</w:t>
      </w:r>
      <w:r>
        <w:rPr>
          <w:sz w:val="18"/>
          <w:szCs w:val="18"/>
          <w:lang w:val="fr-FR"/>
        </w:rPr>
        <w:t>’</w:t>
      </w:r>
      <w:r w:rsidRPr="00EA02B4">
        <w:rPr>
          <w:sz w:val="18"/>
          <w:szCs w:val="18"/>
          <w:lang w:val="fr-FR"/>
        </w:rPr>
        <w:t>Accord de 1958 figure à l</w:t>
      </w:r>
      <w:r>
        <w:rPr>
          <w:sz w:val="18"/>
          <w:szCs w:val="18"/>
          <w:lang w:val="fr-FR"/>
        </w:rPr>
        <w:t>’</w:t>
      </w:r>
      <w:r w:rsidRPr="00EA02B4">
        <w:rPr>
          <w:sz w:val="18"/>
          <w:szCs w:val="18"/>
          <w:lang w:val="fr-FR"/>
        </w:rPr>
        <w:t>annexe 3 de la Résolution d</w:t>
      </w:r>
      <w:r>
        <w:rPr>
          <w:sz w:val="18"/>
          <w:szCs w:val="18"/>
          <w:lang w:val="fr-FR"/>
        </w:rPr>
        <w:t>’</w:t>
      </w:r>
      <w:r w:rsidRPr="00EA02B4">
        <w:rPr>
          <w:sz w:val="18"/>
          <w:szCs w:val="18"/>
          <w:lang w:val="fr-FR"/>
        </w:rPr>
        <w:t xml:space="preserve">ensemble sur la construction des véhicules (R.E.3), document </w:t>
      </w:r>
      <w:r w:rsidRPr="001314CA">
        <w:rPr>
          <w:sz w:val="18"/>
          <w:szCs w:val="18"/>
          <w:lang w:val="fr-FR"/>
        </w:rPr>
        <w:t>ECE/TRANS/WP.29/78/Rev.</w:t>
      </w:r>
      <w:r w:rsidRPr="001314CA">
        <w:rPr>
          <w:b/>
          <w:bCs/>
          <w:sz w:val="18"/>
          <w:szCs w:val="18"/>
          <w:lang w:val="fr-FR"/>
        </w:rPr>
        <w:t>7</w:t>
      </w:r>
      <w:r w:rsidRPr="001314CA">
        <w:rPr>
          <w:strike/>
          <w:sz w:val="18"/>
          <w:szCs w:val="18"/>
          <w:lang w:val="fr-FR"/>
        </w:rPr>
        <w:t>2/Amend.1</w:t>
      </w:r>
      <w:r w:rsidRPr="00EA02B4">
        <w:rPr>
          <w:strike/>
          <w:sz w:val="18"/>
          <w:szCs w:val="18"/>
          <w:lang w:val="fr-FR"/>
        </w:rPr>
        <w:t xml:space="preserve"> − www.unece.org/trans/main/wp29/wp29wgs/wp29gen/wp29resolutions.html</w:t>
      </w:r>
      <w:r w:rsidRPr="00EA02B4">
        <w:rPr>
          <w:sz w:val="18"/>
          <w:szCs w:val="18"/>
          <w:lang w:val="fr-FR"/>
        </w:rPr>
        <w:t xml:space="preserve"> </w:t>
      </w:r>
    </w:p>
    <w:p w14:paraId="38C9EFA9" w14:textId="310E3963" w:rsidR="008D06D4" w:rsidRPr="00637BBB" w:rsidRDefault="008D06D4" w:rsidP="008D06D4">
      <w:pPr>
        <w:pStyle w:val="Notedebasdepage"/>
        <w:widowControl w:val="0"/>
        <w:spacing w:after="120"/>
        <w:rPr>
          <w:szCs w:val="18"/>
          <w:vertAlign w:val="superscript"/>
          <w:lang w:val="fr-FR"/>
        </w:rPr>
      </w:pPr>
      <w:r w:rsidRPr="00EA02B4">
        <w:rPr>
          <w:szCs w:val="18"/>
          <w:lang w:val="fr-FR"/>
        </w:rPr>
        <w:tab/>
      </w:r>
      <w:r w:rsidRPr="00EA02B4">
        <w:rPr>
          <w:szCs w:val="18"/>
          <w:lang w:val="fr-FR"/>
        </w:rPr>
        <w:tab/>
      </w:r>
      <w:r w:rsidRPr="00EA02B4">
        <w:rPr>
          <w:b/>
          <w:bCs/>
          <w:szCs w:val="18"/>
          <w:lang w:val="fr-FR"/>
        </w:rPr>
        <w:t>(</w:t>
      </w:r>
      <w:hyperlink r:id="rId9" w:history="1">
        <w:r w:rsidRPr="00487F91">
          <w:rPr>
            <w:rStyle w:val="Lienhypertexte"/>
            <w:b/>
            <w:bCs/>
            <w:szCs w:val="18"/>
            <w:lang w:val="fr-FR"/>
          </w:rPr>
          <w:t>https://unece.org/transport/vehicle-regulations/wp29/resolutions</w:t>
        </w:r>
      </w:hyperlink>
      <w:r w:rsidRPr="00EA02B4">
        <w:rPr>
          <w:b/>
          <w:bCs/>
          <w:szCs w:val="18"/>
          <w:lang w:val="fr-FR"/>
        </w:rPr>
        <w:t>)</w:t>
      </w:r>
      <w:r w:rsidRPr="00EA02B4">
        <w:rPr>
          <w:szCs w:val="18"/>
          <w:lang w:val="fr-FR"/>
        </w:rPr>
        <w:t>.</w:t>
      </w:r>
      <w:r>
        <w:rPr>
          <w:lang w:val="fr-FR"/>
        </w:rPr>
        <w:t> ».</w:t>
      </w:r>
    </w:p>
    <w:p w14:paraId="35FBED81" w14:textId="77777777" w:rsidR="008D06D4" w:rsidRPr="00637BBB" w:rsidRDefault="008D06D4" w:rsidP="008D06D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Paragraphes 10.1 à 10.3</w:t>
      </w:r>
      <w:r>
        <w:rPr>
          <w:lang w:val="fr-FR"/>
        </w:rPr>
        <w:t>, lire :</w:t>
      </w:r>
    </w:p>
    <w:p w14:paraId="1CD32FCD" w14:textId="2DDBBF16" w:rsidR="008D06D4" w:rsidRPr="00405093" w:rsidRDefault="008D06D4" w:rsidP="008D06D4">
      <w:pPr>
        <w:pStyle w:val="SingleTxtG"/>
        <w:ind w:left="2268" w:hanging="1134"/>
        <w:rPr>
          <w:bCs/>
          <w:strike/>
          <w:lang w:val="fr-FR"/>
        </w:rPr>
      </w:pPr>
      <w:r>
        <w:rPr>
          <w:lang w:val="fr-FR"/>
        </w:rPr>
        <w:t>« </w:t>
      </w:r>
      <w:r w:rsidRPr="00405093">
        <w:rPr>
          <w:strike/>
          <w:lang w:val="fr-FR"/>
        </w:rPr>
        <w:t>10.1</w:t>
      </w:r>
      <w:r w:rsidRPr="00405093">
        <w:rPr>
          <w:strike/>
          <w:lang w:val="fr-FR"/>
        </w:rPr>
        <w:tab/>
        <w:t>Les procédures de vérification de la conformité de la production doivent être conformes à celles énoncées dans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Accord, appendice 2 (</w:t>
      </w:r>
      <w:r w:rsidRPr="001314CA">
        <w:rPr>
          <w:strike/>
          <w:lang w:val="fr-FR"/>
        </w:rPr>
        <w:t>E/ECE/324-E/ECE/TRANS/505/Rev.2</w:t>
      </w:r>
      <w:r w:rsidRPr="00405093">
        <w:rPr>
          <w:strike/>
          <w:lang w:val="fr-FR"/>
        </w:rPr>
        <w:t>), et satisfaire aux prescriptions ci-dessous</w:t>
      </w:r>
      <w:r>
        <w:rPr>
          <w:strike/>
          <w:lang w:val="fr-FR"/>
        </w:rPr>
        <w:t> </w:t>
      </w:r>
      <w:r w:rsidRPr="00405093">
        <w:rPr>
          <w:strike/>
          <w:lang w:val="fr-FR"/>
        </w:rPr>
        <w:t>:</w:t>
      </w:r>
    </w:p>
    <w:p w14:paraId="6CDD9F51" w14:textId="77777777" w:rsidR="008D06D4" w:rsidRPr="00405093" w:rsidRDefault="008D06D4" w:rsidP="008D06D4">
      <w:pPr>
        <w:pStyle w:val="SingleTxtG"/>
        <w:ind w:left="2268" w:hanging="1134"/>
        <w:rPr>
          <w:bCs/>
          <w:strike/>
          <w:lang w:val="fr-FR"/>
        </w:rPr>
      </w:pPr>
      <w:r w:rsidRPr="00405093">
        <w:rPr>
          <w:strike/>
          <w:lang w:val="fr-FR"/>
        </w:rPr>
        <w:t>10.2</w:t>
      </w:r>
      <w:r w:rsidRPr="00405093">
        <w:rPr>
          <w:strike/>
          <w:lang w:val="fr-FR"/>
        </w:rPr>
        <w:tab/>
        <w:t xml:space="preserve">Dispositions spéciales </w:t>
      </w:r>
    </w:p>
    <w:p w14:paraId="0D35CA15" w14:textId="77777777" w:rsidR="008D06D4" w:rsidRPr="00405093" w:rsidRDefault="008D06D4" w:rsidP="008D06D4">
      <w:pPr>
        <w:pStyle w:val="SingleTxtG"/>
        <w:ind w:left="2268"/>
        <w:rPr>
          <w:bCs/>
          <w:strike/>
          <w:lang w:val="fr-FR"/>
        </w:rPr>
      </w:pPr>
      <w:r w:rsidRPr="00405093">
        <w:rPr>
          <w:strike/>
          <w:lang w:val="fr-FR"/>
        </w:rPr>
        <w:t>Les vérifications visées au paragraphe 2.2 de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appendice 2 de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Accord doivent être conformes aux prescriptions de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annexe 23 du présent Règlement.</w:t>
      </w:r>
    </w:p>
    <w:p w14:paraId="63965195" w14:textId="7B3F33D7" w:rsidR="008D06D4" w:rsidRPr="00405093" w:rsidRDefault="008D06D4" w:rsidP="008D06D4">
      <w:pPr>
        <w:pStyle w:val="SingleTxtG"/>
        <w:ind w:left="2268" w:hanging="1134"/>
        <w:rPr>
          <w:bCs/>
          <w:strike/>
          <w:lang w:val="fr-FR"/>
        </w:rPr>
      </w:pPr>
      <w:r w:rsidRPr="00405093">
        <w:rPr>
          <w:strike/>
          <w:lang w:val="fr-FR"/>
        </w:rPr>
        <w:t>10.3</w:t>
      </w:r>
      <w:r w:rsidRPr="00405093">
        <w:rPr>
          <w:strike/>
          <w:lang w:val="fr-FR"/>
        </w:rPr>
        <w:tab/>
        <w:t>La fréquence normale des inspections définie au paragraphe 2.4 de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appendice</w:t>
      </w:r>
      <w:r>
        <w:rPr>
          <w:strike/>
          <w:lang w:val="fr-FR"/>
        </w:rPr>
        <w:t> </w:t>
      </w:r>
      <w:r w:rsidRPr="00405093">
        <w:rPr>
          <w:strike/>
          <w:lang w:val="fr-FR"/>
        </w:rPr>
        <w:t>2 de l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Accord doit être d</w:t>
      </w:r>
      <w:r>
        <w:rPr>
          <w:strike/>
          <w:lang w:val="fr-FR"/>
        </w:rPr>
        <w:t>’</w:t>
      </w:r>
      <w:r w:rsidRPr="00405093">
        <w:rPr>
          <w:strike/>
          <w:lang w:val="fr-FR"/>
        </w:rPr>
        <w:t>une par an.</w:t>
      </w:r>
    </w:p>
    <w:p w14:paraId="18C4A5AF" w14:textId="2EA52C97" w:rsidR="008D06D4" w:rsidRPr="00637BBB" w:rsidRDefault="008D06D4" w:rsidP="008D06D4">
      <w:pPr>
        <w:pStyle w:val="SingleTxtG"/>
        <w:ind w:left="2268" w:hanging="1134"/>
        <w:rPr>
          <w:b/>
          <w:lang w:val="fr-FR"/>
        </w:rPr>
      </w:pPr>
      <w:r>
        <w:rPr>
          <w:b/>
          <w:bCs/>
          <w:lang w:val="fr-FR"/>
        </w:rPr>
        <w:t>10.1</w:t>
      </w:r>
      <w:r>
        <w:rPr>
          <w:lang w:val="fr-FR"/>
        </w:rPr>
        <w:tab/>
      </w:r>
      <w:r>
        <w:rPr>
          <w:b/>
          <w:bCs/>
          <w:lang w:val="fr-FR"/>
        </w:rPr>
        <w:t>Les procédures de conformité de la production doivent être conformes à celles qui sont définies à l’article 2 et à l’annexe 1 de l’Accord de 1958 (</w:t>
      </w:r>
      <w:hyperlink r:id="rId10" w:history="1">
        <w:r w:rsidRPr="008D06D4">
          <w:rPr>
            <w:rStyle w:val="Lienhypertexte"/>
            <w:b/>
            <w:bCs/>
            <w:lang w:val="fr-FR"/>
          </w:rPr>
          <w:t>E/ECE/TRANS/505/Rev.3</w:t>
        </w:r>
      </w:hyperlink>
      <w:r>
        <w:rPr>
          <w:b/>
          <w:bCs/>
          <w:lang w:val="fr-FR"/>
        </w:rPr>
        <w:t>) et satisfaire aux prescriptions ci-après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4B14FB46" w14:textId="11AC780C" w:rsidR="008D06D4" w:rsidRPr="00637BBB" w:rsidRDefault="008D06D4" w:rsidP="008D06D4">
      <w:pPr>
        <w:pStyle w:val="SingleTxtG"/>
        <w:ind w:left="2268" w:hanging="1134"/>
        <w:rPr>
          <w:b/>
          <w:lang w:val="fr-FR"/>
        </w:rPr>
      </w:pPr>
      <w:r>
        <w:rPr>
          <w:b/>
          <w:bCs/>
          <w:lang w:val="fr-FR"/>
        </w:rPr>
        <w:t>10.2</w:t>
      </w:r>
      <w:r>
        <w:rPr>
          <w:lang w:val="fr-FR"/>
        </w:rPr>
        <w:tab/>
      </w:r>
      <w:r>
        <w:rPr>
          <w:b/>
          <w:bCs/>
          <w:lang w:val="fr-FR"/>
        </w:rPr>
        <w:t>Tout véhicule homologué en application du présent Règlement doit être construit de façon à être conforme au type homologué et satisfaire aux prescriptions des paragraphes 6 et 7 ci-dessus, ainsi qu’aux prescriptions de l’annexe 23 du présent Règlement.</w:t>
      </w:r>
    </w:p>
    <w:p w14:paraId="7EF877F4" w14:textId="20861A03" w:rsidR="008D06D4" w:rsidRPr="00637BBB" w:rsidRDefault="008D06D4" w:rsidP="008D06D4">
      <w:pPr>
        <w:pStyle w:val="SingleTxtG"/>
        <w:ind w:left="2268" w:hanging="1134"/>
        <w:rPr>
          <w:bCs/>
          <w:lang w:val="fr-FR"/>
        </w:rPr>
      </w:pPr>
      <w:r>
        <w:rPr>
          <w:b/>
          <w:bCs/>
          <w:lang w:val="fr-FR"/>
        </w:rPr>
        <w:t>10.3</w:t>
      </w:r>
      <w:r>
        <w:rPr>
          <w:lang w:val="fr-FR"/>
        </w:rPr>
        <w:tab/>
      </w:r>
      <w:r>
        <w:rPr>
          <w:b/>
          <w:bCs/>
          <w:lang w:val="fr-FR"/>
        </w:rPr>
        <w:t>L’autorité d’homologation de type qui a accordé l’homologation peut à tout moment vérifier que les méthodes de contrôle de la conformité sont appliquées correctement dans chaque unité de production.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fréquence normale de ces vérifications est d’une fois par an.</w:t>
      </w:r>
      <w:r>
        <w:rPr>
          <w:lang w:val="fr-FR"/>
        </w:rPr>
        <w:t> ».</w:t>
      </w:r>
    </w:p>
    <w:p w14:paraId="1D1ECF71" w14:textId="535A40BA" w:rsidR="008D06D4" w:rsidRPr="00637BBB" w:rsidRDefault="008D06D4" w:rsidP="008D06D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22,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208E902" w14:textId="0B1F93F8" w:rsidR="008D06D4" w:rsidRPr="00637BBB" w:rsidRDefault="008D06D4" w:rsidP="008D06D4">
      <w:pPr>
        <w:pStyle w:val="Notedebasdepage"/>
        <w:widowControl w:val="0"/>
        <w:spacing w:after="120"/>
        <w:rPr>
          <w:b/>
          <w:szCs w:val="18"/>
          <w:lang w:val="fr-FR"/>
        </w:rPr>
      </w:pPr>
      <w:r>
        <w:rPr>
          <w:lang w:val="fr-FR"/>
        </w:rPr>
        <w:tab/>
        <w:t>« </w:t>
      </w:r>
      <w:r w:rsidRPr="00B60707">
        <w:rPr>
          <w:szCs w:val="18"/>
          <w:vertAlign w:val="superscript"/>
          <w:lang w:val="fr-FR"/>
        </w:rPr>
        <w:t>1</w:t>
      </w:r>
      <w:r w:rsidRPr="00B60707">
        <w:rPr>
          <w:szCs w:val="18"/>
          <w:lang w:val="fr-FR"/>
        </w:rPr>
        <w:tab/>
        <w:t xml:space="preserve">La procédure est décrite </w:t>
      </w:r>
      <w:r w:rsidRPr="00B60707">
        <w:rPr>
          <w:strike/>
          <w:szCs w:val="18"/>
          <w:lang w:val="fr-FR"/>
        </w:rPr>
        <w:t>à l</w:t>
      </w:r>
      <w:r>
        <w:rPr>
          <w:strike/>
          <w:szCs w:val="18"/>
          <w:lang w:val="fr-FR"/>
        </w:rPr>
        <w:t>’</w:t>
      </w:r>
      <w:r w:rsidRPr="00B60707">
        <w:rPr>
          <w:strike/>
          <w:szCs w:val="18"/>
          <w:lang w:val="fr-FR"/>
        </w:rPr>
        <w:t>annexe 1 (et ses appendices) de la Résolution d</w:t>
      </w:r>
      <w:r>
        <w:rPr>
          <w:strike/>
          <w:szCs w:val="18"/>
          <w:lang w:val="fr-FR"/>
        </w:rPr>
        <w:t>’</w:t>
      </w:r>
      <w:r w:rsidRPr="00B60707">
        <w:rPr>
          <w:strike/>
          <w:szCs w:val="18"/>
          <w:lang w:val="fr-FR"/>
        </w:rPr>
        <w:t xml:space="preserve">ensemble sur la construction des véhicules (R.E.3) (document </w:t>
      </w:r>
      <w:r w:rsidRPr="008D06D4">
        <w:rPr>
          <w:strike/>
          <w:szCs w:val="18"/>
          <w:lang w:val="fr-FR"/>
        </w:rPr>
        <w:t>ECE/TRANS/WP.29/78/Rev.4</w:t>
      </w:r>
      <w:r w:rsidRPr="00B60707">
        <w:rPr>
          <w:strike/>
          <w:szCs w:val="18"/>
          <w:lang w:val="fr-FR"/>
        </w:rPr>
        <w:t>, que l</w:t>
      </w:r>
      <w:r>
        <w:rPr>
          <w:strike/>
          <w:szCs w:val="18"/>
          <w:lang w:val="fr-FR"/>
        </w:rPr>
        <w:t>’</w:t>
      </w:r>
      <w:r w:rsidRPr="00B60707">
        <w:rPr>
          <w:strike/>
          <w:szCs w:val="18"/>
          <w:lang w:val="fr-FR"/>
        </w:rPr>
        <w:t>on peut consulter à l</w:t>
      </w:r>
      <w:r>
        <w:rPr>
          <w:strike/>
          <w:szCs w:val="18"/>
          <w:lang w:val="fr-FR"/>
        </w:rPr>
        <w:t>’</w:t>
      </w:r>
      <w:r w:rsidRPr="00B60707">
        <w:rPr>
          <w:strike/>
          <w:szCs w:val="18"/>
          <w:lang w:val="fr-FR"/>
        </w:rPr>
        <w:t>adresse</w:t>
      </w:r>
      <w:r>
        <w:rPr>
          <w:strike/>
          <w:szCs w:val="18"/>
          <w:lang w:val="fr-FR"/>
        </w:rPr>
        <w:t> </w:t>
      </w:r>
      <w:r w:rsidRPr="00B60707">
        <w:rPr>
          <w:strike/>
          <w:szCs w:val="18"/>
          <w:lang w:val="fr-FR"/>
        </w:rPr>
        <w:t xml:space="preserve">: www.unece.org/trans/main/wp29/wp29wgs/wp29gen/wp29resolutions.html </w:t>
      </w:r>
      <w:r w:rsidRPr="00B60707">
        <w:rPr>
          <w:b/>
          <w:bCs/>
          <w:szCs w:val="18"/>
          <w:lang w:val="fr-FR"/>
        </w:rPr>
        <w:t>dans l</w:t>
      </w:r>
      <w:r>
        <w:rPr>
          <w:b/>
          <w:bCs/>
          <w:szCs w:val="18"/>
          <w:lang w:val="fr-FR"/>
        </w:rPr>
        <w:t>’</w:t>
      </w:r>
      <w:r w:rsidRPr="00B60707">
        <w:rPr>
          <w:b/>
          <w:bCs/>
          <w:szCs w:val="18"/>
          <w:lang w:val="fr-FR"/>
        </w:rPr>
        <w:t>additif 6 à la Résolution mutuelle n</w:t>
      </w:r>
      <w:r w:rsidRPr="00B60707">
        <w:rPr>
          <w:b/>
          <w:bCs/>
          <w:szCs w:val="18"/>
          <w:vertAlign w:val="superscript"/>
          <w:lang w:val="fr-FR"/>
        </w:rPr>
        <w:t>o</w:t>
      </w:r>
      <w:r w:rsidRPr="00B60707">
        <w:rPr>
          <w:b/>
          <w:bCs/>
          <w:szCs w:val="18"/>
          <w:lang w:val="fr-FR"/>
        </w:rPr>
        <w:t xml:space="preserve"> 1 (R.M.1), document </w:t>
      </w:r>
      <w:hyperlink r:id="rId11" w:history="1">
        <w:r w:rsidRPr="008D06D4">
          <w:rPr>
            <w:rStyle w:val="Lienhypertexte"/>
            <w:b/>
            <w:bCs/>
            <w:szCs w:val="18"/>
            <w:lang w:val="fr-FR"/>
          </w:rPr>
          <w:t>ECE/TRANS/WP.29/1101/Amend.5</w:t>
        </w:r>
      </w:hyperlink>
      <w:r w:rsidRPr="00B60707">
        <w:rPr>
          <w:b/>
          <w:bCs/>
          <w:szCs w:val="18"/>
          <w:lang w:val="fr-FR"/>
        </w:rPr>
        <w:t xml:space="preserve"> (voir </w:t>
      </w:r>
      <w:hyperlink r:id="rId12" w:history="1">
        <w:r w:rsidRPr="00487F91">
          <w:rPr>
            <w:rStyle w:val="Lienhypertexte"/>
            <w:b/>
            <w:bCs/>
            <w:szCs w:val="18"/>
            <w:lang w:val="fr-FR"/>
          </w:rPr>
          <w:t>https://unece.org/transport/standards/transport/vehicle-regulations-wp29/resol</w:t>
        </w:r>
        <w:r w:rsidRPr="00487F91">
          <w:rPr>
            <w:rStyle w:val="Lienhypertexte"/>
            <w:b/>
            <w:bCs/>
            <w:szCs w:val="18"/>
            <w:lang w:val="fr-FR"/>
          </w:rPr>
          <w:t>u</w:t>
        </w:r>
        <w:r w:rsidRPr="00487F91">
          <w:rPr>
            <w:rStyle w:val="Lienhypertexte"/>
            <w:b/>
            <w:bCs/>
            <w:szCs w:val="18"/>
            <w:lang w:val="fr-FR"/>
          </w:rPr>
          <w:t>tions</w:t>
        </w:r>
      </w:hyperlink>
      <w:r w:rsidRPr="00B60707">
        <w:rPr>
          <w:b/>
          <w:bCs/>
          <w:szCs w:val="18"/>
          <w:lang w:val="fr-FR"/>
        </w:rPr>
        <w:t>)</w:t>
      </w:r>
      <w:r w:rsidRPr="00B60707">
        <w:rPr>
          <w:szCs w:val="18"/>
          <w:lang w:val="fr-FR"/>
        </w:rPr>
        <w:t>.</w:t>
      </w:r>
      <w:r>
        <w:rPr>
          <w:lang w:val="fr-FR"/>
        </w:rPr>
        <w:t xml:space="preserve"> ». </w:t>
      </w:r>
      <w:bookmarkStart w:id="2" w:name="_Hlk156421770"/>
    </w:p>
    <w:bookmarkEnd w:id="2"/>
    <w:p w14:paraId="6ADFCC16" w14:textId="6A217B83" w:rsidR="008D06D4" w:rsidRPr="00637BBB" w:rsidRDefault="008D06D4" w:rsidP="008D06D4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 xml:space="preserve">Annexe </w:t>
      </w:r>
      <w:r w:rsidRPr="008D06D4">
        <w:rPr>
          <w:i/>
          <w:iCs/>
          <w:lang w:val="fr-FR"/>
        </w:rPr>
        <w:t>24,</w:t>
      </w:r>
      <w:r>
        <w:rPr>
          <w:i/>
          <w:iCs/>
          <w:lang w:val="fr-FR"/>
        </w:rPr>
        <w:t xml:space="preserve"> note de bas de page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 xml:space="preserve">: </w:t>
      </w:r>
    </w:p>
    <w:p w14:paraId="26A56A72" w14:textId="623E8455" w:rsidR="008D06D4" w:rsidRPr="00637BBB" w:rsidRDefault="008D06D4" w:rsidP="008D06D4">
      <w:pPr>
        <w:widowControl w:val="0"/>
        <w:tabs>
          <w:tab w:val="right" w:pos="993"/>
          <w:tab w:val="left" w:pos="1418"/>
        </w:tabs>
        <w:spacing w:line="220" w:lineRule="exact"/>
        <w:ind w:left="1134" w:right="1134" w:hanging="993"/>
        <w:rPr>
          <w:bCs/>
          <w:sz w:val="18"/>
          <w:szCs w:val="18"/>
          <w:lang w:val="fr-FR"/>
        </w:rPr>
      </w:pPr>
      <w:r>
        <w:rPr>
          <w:lang w:val="fr-FR"/>
        </w:rPr>
        <w:tab/>
        <w:t>« </w:t>
      </w:r>
      <w:r w:rsidRPr="00A112C4">
        <w:rPr>
          <w:sz w:val="18"/>
          <w:szCs w:val="18"/>
          <w:vertAlign w:val="superscript"/>
          <w:lang w:val="fr-FR"/>
        </w:rPr>
        <w:t>1</w:t>
      </w:r>
      <w:r w:rsidRPr="00A112C4">
        <w:rPr>
          <w:sz w:val="18"/>
          <w:szCs w:val="18"/>
          <w:lang w:val="fr-FR"/>
        </w:rPr>
        <w:tab/>
        <w:t>Définies dans la Résolution d</w:t>
      </w:r>
      <w:r>
        <w:rPr>
          <w:sz w:val="18"/>
          <w:szCs w:val="18"/>
          <w:lang w:val="fr-FR"/>
        </w:rPr>
        <w:t>’</w:t>
      </w:r>
      <w:r w:rsidRPr="00A112C4">
        <w:rPr>
          <w:sz w:val="18"/>
          <w:szCs w:val="18"/>
          <w:lang w:val="fr-FR"/>
        </w:rPr>
        <w:t xml:space="preserve">ensemble sur la construction des véhicules (R.E.3), document </w:t>
      </w:r>
      <w:r w:rsidRPr="008D06D4">
        <w:rPr>
          <w:sz w:val="18"/>
          <w:szCs w:val="18"/>
          <w:lang w:val="fr-FR"/>
        </w:rPr>
        <w:t>ECE/TRANS/WP.29/78/</w:t>
      </w:r>
      <w:r w:rsidRPr="008D06D4">
        <w:rPr>
          <w:strike/>
          <w:sz w:val="18"/>
          <w:szCs w:val="18"/>
          <w:lang w:val="fr-FR"/>
        </w:rPr>
        <w:t>Rev.4</w:t>
      </w:r>
      <w:r w:rsidRPr="008D06D4">
        <w:rPr>
          <w:b/>
          <w:bCs/>
          <w:sz w:val="18"/>
          <w:szCs w:val="18"/>
          <w:lang w:val="fr-FR"/>
        </w:rPr>
        <w:t>Rev.7</w:t>
      </w:r>
      <w:r w:rsidRPr="00A112C4">
        <w:rPr>
          <w:sz w:val="18"/>
          <w:szCs w:val="18"/>
          <w:lang w:val="fr-FR"/>
        </w:rPr>
        <w:t>, par. 2</w:t>
      </w:r>
      <w:r w:rsidRPr="00A112C4">
        <w:rPr>
          <w:strike/>
          <w:sz w:val="18"/>
          <w:szCs w:val="18"/>
          <w:lang w:val="fr-FR"/>
        </w:rPr>
        <w:t xml:space="preserve"> − www.unece.org/trans/main/wp29/wp29wgs/wp29gen/wp29resolutions.html</w:t>
      </w:r>
      <w:r w:rsidRPr="00A112C4">
        <w:rPr>
          <w:sz w:val="18"/>
          <w:szCs w:val="18"/>
          <w:lang w:val="fr-FR"/>
        </w:rPr>
        <w:t xml:space="preserve"> </w:t>
      </w:r>
      <w:r w:rsidRPr="00A112C4">
        <w:rPr>
          <w:b/>
          <w:bCs/>
          <w:sz w:val="18"/>
          <w:szCs w:val="18"/>
          <w:lang w:val="fr-FR"/>
        </w:rPr>
        <w:t>(</w:t>
      </w:r>
      <w:hyperlink r:id="rId13" w:history="1">
        <w:r w:rsidRPr="00487F91">
          <w:rPr>
            <w:rStyle w:val="Lienhypertexte"/>
            <w:b/>
            <w:bCs/>
            <w:sz w:val="18"/>
            <w:szCs w:val="18"/>
            <w:lang w:val="fr-FR"/>
          </w:rPr>
          <w:t>https://unece.org/transport/vehicle-regulations/wp29/resolutions</w:t>
        </w:r>
      </w:hyperlink>
      <w:r w:rsidRPr="00A112C4">
        <w:rPr>
          <w:b/>
          <w:bCs/>
          <w:sz w:val="18"/>
          <w:szCs w:val="18"/>
          <w:lang w:val="fr-FR"/>
        </w:rPr>
        <w:t>)</w:t>
      </w:r>
      <w:r w:rsidRPr="00A112C4">
        <w:rPr>
          <w:sz w:val="18"/>
          <w:szCs w:val="18"/>
          <w:lang w:val="fr-FR"/>
        </w:rPr>
        <w:t>.</w:t>
      </w:r>
      <w:r>
        <w:rPr>
          <w:lang w:val="fr-FR"/>
        </w:rPr>
        <w:t> ».</w:t>
      </w:r>
    </w:p>
    <w:bookmarkEnd w:id="0"/>
    <w:bookmarkEnd w:id="1"/>
    <w:p w14:paraId="32F15408" w14:textId="77777777" w:rsidR="008D06D4" w:rsidRPr="00637BBB" w:rsidRDefault="008D06D4" w:rsidP="008D06D4">
      <w:pPr>
        <w:suppressAutoHyphens w:val="0"/>
        <w:spacing w:line="240" w:lineRule="auto"/>
        <w:rPr>
          <w:rFonts w:eastAsia="MS Mincho"/>
          <w:b/>
          <w:color w:val="000000"/>
          <w:sz w:val="28"/>
          <w:szCs w:val="28"/>
          <w:lang w:val="fr-FR"/>
        </w:rPr>
      </w:pPr>
      <w:r w:rsidRPr="00637BBB">
        <w:rPr>
          <w:rFonts w:eastAsia="MS Mincho"/>
          <w:b/>
          <w:color w:val="000000"/>
          <w:sz w:val="28"/>
          <w:szCs w:val="28"/>
          <w:lang w:val="fr-FR"/>
        </w:rPr>
        <w:br w:type="page"/>
      </w:r>
    </w:p>
    <w:p w14:paraId="6F318EB8" w14:textId="77777777" w:rsidR="008D06D4" w:rsidRDefault="008D06D4" w:rsidP="008D06D4">
      <w:pPr>
        <w:pStyle w:val="HChG"/>
        <w:rPr>
          <w:rFonts w:eastAsia="MS Mincho"/>
          <w:color w:val="000000"/>
          <w:sz w:val="40"/>
          <w:szCs w:val="40"/>
        </w:rPr>
      </w:pPr>
      <w:r>
        <w:rPr>
          <w:lang w:val="fr-FR"/>
        </w:rPr>
        <w:lastRenderedPageBreak/>
        <w:tab/>
      </w:r>
      <w:r w:rsidRPr="0019152C">
        <w:rPr>
          <w:lang w:val="fr-FR"/>
        </w:rPr>
        <w:t>II.</w:t>
      </w:r>
      <w:r w:rsidRPr="0019152C">
        <w:rPr>
          <w:lang w:val="fr-FR"/>
        </w:rPr>
        <w:tab/>
        <w:t>Justification</w:t>
      </w:r>
    </w:p>
    <w:p w14:paraId="5B3D248D" w14:textId="77777777" w:rsidR="008D06D4" w:rsidRPr="00637BBB" w:rsidRDefault="008D06D4" w:rsidP="008D06D4">
      <w:pPr>
        <w:pStyle w:val="SingleTxtG"/>
        <w:rPr>
          <w:rFonts w:eastAsia="Malgun Gothic"/>
          <w:lang w:val="fr-FR"/>
        </w:rPr>
      </w:pPr>
      <w:r w:rsidRPr="00637BBB">
        <w:rPr>
          <w:rFonts w:eastAsia="Malgun Gothic"/>
          <w:lang w:val="fr-FR"/>
        </w:rPr>
        <w:t>1.</w:t>
      </w:r>
      <w:r w:rsidRPr="00637BBB">
        <w:rPr>
          <w:rFonts w:eastAsia="Malgun Gothic"/>
          <w:lang w:val="fr-FR"/>
        </w:rPr>
        <w:tab/>
      </w:r>
      <w:r>
        <w:rPr>
          <w:lang w:val="fr-FR"/>
        </w:rPr>
        <w:t>Le lien vers la page où se trouve la R.E.3 sur le site Web du WP.29 a été corrigé, et la référence à la R.E.3 a été mise à jour pour renvoyer aux dernières modifications (révision 7).</w:t>
      </w:r>
    </w:p>
    <w:p w14:paraId="53B00ADD" w14:textId="77777777" w:rsidR="008D06D4" w:rsidRPr="00637BBB" w:rsidRDefault="008D06D4" w:rsidP="008D06D4">
      <w:pPr>
        <w:pStyle w:val="SingleTxtG"/>
        <w:rPr>
          <w:rFonts w:eastAsia="Malgun Gothic"/>
          <w:lang w:val="fr-FR"/>
        </w:rPr>
      </w:pPr>
      <w:r w:rsidRPr="00637BBB">
        <w:rPr>
          <w:rFonts w:eastAsia="Malgun Gothic"/>
          <w:lang w:val="fr-FR"/>
        </w:rPr>
        <w:t>2.</w:t>
      </w:r>
      <w:r w:rsidRPr="00637BBB">
        <w:rPr>
          <w:rFonts w:eastAsia="Malgun Gothic"/>
          <w:lang w:val="fr-FR"/>
        </w:rPr>
        <w:tab/>
      </w:r>
      <w:r>
        <w:rPr>
          <w:lang w:val="fr-FR"/>
        </w:rPr>
        <w:t>Le chapitre 8 a été mis à jour compte tenu de la révision 3 de l’Accord de 1958.</w:t>
      </w:r>
    </w:p>
    <w:p w14:paraId="239DB1BB" w14:textId="77777777" w:rsidR="008D06D4" w:rsidRPr="00637BBB" w:rsidRDefault="008D06D4" w:rsidP="008D06D4">
      <w:pPr>
        <w:pStyle w:val="SingleTxtG"/>
        <w:rPr>
          <w:rFonts w:eastAsia="Malgun Gothic"/>
          <w:lang w:val="fr-FR"/>
        </w:rPr>
      </w:pPr>
      <w:r w:rsidRPr="00637BBB">
        <w:rPr>
          <w:rFonts w:eastAsia="Malgun Gothic"/>
          <w:lang w:val="fr-FR"/>
        </w:rPr>
        <w:t>3.</w:t>
      </w:r>
      <w:r w:rsidRPr="00637BBB">
        <w:rPr>
          <w:rFonts w:eastAsia="Malgun Gothic"/>
          <w:lang w:val="fr-FR"/>
        </w:rPr>
        <w:tab/>
      </w:r>
      <w:r>
        <w:rPr>
          <w:lang w:val="fr-FR"/>
        </w:rPr>
        <w:t>Les spécifications de la machine tridimensionnelle de positionnement du point H ont été actualisées et transférées de la R.E.3 à la R.M.1. Une procédure d’étalonnage a également été ajoutée afin que la machine 3-D H utilisée pour tous les essais prévus dans les Règlements ONU et Règlements techniques mondiaux ONU soit toujours la même et donne des résultats cohérents d’un Règlement à l’autre.</w:t>
      </w:r>
    </w:p>
    <w:p w14:paraId="414348B0" w14:textId="06B0007A" w:rsidR="00F9573C" w:rsidRPr="008D06D4" w:rsidRDefault="008D06D4" w:rsidP="008D06D4">
      <w:pPr>
        <w:spacing w:before="240"/>
        <w:jc w:val="center"/>
        <w:rPr>
          <w:u w:val="single"/>
          <w:lang w:val="fr-FR"/>
        </w:rPr>
      </w:pPr>
      <w:r w:rsidRPr="00637BBB">
        <w:rPr>
          <w:u w:val="single"/>
          <w:lang w:val="fr-FR"/>
        </w:rPr>
        <w:tab/>
      </w:r>
      <w:r w:rsidRPr="00637BBB">
        <w:rPr>
          <w:u w:val="single"/>
          <w:lang w:val="fr-FR"/>
        </w:rPr>
        <w:tab/>
      </w:r>
      <w:r w:rsidRPr="00637BBB">
        <w:rPr>
          <w:u w:val="single"/>
          <w:lang w:val="fr-FR"/>
        </w:rPr>
        <w:tab/>
      </w:r>
    </w:p>
    <w:sectPr w:rsidR="00F9573C" w:rsidRPr="008D06D4" w:rsidSect="008D06D4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4FF3" w14:textId="77777777" w:rsidR="00A74100" w:rsidRDefault="00A74100" w:rsidP="00F95C08">
      <w:pPr>
        <w:spacing w:line="240" w:lineRule="auto"/>
      </w:pPr>
    </w:p>
  </w:endnote>
  <w:endnote w:type="continuationSeparator" w:id="0">
    <w:p w14:paraId="1205EB63" w14:textId="77777777" w:rsidR="00A74100" w:rsidRPr="00AC3823" w:rsidRDefault="00A74100" w:rsidP="00AC3823">
      <w:pPr>
        <w:pStyle w:val="Pieddepage"/>
      </w:pPr>
    </w:p>
  </w:endnote>
  <w:endnote w:type="continuationNotice" w:id="1">
    <w:p w14:paraId="66FA6D4E" w14:textId="77777777" w:rsidR="00A74100" w:rsidRDefault="00A741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74E8" w14:textId="3853482C" w:rsidR="008D06D4" w:rsidRPr="008D06D4" w:rsidRDefault="008D06D4" w:rsidP="008D06D4">
    <w:pPr>
      <w:pStyle w:val="Pieddepage"/>
      <w:tabs>
        <w:tab w:val="right" w:pos="9638"/>
      </w:tabs>
    </w:pPr>
    <w:r w:rsidRPr="008D06D4">
      <w:rPr>
        <w:b/>
        <w:sz w:val="18"/>
      </w:rPr>
      <w:fldChar w:fldCharType="begin"/>
    </w:r>
    <w:r w:rsidRPr="008D06D4">
      <w:rPr>
        <w:b/>
        <w:sz w:val="18"/>
      </w:rPr>
      <w:instrText xml:space="preserve"> PAGE  \* MERGEFORMAT </w:instrText>
    </w:r>
    <w:r w:rsidRPr="008D06D4">
      <w:rPr>
        <w:b/>
        <w:sz w:val="18"/>
      </w:rPr>
      <w:fldChar w:fldCharType="separate"/>
    </w:r>
    <w:r w:rsidRPr="008D06D4">
      <w:rPr>
        <w:b/>
        <w:noProof/>
        <w:sz w:val="18"/>
      </w:rPr>
      <w:t>2</w:t>
    </w:r>
    <w:r w:rsidRPr="008D06D4">
      <w:rPr>
        <w:b/>
        <w:sz w:val="18"/>
      </w:rPr>
      <w:fldChar w:fldCharType="end"/>
    </w:r>
    <w:r>
      <w:rPr>
        <w:b/>
        <w:sz w:val="18"/>
      </w:rPr>
      <w:tab/>
    </w:r>
    <w:r>
      <w:t>GE.24-01546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8D5" w14:textId="2567058C" w:rsidR="008D06D4" w:rsidRPr="008D06D4" w:rsidRDefault="008D06D4" w:rsidP="008D06D4">
    <w:pPr>
      <w:pStyle w:val="Pieddepage"/>
      <w:tabs>
        <w:tab w:val="right" w:pos="9638"/>
      </w:tabs>
      <w:rPr>
        <w:b/>
        <w:sz w:val="18"/>
      </w:rPr>
    </w:pPr>
    <w:r>
      <w:t>GE.24-01546</w:t>
    </w:r>
    <w:r>
      <w:tab/>
    </w:r>
    <w:r w:rsidRPr="008D06D4">
      <w:rPr>
        <w:b/>
        <w:sz w:val="18"/>
      </w:rPr>
      <w:fldChar w:fldCharType="begin"/>
    </w:r>
    <w:r w:rsidRPr="008D06D4">
      <w:rPr>
        <w:b/>
        <w:sz w:val="18"/>
      </w:rPr>
      <w:instrText xml:space="preserve"> PAGE  \* MERGEFORMAT </w:instrText>
    </w:r>
    <w:r w:rsidRPr="008D06D4">
      <w:rPr>
        <w:b/>
        <w:sz w:val="18"/>
      </w:rPr>
      <w:fldChar w:fldCharType="separate"/>
    </w:r>
    <w:r w:rsidRPr="008D06D4">
      <w:rPr>
        <w:b/>
        <w:noProof/>
        <w:sz w:val="18"/>
      </w:rPr>
      <w:t>3</w:t>
    </w:r>
    <w:r w:rsidRPr="008D06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78CC" w14:textId="0D660FD6" w:rsidR="007F20FA" w:rsidRPr="008D06D4" w:rsidRDefault="008D06D4" w:rsidP="008D06D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14AC06" wp14:editId="21C3C36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B21D91" wp14:editId="36973F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DEC" w14:textId="77777777" w:rsidR="00A74100" w:rsidRPr="00AC3823" w:rsidRDefault="00A741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039814" w14:textId="77777777" w:rsidR="00A74100" w:rsidRPr="00AC3823" w:rsidRDefault="00A741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E86EF3" w14:textId="77777777" w:rsidR="00A74100" w:rsidRPr="00AC3823" w:rsidRDefault="00A74100">
      <w:pPr>
        <w:spacing w:line="240" w:lineRule="auto"/>
        <w:rPr>
          <w:sz w:val="2"/>
          <w:szCs w:val="2"/>
        </w:rPr>
      </w:pPr>
    </w:p>
  </w:footnote>
  <w:footnote w:id="2">
    <w:p w14:paraId="75E07B8E" w14:textId="2E51333B" w:rsidR="008D06D4" w:rsidRPr="00637BBB" w:rsidRDefault="008D06D4" w:rsidP="008D06D4">
      <w:pPr>
        <w:pStyle w:val="Notedebasdepage"/>
        <w:rPr>
          <w:lang w:val="fr-FR"/>
        </w:rPr>
      </w:pPr>
      <w:r>
        <w:rPr>
          <w:lang w:val="fr-FR"/>
        </w:rPr>
        <w:tab/>
      </w:r>
      <w:r w:rsidRPr="008D06D4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2024 tel qu’il figure </w:t>
      </w:r>
      <w:r w:rsidRPr="008D06D4">
        <w:t>dans</w:t>
      </w:r>
      <w:r>
        <w:rPr>
          <w:lang w:val="fr-FR"/>
        </w:rPr>
        <w:t xml:space="preserve"> le projet de budget-programme pour 2024 (</w:t>
      </w:r>
      <w:hyperlink r:id="rId1" w:history="1">
        <w:r w:rsidRPr="008D06D4">
          <w:rPr>
            <w:rStyle w:val="Lienhypertexte"/>
            <w:lang w:val="fr-FR"/>
          </w:rPr>
          <w:t>A/78/6</w:t>
        </w:r>
      </w:hyperlink>
      <w:r>
        <w:rPr>
          <w:lang w:val="fr-FR"/>
        </w:rPr>
        <w:t xml:space="preserve">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9F2" w14:textId="1AB2B02F" w:rsidR="008D06D4" w:rsidRPr="008D06D4" w:rsidRDefault="008D06D4">
    <w:pPr>
      <w:pStyle w:val="En-tte"/>
    </w:pPr>
    <w:fldSimple w:instr=" TITLE  \* MERGEFORMAT ">
      <w:r>
        <w:t>ECE/TRANS/WP.29/GRSG/2024/19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EF72" w14:textId="0738F42F" w:rsidR="008D06D4" w:rsidRPr="008D06D4" w:rsidRDefault="008D06D4" w:rsidP="008D06D4">
    <w:pPr>
      <w:pStyle w:val="En-tte"/>
      <w:jc w:val="right"/>
    </w:pPr>
    <w:fldSimple w:instr=" TITLE  \* MERGEFORMAT ">
      <w:r>
        <w:t>ECE/TRANS/WP.29/GRSG/2024/19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2621661">
    <w:abstractNumId w:val="12"/>
  </w:num>
  <w:num w:numId="2" w16cid:durableId="2099328774">
    <w:abstractNumId w:val="11"/>
  </w:num>
  <w:num w:numId="3" w16cid:durableId="217865340">
    <w:abstractNumId w:val="10"/>
  </w:num>
  <w:num w:numId="4" w16cid:durableId="810484367">
    <w:abstractNumId w:val="8"/>
  </w:num>
  <w:num w:numId="5" w16cid:durableId="2014410636">
    <w:abstractNumId w:val="3"/>
  </w:num>
  <w:num w:numId="6" w16cid:durableId="1060246926">
    <w:abstractNumId w:val="2"/>
  </w:num>
  <w:num w:numId="7" w16cid:durableId="900095266">
    <w:abstractNumId w:val="1"/>
  </w:num>
  <w:num w:numId="8" w16cid:durableId="656110668">
    <w:abstractNumId w:val="0"/>
  </w:num>
  <w:num w:numId="9" w16cid:durableId="803277502">
    <w:abstractNumId w:val="9"/>
  </w:num>
  <w:num w:numId="10" w16cid:durableId="252975949">
    <w:abstractNumId w:val="7"/>
  </w:num>
  <w:num w:numId="11" w16cid:durableId="465397426">
    <w:abstractNumId w:val="6"/>
  </w:num>
  <w:num w:numId="12" w16cid:durableId="858733849">
    <w:abstractNumId w:val="5"/>
  </w:num>
  <w:num w:numId="13" w16cid:durableId="642858196">
    <w:abstractNumId w:val="4"/>
  </w:num>
  <w:num w:numId="14" w16cid:durableId="506100612">
    <w:abstractNumId w:val="12"/>
  </w:num>
  <w:num w:numId="15" w16cid:durableId="1358890898">
    <w:abstractNumId w:val="11"/>
  </w:num>
  <w:num w:numId="16" w16cid:durableId="140668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00"/>
    <w:rsid w:val="00017F94"/>
    <w:rsid w:val="00023842"/>
    <w:rsid w:val="000334F9"/>
    <w:rsid w:val="00045FEB"/>
    <w:rsid w:val="0007796D"/>
    <w:rsid w:val="000B7790"/>
    <w:rsid w:val="00111F2F"/>
    <w:rsid w:val="001314CA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06D4"/>
    <w:rsid w:val="008D5EF9"/>
    <w:rsid w:val="009446C0"/>
    <w:rsid w:val="009705C8"/>
    <w:rsid w:val="009C1CF4"/>
    <w:rsid w:val="009F6B74"/>
    <w:rsid w:val="00A3029F"/>
    <w:rsid w:val="00A30353"/>
    <w:rsid w:val="00A7410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6DD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A40A4"/>
  <w15:docId w15:val="{E177289E-D8DD-497E-A759-4AB964F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8D06D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8D06D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vehicle-regulations/wp29/resolutions" TargetMode="External"/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yperlink" Target="https://unece.org/transport/standards/transport/vehicle-regulations-wp29/resolution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docs.org/fr/ECE/TRANS/WP.29/1101/Amend.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ndocs.org/fr/E/ECE/TRANS/505/Rev.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6266-F907-4E99-84B4-4A59F7A31A55}"/>
</file>

<file path=customXml/itemProps2.xml><?xml version="1.0" encoding="utf-8"?>
<ds:datastoreItem xmlns:ds="http://schemas.openxmlformats.org/officeDocument/2006/customXml" ds:itemID="{11DA4DED-4951-41FE-9ABB-25785145BB9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727</Words>
  <Characters>4481</Characters>
  <Application>Microsoft Office Word</Application>
  <DocSecurity>0</DocSecurity>
  <Lines>93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ECE/TRANS/WP.29/GRSG/2024/19</vt:lpstr>
    </vt:vector>
  </TitlesOfParts>
  <Company>DCM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ECE/TRANS/WP.29/GRSG/2024/19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2024-02-20T08:24:00Z</dcterms:created>
  <dcterms:modified xsi:type="dcterms:W3CDTF">2024-02-20T08:24:00Z</dcterms:modified>
</cp:coreProperties>
</file>