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466D8A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9B094E" w14:textId="77777777" w:rsidR="00F35BAF" w:rsidRPr="00DB58B5" w:rsidRDefault="00F35BAF" w:rsidP="003D3AC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C0DDC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0949F3" w14:textId="50808166" w:rsidR="00F35BAF" w:rsidRPr="00DB58B5" w:rsidRDefault="003D3AC7" w:rsidP="003D3AC7">
            <w:pPr>
              <w:jc w:val="right"/>
            </w:pPr>
            <w:r w:rsidRPr="003D3AC7">
              <w:rPr>
                <w:sz w:val="40"/>
              </w:rPr>
              <w:t>ECE</w:t>
            </w:r>
            <w:r>
              <w:t>/TRANS/WP.29/GRSG/2024/5</w:t>
            </w:r>
          </w:p>
        </w:tc>
      </w:tr>
      <w:tr w:rsidR="00F35BAF" w:rsidRPr="00DB58B5" w14:paraId="56D6C20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915AF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62292E" wp14:editId="3FD2AD2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5AFA9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1B5449" w14:textId="77777777" w:rsidR="00F35BAF" w:rsidRDefault="003D3AC7" w:rsidP="00C97039">
            <w:pPr>
              <w:spacing w:before="240"/>
            </w:pPr>
            <w:r>
              <w:t>Distr. générale</w:t>
            </w:r>
          </w:p>
          <w:p w14:paraId="7FFCC93E" w14:textId="77777777" w:rsidR="003D3AC7" w:rsidRDefault="003D3AC7" w:rsidP="003D3AC7">
            <w:pPr>
              <w:spacing w:line="240" w:lineRule="exact"/>
            </w:pPr>
            <w:r>
              <w:t>26 janvier 2024</w:t>
            </w:r>
          </w:p>
          <w:p w14:paraId="6B4895F1" w14:textId="77777777" w:rsidR="003D3AC7" w:rsidRDefault="003D3AC7" w:rsidP="003D3AC7">
            <w:pPr>
              <w:spacing w:line="240" w:lineRule="exact"/>
            </w:pPr>
            <w:r>
              <w:t>Français</w:t>
            </w:r>
          </w:p>
          <w:p w14:paraId="1C4D26D0" w14:textId="4375820D" w:rsidR="003D3AC7" w:rsidRPr="00DB58B5" w:rsidRDefault="003D3AC7" w:rsidP="003D3AC7">
            <w:pPr>
              <w:spacing w:line="240" w:lineRule="exact"/>
            </w:pPr>
            <w:r>
              <w:t>Original : anglais</w:t>
            </w:r>
          </w:p>
        </w:tc>
      </w:tr>
    </w:tbl>
    <w:p w14:paraId="07DE061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B9C9D1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E9DE9BB" w14:textId="6AED2E6E" w:rsidR="003D3AC7" w:rsidRPr="00763ABD" w:rsidRDefault="003D3AC7" w:rsidP="003D3AC7">
      <w:pPr>
        <w:spacing w:before="120"/>
        <w:rPr>
          <w:b/>
          <w:sz w:val="24"/>
          <w:szCs w:val="24"/>
        </w:rPr>
      </w:pPr>
      <w:r w:rsidRPr="00763ABD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763ABD">
        <w:rPr>
          <w:b/>
          <w:bCs/>
          <w:sz w:val="24"/>
          <w:szCs w:val="24"/>
          <w:lang w:val="fr-FR"/>
        </w:rPr>
        <w:t xml:space="preserve">harmonisation des Règlements </w:t>
      </w:r>
      <w:r w:rsidR="008028A5">
        <w:rPr>
          <w:b/>
          <w:bCs/>
          <w:sz w:val="24"/>
          <w:szCs w:val="24"/>
          <w:lang w:val="fr-FR"/>
        </w:rPr>
        <w:br/>
      </w:r>
      <w:r w:rsidRPr="00763ABD">
        <w:rPr>
          <w:b/>
          <w:bCs/>
          <w:sz w:val="24"/>
          <w:szCs w:val="24"/>
          <w:lang w:val="fr-FR"/>
        </w:rPr>
        <w:t>concernant les véhicules</w:t>
      </w:r>
    </w:p>
    <w:p w14:paraId="6B1CA2AB" w14:textId="77777777" w:rsidR="003D3AC7" w:rsidRPr="008028A5" w:rsidRDefault="003D3AC7" w:rsidP="003D3AC7">
      <w:pPr>
        <w:spacing w:before="120"/>
        <w:rPr>
          <w:b/>
        </w:rPr>
      </w:pPr>
      <w:r w:rsidRPr="008028A5">
        <w:rPr>
          <w:b/>
          <w:bCs/>
          <w:lang w:val="fr-FR"/>
        </w:rPr>
        <w:t>Groupe de travail des dispositions générales de sécurité</w:t>
      </w:r>
    </w:p>
    <w:p w14:paraId="44995E00" w14:textId="77777777" w:rsidR="003D3AC7" w:rsidRPr="008028A5" w:rsidRDefault="003D3AC7" w:rsidP="003D3AC7">
      <w:pPr>
        <w:spacing w:before="120"/>
        <w:rPr>
          <w:b/>
        </w:rPr>
      </w:pPr>
      <w:r w:rsidRPr="008028A5">
        <w:rPr>
          <w:b/>
          <w:bCs/>
          <w:lang w:val="fr-FR"/>
        </w:rPr>
        <w:t>127</w:t>
      </w:r>
      <w:r w:rsidRPr="008028A5">
        <w:rPr>
          <w:b/>
          <w:bCs/>
          <w:vertAlign w:val="superscript"/>
          <w:lang w:val="fr-FR"/>
        </w:rPr>
        <w:t>e</w:t>
      </w:r>
      <w:r w:rsidRPr="008028A5">
        <w:rPr>
          <w:b/>
          <w:bCs/>
          <w:lang w:val="fr-FR"/>
        </w:rPr>
        <w:t xml:space="preserve"> session</w:t>
      </w:r>
    </w:p>
    <w:p w14:paraId="4AB804C9" w14:textId="77777777" w:rsidR="003D3AC7" w:rsidRPr="008028A5" w:rsidRDefault="003D3AC7" w:rsidP="003D3AC7">
      <w:r w:rsidRPr="008028A5">
        <w:rPr>
          <w:lang w:val="fr-FR"/>
        </w:rPr>
        <w:t>Genève, 15-19 avril 2024</w:t>
      </w:r>
    </w:p>
    <w:p w14:paraId="109C643F" w14:textId="77777777" w:rsidR="003D3AC7" w:rsidRPr="008028A5" w:rsidRDefault="003D3AC7" w:rsidP="003D3AC7">
      <w:r w:rsidRPr="008028A5">
        <w:rPr>
          <w:lang w:val="fr-FR"/>
        </w:rPr>
        <w:t>Point 19 de l’ordre du jour provisoire</w:t>
      </w:r>
    </w:p>
    <w:p w14:paraId="5ABE7477" w14:textId="7F4FDD5F" w:rsidR="003D3AC7" w:rsidRPr="008028A5" w:rsidRDefault="003D3AC7" w:rsidP="003D3AC7">
      <w:pPr>
        <w:rPr>
          <w:b/>
        </w:rPr>
      </w:pPr>
      <w:r w:rsidRPr="008028A5">
        <w:rPr>
          <w:b/>
          <w:bCs/>
          <w:lang w:val="fr-FR"/>
        </w:rPr>
        <w:t>Résolution d’ensemble sur la construction des véhicules</w:t>
      </w:r>
    </w:p>
    <w:p w14:paraId="5786E02E" w14:textId="059CA530" w:rsidR="003D3AC7" w:rsidRPr="00763ABD" w:rsidRDefault="008028A5" w:rsidP="008028A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3D3AC7" w:rsidRPr="00763ABD">
        <w:rPr>
          <w:lang w:val="fr-FR"/>
        </w:rPr>
        <w:t>Proposition d</w:t>
      </w:r>
      <w:r w:rsidR="003D3AC7">
        <w:rPr>
          <w:lang w:val="fr-FR"/>
        </w:rPr>
        <w:t>’</w:t>
      </w:r>
      <w:r w:rsidR="003D3AC7" w:rsidRPr="00763ABD">
        <w:rPr>
          <w:lang w:val="fr-FR"/>
        </w:rPr>
        <w:t>amendements à la Résolution d</w:t>
      </w:r>
      <w:r w:rsidR="003D3AC7">
        <w:rPr>
          <w:lang w:val="fr-FR"/>
        </w:rPr>
        <w:t>’</w:t>
      </w:r>
      <w:r w:rsidR="003D3AC7" w:rsidRPr="00763ABD">
        <w:rPr>
          <w:lang w:val="fr-FR"/>
        </w:rPr>
        <w:t xml:space="preserve">ensemble </w:t>
      </w:r>
      <w:r>
        <w:rPr>
          <w:lang w:val="fr-FR"/>
        </w:rPr>
        <w:br/>
      </w:r>
      <w:r w:rsidR="003D3AC7" w:rsidRPr="00763ABD">
        <w:rPr>
          <w:lang w:val="fr-FR"/>
        </w:rPr>
        <w:t>sur la construction des véhicules</w:t>
      </w:r>
    </w:p>
    <w:p w14:paraId="6C533494" w14:textId="42893F36" w:rsidR="003D3AC7" w:rsidRPr="00763ABD" w:rsidRDefault="003D3AC7" w:rsidP="008028A5">
      <w:pPr>
        <w:pStyle w:val="H1G"/>
      </w:pPr>
      <w:r w:rsidRPr="00763ABD">
        <w:rPr>
          <w:lang w:val="fr-FR"/>
        </w:rPr>
        <w:tab/>
      </w:r>
      <w:r w:rsidRPr="00763ABD">
        <w:rPr>
          <w:lang w:val="fr-FR"/>
        </w:rPr>
        <w:tab/>
        <w:t xml:space="preserve">Communication de </w:t>
      </w:r>
      <w:r>
        <w:rPr>
          <w:lang w:val="fr-FR"/>
        </w:rPr>
        <w:t xml:space="preserve">l’expert de </w:t>
      </w:r>
      <w:r w:rsidRPr="00763ABD">
        <w:rPr>
          <w:lang w:val="fr-FR"/>
        </w:rPr>
        <w:t xml:space="preserve">la Fédération internationale </w:t>
      </w:r>
      <w:r w:rsidR="008028A5">
        <w:rPr>
          <w:lang w:val="fr-FR"/>
        </w:rPr>
        <w:br/>
      </w:r>
      <w:r w:rsidRPr="00763ABD">
        <w:rPr>
          <w:lang w:val="fr-FR"/>
        </w:rPr>
        <w:t>des véhicules ancien</w:t>
      </w:r>
      <w:r w:rsidR="008028A5">
        <w:rPr>
          <w:lang w:val="fr-FR"/>
        </w:rPr>
        <w:t>s</w:t>
      </w:r>
      <w:r w:rsidR="008028A5" w:rsidRPr="00BA636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F14F2DF" w14:textId="77777777" w:rsidR="003D3AC7" w:rsidRPr="00763ABD" w:rsidRDefault="003D3AC7" w:rsidP="008028A5">
      <w:pPr>
        <w:pStyle w:val="SingleTxtG"/>
        <w:ind w:firstLine="567"/>
      </w:pPr>
      <w:r w:rsidRPr="00763ABD">
        <w:rPr>
          <w:lang w:val="fr-FR"/>
        </w:rPr>
        <w:footnoteReference w:customMarkFollows="1" w:id="3"/>
        <w:t>Le texte ci-après, établi par l</w:t>
      </w:r>
      <w:r>
        <w:rPr>
          <w:lang w:val="fr-FR"/>
        </w:rPr>
        <w:t>’</w:t>
      </w:r>
      <w:r w:rsidRPr="00763ABD">
        <w:rPr>
          <w:lang w:val="fr-FR"/>
        </w:rPr>
        <w:t xml:space="preserve">expert de la Fédération internationale des véhicules anciens, vise à </w:t>
      </w:r>
      <w:r>
        <w:rPr>
          <w:lang w:val="fr-FR"/>
        </w:rPr>
        <w:t>ajouter</w:t>
      </w:r>
      <w:r w:rsidRPr="00763ABD">
        <w:rPr>
          <w:lang w:val="fr-FR"/>
        </w:rPr>
        <w:t xml:space="preserve"> une définition des véhicules </w:t>
      </w:r>
      <w:r>
        <w:rPr>
          <w:lang w:val="fr-FR"/>
        </w:rPr>
        <w:t xml:space="preserve">présentant un intérêt </w:t>
      </w:r>
      <w:r w:rsidRPr="00763ABD">
        <w:rPr>
          <w:lang w:val="fr-FR"/>
        </w:rPr>
        <w:t>historique. Les modifications qu</w:t>
      </w:r>
      <w:r>
        <w:rPr>
          <w:lang w:val="fr-FR"/>
        </w:rPr>
        <w:t>’</w:t>
      </w:r>
      <w:r w:rsidRPr="00763ABD">
        <w:rPr>
          <w:lang w:val="fr-FR"/>
        </w:rPr>
        <w:t>il est proposé d</w:t>
      </w:r>
      <w:r>
        <w:rPr>
          <w:lang w:val="fr-FR"/>
        </w:rPr>
        <w:t>’</w:t>
      </w:r>
      <w:r w:rsidRPr="00763ABD">
        <w:rPr>
          <w:lang w:val="fr-FR"/>
        </w:rPr>
        <w:t>apporter au texte actuel de la Résolution d</w:t>
      </w:r>
      <w:r>
        <w:rPr>
          <w:lang w:val="fr-FR"/>
        </w:rPr>
        <w:t>’</w:t>
      </w:r>
      <w:r w:rsidRPr="00763ABD">
        <w:rPr>
          <w:lang w:val="fr-FR"/>
        </w:rPr>
        <w:t>ensemble sur la construction des véhicules</w:t>
      </w:r>
      <w:r>
        <w:rPr>
          <w:lang w:val="fr-FR"/>
        </w:rPr>
        <w:t xml:space="preserve"> </w:t>
      </w:r>
      <w:r w:rsidRPr="00763ABD">
        <w:rPr>
          <w:lang w:val="fr-FR"/>
        </w:rPr>
        <w:t>(R.E.3) figurent en caractères gras pour les ajouts et biffés pour les suppressions.</w:t>
      </w:r>
    </w:p>
    <w:p w14:paraId="778617F7" w14:textId="21EA28C8" w:rsidR="003D3AC7" w:rsidRPr="008028A5" w:rsidRDefault="003D3AC7" w:rsidP="008028A5">
      <w:pPr>
        <w:pStyle w:val="HChG"/>
      </w:pPr>
      <w:r w:rsidRPr="00763ABD">
        <w:br w:type="page"/>
      </w:r>
      <w:r w:rsidRPr="008028A5">
        <w:rPr>
          <w:lang w:val="fr-FR"/>
        </w:rPr>
        <w:lastRenderedPageBreak/>
        <w:tab/>
        <w:t>I.</w:t>
      </w:r>
      <w:r w:rsidRPr="008028A5">
        <w:rPr>
          <w:lang w:val="fr-FR"/>
        </w:rPr>
        <w:tab/>
        <w:t xml:space="preserve">Proposition </w:t>
      </w:r>
    </w:p>
    <w:p w14:paraId="6E525171" w14:textId="28B99141" w:rsidR="003D3AC7" w:rsidRPr="00763ABD" w:rsidRDefault="003D3AC7" w:rsidP="008028A5">
      <w:pPr>
        <w:pStyle w:val="SingleTxtG"/>
      </w:pPr>
      <w:r w:rsidRPr="008028A5">
        <w:rPr>
          <w:i/>
          <w:iCs/>
          <w:lang w:val="fr-FR"/>
        </w:rPr>
        <w:t>Ajouter le nouveau paragraphe 1.16</w:t>
      </w:r>
      <w:r w:rsidRPr="00763ABD">
        <w:rPr>
          <w:lang w:val="fr-FR"/>
        </w:rPr>
        <w:t>, libellé comme suit</w:t>
      </w:r>
      <w:r w:rsidR="008028A5">
        <w:rPr>
          <w:lang w:val="fr-FR"/>
        </w:rPr>
        <w:t> </w:t>
      </w:r>
      <w:r w:rsidRPr="00763ABD">
        <w:rPr>
          <w:lang w:val="fr-FR"/>
        </w:rPr>
        <w:t xml:space="preserve">: </w:t>
      </w:r>
    </w:p>
    <w:p w14:paraId="670B5FD9" w14:textId="4416EC0E" w:rsidR="003D3AC7" w:rsidRPr="008028A5" w:rsidRDefault="003D3AC7" w:rsidP="008028A5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763ABD">
        <w:rPr>
          <w:lang w:val="fr-FR"/>
        </w:rPr>
        <w:t>« </w:t>
      </w:r>
      <w:r w:rsidRPr="008028A5">
        <w:rPr>
          <w:b/>
          <w:bCs/>
          <w:lang w:val="fr-FR"/>
        </w:rPr>
        <w:t>1.16</w:t>
      </w:r>
      <w:r w:rsidRPr="008028A5">
        <w:rPr>
          <w:b/>
          <w:bCs/>
          <w:lang w:val="fr-FR"/>
        </w:rPr>
        <w:tab/>
        <w:t xml:space="preserve">On entend par </w:t>
      </w:r>
      <w:r w:rsidR="008028A5" w:rsidRPr="008028A5">
        <w:rPr>
          <w:b/>
          <w:bCs/>
        </w:rPr>
        <w:t>“</w:t>
      </w:r>
      <w:r w:rsidRPr="008028A5">
        <w:rPr>
          <w:b/>
          <w:bCs/>
          <w:i/>
          <w:iCs/>
          <w:lang w:val="fr-FR"/>
        </w:rPr>
        <w:t>véhicule présentant un intérêt historique</w:t>
      </w:r>
      <w:r w:rsidR="008028A5" w:rsidRPr="008028A5">
        <w:rPr>
          <w:b/>
          <w:bCs/>
        </w:rPr>
        <w:t>”</w:t>
      </w:r>
      <w:r w:rsidRPr="008028A5">
        <w:rPr>
          <w:b/>
          <w:bCs/>
          <w:lang w:val="fr-FR"/>
        </w:rPr>
        <w:t xml:space="preserve"> tout véhicule considéré comme historique par le pays d’immatriculation ou par une autorité désignée délivrant les autorisations, et qui remplit l’ensemble des conditions suivantes :</w:t>
      </w:r>
    </w:p>
    <w:p w14:paraId="3A68F527" w14:textId="77777777" w:rsidR="003D3AC7" w:rsidRPr="008028A5" w:rsidRDefault="003D3AC7" w:rsidP="008028A5">
      <w:pPr>
        <w:pStyle w:val="SingleTxtG"/>
        <w:ind w:left="2835" w:hanging="567"/>
        <w:rPr>
          <w:b/>
          <w:bCs/>
        </w:rPr>
      </w:pPr>
      <w:r w:rsidRPr="008028A5">
        <w:rPr>
          <w:b/>
          <w:bCs/>
        </w:rPr>
        <w:t>a)</w:t>
      </w:r>
      <w:r w:rsidRPr="008028A5">
        <w:rPr>
          <w:b/>
          <w:bCs/>
        </w:rPr>
        <w:tab/>
        <w:t>Il a été construit ou immatriculé pour la première fois il y a au moins 30 ans ;</w:t>
      </w:r>
    </w:p>
    <w:p w14:paraId="6791B388" w14:textId="18AD8250" w:rsidR="003D3AC7" w:rsidRPr="008028A5" w:rsidRDefault="003D3AC7" w:rsidP="008028A5">
      <w:pPr>
        <w:pStyle w:val="SingleTxtG"/>
        <w:ind w:left="2835" w:hanging="567"/>
        <w:rPr>
          <w:b/>
          <w:bCs/>
        </w:rPr>
      </w:pPr>
      <w:r w:rsidRPr="008028A5">
        <w:rPr>
          <w:b/>
          <w:bCs/>
        </w:rPr>
        <w:t>b)</w:t>
      </w:r>
      <w:r w:rsidRPr="008028A5">
        <w:rPr>
          <w:b/>
          <w:bCs/>
        </w:rPr>
        <w:tab/>
        <w:t xml:space="preserve">Son type particulier, tel que défini par la législation internationale ou nationale pertinente, n’est plus produit ; </w:t>
      </w:r>
    </w:p>
    <w:p w14:paraId="5BA1447E" w14:textId="68C15BA1" w:rsidR="003D3AC7" w:rsidRPr="008028A5" w:rsidRDefault="003D3AC7" w:rsidP="008028A5">
      <w:pPr>
        <w:pStyle w:val="SingleTxtG"/>
        <w:ind w:left="2835" w:hanging="567"/>
        <w:rPr>
          <w:b/>
          <w:bCs/>
        </w:rPr>
      </w:pPr>
      <w:r w:rsidRPr="008028A5">
        <w:rPr>
          <w:b/>
          <w:bCs/>
        </w:rPr>
        <w:t>c)</w:t>
      </w:r>
      <w:r w:rsidRPr="008028A5">
        <w:rPr>
          <w:b/>
          <w:bCs/>
        </w:rPr>
        <w:tab/>
        <w:t>Il est préservé sur le plan historique et maintenu dans son état d’origine, et aucune modification essentielle n’a été apportée aux caractéristiques techniques de ses principaux composants.</w:t>
      </w:r>
      <w:r w:rsidRPr="008028A5">
        <w:t> ».</w:t>
      </w:r>
    </w:p>
    <w:p w14:paraId="54CD78AE" w14:textId="77777777" w:rsidR="003D3AC7" w:rsidRPr="00763ABD" w:rsidRDefault="003D3AC7" w:rsidP="008028A5">
      <w:pPr>
        <w:pStyle w:val="HChG"/>
      </w:pPr>
      <w:r w:rsidRPr="00763ABD">
        <w:rPr>
          <w:lang w:val="fr-FR"/>
        </w:rPr>
        <w:tab/>
        <w:t>II.</w:t>
      </w:r>
      <w:r w:rsidRPr="00763ABD">
        <w:rPr>
          <w:lang w:val="fr-FR"/>
        </w:rPr>
        <w:tab/>
        <w:t xml:space="preserve">Justification </w:t>
      </w:r>
    </w:p>
    <w:p w14:paraId="699B7C0E" w14:textId="21A67589" w:rsidR="003D3AC7" w:rsidRPr="00763ABD" w:rsidRDefault="003D3AC7" w:rsidP="008028A5">
      <w:pPr>
        <w:pStyle w:val="SingleTxtG"/>
      </w:pPr>
      <w:r w:rsidRPr="00763ABD">
        <w:rPr>
          <w:lang w:val="fr-FR"/>
        </w:rPr>
        <w:t>1.</w:t>
      </w:r>
      <w:r w:rsidRPr="00763ABD">
        <w:rPr>
          <w:lang w:val="fr-FR"/>
        </w:rPr>
        <w:tab/>
        <w:t>Les véhicules historiques constituent notre patrimoine automobile. Ce patrimoine n</w:t>
      </w:r>
      <w:r>
        <w:rPr>
          <w:lang w:val="fr-FR"/>
        </w:rPr>
        <w:t>’</w:t>
      </w:r>
      <w:r w:rsidRPr="00763ABD">
        <w:rPr>
          <w:lang w:val="fr-FR"/>
        </w:rPr>
        <w:t>est pas seulement la représentation matérielle de l</w:t>
      </w:r>
      <w:r>
        <w:rPr>
          <w:lang w:val="fr-FR"/>
        </w:rPr>
        <w:t>’</w:t>
      </w:r>
      <w:r w:rsidRPr="00763ABD">
        <w:rPr>
          <w:lang w:val="fr-FR"/>
        </w:rPr>
        <w:t>évolution des transports motorisés, il a également contribué à façonner le développement social, industriel et économique du vingtième siècle. L</w:t>
      </w:r>
      <w:r>
        <w:rPr>
          <w:lang w:val="fr-FR"/>
        </w:rPr>
        <w:t>’</w:t>
      </w:r>
      <w:r w:rsidRPr="00763ABD">
        <w:rPr>
          <w:lang w:val="fr-FR"/>
        </w:rPr>
        <w:t>apparition du véhicule à moteur a radicalement modifié les modes de vie et de travail</w:t>
      </w:r>
      <w:r w:rsidR="008028A5">
        <w:rPr>
          <w:lang w:val="fr-FR"/>
        </w:rPr>
        <w:t> </w:t>
      </w:r>
      <w:r w:rsidRPr="00763ABD">
        <w:rPr>
          <w:lang w:val="fr-FR"/>
        </w:rPr>
        <w:t>: a)</w:t>
      </w:r>
      <w:r w:rsidR="008028A5">
        <w:rPr>
          <w:lang w:val="fr-FR"/>
        </w:rPr>
        <w:t> </w:t>
      </w:r>
      <w:r w:rsidRPr="00763ABD">
        <w:rPr>
          <w:lang w:val="fr-FR"/>
        </w:rPr>
        <w:t>en favorisant le développement des zones urbaines et industrielles et des réseaux routiers</w:t>
      </w:r>
      <w:r>
        <w:rPr>
          <w:lang w:val="fr-FR"/>
        </w:rPr>
        <w:t>,</w:t>
      </w:r>
      <w:r w:rsidRPr="00763ABD">
        <w:rPr>
          <w:lang w:val="fr-FR"/>
        </w:rPr>
        <w:t xml:space="preserve"> qui ont remodelé le paysage physique</w:t>
      </w:r>
      <w:r w:rsidR="008028A5">
        <w:rPr>
          <w:lang w:val="fr-FR"/>
        </w:rPr>
        <w:t> ;</w:t>
      </w:r>
      <w:r w:rsidRPr="00763ABD">
        <w:rPr>
          <w:lang w:val="fr-FR"/>
        </w:rPr>
        <w:t xml:space="preserve"> et b)</w:t>
      </w:r>
      <w:r w:rsidR="008028A5">
        <w:rPr>
          <w:lang w:val="fr-FR"/>
        </w:rPr>
        <w:t> </w:t>
      </w:r>
      <w:r w:rsidRPr="00763ABD">
        <w:rPr>
          <w:lang w:val="fr-FR"/>
        </w:rPr>
        <w:t>en contribuant fortement à la mobilité sociale. Les véhicules historiques sont l</w:t>
      </w:r>
      <w:r>
        <w:rPr>
          <w:lang w:val="fr-FR"/>
        </w:rPr>
        <w:t>’</w:t>
      </w:r>
      <w:r w:rsidRPr="00763ABD">
        <w:rPr>
          <w:lang w:val="fr-FR"/>
        </w:rPr>
        <w:t>un des marqueurs les plus emblématiques de l</w:t>
      </w:r>
      <w:r>
        <w:rPr>
          <w:lang w:val="fr-FR"/>
        </w:rPr>
        <w:t>’</w:t>
      </w:r>
      <w:r w:rsidRPr="00763ABD">
        <w:rPr>
          <w:lang w:val="fr-FR"/>
        </w:rPr>
        <w:t>évolution de la technique et du design au vingtième siècle.</w:t>
      </w:r>
    </w:p>
    <w:p w14:paraId="0CF324EB" w14:textId="09F7D919" w:rsidR="003D3AC7" w:rsidRPr="00763ABD" w:rsidRDefault="003D3AC7" w:rsidP="008028A5">
      <w:pPr>
        <w:pStyle w:val="SingleTxtG"/>
      </w:pPr>
      <w:r w:rsidRPr="00763ABD">
        <w:rPr>
          <w:lang w:val="fr-FR"/>
        </w:rPr>
        <w:t>2.</w:t>
      </w:r>
      <w:r w:rsidRPr="00763ABD">
        <w:rPr>
          <w:lang w:val="fr-FR"/>
        </w:rPr>
        <w:tab/>
        <w:t>Cependant, les véhicules actuels s</w:t>
      </w:r>
      <w:r>
        <w:rPr>
          <w:lang w:val="fr-FR"/>
        </w:rPr>
        <w:t>’</w:t>
      </w:r>
      <w:r w:rsidRPr="00763ABD">
        <w:rPr>
          <w:lang w:val="fr-FR"/>
        </w:rPr>
        <w:t xml:space="preserve">éloignent de plus en plus des véhicules historiques. Les </w:t>
      </w:r>
      <w:r>
        <w:rPr>
          <w:lang w:val="fr-FR"/>
        </w:rPr>
        <w:t>responsables chargés de</w:t>
      </w:r>
      <w:r w:rsidRPr="00763ABD">
        <w:rPr>
          <w:lang w:val="fr-FR"/>
        </w:rPr>
        <w:t xml:space="preserve"> la conception et </w:t>
      </w:r>
      <w:r>
        <w:rPr>
          <w:lang w:val="fr-FR"/>
        </w:rPr>
        <w:t xml:space="preserve">de </w:t>
      </w:r>
      <w:r w:rsidRPr="00763ABD">
        <w:rPr>
          <w:lang w:val="fr-FR"/>
        </w:rPr>
        <w:t>l</w:t>
      </w:r>
      <w:r>
        <w:rPr>
          <w:lang w:val="fr-FR"/>
        </w:rPr>
        <w:t>’</w:t>
      </w:r>
      <w:r w:rsidRPr="00763ABD">
        <w:rPr>
          <w:lang w:val="fr-FR"/>
        </w:rPr>
        <w:t xml:space="preserve">utilisation des véhicules et des routes </w:t>
      </w:r>
      <w:r>
        <w:rPr>
          <w:lang w:val="fr-FR"/>
        </w:rPr>
        <w:t>prennent leurs décisions en ayant</w:t>
      </w:r>
      <w:r w:rsidRPr="00763ABD">
        <w:rPr>
          <w:lang w:val="fr-FR"/>
        </w:rPr>
        <w:t xml:space="preserve"> à l</w:t>
      </w:r>
      <w:r>
        <w:rPr>
          <w:lang w:val="fr-FR"/>
        </w:rPr>
        <w:t>’</w:t>
      </w:r>
      <w:r w:rsidRPr="00763ABD">
        <w:rPr>
          <w:lang w:val="fr-FR"/>
        </w:rPr>
        <w:t>esprit les systèmes de transport intelligents et les moteurs électriques. L</w:t>
      </w:r>
      <w:r>
        <w:rPr>
          <w:lang w:val="fr-FR"/>
        </w:rPr>
        <w:t>’</w:t>
      </w:r>
      <w:r w:rsidRPr="00763ABD">
        <w:rPr>
          <w:lang w:val="fr-FR"/>
        </w:rPr>
        <w:t xml:space="preserve">amélioration </w:t>
      </w:r>
      <w:r>
        <w:rPr>
          <w:lang w:val="fr-FR"/>
        </w:rPr>
        <w:t>de la</w:t>
      </w:r>
      <w:r w:rsidRPr="00763ABD">
        <w:rPr>
          <w:lang w:val="fr-FR"/>
        </w:rPr>
        <w:t xml:space="preserve"> législation relative à l</w:t>
      </w:r>
      <w:r>
        <w:rPr>
          <w:lang w:val="fr-FR"/>
        </w:rPr>
        <w:t>’</w:t>
      </w:r>
      <w:r w:rsidRPr="00763ABD">
        <w:rPr>
          <w:lang w:val="fr-FR"/>
        </w:rPr>
        <w:t>environnement, au contrôle technique et à la sécurité des routes et des véhicules peut avoir comme conséquence involontaire et indésirable de restreindre l</w:t>
      </w:r>
      <w:r>
        <w:rPr>
          <w:lang w:val="fr-FR"/>
        </w:rPr>
        <w:t>’</w:t>
      </w:r>
      <w:r w:rsidRPr="00763ABD">
        <w:rPr>
          <w:lang w:val="fr-FR"/>
        </w:rPr>
        <w:t xml:space="preserve">utilisation des véhicules historiques, dont la circulation finira peut-être par être </w:t>
      </w:r>
      <w:r>
        <w:rPr>
          <w:lang w:val="fr-FR"/>
        </w:rPr>
        <w:t>quasiment interdite</w:t>
      </w:r>
      <w:r w:rsidRPr="00763ABD">
        <w:rPr>
          <w:lang w:val="fr-FR"/>
        </w:rPr>
        <w:t xml:space="preserve"> sur la voie publique. Cela devrait être évité car la valeur sociale et culturelle des véhicules </w:t>
      </w:r>
      <w:r>
        <w:rPr>
          <w:lang w:val="fr-FR"/>
        </w:rPr>
        <w:t>historiques</w:t>
      </w:r>
      <w:r w:rsidRPr="00763ABD">
        <w:rPr>
          <w:lang w:val="fr-FR"/>
        </w:rPr>
        <w:t xml:space="preserve"> repose sur le fait qu</w:t>
      </w:r>
      <w:r>
        <w:rPr>
          <w:lang w:val="fr-FR"/>
        </w:rPr>
        <w:t>’</w:t>
      </w:r>
      <w:r w:rsidRPr="00763ABD">
        <w:rPr>
          <w:lang w:val="fr-FR"/>
        </w:rPr>
        <w:t>ils offrent au public, par leur présence sur la voie publique, un musée roulant du patrimoine automobile. La richesse culturelle de notre mouvement repose précisément sur la capacité des véhicules à fonctionner efficacement en tant que tels, même s</w:t>
      </w:r>
      <w:r>
        <w:rPr>
          <w:lang w:val="fr-FR"/>
        </w:rPr>
        <w:t>’</w:t>
      </w:r>
      <w:r w:rsidRPr="00763ABD">
        <w:rPr>
          <w:lang w:val="fr-FR"/>
        </w:rPr>
        <w:t xml:space="preserve">ils sont considérés comme des pièces </w:t>
      </w:r>
      <w:r>
        <w:rPr>
          <w:lang w:val="fr-FR"/>
        </w:rPr>
        <w:t>de collection</w:t>
      </w:r>
      <w:r w:rsidRPr="00763ABD">
        <w:rPr>
          <w:lang w:val="fr-FR"/>
        </w:rPr>
        <w:t xml:space="preserve">. </w:t>
      </w:r>
    </w:p>
    <w:p w14:paraId="66DBFA33" w14:textId="31D85352" w:rsidR="003D3AC7" w:rsidRPr="00763ABD" w:rsidRDefault="003D3AC7" w:rsidP="008028A5">
      <w:pPr>
        <w:pStyle w:val="SingleTxtG"/>
      </w:pPr>
      <w:r w:rsidRPr="00763ABD">
        <w:rPr>
          <w:lang w:val="fr-FR"/>
        </w:rPr>
        <w:t>3.</w:t>
      </w:r>
      <w:r w:rsidRPr="00763ABD">
        <w:rPr>
          <w:lang w:val="fr-FR"/>
        </w:rPr>
        <w:tab/>
        <w:t>L</w:t>
      </w:r>
      <w:r>
        <w:rPr>
          <w:lang w:val="fr-FR"/>
        </w:rPr>
        <w:t>’</w:t>
      </w:r>
      <w:r w:rsidRPr="00763ABD">
        <w:rPr>
          <w:lang w:val="fr-FR"/>
        </w:rPr>
        <w:t>évolution de la réglementation dans de nombreux pays et organisations de pays (comme l</w:t>
      </w:r>
      <w:r>
        <w:rPr>
          <w:lang w:val="fr-FR"/>
        </w:rPr>
        <w:t>’</w:t>
      </w:r>
      <w:r w:rsidRPr="00763ABD">
        <w:rPr>
          <w:lang w:val="fr-FR"/>
        </w:rPr>
        <w:t>U</w:t>
      </w:r>
      <w:r>
        <w:rPr>
          <w:lang w:val="fr-FR"/>
        </w:rPr>
        <w:t>nion européenne (UE)</w:t>
      </w:r>
      <w:r w:rsidRPr="00763ABD">
        <w:rPr>
          <w:lang w:val="fr-FR"/>
        </w:rPr>
        <w:t>) nous a montré que les véhicules devaient répondre à des exigences techniques et environnementales croissantes ; il est donc essentiel d</w:t>
      </w:r>
      <w:r>
        <w:rPr>
          <w:lang w:val="fr-FR"/>
        </w:rPr>
        <w:t>’</w:t>
      </w:r>
      <w:r w:rsidRPr="00763ABD">
        <w:rPr>
          <w:lang w:val="fr-FR"/>
        </w:rPr>
        <w:t>élaborer un régime réglementaire spécial pour les véhicules historiques, afin d</w:t>
      </w:r>
      <w:r>
        <w:rPr>
          <w:lang w:val="fr-FR"/>
        </w:rPr>
        <w:t>’</w:t>
      </w:r>
      <w:r w:rsidRPr="00763ABD">
        <w:rPr>
          <w:lang w:val="fr-FR"/>
        </w:rPr>
        <w:t xml:space="preserve">éviter les effets négatifs </w:t>
      </w:r>
      <w:r>
        <w:rPr>
          <w:lang w:val="fr-FR"/>
        </w:rPr>
        <w:t xml:space="preserve">de la </w:t>
      </w:r>
      <w:r w:rsidRPr="00763ABD">
        <w:rPr>
          <w:lang w:val="fr-FR"/>
        </w:rPr>
        <w:t>réglementation sur leur préservation et leur utilisation. Dans l</w:t>
      </w:r>
      <w:r>
        <w:rPr>
          <w:lang w:val="fr-FR"/>
        </w:rPr>
        <w:t>’</w:t>
      </w:r>
      <w:r w:rsidRPr="00763ABD">
        <w:rPr>
          <w:lang w:val="fr-FR"/>
        </w:rPr>
        <w:t xml:space="preserve">UE, </w:t>
      </w:r>
      <w:r>
        <w:rPr>
          <w:lang w:val="fr-FR"/>
        </w:rPr>
        <w:t>l’ajout</w:t>
      </w:r>
      <w:r w:rsidRPr="00763ABD">
        <w:rPr>
          <w:lang w:val="fr-FR"/>
        </w:rPr>
        <w:t xml:space="preserve"> dans les </w:t>
      </w:r>
      <w:r>
        <w:rPr>
          <w:lang w:val="fr-FR"/>
        </w:rPr>
        <w:t>textes</w:t>
      </w:r>
      <w:r w:rsidRPr="00763ABD">
        <w:rPr>
          <w:lang w:val="fr-FR"/>
        </w:rPr>
        <w:t xml:space="preserve"> de référence d</w:t>
      </w:r>
      <w:r>
        <w:rPr>
          <w:lang w:val="fr-FR"/>
        </w:rPr>
        <w:t>’</w:t>
      </w:r>
      <w:r w:rsidRPr="00763ABD">
        <w:rPr>
          <w:lang w:val="fr-FR"/>
        </w:rPr>
        <w:t xml:space="preserve">une définition des véhicules présentant un intérêt historique a aidé les autorités </w:t>
      </w:r>
      <w:r>
        <w:rPr>
          <w:lang w:val="fr-FR"/>
        </w:rPr>
        <w:t>réglementaires</w:t>
      </w:r>
      <w:r w:rsidRPr="00763ABD">
        <w:rPr>
          <w:lang w:val="fr-FR"/>
        </w:rPr>
        <w:t xml:space="preserve"> à éviter </w:t>
      </w:r>
      <w:r>
        <w:rPr>
          <w:lang w:val="fr-FR"/>
        </w:rPr>
        <w:t>les</w:t>
      </w:r>
      <w:r w:rsidRPr="00763ABD">
        <w:rPr>
          <w:lang w:val="fr-FR"/>
        </w:rPr>
        <w:t xml:space="preserve"> effets négati</w:t>
      </w:r>
      <w:r>
        <w:rPr>
          <w:lang w:val="fr-FR"/>
        </w:rPr>
        <w:t>f</w:t>
      </w:r>
      <w:r w:rsidRPr="00763ABD">
        <w:rPr>
          <w:lang w:val="fr-FR"/>
        </w:rPr>
        <w:t xml:space="preserve">s </w:t>
      </w:r>
      <w:r>
        <w:rPr>
          <w:lang w:val="fr-FR"/>
        </w:rPr>
        <w:t xml:space="preserve">de la réglementation </w:t>
      </w:r>
      <w:r w:rsidRPr="00763ABD">
        <w:rPr>
          <w:lang w:val="fr-FR"/>
        </w:rPr>
        <w:t xml:space="preserve">sur les véhicules historiques ou à atténuer ces effets. Le meilleur exemple est celui de la </w:t>
      </w:r>
      <w:r>
        <w:rPr>
          <w:lang w:val="fr-FR"/>
        </w:rPr>
        <w:t>d</w:t>
      </w:r>
      <w:r w:rsidRPr="00763ABD">
        <w:rPr>
          <w:lang w:val="fr-FR"/>
        </w:rPr>
        <w:t>irective 2014/45/UE sur le contrôle technique périodique des véhicules</w:t>
      </w:r>
      <w:r>
        <w:rPr>
          <w:lang w:val="fr-FR"/>
        </w:rPr>
        <w:t> :</w:t>
      </w:r>
      <w:r w:rsidRPr="00763ABD">
        <w:rPr>
          <w:lang w:val="fr-FR"/>
        </w:rPr>
        <w:t xml:space="preserve"> la définition des véhicules historique</w:t>
      </w:r>
      <w:r w:rsidR="008028A5">
        <w:rPr>
          <w:lang w:val="fr-FR"/>
        </w:rPr>
        <w:t>s</w:t>
      </w:r>
      <w:r w:rsidRPr="00763ABD">
        <w:rPr>
          <w:lang w:val="fr-FR"/>
        </w:rPr>
        <w:t xml:space="preserve"> qu</w:t>
      </w:r>
      <w:r>
        <w:rPr>
          <w:lang w:val="fr-FR"/>
        </w:rPr>
        <w:t>’</w:t>
      </w:r>
      <w:r w:rsidRPr="00763ABD">
        <w:rPr>
          <w:lang w:val="fr-FR"/>
        </w:rPr>
        <w:t>elle contient, qui est la définition proposée ci-dessus, permet déjà aux 27</w:t>
      </w:r>
      <w:r w:rsidR="008028A5">
        <w:rPr>
          <w:lang w:val="fr-FR"/>
        </w:rPr>
        <w:t> </w:t>
      </w:r>
      <w:r w:rsidRPr="00763ABD">
        <w:rPr>
          <w:lang w:val="fr-FR"/>
        </w:rPr>
        <w:t>États membres de l</w:t>
      </w:r>
      <w:r>
        <w:rPr>
          <w:lang w:val="fr-FR"/>
        </w:rPr>
        <w:t>’</w:t>
      </w:r>
      <w:r w:rsidRPr="00763ABD">
        <w:rPr>
          <w:lang w:val="fr-FR"/>
        </w:rPr>
        <w:t>UE, tous également membres de la CEE, d</w:t>
      </w:r>
      <w:r>
        <w:rPr>
          <w:lang w:val="fr-FR"/>
        </w:rPr>
        <w:t>’</w:t>
      </w:r>
      <w:r w:rsidRPr="00763ABD">
        <w:rPr>
          <w:lang w:val="fr-FR"/>
        </w:rPr>
        <w:t xml:space="preserve">adapter leurs règles en matière de contrôle technique aux besoins particuliers des véhicules historiques, </w:t>
      </w:r>
      <w:r>
        <w:rPr>
          <w:lang w:val="fr-FR"/>
        </w:rPr>
        <w:t>en les distinguant des</w:t>
      </w:r>
      <w:r w:rsidRPr="00763ABD">
        <w:rPr>
          <w:lang w:val="fr-FR"/>
        </w:rPr>
        <w:t xml:space="preserve"> véhicules ordinaires. </w:t>
      </w:r>
    </w:p>
    <w:p w14:paraId="201A6486" w14:textId="4D3B21BB" w:rsidR="003D3AC7" w:rsidRDefault="003D3AC7" w:rsidP="008028A5">
      <w:pPr>
        <w:pStyle w:val="SingleTxtG"/>
        <w:keepLines/>
        <w:rPr>
          <w:lang w:val="fr-FR"/>
        </w:rPr>
      </w:pPr>
      <w:r w:rsidRPr="00763ABD">
        <w:rPr>
          <w:lang w:val="fr-FR"/>
        </w:rPr>
        <w:lastRenderedPageBreak/>
        <w:t>4.</w:t>
      </w:r>
      <w:r w:rsidRPr="00763ABD">
        <w:rPr>
          <w:lang w:val="fr-FR"/>
        </w:rPr>
        <w:tab/>
        <w:t>Afin de transposer cette expérience positive au niveau de la CEE, le Forum mondial de l</w:t>
      </w:r>
      <w:r>
        <w:rPr>
          <w:lang w:val="fr-FR"/>
        </w:rPr>
        <w:t>’</w:t>
      </w:r>
      <w:r w:rsidRPr="00763ABD">
        <w:rPr>
          <w:lang w:val="fr-FR"/>
        </w:rPr>
        <w:t xml:space="preserve">harmonisation des Règlements concernant les véhicules pourrait </w:t>
      </w:r>
      <w:r>
        <w:rPr>
          <w:lang w:val="fr-FR"/>
        </w:rPr>
        <w:t>ajouter</w:t>
      </w:r>
      <w:r w:rsidRPr="00763ABD">
        <w:rPr>
          <w:lang w:val="fr-FR"/>
        </w:rPr>
        <w:t xml:space="preserve"> dans la Résolution d</w:t>
      </w:r>
      <w:r>
        <w:rPr>
          <w:lang w:val="fr-FR"/>
        </w:rPr>
        <w:t>’</w:t>
      </w:r>
      <w:r w:rsidRPr="00763ABD">
        <w:rPr>
          <w:lang w:val="fr-FR"/>
        </w:rPr>
        <w:t>ensemble sur la construction des véhicules (R.E.3)</w:t>
      </w:r>
      <w:r>
        <w:rPr>
          <w:lang w:val="fr-FR"/>
        </w:rPr>
        <w:t xml:space="preserve"> </w:t>
      </w:r>
      <w:r w:rsidRPr="00277615">
        <w:rPr>
          <w:lang w:val="fr-FR"/>
        </w:rPr>
        <w:t xml:space="preserve">une définition des véhicules </w:t>
      </w:r>
      <w:r>
        <w:rPr>
          <w:lang w:val="fr-FR"/>
        </w:rPr>
        <w:t xml:space="preserve">présentant un intérêt </w:t>
      </w:r>
      <w:r w:rsidRPr="00277615">
        <w:rPr>
          <w:lang w:val="fr-FR"/>
        </w:rPr>
        <w:t>historique</w:t>
      </w:r>
      <w:r>
        <w:rPr>
          <w:lang w:val="fr-FR"/>
        </w:rPr>
        <w:t>,</w:t>
      </w:r>
      <w:r w:rsidRPr="00277615">
        <w:rPr>
          <w:lang w:val="fr-FR"/>
        </w:rPr>
        <w:t xml:space="preserve"> </w:t>
      </w:r>
      <w:r w:rsidRPr="00763ABD">
        <w:rPr>
          <w:lang w:val="fr-FR"/>
        </w:rPr>
        <w:t>afin d</w:t>
      </w:r>
      <w:r>
        <w:rPr>
          <w:lang w:val="fr-FR"/>
        </w:rPr>
        <w:t>’</w:t>
      </w:r>
      <w:r w:rsidRPr="00763ABD">
        <w:rPr>
          <w:lang w:val="fr-FR"/>
        </w:rPr>
        <w:t xml:space="preserve">élaborer un régime réglementaire international de protection du patrimoine automobile </w:t>
      </w:r>
      <w:r>
        <w:rPr>
          <w:lang w:val="fr-FR"/>
        </w:rPr>
        <w:t>pouvant</w:t>
      </w:r>
      <w:r w:rsidRPr="00763ABD">
        <w:rPr>
          <w:lang w:val="fr-FR"/>
        </w:rPr>
        <w:t xml:space="preserve"> être adopté par les </w:t>
      </w:r>
      <w:r>
        <w:rPr>
          <w:lang w:val="fr-FR"/>
        </w:rPr>
        <w:t>É</w:t>
      </w:r>
      <w:r w:rsidRPr="00763ABD">
        <w:rPr>
          <w:lang w:val="fr-FR"/>
        </w:rPr>
        <w:t>tats membres de la CEE. Afin de s</w:t>
      </w:r>
      <w:r>
        <w:rPr>
          <w:lang w:val="fr-FR"/>
        </w:rPr>
        <w:t>’</w:t>
      </w:r>
      <w:r w:rsidRPr="00763ABD">
        <w:rPr>
          <w:lang w:val="fr-FR"/>
        </w:rPr>
        <w:t>appuyer sur une définition qui fait déjà l</w:t>
      </w:r>
      <w:r>
        <w:rPr>
          <w:lang w:val="fr-FR"/>
        </w:rPr>
        <w:t>’</w:t>
      </w:r>
      <w:r w:rsidRPr="00763ABD">
        <w:rPr>
          <w:lang w:val="fr-FR"/>
        </w:rPr>
        <w:t>objet d</w:t>
      </w:r>
      <w:r>
        <w:rPr>
          <w:lang w:val="fr-FR"/>
        </w:rPr>
        <w:t>’</w:t>
      </w:r>
      <w:r w:rsidRPr="00763ABD">
        <w:rPr>
          <w:lang w:val="fr-FR"/>
        </w:rPr>
        <w:t>un large consensus parmi les pays membres de la CEE, il est proposé d</w:t>
      </w:r>
      <w:r>
        <w:rPr>
          <w:lang w:val="fr-FR"/>
        </w:rPr>
        <w:t>’</w:t>
      </w:r>
      <w:r w:rsidRPr="00763ABD">
        <w:rPr>
          <w:lang w:val="fr-FR"/>
        </w:rPr>
        <w:t xml:space="preserve">adopter </w:t>
      </w:r>
      <w:r>
        <w:rPr>
          <w:lang w:val="fr-FR"/>
        </w:rPr>
        <w:t xml:space="preserve">celle </w:t>
      </w:r>
      <w:r w:rsidRPr="00763ABD">
        <w:rPr>
          <w:lang w:val="fr-FR"/>
        </w:rPr>
        <w:t xml:space="preserve">qui figure dans la </w:t>
      </w:r>
      <w:r>
        <w:rPr>
          <w:lang w:val="fr-FR"/>
        </w:rPr>
        <w:t>d</w:t>
      </w:r>
      <w:r w:rsidRPr="00763ABD">
        <w:rPr>
          <w:lang w:val="fr-FR"/>
        </w:rPr>
        <w:t>irective de l</w:t>
      </w:r>
      <w:r>
        <w:rPr>
          <w:lang w:val="fr-FR"/>
        </w:rPr>
        <w:t>’</w:t>
      </w:r>
      <w:r w:rsidRPr="00763ABD">
        <w:rPr>
          <w:lang w:val="fr-FR"/>
        </w:rPr>
        <w:t xml:space="preserve">UE sur le contrôle technique, qui a déjà été incorporée dans le droit </w:t>
      </w:r>
      <w:r>
        <w:rPr>
          <w:lang w:val="fr-FR"/>
        </w:rPr>
        <w:t>européen</w:t>
      </w:r>
      <w:r w:rsidRPr="00763ABD">
        <w:rPr>
          <w:lang w:val="fr-FR"/>
        </w:rPr>
        <w:t xml:space="preserve"> ainsi que dans le droit national de ses 27</w:t>
      </w:r>
      <w:r w:rsidR="008028A5">
        <w:rPr>
          <w:lang w:val="fr-FR"/>
        </w:rPr>
        <w:t> </w:t>
      </w:r>
      <w:r w:rsidRPr="00763ABD">
        <w:rPr>
          <w:lang w:val="fr-FR"/>
        </w:rPr>
        <w:t xml:space="preserve">États membres, également </w:t>
      </w:r>
      <w:r>
        <w:rPr>
          <w:lang w:val="fr-FR"/>
        </w:rPr>
        <w:t>P</w:t>
      </w:r>
      <w:r w:rsidRPr="00763ABD">
        <w:rPr>
          <w:lang w:val="fr-FR"/>
        </w:rPr>
        <w:t xml:space="preserve">arties contractantes </w:t>
      </w:r>
      <w:r>
        <w:rPr>
          <w:lang w:val="fr-FR"/>
        </w:rPr>
        <w:t>à</w:t>
      </w:r>
      <w:r w:rsidRPr="00763ABD">
        <w:rPr>
          <w:lang w:val="fr-FR"/>
        </w:rPr>
        <w:t xml:space="preserve"> l</w:t>
      </w:r>
      <w:r>
        <w:rPr>
          <w:lang w:val="fr-FR"/>
        </w:rPr>
        <w:t>’</w:t>
      </w:r>
      <w:r w:rsidRPr="00763ABD">
        <w:rPr>
          <w:lang w:val="fr-FR"/>
        </w:rPr>
        <w:t xml:space="preserve">Accord de 1958. </w:t>
      </w:r>
    </w:p>
    <w:p w14:paraId="4109AA94" w14:textId="3DA71A85" w:rsidR="008028A5" w:rsidRPr="008028A5" w:rsidRDefault="008028A5" w:rsidP="008028A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28A5" w:rsidRPr="008028A5" w:rsidSect="003D3A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9120" w14:textId="77777777" w:rsidR="004D4C93" w:rsidRDefault="004D4C93" w:rsidP="00F95C08">
      <w:pPr>
        <w:spacing w:line="240" w:lineRule="auto"/>
      </w:pPr>
    </w:p>
  </w:endnote>
  <w:endnote w:type="continuationSeparator" w:id="0">
    <w:p w14:paraId="6CC92573" w14:textId="77777777" w:rsidR="004D4C93" w:rsidRPr="00AC3823" w:rsidRDefault="004D4C93" w:rsidP="00AC3823">
      <w:pPr>
        <w:pStyle w:val="Pieddepage"/>
      </w:pPr>
    </w:p>
  </w:endnote>
  <w:endnote w:type="continuationNotice" w:id="1">
    <w:p w14:paraId="73F03061" w14:textId="77777777" w:rsidR="004D4C93" w:rsidRDefault="004D4C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8694" w14:textId="1C985B84" w:rsidR="003D3AC7" w:rsidRPr="003D3AC7" w:rsidRDefault="003D3AC7" w:rsidP="003D3AC7">
    <w:pPr>
      <w:pStyle w:val="Pieddepage"/>
      <w:tabs>
        <w:tab w:val="right" w:pos="9638"/>
      </w:tabs>
    </w:pPr>
    <w:r w:rsidRPr="003D3AC7">
      <w:rPr>
        <w:b/>
        <w:sz w:val="18"/>
      </w:rPr>
      <w:fldChar w:fldCharType="begin"/>
    </w:r>
    <w:r w:rsidRPr="003D3AC7">
      <w:rPr>
        <w:b/>
        <w:sz w:val="18"/>
      </w:rPr>
      <w:instrText xml:space="preserve"> PAGE  \* MERGEFORMAT </w:instrText>
    </w:r>
    <w:r w:rsidRPr="003D3AC7">
      <w:rPr>
        <w:b/>
        <w:sz w:val="18"/>
      </w:rPr>
      <w:fldChar w:fldCharType="separate"/>
    </w:r>
    <w:r w:rsidRPr="003D3AC7">
      <w:rPr>
        <w:b/>
        <w:noProof/>
        <w:sz w:val="18"/>
      </w:rPr>
      <w:t>2</w:t>
    </w:r>
    <w:r w:rsidRPr="003D3AC7">
      <w:rPr>
        <w:b/>
        <w:sz w:val="18"/>
      </w:rPr>
      <w:fldChar w:fldCharType="end"/>
    </w:r>
    <w:r>
      <w:rPr>
        <w:b/>
        <w:sz w:val="18"/>
      </w:rPr>
      <w:tab/>
    </w:r>
    <w:r>
      <w:t>GE.24-01412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0E5B" w14:textId="588BD348" w:rsidR="003D3AC7" w:rsidRPr="003D3AC7" w:rsidRDefault="003D3AC7" w:rsidP="003D3AC7">
    <w:pPr>
      <w:pStyle w:val="Pieddepage"/>
      <w:tabs>
        <w:tab w:val="right" w:pos="9638"/>
      </w:tabs>
      <w:rPr>
        <w:b/>
        <w:sz w:val="18"/>
      </w:rPr>
    </w:pPr>
    <w:r>
      <w:t>GE.24-01412</w:t>
    </w:r>
    <w:r>
      <w:tab/>
    </w:r>
    <w:r w:rsidRPr="003D3AC7">
      <w:rPr>
        <w:b/>
        <w:sz w:val="18"/>
      </w:rPr>
      <w:fldChar w:fldCharType="begin"/>
    </w:r>
    <w:r w:rsidRPr="003D3AC7">
      <w:rPr>
        <w:b/>
        <w:sz w:val="18"/>
      </w:rPr>
      <w:instrText xml:space="preserve"> PAGE  \* MERGEFORMAT </w:instrText>
    </w:r>
    <w:r w:rsidRPr="003D3AC7">
      <w:rPr>
        <w:b/>
        <w:sz w:val="18"/>
      </w:rPr>
      <w:fldChar w:fldCharType="separate"/>
    </w:r>
    <w:r w:rsidRPr="003D3AC7">
      <w:rPr>
        <w:b/>
        <w:noProof/>
        <w:sz w:val="18"/>
      </w:rPr>
      <w:t>3</w:t>
    </w:r>
    <w:r w:rsidRPr="003D3A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DDA2" w14:textId="0216C3BB" w:rsidR="007F20FA" w:rsidRPr="003D3AC7" w:rsidRDefault="003D3AC7" w:rsidP="003D3AC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7219D94" wp14:editId="228212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24-01412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6617D9" wp14:editId="67C216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13363114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160224    160224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1958" w14:textId="77777777" w:rsidR="004D4C93" w:rsidRPr="00AC3823" w:rsidRDefault="004D4C9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6FAF4F" w14:textId="77777777" w:rsidR="004D4C93" w:rsidRPr="00AC3823" w:rsidRDefault="004D4C9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705E90" w14:textId="77777777" w:rsidR="004D4C93" w:rsidRPr="00AC3823" w:rsidRDefault="004D4C93">
      <w:pPr>
        <w:spacing w:line="240" w:lineRule="auto"/>
        <w:rPr>
          <w:sz w:val="2"/>
          <w:szCs w:val="2"/>
        </w:rPr>
      </w:pPr>
    </w:p>
  </w:footnote>
  <w:footnote w:id="2">
    <w:p w14:paraId="264ADD00" w14:textId="7A1EB73C" w:rsidR="008028A5" w:rsidRPr="008028A5" w:rsidRDefault="008028A5">
      <w:pPr>
        <w:pStyle w:val="Notedebasdepage"/>
      </w:pPr>
      <w:r>
        <w:rPr>
          <w:rStyle w:val="Appelnotedebasdep"/>
        </w:rPr>
        <w:tab/>
      </w:r>
      <w:r w:rsidRPr="008028A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</w:t>
      </w:r>
      <w:r>
        <w:rPr>
          <w:lang w:val="fr-FR"/>
        </w:rPr>
        <w:t>.</w:t>
      </w:r>
    </w:p>
  </w:footnote>
  <w:footnote w:id="3">
    <w:p w14:paraId="23F25145" w14:textId="6A1970DA" w:rsidR="003D3AC7" w:rsidRPr="008028A5" w:rsidRDefault="003D3AC7" w:rsidP="008028A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1FFD" w14:textId="313583AD" w:rsidR="003D3AC7" w:rsidRPr="003D3AC7" w:rsidRDefault="003D3AC7">
    <w:pPr>
      <w:pStyle w:val="En-tte"/>
    </w:pPr>
    <w:fldSimple w:instr=" TITLE  \* MERGEFORMAT ">
      <w:r w:rsidR="009B3755">
        <w:t>ECE/TRANS/WP.29/GRSG/2024/5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E094" w14:textId="1A0E951E" w:rsidR="003D3AC7" w:rsidRPr="003D3AC7" w:rsidRDefault="003D3AC7" w:rsidP="003D3AC7">
    <w:pPr>
      <w:pStyle w:val="En-tte"/>
      <w:jc w:val="right"/>
    </w:pPr>
    <w:fldSimple w:instr=" TITLE  \* MERGEFORMAT ">
      <w:r w:rsidR="009B3755">
        <w:t>ECE/TRANS/WP.29/GRSG/2024/5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058883">
    <w:abstractNumId w:val="12"/>
  </w:num>
  <w:num w:numId="2" w16cid:durableId="570699661">
    <w:abstractNumId w:val="11"/>
  </w:num>
  <w:num w:numId="3" w16cid:durableId="1517115695">
    <w:abstractNumId w:val="10"/>
  </w:num>
  <w:num w:numId="4" w16cid:durableId="198855100">
    <w:abstractNumId w:val="8"/>
  </w:num>
  <w:num w:numId="5" w16cid:durableId="741637140">
    <w:abstractNumId w:val="3"/>
  </w:num>
  <w:num w:numId="6" w16cid:durableId="249045408">
    <w:abstractNumId w:val="2"/>
  </w:num>
  <w:num w:numId="7" w16cid:durableId="225531778">
    <w:abstractNumId w:val="1"/>
  </w:num>
  <w:num w:numId="8" w16cid:durableId="428087176">
    <w:abstractNumId w:val="0"/>
  </w:num>
  <w:num w:numId="9" w16cid:durableId="1227960687">
    <w:abstractNumId w:val="9"/>
  </w:num>
  <w:num w:numId="10" w16cid:durableId="1347290055">
    <w:abstractNumId w:val="7"/>
  </w:num>
  <w:num w:numId="11" w16cid:durableId="713967480">
    <w:abstractNumId w:val="6"/>
  </w:num>
  <w:num w:numId="12" w16cid:durableId="102850739">
    <w:abstractNumId w:val="5"/>
  </w:num>
  <w:num w:numId="13" w16cid:durableId="44914599">
    <w:abstractNumId w:val="4"/>
  </w:num>
  <w:num w:numId="14" w16cid:durableId="199904079">
    <w:abstractNumId w:val="12"/>
  </w:num>
  <w:num w:numId="15" w16cid:durableId="1835489315">
    <w:abstractNumId w:val="11"/>
  </w:num>
  <w:num w:numId="16" w16cid:durableId="630477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9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A0939"/>
    <w:rsid w:val="002D7C93"/>
    <w:rsid w:val="00305801"/>
    <w:rsid w:val="003916DE"/>
    <w:rsid w:val="003D3AC7"/>
    <w:rsid w:val="00421996"/>
    <w:rsid w:val="00441C3B"/>
    <w:rsid w:val="00446FE5"/>
    <w:rsid w:val="00452396"/>
    <w:rsid w:val="00477EB2"/>
    <w:rsid w:val="004837D8"/>
    <w:rsid w:val="004D4C93"/>
    <w:rsid w:val="004E2EED"/>
    <w:rsid w:val="004E468C"/>
    <w:rsid w:val="005505B7"/>
    <w:rsid w:val="00573BE5"/>
    <w:rsid w:val="00586ED3"/>
    <w:rsid w:val="00596AA9"/>
    <w:rsid w:val="0061546E"/>
    <w:rsid w:val="0071601D"/>
    <w:rsid w:val="007A62E6"/>
    <w:rsid w:val="007F20FA"/>
    <w:rsid w:val="008028A5"/>
    <w:rsid w:val="0080684C"/>
    <w:rsid w:val="00871C75"/>
    <w:rsid w:val="008776DC"/>
    <w:rsid w:val="008D5EF9"/>
    <w:rsid w:val="009446C0"/>
    <w:rsid w:val="009705C8"/>
    <w:rsid w:val="009B3755"/>
    <w:rsid w:val="009C1CF4"/>
    <w:rsid w:val="009F6B74"/>
    <w:rsid w:val="00A3029F"/>
    <w:rsid w:val="00A30353"/>
    <w:rsid w:val="00AC3823"/>
    <w:rsid w:val="00AE323C"/>
    <w:rsid w:val="00AF0CB5"/>
    <w:rsid w:val="00AF5F8F"/>
    <w:rsid w:val="00B00181"/>
    <w:rsid w:val="00B00B0D"/>
    <w:rsid w:val="00B45F2E"/>
    <w:rsid w:val="00B765F7"/>
    <w:rsid w:val="00B77993"/>
    <w:rsid w:val="00BA0CA9"/>
    <w:rsid w:val="00BA6368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F86B7"/>
  <w15:docId w15:val="{3E9D4724-08D9-4FCF-BDBB-C1BF303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3D3AC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3D3AC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3D3AC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5FF8E-3251-4364-9E1C-AABD0AA9DA32}"/>
</file>

<file path=customXml/itemProps2.xml><?xml version="1.0" encoding="utf-8"?>
<ds:datastoreItem xmlns:ds="http://schemas.openxmlformats.org/officeDocument/2006/customXml" ds:itemID="{6D8EC08C-E953-4FFC-9185-EBF799E19B9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793</Words>
  <Characters>4611</Characters>
  <Application>Microsoft Office Word</Application>
  <DocSecurity>0</DocSecurity>
  <Lines>84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ECE/TRANS/WP.29/GRSG/2024/5</vt:lpstr>
    </vt:vector>
  </TitlesOfParts>
  <Company>DCM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ECE/TRANS/WP.29/GRSG/2024/5</dc:title>
  <dc:subject/>
  <dc:creator>Christine CHAUTAGNAT</dc:creator>
  <cp:keywords/>
  <cp:lastModifiedBy>Christine Chautagnat</cp:lastModifiedBy>
  <cp:revision>3</cp:revision>
  <cp:lastPrinted>2024-02-16T15:15:00Z</cp:lastPrinted>
  <dcterms:created xsi:type="dcterms:W3CDTF">2024-02-16T15:15:00Z</dcterms:created>
  <dcterms:modified xsi:type="dcterms:W3CDTF">2024-02-16T15:16:00Z</dcterms:modified>
</cp:coreProperties>
</file>