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DB1079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DB1079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B107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2921CB38" w:rsidR="003F1AB4" w:rsidRPr="00DB1079" w:rsidRDefault="003F1AB4" w:rsidP="003F1AB4">
            <w:pPr>
              <w:jc w:val="right"/>
            </w:pPr>
            <w:r w:rsidRPr="00DB1079">
              <w:rPr>
                <w:sz w:val="40"/>
              </w:rPr>
              <w:t>ECE</w:t>
            </w:r>
            <w:r w:rsidRPr="00DB1079">
              <w:t>/TRANS/WP.29/GRE/202</w:t>
            </w:r>
            <w:r w:rsidR="008850E2" w:rsidRPr="00DB1079">
              <w:t>4</w:t>
            </w:r>
            <w:r w:rsidRPr="00DB1079">
              <w:t>/</w:t>
            </w:r>
            <w:r w:rsidR="009B40B1" w:rsidRPr="00DB1079">
              <w:t>4</w:t>
            </w:r>
          </w:p>
        </w:tc>
      </w:tr>
      <w:tr w:rsidR="003F1AB4" w:rsidRPr="00DB1079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DB1079" w:rsidRDefault="003F1AB4" w:rsidP="003F1AB4">
            <w:pPr>
              <w:spacing w:before="120"/>
            </w:pPr>
            <w:r w:rsidRPr="00DB1079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DB1079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DB107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DB1079" w:rsidRDefault="003F1AB4" w:rsidP="003F1AB4">
            <w:pPr>
              <w:spacing w:before="240" w:line="240" w:lineRule="exact"/>
            </w:pPr>
            <w:r w:rsidRPr="00DB1079">
              <w:t>Distr.: General</w:t>
            </w:r>
          </w:p>
          <w:p w14:paraId="2ACA1E89" w14:textId="5C6BB138" w:rsidR="000A0737" w:rsidRPr="00DB1079" w:rsidRDefault="0032655D" w:rsidP="000A0737">
            <w:pPr>
              <w:spacing w:line="240" w:lineRule="exact"/>
            </w:pPr>
            <w:r>
              <w:t>6</w:t>
            </w:r>
            <w:r w:rsidR="000A0737" w:rsidRPr="00DB1079">
              <w:t xml:space="preserve"> </w:t>
            </w:r>
            <w:r w:rsidR="008850E2" w:rsidRPr="00DB1079">
              <w:t>February</w:t>
            </w:r>
            <w:r w:rsidR="000A0737" w:rsidRPr="00DB1079">
              <w:t xml:space="preserve"> 202</w:t>
            </w:r>
            <w:r w:rsidR="008850E2" w:rsidRPr="00DB1079">
              <w:t>4</w:t>
            </w:r>
          </w:p>
          <w:p w14:paraId="5FF26AE7" w14:textId="77777777" w:rsidR="003F1AB4" w:rsidRPr="00DB1079" w:rsidRDefault="003F1AB4" w:rsidP="003F1AB4">
            <w:pPr>
              <w:spacing w:line="240" w:lineRule="exact"/>
            </w:pPr>
          </w:p>
          <w:p w14:paraId="71FBFBB4" w14:textId="0CC13DCC" w:rsidR="000A0737" w:rsidRPr="00DB1079" w:rsidRDefault="003F1AB4" w:rsidP="003427A2">
            <w:pPr>
              <w:spacing w:line="240" w:lineRule="exact"/>
            </w:pPr>
            <w:r w:rsidRPr="00DB1079">
              <w:t>Original: English</w:t>
            </w:r>
          </w:p>
        </w:tc>
      </w:tr>
    </w:tbl>
    <w:p w14:paraId="32D3E06F" w14:textId="394FCE03" w:rsidR="00732AD2" w:rsidRPr="00DB1079" w:rsidRDefault="00732AD2" w:rsidP="00732AD2">
      <w:pPr>
        <w:spacing w:before="120"/>
        <w:rPr>
          <w:b/>
          <w:sz w:val="28"/>
          <w:szCs w:val="28"/>
        </w:rPr>
      </w:pPr>
      <w:r w:rsidRPr="00DB1079">
        <w:rPr>
          <w:b/>
          <w:sz w:val="28"/>
          <w:szCs w:val="28"/>
        </w:rPr>
        <w:t>Economic Commission for Europe</w:t>
      </w:r>
    </w:p>
    <w:p w14:paraId="0555DAE5" w14:textId="77777777" w:rsidR="00732AD2" w:rsidRPr="00DB1079" w:rsidRDefault="00732AD2" w:rsidP="00732AD2">
      <w:pPr>
        <w:spacing w:before="120"/>
        <w:rPr>
          <w:sz w:val="28"/>
          <w:szCs w:val="28"/>
        </w:rPr>
      </w:pPr>
      <w:r w:rsidRPr="00DB1079">
        <w:rPr>
          <w:sz w:val="28"/>
          <w:szCs w:val="28"/>
        </w:rPr>
        <w:t>Inland Transport Committee</w:t>
      </w:r>
    </w:p>
    <w:p w14:paraId="49BB2B21" w14:textId="77777777" w:rsidR="00732AD2" w:rsidRPr="00DB1079" w:rsidRDefault="00732AD2" w:rsidP="00732AD2">
      <w:pPr>
        <w:spacing w:before="120"/>
        <w:rPr>
          <w:b/>
          <w:sz w:val="24"/>
          <w:szCs w:val="24"/>
        </w:rPr>
      </w:pPr>
      <w:r w:rsidRPr="00DB1079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DB1079" w:rsidRDefault="00732AD2" w:rsidP="00732AD2">
      <w:pPr>
        <w:spacing w:before="120" w:after="120"/>
        <w:rPr>
          <w:b/>
          <w:bCs/>
        </w:rPr>
      </w:pPr>
      <w:r w:rsidRPr="00DB1079">
        <w:rPr>
          <w:b/>
          <w:bCs/>
        </w:rPr>
        <w:t>Working Party on Lighting and Light-Signalling</w:t>
      </w:r>
    </w:p>
    <w:p w14:paraId="15CBE644" w14:textId="39421E63" w:rsidR="000A0737" w:rsidRPr="00DB1079" w:rsidRDefault="002B7088" w:rsidP="000A0737">
      <w:pPr>
        <w:ind w:right="1134"/>
        <w:rPr>
          <w:b/>
        </w:rPr>
      </w:pPr>
      <w:r w:rsidRPr="00DB1079">
        <w:rPr>
          <w:b/>
        </w:rPr>
        <w:t xml:space="preserve">Ninetieth </w:t>
      </w:r>
      <w:r w:rsidR="000A0737" w:rsidRPr="00DB1079">
        <w:rPr>
          <w:b/>
        </w:rPr>
        <w:t>session</w:t>
      </w:r>
    </w:p>
    <w:p w14:paraId="4A4D8D9A" w14:textId="68A9C0B5" w:rsidR="000A0737" w:rsidRPr="00DB1079" w:rsidRDefault="000A0737" w:rsidP="000A0737">
      <w:pPr>
        <w:ind w:right="1134"/>
      </w:pPr>
      <w:r w:rsidRPr="00DB1079">
        <w:t>Geneva, 2</w:t>
      </w:r>
      <w:r w:rsidR="002B7088" w:rsidRPr="00DB1079">
        <w:t xml:space="preserve">9 April – 3 May </w:t>
      </w:r>
      <w:r w:rsidRPr="00DB1079">
        <w:t>202</w:t>
      </w:r>
      <w:r w:rsidR="002B7088" w:rsidRPr="00DB1079">
        <w:t>4</w:t>
      </w:r>
    </w:p>
    <w:p w14:paraId="1C3E310D" w14:textId="7D3CA86C" w:rsidR="000A0737" w:rsidRPr="00F61414" w:rsidRDefault="000A0737" w:rsidP="000A0737">
      <w:pPr>
        <w:ind w:right="1134"/>
        <w:rPr>
          <w:bCs/>
        </w:rPr>
      </w:pPr>
      <w:r w:rsidRPr="00DB1079">
        <w:rPr>
          <w:bCs/>
        </w:rPr>
        <w:t xml:space="preserve">Item </w:t>
      </w:r>
      <w:r w:rsidR="009B40B1" w:rsidRPr="00DB1079">
        <w:rPr>
          <w:bCs/>
        </w:rPr>
        <w:t xml:space="preserve">6 (a) </w:t>
      </w:r>
      <w:r w:rsidRPr="00DB1079">
        <w:rPr>
          <w:bCs/>
        </w:rPr>
        <w:t>of the provisional agenda</w:t>
      </w:r>
    </w:p>
    <w:p w14:paraId="18EC8CFA" w14:textId="6D14CD40" w:rsidR="000A0737" w:rsidRPr="005C0062" w:rsidRDefault="005C52DE" w:rsidP="000A0737">
      <w:pPr>
        <w:ind w:right="1467"/>
        <w:rPr>
          <w:b/>
          <w:bCs/>
        </w:rPr>
      </w:pPr>
      <w:r w:rsidRPr="005C52DE">
        <w:rPr>
          <w:b/>
          <w:bCs/>
        </w:rPr>
        <w:t xml:space="preserve">Installation UN Regulations:  </w:t>
      </w:r>
      <w:r w:rsidR="00330090">
        <w:rPr>
          <w:b/>
          <w:bCs/>
        </w:rPr>
        <w:t xml:space="preserve">UN </w:t>
      </w:r>
      <w:r w:rsidR="00330090" w:rsidRPr="00DC35BB">
        <w:rPr>
          <w:b/>
          <w:bCs/>
        </w:rPr>
        <w:t xml:space="preserve">Regulation No. </w:t>
      </w:r>
      <w:r w:rsidR="00330090">
        <w:rPr>
          <w:b/>
          <w:bCs/>
        </w:rPr>
        <w:t>4</w:t>
      </w:r>
      <w:r w:rsidR="002B7088">
        <w:rPr>
          <w:b/>
          <w:bCs/>
        </w:rPr>
        <w:t>8</w:t>
      </w:r>
      <w:r w:rsidR="00330090" w:rsidRPr="00DC35BB">
        <w:rPr>
          <w:b/>
          <w:bCs/>
        </w:rPr>
        <w:t xml:space="preserve"> (</w:t>
      </w:r>
      <w:r w:rsidR="00082F82">
        <w:rPr>
          <w:b/>
          <w:bCs/>
        </w:rPr>
        <w:t>Installation of lighting and light-signalling devices</w:t>
      </w:r>
      <w:r w:rsidR="00330090">
        <w:rPr>
          <w:b/>
          <w:bCs/>
        </w:rPr>
        <w:t>)</w:t>
      </w:r>
    </w:p>
    <w:p w14:paraId="1BE1B729" w14:textId="133C5A2A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330090">
        <w:t xml:space="preserve">Proposal for a Supplement to the </w:t>
      </w:r>
      <w:r w:rsidR="00E66D37">
        <w:t>0</w:t>
      </w:r>
      <w:r w:rsidR="00273753">
        <w:t>6, 07</w:t>
      </w:r>
      <w:r w:rsidR="00491995">
        <w:t xml:space="preserve"> and </w:t>
      </w:r>
      <w:r w:rsidR="00273753">
        <w:t>08</w:t>
      </w:r>
      <w:r w:rsidR="00A354BC">
        <w:t xml:space="preserve"> </w:t>
      </w:r>
      <w:r w:rsidR="00E66D37">
        <w:t>series of amendments to UN Regulation No. </w:t>
      </w:r>
      <w:r w:rsidR="00082F82">
        <w:t>48</w:t>
      </w:r>
    </w:p>
    <w:p w14:paraId="51369146" w14:textId="6AEE77E4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 xml:space="preserve">Submitted by </w:t>
      </w:r>
      <w:r w:rsidR="00330090" w:rsidRPr="001A13D4">
        <w:rPr>
          <w:szCs w:val="24"/>
        </w:rPr>
        <w:t>the expert</w:t>
      </w:r>
      <w:r w:rsidR="00330090">
        <w:rPr>
          <w:szCs w:val="24"/>
        </w:rPr>
        <w:t>s</w:t>
      </w:r>
      <w:r w:rsidR="00330090" w:rsidRPr="001A13D4">
        <w:rPr>
          <w:szCs w:val="24"/>
        </w:rPr>
        <w:t xml:space="preserve"> from the International Automotive Lighting and Light</w:t>
      </w:r>
      <w:r w:rsidR="00330090">
        <w:rPr>
          <w:szCs w:val="24"/>
        </w:rPr>
        <w:t>-</w:t>
      </w:r>
      <w:r w:rsidR="00330090" w:rsidRPr="001A13D4">
        <w:rPr>
          <w:szCs w:val="24"/>
        </w:rPr>
        <w:t>Signalling Expert Group</w:t>
      </w:r>
      <w:r w:rsidR="00330090" w:rsidRPr="00DE7053">
        <w:t xml:space="preserve"> 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9E2D2D" w14:textId="6F07A261" w:rsidR="00A45AFB" w:rsidRPr="00270AAF" w:rsidRDefault="001E0C4E" w:rsidP="00270AAF">
      <w:pPr>
        <w:pStyle w:val="SingleTxtG"/>
        <w:tabs>
          <w:tab w:val="left" w:pos="8505"/>
        </w:tabs>
        <w:ind w:firstLine="567"/>
      </w:pPr>
      <w:r>
        <w:t xml:space="preserve">The text reproduced below was prepared by </w:t>
      </w:r>
      <w:r w:rsidR="00330090" w:rsidRPr="00EC30B1">
        <w:t>the expert</w:t>
      </w:r>
      <w:r w:rsidR="00330090">
        <w:t>s</w:t>
      </w:r>
      <w:r w:rsidR="00330090" w:rsidRPr="00EC30B1">
        <w:t xml:space="preserve"> from the International Automotive Lighting and Ligh</w:t>
      </w:r>
      <w:r w:rsidR="00330090">
        <w:t xml:space="preserve">t-Signalling Expert Group (GTB) </w:t>
      </w:r>
      <w:r w:rsidR="00330090" w:rsidRPr="001B0BAA">
        <w:t xml:space="preserve">with the aim to </w:t>
      </w:r>
      <w:r w:rsidR="003151D3">
        <w:t xml:space="preserve">align the requirements for off-road vehicles passing-beam vertical </w:t>
      </w:r>
      <w:r w:rsidR="008D776C" w:rsidRPr="008D776C">
        <w:t xml:space="preserve">inclination </w:t>
      </w:r>
      <w:r w:rsidR="003151D3">
        <w:t xml:space="preserve">between the 06, 07, 08 series and the 09 series of amendments to </w:t>
      </w:r>
      <w:r w:rsidR="00793D46" w:rsidRPr="001B0BAA">
        <w:t xml:space="preserve">UN Regulation No. </w:t>
      </w:r>
      <w:r w:rsidR="003151D3">
        <w:t>48</w:t>
      </w:r>
      <w:r w:rsidR="00C72D55" w:rsidRPr="00C72D55">
        <w:t>.</w:t>
      </w:r>
      <w:r w:rsidR="00C72D55">
        <w:t xml:space="preserve"> </w:t>
      </w:r>
      <w:r w:rsidR="00330090" w:rsidRPr="00AA18F7">
        <w:t>The</w:t>
      </w:r>
      <w:r w:rsidR="00330090">
        <w:t xml:space="preserve"> proposed</w:t>
      </w:r>
      <w:r w:rsidR="00330090" w:rsidRPr="00AA18F7">
        <w:t xml:space="preserve"> modifications to the current text of the </w:t>
      </w:r>
      <w:r w:rsidR="00330090">
        <w:t xml:space="preserve">UN </w:t>
      </w:r>
      <w:r w:rsidR="00330090" w:rsidRPr="00AA18F7">
        <w:t>Regulation</w:t>
      </w:r>
      <w:r>
        <w:t>s</w:t>
      </w:r>
      <w:r w:rsidR="00330090" w:rsidRPr="00AA18F7">
        <w:t xml:space="preserve"> are marked in bold for new or strikethrough for deleted characters</w:t>
      </w:r>
      <w:r w:rsidR="00233F27">
        <w:t>.</w:t>
      </w:r>
    </w:p>
    <w:p w14:paraId="6CF57D06" w14:textId="77A5E063" w:rsidR="0053129E" w:rsidRPr="003F1AB4" w:rsidRDefault="0053129E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8F2F59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60ACCDB5" w14:textId="13037E9F" w:rsidR="009265AA" w:rsidRPr="00CB28A9" w:rsidRDefault="009265AA" w:rsidP="00CB28A9">
      <w:pPr>
        <w:pStyle w:val="HChG"/>
      </w:pPr>
      <w:r>
        <w:lastRenderedPageBreak/>
        <w:tab/>
      </w:r>
      <w:r w:rsidRPr="00525E6C">
        <w:t>I.</w:t>
      </w:r>
      <w:r w:rsidRPr="00525E6C">
        <w:tab/>
        <w:t>Proposal</w:t>
      </w:r>
    </w:p>
    <w:p w14:paraId="43169F6F" w14:textId="77777777" w:rsidR="00491995" w:rsidRDefault="00491995" w:rsidP="00491995">
      <w:pPr>
        <w:pStyle w:val="SingleTxtG"/>
      </w:pPr>
      <w:r>
        <w:rPr>
          <w:i/>
          <w:iCs/>
        </w:rPr>
        <w:t>P</w:t>
      </w:r>
      <w:r w:rsidRPr="00C1319A">
        <w:rPr>
          <w:i/>
          <w:iCs/>
        </w:rPr>
        <w:t>aragraph</w:t>
      </w:r>
      <w:r w:rsidRPr="00C1319A">
        <w:rPr>
          <w:i/>
          <w:iCs/>
          <w:lang w:eastAsia="ja-JP"/>
        </w:rPr>
        <w:t xml:space="preserve"> </w:t>
      </w:r>
      <w:r>
        <w:rPr>
          <w:i/>
          <w:iCs/>
        </w:rPr>
        <w:t>6.2.6.1.2.</w:t>
      </w:r>
      <w:r w:rsidRPr="00C34357">
        <w:t>,</w:t>
      </w:r>
      <w:r w:rsidRPr="00533C93">
        <w:t xml:space="preserve"> amend to read:</w:t>
      </w:r>
    </w:p>
    <w:p w14:paraId="55EF48FA" w14:textId="27B078A5" w:rsidR="00491995" w:rsidRPr="00357E55" w:rsidRDefault="00491995" w:rsidP="00491995">
      <w:pPr>
        <w:pStyle w:val="para0"/>
        <w:rPr>
          <w:lang w:val="en-US"/>
        </w:rPr>
      </w:pPr>
      <w:r>
        <w:rPr>
          <w:lang w:val="en-US"/>
        </w:rPr>
        <w:t>“</w:t>
      </w:r>
      <w:r w:rsidRPr="00357E55">
        <w:rPr>
          <w:lang w:val="en-US"/>
        </w:rPr>
        <w:t>6.2.6.1.2.</w:t>
      </w:r>
      <w:r w:rsidRPr="00357E55">
        <w:rPr>
          <w:lang w:val="en-US"/>
        </w:rPr>
        <w:tab/>
        <w:t xml:space="preserve">Depending on the mounting height in </w:t>
      </w:r>
      <w:proofErr w:type="spellStart"/>
      <w:r w:rsidRPr="00357E55">
        <w:rPr>
          <w:lang w:val="en-US"/>
        </w:rPr>
        <w:t>metres</w:t>
      </w:r>
      <w:proofErr w:type="spellEnd"/>
      <w:r w:rsidRPr="00357E55">
        <w:rPr>
          <w:lang w:val="en-US"/>
        </w:rPr>
        <w:t xml:space="preserve"> (h) of the lower edge of the apparent surface in the direction of the reference axis of the dipped</w:t>
      </w:r>
      <w:r w:rsidRPr="00357E55">
        <w:rPr>
          <w:lang w:val="en-US"/>
        </w:rPr>
        <w:noBreakHyphen/>
        <w:t>beam headlamp, measured on the unladen vehicles, the vertical inclination of the cut</w:t>
      </w:r>
      <w:r w:rsidRPr="00357E55">
        <w:rPr>
          <w:lang w:val="en-US"/>
        </w:rPr>
        <w:noBreakHyphen/>
        <w:t>off of the dipped</w:t>
      </w:r>
      <w:r w:rsidR="00DD0199">
        <w:rPr>
          <w:lang w:val="en-US"/>
        </w:rPr>
        <w:t xml:space="preserve"> </w:t>
      </w:r>
      <w:r w:rsidRPr="00357E55">
        <w:rPr>
          <w:lang w:val="en-US"/>
        </w:rPr>
        <w:t>beam shall, under all the static conditions of Annex 5, remain between the following limits and the initial aiming shall have the following values:</w:t>
      </w:r>
    </w:p>
    <w:p w14:paraId="57CF8EFD" w14:textId="77777777" w:rsidR="00491995" w:rsidRPr="00357E55" w:rsidRDefault="00491995" w:rsidP="00491995">
      <w:pPr>
        <w:pStyle w:val="para0"/>
        <w:keepNext/>
        <w:keepLines/>
        <w:ind w:firstLine="0"/>
        <w:rPr>
          <w:lang w:val="en-US"/>
        </w:rPr>
      </w:pPr>
      <w:r w:rsidRPr="00357E55">
        <w:rPr>
          <w:lang w:val="en-US"/>
        </w:rPr>
        <w:t xml:space="preserve">h &lt; 0.8 </w:t>
      </w:r>
    </w:p>
    <w:p w14:paraId="50AD5687" w14:textId="77777777" w:rsidR="00491995" w:rsidRPr="00357E55" w:rsidRDefault="00491995" w:rsidP="00491995">
      <w:pPr>
        <w:pStyle w:val="para0"/>
        <w:keepNext/>
        <w:keepLines/>
        <w:ind w:firstLine="0"/>
        <w:rPr>
          <w:lang w:val="en-US"/>
        </w:rPr>
      </w:pPr>
      <w:r w:rsidRPr="00357E55">
        <w:rPr>
          <w:lang w:val="en-US"/>
        </w:rPr>
        <w:t>Limits:</w:t>
      </w:r>
      <w:r w:rsidRPr="00357E55">
        <w:rPr>
          <w:lang w:val="en-US"/>
        </w:rPr>
        <w:tab/>
      </w:r>
      <w:r w:rsidRPr="00357E55">
        <w:rPr>
          <w:lang w:val="en-US"/>
        </w:rPr>
        <w:tab/>
      </w:r>
      <w:r w:rsidRPr="00357E55">
        <w:rPr>
          <w:lang w:val="en-US"/>
        </w:rPr>
        <w:tab/>
        <w:t xml:space="preserve">between </w:t>
      </w:r>
      <w:r w:rsidRPr="00357E55">
        <w:rPr>
          <w:lang w:val="en-US"/>
        </w:rPr>
        <w:noBreakHyphen/>
        <w:t xml:space="preserve">0.5 per cent and </w:t>
      </w:r>
      <w:r w:rsidRPr="00357E55">
        <w:rPr>
          <w:lang w:val="en-US"/>
        </w:rPr>
        <w:noBreakHyphen/>
        <w:t>2.5 per cent</w:t>
      </w:r>
    </w:p>
    <w:p w14:paraId="24DD51FC" w14:textId="77777777" w:rsidR="00491995" w:rsidRPr="00357E55" w:rsidRDefault="00491995" w:rsidP="00491995">
      <w:pPr>
        <w:pStyle w:val="para0"/>
        <w:keepNext/>
        <w:keepLines/>
        <w:ind w:firstLine="0"/>
        <w:rPr>
          <w:lang w:val="en-US"/>
        </w:rPr>
      </w:pPr>
      <w:r w:rsidRPr="00357E55">
        <w:rPr>
          <w:lang w:val="en-US"/>
        </w:rPr>
        <w:t>Initial aiming:</w:t>
      </w:r>
      <w:r w:rsidRPr="00357E55">
        <w:rPr>
          <w:lang w:val="en-US"/>
        </w:rPr>
        <w:tab/>
      </w:r>
      <w:r w:rsidRPr="00357E55">
        <w:rPr>
          <w:lang w:val="en-US"/>
        </w:rPr>
        <w:tab/>
        <w:t xml:space="preserve">between </w:t>
      </w:r>
      <w:r w:rsidRPr="00357E55">
        <w:rPr>
          <w:lang w:val="en-US"/>
        </w:rPr>
        <w:noBreakHyphen/>
        <w:t xml:space="preserve">1.0 per cent and </w:t>
      </w:r>
      <w:r w:rsidRPr="00357E55">
        <w:rPr>
          <w:lang w:val="en-US"/>
        </w:rPr>
        <w:noBreakHyphen/>
        <w:t xml:space="preserve">1.5 per cent </w:t>
      </w:r>
    </w:p>
    <w:p w14:paraId="599EFB53" w14:textId="77777777" w:rsidR="00491995" w:rsidRPr="00357E55" w:rsidRDefault="00491995" w:rsidP="00491995">
      <w:pPr>
        <w:pStyle w:val="para0"/>
        <w:keepNext/>
        <w:keepLines/>
        <w:ind w:firstLine="0"/>
        <w:rPr>
          <w:lang w:val="en-US"/>
        </w:rPr>
      </w:pPr>
      <w:r w:rsidRPr="00357E55">
        <w:rPr>
          <w:lang w:val="en-US"/>
        </w:rPr>
        <w:t xml:space="preserve">0.8 &lt; h &lt; 1.0 </w:t>
      </w:r>
    </w:p>
    <w:p w14:paraId="431C83A2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Limits:</w:t>
      </w:r>
      <w:r w:rsidRPr="00357E55">
        <w:rPr>
          <w:lang w:val="en-US"/>
        </w:rPr>
        <w:tab/>
      </w:r>
      <w:r w:rsidRPr="00357E55">
        <w:rPr>
          <w:lang w:val="en-US"/>
        </w:rPr>
        <w:tab/>
      </w:r>
      <w:r w:rsidRPr="00357E55">
        <w:rPr>
          <w:lang w:val="en-US"/>
        </w:rPr>
        <w:tab/>
        <w:t xml:space="preserve">between </w:t>
      </w:r>
      <w:r w:rsidRPr="00357E55">
        <w:rPr>
          <w:lang w:val="en-US"/>
        </w:rPr>
        <w:noBreakHyphen/>
        <w:t xml:space="preserve">0.5 per cent and </w:t>
      </w:r>
      <w:r w:rsidRPr="00357E55">
        <w:rPr>
          <w:lang w:val="en-US"/>
        </w:rPr>
        <w:noBreakHyphen/>
        <w:t>2.5 per cent</w:t>
      </w:r>
    </w:p>
    <w:p w14:paraId="37F2A795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Initial aiming:</w:t>
      </w:r>
      <w:r w:rsidRPr="00357E55">
        <w:rPr>
          <w:lang w:val="en-US"/>
        </w:rPr>
        <w:tab/>
      </w:r>
      <w:r w:rsidRPr="00357E55">
        <w:rPr>
          <w:lang w:val="en-US"/>
        </w:rPr>
        <w:tab/>
        <w:t xml:space="preserve">between </w:t>
      </w:r>
      <w:r w:rsidRPr="00357E55">
        <w:rPr>
          <w:lang w:val="en-US"/>
        </w:rPr>
        <w:noBreakHyphen/>
        <w:t xml:space="preserve">1.0 per cent and </w:t>
      </w:r>
      <w:r w:rsidRPr="00357E55">
        <w:rPr>
          <w:lang w:val="en-US"/>
        </w:rPr>
        <w:noBreakHyphen/>
        <w:t xml:space="preserve">1.5 per cent </w:t>
      </w:r>
    </w:p>
    <w:p w14:paraId="7313CEC6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 xml:space="preserve">Or, at the discretion of the manufacturer, </w:t>
      </w:r>
    </w:p>
    <w:p w14:paraId="59F0855A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Limits:</w:t>
      </w:r>
      <w:r w:rsidRPr="00357E55">
        <w:rPr>
          <w:lang w:val="en-US"/>
        </w:rPr>
        <w:tab/>
      </w:r>
      <w:r w:rsidRPr="00357E55">
        <w:rPr>
          <w:lang w:val="en-US"/>
        </w:rPr>
        <w:tab/>
      </w:r>
      <w:r w:rsidRPr="00357E55">
        <w:rPr>
          <w:lang w:val="en-US"/>
        </w:rPr>
        <w:tab/>
        <w:t xml:space="preserve">between </w:t>
      </w:r>
      <w:r w:rsidRPr="00357E55">
        <w:rPr>
          <w:lang w:val="en-US"/>
        </w:rPr>
        <w:noBreakHyphen/>
        <w:t xml:space="preserve">1.0 per cent and </w:t>
      </w:r>
      <w:r w:rsidRPr="00357E55">
        <w:rPr>
          <w:lang w:val="en-US"/>
        </w:rPr>
        <w:noBreakHyphen/>
        <w:t>3.0 per cent</w:t>
      </w:r>
    </w:p>
    <w:p w14:paraId="7B38BE9C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Initial aiming:</w:t>
      </w:r>
      <w:r w:rsidRPr="00357E55">
        <w:rPr>
          <w:lang w:val="en-US"/>
        </w:rPr>
        <w:tab/>
      </w:r>
      <w:r w:rsidRPr="00357E55">
        <w:rPr>
          <w:lang w:val="en-US"/>
        </w:rPr>
        <w:tab/>
        <w:t xml:space="preserve">between </w:t>
      </w:r>
      <w:r w:rsidRPr="00357E55">
        <w:rPr>
          <w:lang w:val="en-US"/>
        </w:rPr>
        <w:noBreakHyphen/>
        <w:t xml:space="preserve">1.5 per cent and </w:t>
      </w:r>
      <w:r w:rsidRPr="00357E55">
        <w:rPr>
          <w:lang w:val="en-US"/>
        </w:rPr>
        <w:noBreakHyphen/>
        <w:t xml:space="preserve">2.0 per cent </w:t>
      </w:r>
    </w:p>
    <w:p w14:paraId="4AF55C9C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The application for the vehicle type</w:t>
      </w:r>
      <w:r w:rsidRPr="00357E55">
        <w:rPr>
          <w:lang w:val="en-US"/>
        </w:rPr>
        <w:noBreakHyphen/>
        <w:t>approval shall, in this case, contain information as to which of the two alternatives is to be used.</w:t>
      </w:r>
    </w:p>
    <w:p w14:paraId="41EEA2EA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h &gt; 1.0</w:t>
      </w:r>
    </w:p>
    <w:p w14:paraId="7AECC777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Limits:</w:t>
      </w:r>
      <w:r w:rsidRPr="00357E55">
        <w:rPr>
          <w:lang w:val="en-US"/>
        </w:rPr>
        <w:tab/>
      </w:r>
      <w:r w:rsidRPr="00357E55">
        <w:rPr>
          <w:lang w:val="en-US"/>
        </w:rPr>
        <w:tab/>
      </w:r>
      <w:r w:rsidRPr="00357E55">
        <w:rPr>
          <w:lang w:val="en-US"/>
        </w:rPr>
        <w:tab/>
        <w:t xml:space="preserve">between </w:t>
      </w:r>
      <w:r w:rsidRPr="00357E55">
        <w:rPr>
          <w:lang w:val="en-US"/>
        </w:rPr>
        <w:noBreakHyphen/>
        <w:t xml:space="preserve">1.0 per cent and </w:t>
      </w:r>
      <w:r w:rsidRPr="00357E55">
        <w:rPr>
          <w:lang w:val="en-US"/>
        </w:rPr>
        <w:noBreakHyphen/>
        <w:t>3.0 per cent</w:t>
      </w:r>
    </w:p>
    <w:p w14:paraId="68AD25FA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Initial aiming:</w:t>
      </w:r>
      <w:r w:rsidRPr="00357E55">
        <w:rPr>
          <w:lang w:val="en-US"/>
        </w:rPr>
        <w:tab/>
      </w:r>
      <w:r w:rsidRPr="00357E55">
        <w:rPr>
          <w:lang w:val="en-US"/>
        </w:rPr>
        <w:tab/>
        <w:t xml:space="preserve">between </w:t>
      </w:r>
      <w:r w:rsidRPr="00357E55">
        <w:rPr>
          <w:lang w:val="en-US"/>
        </w:rPr>
        <w:noBreakHyphen/>
        <w:t xml:space="preserve">1.5 per cent and </w:t>
      </w:r>
      <w:r w:rsidRPr="00357E55">
        <w:rPr>
          <w:lang w:val="en-US"/>
        </w:rPr>
        <w:noBreakHyphen/>
        <w:t>2.0 per cent</w:t>
      </w:r>
    </w:p>
    <w:p w14:paraId="5596CA80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The above limits and the initial aiming values are summarized in the diagram below.</w:t>
      </w:r>
    </w:p>
    <w:p w14:paraId="14E372CF" w14:textId="63D37191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 xml:space="preserve">For </w:t>
      </w:r>
      <w:r w:rsidRPr="00491995">
        <w:rPr>
          <w:lang w:val="en-US"/>
        </w:rPr>
        <w:t>categor</w:t>
      </w:r>
      <w:r w:rsidRPr="00BB77EC">
        <w:rPr>
          <w:lang w:val="en-US"/>
        </w:rPr>
        <w:t>y</w:t>
      </w:r>
      <w:r w:rsidRPr="00491995">
        <w:rPr>
          <w:lang w:val="en-US"/>
        </w:rPr>
        <w:t xml:space="preserve"> </w:t>
      </w:r>
      <w:r w:rsidRPr="00491995">
        <w:rPr>
          <w:b/>
          <w:bCs/>
          <w:lang w:val="en-US"/>
        </w:rPr>
        <w:t>N</w:t>
      </w:r>
      <w:r w:rsidRPr="00491995">
        <w:rPr>
          <w:b/>
          <w:bCs/>
          <w:vertAlign w:val="subscript"/>
          <w:lang w:val="en-US"/>
        </w:rPr>
        <w:t>2</w:t>
      </w:r>
      <w:r w:rsidRPr="00491995">
        <w:rPr>
          <w:b/>
          <w:bCs/>
          <w:lang w:val="en-US"/>
        </w:rPr>
        <w:t>G,</w:t>
      </w:r>
      <w:r w:rsidRPr="00491995">
        <w:rPr>
          <w:lang w:val="en-US"/>
        </w:rPr>
        <w:t xml:space="preserve"> N</w:t>
      </w:r>
      <w:r w:rsidRPr="00491995">
        <w:rPr>
          <w:vertAlign w:val="subscript"/>
          <w:lang w:val="en-US"/>
        </w:rPr>
        <w:t>3</w:t>
      </w:r>
      <w:r w:rsidRPr="00491995">
        <w:rPr>
          <w:lang w:val="en-US"/>
        </w:rPr>
        <w:t xml:space="preserve">G, </w:t>
      </w:r>
      <w:r w:rsidRPr="00491995">
        <w:rPr>
          <w:b/>
          <w:bCs/>
          <w:lang w:val="en-US"/>
        </w:rPr>
        <w:t>M</w:t>
      </w:r>
      <w:r w:rsidRPr="00491995">
        <w:rPr>
          <w:b/>
          <w:bCs/>
          <w:vertAlign w:val="subscript"/>
          <w:lang w:val="en-US"/>
        </w:rPr>
        <w:t>2</w:t>
      </w:r>
      <w:r w:rsidRPr="00491995">
        <w:rPr>
          <w:b/>
          <w:bCs/>
          <w:lang w:val="en-US"/>
        </w:rPr>
        <w:t>G, M</w:t>
      </w:r>
      <w:r w:rsidRPr="00491995">
        <w:rPr>
          <w:b/>
          <w:bCs/>
          <w:vertAlign w:val="subscript"/>
          <w:lang w:val="en-US"/>
        </w:rPr>
        <w:t>3</w:t>
      </w:r>
      <w:r w:rsidRPr="00491995">
        <w:rPr>
          <w:b/>
          <w:bCs/>
          <w:lang w:val="en-US"/>
        </w:rPr>
        <w:t>G</w:t>
      </w:r>
      <w:r w:rsidRPr="00491995">
        <w:rPr>
          <w:lang w:val="en-US"/>
        </w:rPr>
        <w:t xml:space="preserve"> (off-road) vehicles where the headlamps exceed a height of 1,200 mm, the limits for the vertical inclination of the cut-off shall be between: -1.5</w:t>
      </w:r>
      <w:r w:rsidRPr="00357E55">
        <w:rPr>
          <w:lang w:val="en-US"/>
        </w:rPr>
        <w:t xml:space="preserve"> per cent and -3.5 per cent.</w:t>
      </w:r>
    </w:p>
    <w:p w14:paraId="74B82EA9" w14:textId="77777777" w:rsidR="00491995" w:rsidRPr="00357E55" w:rsidRDefault="00491995" w:rsidP="00491995">
      <w:pPr>
        <w:pStyle w:val="para0"/>
        <w:ind w:firstLine="0"/>
        <w:rPr>
          <w:lang w:val="en-US"/>
        </w:rPr>
      </w:pPr>
      <w:r w:rsidRPr="00357E55">
        <w:rPr>
          <w:lang w:val="en-US"/>
        </w:rPr>
        <w:t>The initial aim shall be set between: -2 per cent and -2.5 per cent.</w:t>
      </w:r>
    </w:p>
    <w:p w14:paraId="58E303D4" w14:textId="77777777" w:rsidR="00491995" w:rsidRPr="00C1319A" w:rsidRDefault="00491995" w:rsidP="00491995">
      <w:pPr>
        <w:pStyle w:val="SingleTxtG"/>
        <w:rPr>
          <w:i/>
          <w:iCs/>
        </w:rPr>
      </w:pPr>
      <w:r w:rsidRPr="007B64D4">
        <w:object w:dxaOrig="8087" w:dyaOrig="7561" w14:anchorId="2AD83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25pt;height:378.5pt" o:ole="">
            <v:imagedata r:id="rId15" o:title=""/>
          </v:shape>
          <o:OLEObject Type="Embed" ProgID="PBrush" ShapeID="_x0000_i1025" DrawAspect="Content" ObjectID="_1768717511" r:id="rId16"/>
        </w:object>
      </w:r>
    </w:p>
    <w:p w14:paraId="2C069298" w14:textId="17894135" w:rsidR="00CD1236" w:rsidRPr="00CD1236" w:rsidRDefault="00491995" w:rsidP="00DD0199">
      <w:pPr>
        <w:pStyle w:val="SingleTxtG"/>
        <w:ind w:left="2268" w:hanging="1134"/>
        <w:rPr>
          <w:lang w:val="en-US"/>
        </w:rPr>
      </w:pPr>
      <w:r>
        <w:rPr>
          <w:lang w:val="en-US"/>
        </w:rPr>
        <w:t xml:space="preserve"> ”</w:t>
      </w:r>
    </w:p>
    <w:p w14:paraId="09B90E1E" w14:textId="77777777" w:rsidR="009265AA" w:rsidRDefault="009265AA" w:rsidP="009265AA">
      <w:pPr>
        <w:pStyle w:val="HChG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487126DD" w14:textId="67DF9C74" w:rsidR="00491995" w:rsidRDefault="00706A00" w:rsidP="00111B26">
      <w:pPr>
        <w:pStyle w:val="SingleTxtG"/>
        <w:rPr>
          <w:lang w:eastAsia="fr-FR"/>
        </w:rPr>
      </w:pPr>
      <w:r>
        <w:rPr>
          <w:lang w:eastAsia="fr-FR"/>
        </w:rPr>
        <w:t>1.</w:t>
      </w:r>
      <w:r>
        <w:rPr>
          <w:lang w:eastAsia="fr-FR"/>
        </w:rPr>
        <w:tab/>
      </w:r>
      <w:r w:rsidR="00953644">
        <w:rPr>
          <w:lang w:eastAsia="fr-FR"/>
        </w:rPr>
        <w:t xml:space="preserve">The </w:t>
      </w:r>
      <w:r w:rsidR="00AE554F">
        <w:rPr>
          <w:lang w:eastAsia="fr-FR"/>
        </w:rPr>
        <w:t>09 series of amendments to UN Regulation No. 48</w:t>
      </w:r>
      <w:r w:rsidR="00953644">
        <w:rPr>
          <w:lang w:eastAsia="fr-FR"/>
        </w:rPr>
        <w:t xml:space="preserve"> has clarified </w:t>
      </w:r>
      <w:r w:rsidR="00AE554F">
        <w:rPr>
          <w:lang w:eastAsia="fr-FR"/>
        </w:rPr>
        <w:t xml:space="preserve">the </w:t>
      </w:r>
      <w:r w:rsidR="00AE554F" w:rsidRPr="00491995">
        <w:rPr>
          <w:lang w:eastAsia="fr-FR"/>
        </w:rPr>
        <w:t>requirement</w:t>
      </w:r>
      <w:r w:rsidR="00AE554F">
        <w:rPr>
          <w:lang w:eastAsia="fr-FR"/>
        </w:rPr>
        <w:t>s</w:t>
      </w:r>
      <w:r w:rsidR="00AE554F" w:rsidRPr="00491995">
        <w:rPr>
          <w:lang w:eastAsia="fr-FR"/>
        </w:rPr>
        <w:t xml:space="preserve"> for M</w:t>
      </w:r>
      <w:r w:rsidR="00AE554F" w:rsidRPr="00AE554F">
        <w:rPr>
          <w:vertAlign w:val="subscript"/>
          <w:lang w:eastAsia="fr-FR"/>
        </w:rPr>
        <w:t>2</w:t>
      </w:r>
      <w:r w:rsidR="00AE554F" w:rsidRPr="00491995">
        <w:rPr>
          <w:lang w:eastAsia="fr-FR"/>
        </w:rPr>
        <w:t>G, M</w:t>
      </w:r>
      <w:r w:rsidR="00AE554F" w:rsidRPr="00AE554F">
        <w:rPr>
          <w:vertAlign w:val="subscript"/>
          <w:lang w:eastAsia="fr-FR"/>
        </w:rPr>
        <w:t>3</w:t>
      </w:r>
      <w:r w:rsidR="00AE554F" w:rsidRPr="00491995">
        <w:rPr>
          <w:lang w:eastAsia="fr-FR"/>
        </w:rPr>
        <w:t>G, N</w:t>
      </w:r>
      <w:r w:rsidR="00AE554F" w:rsidRPr="00AE554F">
        <w:rPr>
          <w:vertAlign w:val="subscript"/>
          <w:lang w:eastAsia="fr-FR"/>
        </w:rPr>
        <w:t>2</w:t>
      </w:r>
      <w:r w:rsidR="00AE554F" w:rsidRPr="00491995">
        <w:rPr>
          <w:lang w:eastAsia="fr-FR"/>
        </w:rPr>
        <w:t>G and N</w:t>
      </w:r>
      <w:r w:rsidR="00AE554F" w:rsidRPr="00AE554F">
        <w:rPr>
          <w:vertAlign w:val="subscript"/>
          <w:lang w:eastAsia="fr-FR"/>
        </w:rPr>
        <w:t>3</w:t>
      </w:r>
      <w:r w:rsidR="00AE554F" w:rsidRPr="00491995">
        <w:rPr>
          <w:lang w:eastAsia="fr-FR"/>
        </w:rPr>
        <w:t xml:space="preserve">G </w:t>
      </w:r>
      <w:r w:rsidR="00AE554F">
        <w:rPr>
          <w:lang w:eastAsia="fr-FR"/>
        </w:rPr>
        <w:t xml:space="preserve">(off-road) </w:t>
      </w:r>
      <w:r w:rsidR="00AE554F" w:rsidRPr="00491995">
        <w:rPr>
          <w:lang w:eastAsia="fr-FR"/>
        </w:rPr>
        <w:t xml:space="preserve">vehicles about </w:t>
      </w:r>
      <w:r w:rsidR="00AE554F">
        <w:rPr>
          <w:lang w:eastAsia="fr-FR"/>
        </w:rPr>
        <w:t xml:space="preserve">the </w:t>
      </w:r>
      <w:r w:rsidR="00953644" w:rsidRPr="00AE554F">
        <w:rPr>
          <w:lang w:eastAsia="fr-FR"/>
        </w:rPr>
        <w:t xml:space="preserve">passing-beam vertical </w:t>
      </w:r>
      <w:r w:rsidR="008D776C">
        <w:rPr>
          <w:lang w:eastAsia="fr-FR"/>
        </w:rPr>
        <w:t>inclination</w:t>
      </w:r>
      <w:r w:rsidR="00953644" w:rsidRPr="00AE554F">
        <w:rPr>
          <w:lang w:eastAsia="fr-FR"/>
        </w:rPr>
        <w:t xml:space="preserve"> </w:t>
      </w:r>
      <w:r w:rsidR="00AE554F" w:rsidRPr="00491995">
        <w:rPr>
          <w:lang w:eastAsia="fr-FR"/>
        </w:rPr>
        <w:t>depending o</w:t>
      </w:r>
      <w:r w:rsidR="00AE554F">
        <w:rPr>
          <w:lang w:eastAsia="fr-FR"/>
        </w:rPr>
        <w:t>n the</w:t>
      </w:r>
      <w:r w:rsidR="00AE554F" w:rsidRPr="00491995">
        <w:rPr>
          <w:lang w:eastAsia="fr-FR"/>
        </w:rPr>
        <w:t xml:space="preserve"> mounting height of the headlamp</w:t>
      </w:r>
      <w:r w:rsidR="00953644">
        <w:rPr>
          <w:lang w:eastAsia="fr-FR"/>
        </w:rPr>
        <w:t>s</w:t>
      </w:r>
      <w:r w:rsidR="00AE554F" w:rsidRPr="00491995">
        <w:rPr>
          <w:lang w:eastAsia="fr-FR"/>
        </w:rPr>
        <w:t>.</w:t>
      </w:r>
    </w:p>
    <w:p w14:paraId="05E1746F" w14:textId="55F36917" w:rsidR="00AE554F" w:rsidRDefault="00AE554F" w:rsidP="00111B26">
      <w:pPr>
        <w:pStyle w:val="SingleTxtG"/>
        <w:rPr>
          <w:lang w:eastAsia="fr-FR"/>
        </w:rPr>
      </w:pPr>
      <w:r>
        <w:rPr>
          <w:lang w:eastAsia="fr-FR"/>
        </w:rPr>
        <w:t>2.</w:t>
      </w:r>
      <w:r>
        <w:rPr>
          <w:lang w:eastAsia="fr-FR"/>
        </w:rPr>
        <w:tab/>
        <w:t>This p</w:t>
      </w:r>
      <w:r w:rsidRPr="00491995">
        <w:rPr>
          <w:lang w:eastAsia="fr-FR"/>
        </w:rPr>
        <w:t xml:space="preserve">roposal is </w:t>
      </w:r>
      <w:r>
        <w:rPr>
          <w:lang w:eastAsia="fr-FR"/>
        </w:rPr>
        <w:t xml:space="preserve">intended </w:t>
      </w:r>
      <w:r w:rsidRPr="00491995">
        <w:rPr>
          <w:lang w:eastAsia="fr-FR"/>
        </w:rPr>
        <w:t xml:space="preserve">to </w:t>
      </w:r>
      <w:r>
        <w:rPr>
          <w:lang w:eastAsia="fr-FR"/>
        </w:rPr>
        <w:t xml:space="preserve">align </w:t>
      </w:r>
      <w:r w:rsidR="005D054C">
        <w:rPr>
          <w:lang w:eastAsia="fr-FR"/>
        </w:rPr>
        <w:t>these</w:t>
      </w:r>
      <w:r>
        <w:rPr>
          <w:lang w:eastAsia="fr-FR"/>
        </w:rPr>
        <w:t xml:space="preserve"> </w:t>
      </w:r>
      <w:r w:rsidRPr="00491995">
        <w:rPr>
          <w:lang w:eastAsia="fr-FR"/>
        </w:rPr>
        <w:t>requirement</w:t>
      </w:r>
      <w:r>
        <w:rPr>
          <w:lang w:eastAsia="fr-FR"/>
        </w:rPr>
        <w:t>s</w:t>
      </w:r>
      <w:r w:rsidRPr="00491995">
        <w:rPr>
          <w:lang w:eastAsia="fr-FR"/>
        </w:rPr>
        <w:t xml:space="preserve"> </w:t>
      </w:r>
      <w:r w:rsidR="00CA74A6">
        <w:rPr>
          <w:lang w:eastAsia="fr-FR"/>
        </w:rPr>
        <w:t xml:space="preserve">among the different series of amendments by extending </w:t>
      </w:r>
      <w:r>
        <w:rPr>
          <w:lang w:eastAsia="fr-FR"/>
        </w:rPr>
        <w:t xml:space="preserve">the </w:t>
      </w:r>
      <w:r w:rsidR="00CA74A6">
        <w:rPr>
          <w:lang w:eastAsia="fr-FR"/>
        </w:rPr>
        <w:t xml:space="preserve">provisions in the </w:t>
      </w:r>
      <w:r>
        <w:rPr>
          <w:lang w:eastAsia="fr-FR"/>
        </w:rPr>
        <w:t xml:space="preserve">09 series to the 06, 07 and 08 </w:t>
      </w:r>
      <w:r w:rsidRPr="00491995">
        <w:rPr>
          <w:lang w:eastAsia="fr-FR"/>
        </w:rPr>
        <w:t xml:space="preserve">series of </w:t>
      </w:r>
      <w:r>
        <w:rPr>
          <w:lang w:eastAsia="fr-FR"/>
        </w:rPr>
        <w:t xml:space="preserve">amendments to UN Regulation No. </w:t>
      </w:r>
      <w:r w:rsidRPr="00491995">
        <w:rPr>
          <w:lang w:eastAsia="fr-FR"/>
        </w:rPr>
        <w:t>48</w:t>
      </w:r>
      <w:r>
        <w:rPr>
          <w:lang w:eastAsia="fr-FR"/>
        </w:rPr>
        <w:t>.</w:t>
      </w:r>
    </w:p>
    <w:p w14:paraId="4872663F" w14:textId="719B6B58" w:rsidR="00C756A3" w:rsidRDefault="00C756A3" w:rsidP="00C756A3">
      <w:pPr>
        <w:pStyle w:val="SingleTxtG"/>
        <w:jc w:val="center"/>
        <w:rPr>
          <w:lang w:eastAsia="fr-FR"/>
        </w:rPr>
      </w:pPr>
      <w:r>
        <w:rPr>
          <w:lang w:eastAsia="fr-FR"/>
        </w:rPr>
        <w:t>_____________</w:t>
      </w:r>
    </w:p>
    <w:sectPr w:rsidR="00C756A3" w:rsidSect="008F2F59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7B30" w14:textId="77777777" w:rsidR="00122177" w:rsidRDefault="00122177"/>
  </w:endnote>
  <w:endnote w:type="continuationSeparator" w:id="0">
    <w:p w14:paraId="609C2366" w14:textId="77777777" w:rsidR="00122177" w:rsidRDefault="00122177"/>
  </w:endnote>
  <w:endnote w:type="continuationNotice" w:id="1">
    <w:p w14:paraId="5FFBAB30" w14:textId="77777777" w:rsidR="00122177" w:rsidRDefault="00122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4AC6" w14:textId="47370880" w:rsidR="002564F2" w:rsidRDefault="002564F2" w:rsidP="002564F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98B173C" wp14:editId="780732D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DE39A" w14:textId="7953BE6A" w:rsidR="002564F2" w:rsidRPr="002564F2" w:rsidRDefault="002564F2" w:rsidP="002564F2">
    <w:pPr>
      <w:pStyle w:val="Footer"/>
      <w:ind w:right="1134"/>
      <w:rPr>
        <w:sz w:val="20"/>
      </w:rPr>
    </w:pPr>
    <w:r>
      <w:rPr>
        <w:sz w:val="20"/>
      </w:rPr>
      <w:t>GE.24-02066(E)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B14A22" wp14:editId="09C3B55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3AE8" w14:textId="77777777" w:rsidR="00122177" w:rsidRPr="000B175B" w:rsidRDefault="001221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875D82" w14:textId="77777777" w:rsidR="00122177" w:rsidRPr="00FC68B7" w:rsidRDefault="001221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34AEA4" w14:textId="77777777" w:rsidR="00122177" w:rsidRDefault="00122177"/>
  </w:footnote>
  <w:footnote w:id="2">
    <w:p w14:paraId="26469265" w14:textId="3D2AE396" w:rsidR="00E317C2" w:rsidRPr="004876E3" w:rsidRDefault="00E317C2" w:rsidP="00297676">
      <w:pPr>
        <w:pStyle w:val="FootnoteText"/>
      </w:pPr>
      <w:r w:rsidRPr="00A90EA8">
        <w:tab/>
      </w:r>
      <w:r w:rsidR="0002472C" w:rsidRPr="002232AF">
        <w:rPr>
          <w:rStyle w:val="FootnoteReference"/>
          <w:sz w:val="20"/>
          <w:lang w:val="en-US"/>
        </w:rPr>
        <w:t>*</w:t>
      </w:r>
      <w:r w:rsidR="0002472C" w:rsidRPr="002232AF">
        <w:rPr>
          <w:sz w:val="20"/>
          <w:lang w:val="en-US"/>
        </w:rPr>
        <w:tab/>
      </w:r>
      <w:r w:rsidR="005F4B65">
        <w:rPr>
          <w:szCs w:val="18"/>
          <w:lang w:val="en-US"/>
        </w:rPr>
        <w:t xml:space="preserve">In accordance with the programme of work of the Inland Transport Committee for </w:t>
      </w:r>
      <w:r w:rsidR="00CD3462" w:rsidRPr="00CD3462">
        <w:rPr>
          <w:szCs w:val="18"/>
          <w:lang w:val="en-US"/>
        </w:rPr>
        <w:t xml:space="preserve">2024 as outlined in proposed </w:t>
      </w:r>
      <w:proofErr w:type="spellStart"/>
      <w:r w:rsidR="00CD3462" w:rsidRPr="00CD3462">
        <w:rPr>
          <w:szCs w:val="18"/>
          <w:lang w:val="en-US"/>
        </w:rPr>
        <w:t>programme</w:t>
      </w:r>
      <w:proofErr w:type="spellEnd"/>
      <w:r w:rsidR="00CD3462" w:rsidRPr="00CD3462">
        <w:rPr>
          <w:szCs w:val="18"/>
          <w:lang w:val="en-US"/>
        </w:rPr>
        <w:t xml:space="preserve"> budget for 2024 (A/78/6 (Sect. 20), table 20.5), </w:t>
      </w:r>
      <w:r w:rsidR="005F4B65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</w:t>
      </w:r>
      <w:r w:rsidR="0002472C" w:rsidRPr="00AB708F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CF7" w14:textId="7B0D2313" w:rsidR="00C740F6" w:rsidRPr="00A6183A" w:rsidRDefault="007D59D2" w:rsidP="00A6183A">
    <w:pPr>
      <w:pStyle w:val="Header"/>
    </w:pPr>
    <w:r w:rsidRPr="007D59D2">
      <w:t>ECE/TRANS/WP.29/GRE/2024/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7D7" w14:textId="67F6D59F" w:rsidR="00C740F6" w:rsidRPr="00A6183A" w:rsidRDefault="007D59D2" w:rsidP="007D59D2">
    <w:pPr>
      <w:pStyle w:val="Header"/>
      <w:jc w:val="right"/>
    </w:pPr>
    <w:r w:rsidRPr="007D59D2">
      <w:t>ECE/TRANS/WP.29/GRE/2024/</w:t>
    </w: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47994595">
    <w:abstractNumId w:val="1"/>
  </w:num>
  <w:num w:numId="2" w16cid:durableId="479347135">
    <w:abstractNumId w:val="18"/>
  </w:num>
  <w:num w:numId="3" w16cid:durableId="1674647666">
    <w:abstractNumId w:val="10"/>
  </w:num>
  <w:num w:numId="4" w16cid:durableId="384450639">
    <w:abstractNumId w:val="16"/>
  </w:num>
  <w:num w:numId="5" w16cid:durableId="1008947859">
    <w:abstractNumId w:val="17"/>
  </w:num>
  <w:num w:numId="6" w16cid:durableId="1864397896">
    <w:abstractNumId w:val="3"/>
  </w:num>
  <w:num w:numId="7" w16cid:durableId="805004135">
    <w:abstractNumId w:val="2"/>
  </w:num>
  <w:num w:numId="8" w16cid:durableId="74790847">
    <w:abstractNumId w:val="15"/>
  </w:num>
  <w:num w:numId="9" w16cid:durableId="1546214503">
    <w:abstractNumId w:val="8"/>
  </w:num>
  <w:num w:numId="10" w16cid:durableId="1105881446">
    <w:abstractNumId w:val="9"/>
  </w:num>
  <w:num w:numId="11" w16cid:durableId="1078406041">
    <w:abstractNumId w:val="7"/>
  </w:num>
  <w:num w:numId="12" w16cid:durableId="1696229310">
    <w:abstractNumId w:val="0"/>
  </w:num>
  <w:num w:numId="13" w16cid:durableId="1703045859">
    <w:abstractNumId w:val="20"/>
  </w:num>
  <w:num w:numId="14" w16cid:durableId="1574048366">
    <w:abstractNumId w:val="6"/>
  </w:num>
  <w:num w:numId="15" w16cid:durableId="1352604448">
    <w:abstractNumId w:val="12"/>
  </w:num>
  <w:num w:numId="16" w16cid:durableId="1100494220">
    <w:abstractNumId w:val="4"/>
  </w:num>
  <w:num w:numId="17" w16cid:durableId="883636123">
    <w:abstractNumId w:val="21"/>
  </w:num>
  <w:num w:numId="18" w16cid:durableId="391275985">
    <w:abstractNumId w:val="11"/>
  </w:num>
  <w:num w:numId="19" w16cid:durableId="1399790029">
    <w:abstractNumId w:val="19"/>
  </w:num>
  <w:num w:numId="20" w16cid:durableId="1924336526">
    <w:abstractNumId w:val="13"/>
  </w:num>
  <w:num w:numId="21" w16cid:durableId="24137658">
    <w:abstractNumId w:val="14"/>
  </w:num>
  <w:num w:numId="22" w16cid:durableId="102093770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D05"/>
    <w:rsid w:val="000262BA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040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2F82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2177"/>
    <w:rsid w:val="00123AE3"/>
    <w:rsid w:val="00123CAF"/>
    <w:rsid w:val="0012494D"/>
    <w:rsid w:val="00125F47"/>
    <w:rsid w:val="00127252"/>
    <w:rsid w:val="00130B13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0BAA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2622"/>
    <w:rsid w:val="00203D9E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5B7B"/>
    <w:rsid w:val="00256067"/>
    <w:rsid w:val="002564F2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753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088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E7E48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1D3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655D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679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2CB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1995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411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1E7E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60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2DE"/>
    <w:rsid w:val="005C5903"/>
    <w:rsid w:val="005C5F3E"/>
    <w:rsid w:val="005D04F8"/>
    <w:rsid w:val="005D054C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376D"/>
    <w:rsid w:val="005F46D0"/>
    <w:rsid w:val="005F4813"/>
    <w:rsid w:val="005F48DA"/>
    <w:rsid w:val="005F4B65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0FF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6A00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3E41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0D1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D46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638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59D2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473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0E2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76C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2F59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644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3DA8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0B1"/>
    <w:rsid w:val="009B4327"/>
    <w:rsid w:val="009B43ED"/>
    <w:rsid w:val="009B4DFB"/>
    <w:rsid w:val="009B5460"/>
    <w:rsid w:val="009B56E1"/>
    <w:rsid w:val="009B58A2"/>
    <w:rsid w:val="009B5CA5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1D5F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54BC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DA7"/>
    <w:rsid w:val="00AC17DC"/>
    <w:rsid w:val="00AC1DCA"/>
    <w:rsid w:val="00AC2023"/>
    <w:rsid w:val="00AC2638"/>
    <w:rsid w:val="00AC2961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54F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5C58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1DC9"/>
    <w:rsid w:val="00BB2AE7"/>
    <w:rsid w:val="00BB3575"/>
    <w:rsid w:val="00BB4866"/>
    <w:rsid w:val="00BB5548"/>
    <w:rsid w:val="00BB55C1"/>
    <w:rsid w:val="00BB77EC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5DB0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6A3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4A6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7021"/>
    <w:rsid w:val="00CC050B"/>
    <w:rsid w:val="00CC221E"/>
    <w:rsid w:val="00CC3853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36"/>
    <w:rsid w:val="00CD12B0"/>
    <w:rsid w:val="00CD1B5E"/>
    <w:rsid w:val="00CD2783"/>
    <w:rsid w:val="00CD3462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1DC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5B1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2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333A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079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44B"/>
    <w:rsid w:val="00DC65AA"/>
    <w:rsid w:val="00DC6760"/>
    <w:rsid w:val="00DC676E"/>
    <w:rsid w:val="00DC7CBD"/>
    <w:rsid w:val="00DC7D64"/>
    <w:rsid w:val="00DC7E42"/>
    <w:rsid w:val="00DD0199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49D9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0B"/>
    <w:rsid w:val="00E6333B"/>
    <w:rsid w:val="00E64818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1D1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572A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400E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4CEF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3AA1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4b4a1c0d-4a69-4996-a84a-fc699b9f49de"/>
    <ds:schemaRef ds:uri="http://purl.org/dc/elements/1.1/"/>
    <ds:schemaRef ds:uri="http://schemas.microsoft.com/office/2006/metadata/properties"/>
    <ds:schemaRef ds:uri="985ec44e-1bab-4c0b-9df0-6ba128686fc9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1D122-19D8-4CA0-8DEA-CF94307E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496</Words>
  <Characters>2536</Characters>
  <Application>Microsoft Office Word</Application>
  <DocSecurity>0</DocSecurity>
  <Lines>68</Lines>
  <Paragraphs>41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ECE/TRANS/WP.29/GRE/2022/10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3020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ECE/TRANS/WP.29/GRE/2024/4</dc:title>
  <dc:subject>2402066</dc:subject>
  <dc:creator>AFTER JUNE</dc:creator>
  <cp:keywords/>
  <dc:description/>
  <cp:lastModifiedBy>Maria Rosario Corazon Gatmaytan</cp:lastModifiedBy>
  <cp:revision>2</cp:revision>
  <cp:lastPrinted>2022-07-26T12:04:00Z</cp:lastPrinted>
  <dcterms:created xsi:type="dcterms:W3CDTF">2024-02-06T08:38:00Z</dcterms:created>
  <dcterms:modified xsi:type="dcterms:W3CDTF">2024-02-06T08:38:00Z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