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00B7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9CCD10" w14:textId="77777777" w:rsidR="002D5AAC" w:rsidRDefault="002D5AAC" w:rsidP="00C776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73AAD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6EC823" w14:textId="08629E48" w:rsidR="002D5AAC" w:rsidRDefault="00C77614" w:rsidP="00C77614">
            <w:pPr>
              <w:jc w:val="right"/>
            </w:pPr>
            <w:r w:rsidRPr="00C77614">
              <w:rPr>
                <w:sz w:val="40"/>
              </w:rPr>
              <w:t>ECE</w:t>
            </w:r>
            <w:r>
              <w:t>/MP.EIA/IC/2024/1</w:t>
            </w:r>
          </w:p>
        </w:tc>
      </w:tr>
      <w:tr w:rsidR="002D5AAC" w14:paraId="56118C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7DA98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4F7AB6" wp14:editId="402389D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DE74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A8F677" w14:textId="77777777" w:rsidR="002D5AAC" w:rsidRDefault="00C7761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49DD82" w14:textId="77777777" w:rsidR="00C77614" w:rsidRDefault="00C77614" w:rsidP="00C776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2023</w:t>
            </w:r>
          </w:p>
          <w:p w14:paraId="5E28E9BC" w14:textId="77777777" w:rsidR="00C77614" w:rsidRDefault="00C77614" w:rsidP="00C776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1A829D" w14:textId="0D9E9A3D" w:rsidR="00C77614" w:rsidRPr="008D53B6" w:rsidRDefault="00C77614" w:rsidP="00C776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41AE2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010E83C" w14:textId="6DF6E26B" w:rsidR="00C77614" w:rsidRPr="00C77614" w:rsidRDefault="00C77614" w:rsidP="00C77614">
      <w:pPr>
        <w:spacing w:before="120"/>
        <w:rPr>
          <w:bCs/>
          <w:sz w:val="28"/>
          <w:szCs w:val="28"/>
        </w:rPr>
      </w:pPr>
      <w:r w:rsidRPr="00C77614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C77614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C77614">
        <w:rPr>
          <w:sz w:val="28"/>
          <w:szCs w:val="28"/>
        </w:rPr>
        <w:t>в трансграничном контексте</w:t>
      </w:r>
    </w:p>
    <w:p w14:paraId="73A9FEE4" w14:textId="22599E2C" w:rsidR="00C77614" w:rsidRPr="00C77614" w:rsidRDefault="00C77614" w:rsidP="00C77614">
      <w:pPr>
        <w:spacing w:before="120"/>
        <w:rPr>
          <w:bCs/>
          <w:sz w:val="28"/>
          <w:szCs w:val="28"/>
        </w:rPr>
      </w:pPr>
      <w:r w:rsidRPr="00C77614">
        <w:rPr>
          <w:sz w:val="28"/>
          <w:szCs w:val="28"/>
        </w:rPr>
        <w:t xml:space="preserve">Совещание </w:t>
      </w:r>
      <w:r>
        <w:rPr>
          <w:sz w:val="28"/>
          <w:szCs w:val="28"/>
        </w:rPr>
        <w:t>С</w:t>
      </w:r>
      <w:r w:rsidRPr="00C77614">
        <w:rPr>
          <w:sz w:val="28"/>
          <w:szCs w:val="28"/>
        </w:rPr>
        <w:t xml:space="preserve">торон Конвенции об оценке </w:t>
      </w:r>
      <w:r>
        <w:rPr>
          <w:sz w:val="28"/>
          <w:szCs w:val="28"/>
        </w:rPr>
        <w:br/>
      </w:r>
      <w:r w:rsidRPr="00C77614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C77614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C77614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C77614">
        <w:rPr>
          <w:sz w:val="28"/>
          <w:szCs w:val="28"/>
        </w:rPr>
        <w:t>по стратегической экологической оценке</w:t>
      </w:r>
    </w:p>
    <w:p w14:paraId="5BA45A67" w14:textId="77777777" w:rsidR="00C77614" w:rsidRPr="00C77614" w:rsidRDefault="00C77614" w:rsidP="00C77614">
      <w:pPr>
        <w:spacing w:before="120"/>
        <w:rPr>
          <w:b/>
          <w:sz w:val="24"/>
          <w:szCs w:val="24"/>
        </w:rPr>
      </w:pPr>
      <w:r w:rsidRPr="00C77614">
        <w:rPr>
          <w:b/>
          <w:bCs/>
          <w:sz w:val="24"/>
          <w:szCs w:val="24"/>
        </w:rPr>
        <w:t>Комитет по осуществлению</w:t>
      </w:r>
    </w:p>
    <w:p w14:paraId="4B2CF8B6" w14:textId="77777777" w:rsidR="00C77614" w:rsidRPr="00A30654" w:rsidRDefault="00C77614" w:rsidP="00C77614">
      <w:pPr>
        <w:rPr>
          <w:b/>
        </w:rPr>
      </w:pPr>
      <w:r>
        <w:rPr>
          <w:b/>
          <w:bCs/>
        </w:rPr>
        <w:t>Пятьдесят восьмая сессия</w:t>
      </w:r>
    </w:p>
    <w:p w14:paraId="174E290C" w14:textId="551A2CF3" w:rsidR="00C77614" w:rsidRPr="00A30654" w:rsidRDefault="00C77614" w:rsidP="00C77614">
      <w:r>
        <w:t xml:space="preserve">Женева, 27 февраля </w:t>
      </w:r>
      <w:r>
        <w:t xml:space="preserve">— </w:t>
      </w:r>
      <w:r>
        <w:t>1 марта 2024 года</w:t>
      </w:r>
    </w:p>
    <w:p w14:paraId="2C897D6A" w14:textId="77777777" w:rsidR="00C77614" w:rsidRPr="00A30654" w:rsidRDefault="00C77614" w:rsidP="00C77614">
      <w:r>
        <w:t>Пункт 1 предварительной повестки дня</w:t>
      </w:r>
    </w:p>
    <w:p w14:paraId="319D0CFF" w14:textId="77777777" w:rsidR="00C77614" w:rsidRPr="00A30654" w:rsidRDefault="00C77614" w:rsidP="00C77614">
      <w:r>
        <w:rPr>
          <w:b/>
          <w:bCs/>
        </w:rPr>
        <w:t>Утверждение повестки дня</w:t>
      </w:r>
    </w:p>
    <w:p w14:paraId="71086308" w14:textId="77777777" w:rsidR="00C77614" w:rsidRPr="00A30654" w:rsidRDefault="00C77614" w:rsidP="00C77614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пятьдесят восьмой сессии,</w:t>
      </w:r>
    </w:p>
    <w:p w14:paraId="69CC2649" w14:textId="7F904B15" w:rsidR="00C77614" w:rsidRPr="00A30654" w:rsidRDefault="00C77614" w:rsidP="00C77614">
      <w:pPr>
        <w:pStyle w:val="H1G"/>
      </w:pPr>
      <w:r>
        <w:tab/>
      </w:r>
      <w:r>
        <w:tab/>
        <w:t>которая пройдет в онлайновом режиме и откроется во вторник, 27</w:t>
      </w:r>
      <w:r>
        <w:rPr>
          <w:lang w:val="en-US"/>
        </w:rPr>
        <w:t> </w:t>
      </w:r>
      <w:r>
        <w:t>февраля 2024 года, в 10 ч 00 мин</w:t>
      </w:r>
      <w:r w:rsidRPr="00C77614">
        <w:rPr>
          <w:b w:val="0"/>
          <w:bCs/>
          <w:sz w:val="20"/>
        </w:rPr>
        <w:t>*</w:t>
      </w:r>
    </w:p>
    <w:p w14:paraId="57E5AC70" w14:textId="77777777" w:rsidR="00C77614" w:rsidRPr="00A30654" w:rsidRDefault="00C77614" w:rsidP="00C77614">
      <w:pPr>
        <w:pStyle w:val="HChG"/>
      </w:pPr>
      <w:r>
        <w:rPr>
          <w:bCs/>
        </w:rPr>
        <w:footnoteReference w:customMarkFollows="1" w:id="1"/>
        <w:tab/>
        <w:t>I.</w:t>
      </w:r>
      <w:r>
        <w:tab/>
      </w:r>
      <w:r>
        <w:rPr>
          <w:bCs/>
        </w:rPr>
        <w:t>Предварительная повестка дня</w:t>
      </w:r>
    </w:p>
    <w:p w14:paraId="21153070" w14:textId="77777777" w:rsidR="00C77614" w:rsidRPr="00A30654" w:rsidRDefault="00C77614" w:rsidP="00C77614">
      <w:pPr>
        <w:pStyle w:val="SingleTxtG"/>
      </w:pPr>
      <w:r>
        <w:t>1.</w:t>
      </w:r>
      <w:r>
        <w:tab/>
        <w:t>Утверждение повестки дня.</w:t>
      </w:r>
    </w:p>
    <w:p w14:paraId="44EFF3CE" w14:textId="683B3CF8" w:rsidR="00C77614" w:rsidRPr="00A30654" w:rsidRDefault="00C77614" w:rsidP="00C77614">
      <w:pPr>
        <w:pStyle w:val="SingleTxtG"/>
      </w:pPr>
      <w:r>
        <w:t>2.</w:t>
      </w:r>
      <w:r>
        <w:tab/>
        <w:t>Членский состав Комитета по осуществлению</w:t>
      </w:r>
      <w:r>
        <w:t>.</w:t>
      </w:r>
    </w:p>
    <w:p w14:paraId="44690BBD" w14:textId="439ED601" w:rsidR="00C77614" w:rsidRPr="00A30654" w:rsidRDefault="00C77614" w:rsidP="00C77614">
      <w:pPr>
        <w:pStyle w:val="SingleTxtG"/>
      </w:pPr>
      <w:r>
        <w:t>3.</w:t>
      </w:r>
      <w:r>
        <w:tab/>
        <w:t>Рассмотрение решений совещаний Сторон</w:t>
      </w:r>
      <w:r>
        <w:t>.</w:t>
      </w:r>
    </w:p>
    <w:p w14:paraId="0CF42CB4" w14:textId="5E6B1D8F" w:rsidR="00C77614" w:rsidRPr="00A30654" w:rsidRDefault="00C77614" w:rsidP="00C77614">
      <w:pPr>
        <w:pStyle w:val="SingleTxtG"/>
        <w:ind w:left="1701" w:hanging="567"/>
      </w:pPr>
      <w:r>
        <w:t>4.</w:t>
      </w:r>
      <w:r>
        <w:tab/>
        <w:t>Последующие меры в связи с решениями IX/4b</w:t>
      </w:r>
      <w:r>
        <w:t>–</w:t>
      </w:r>
      <w:r>
        <w:t>V/4b, IX/4c–V/4c, IX/4d</w:t>
      </w:r>
      <w:r w:rsidR="00C87F83">
        <w:t xml:space="preserve"> — </w:t>
      </w:r>
      <w:r>
        <w:t>IX/4l и</w:t>
      </w:r>
      <w:r>
        <w:rPr>
          <w:lang w:val="en-US"/>
        </w:rPr>
        <w:t> </w:t>
      </w:r>
      <w:r>
        <w:t>V/4d.</w:t>
      </w:r>
    </w:p>
    <w:p w14:paraId="0E639D1B" w14:textId="77777777" w:rsidR="00C77614" w:rsidRPr="00A30654" w:rsidRDefault="00C77614" w:rsidP="00C77614">
      <w:pPr>
        <w:pStyle w:val="SingleTxtG"/>
      </w:pPr>
      <w:r>
        <w:t>5.</w:t>
      </w:r>
      <w:r>
        <w:tab/>
        <w:t>Представления.</w:t>
      </w:r>
    </w:p>
    <w:p w14:paraId="1E8ED2A0" w14:textId="77777777" w:rsidR="00C77614" w:rsidRPr="00A30654" w:rsidRDefault="00C77614" w:rsidP="00C77614">
      <w:pPr>
        <w:pStyle w:val="SingleTxtG"/>
      </w:pPr>
      <w:r>
        <w:t>6.</w:t>
      </w:r>
      <w:r>
        <w:tab/>
        <w:t>Инициатива Комитета.</w:t>
      </w:r>
    </w:p>
    <w:p w14:paraId="4E2E57B9" w14:textId="77777777" w:rsidR="00C77614" w:rsidRDefault="00C7761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8331858" w14:textId="04410A21" w:rsidR="00C77614" w:rsidRPr="00A30654" w:rsidRDefault="00C77614" w:rsidP="00C77614">
      <w:pPr>
        <w:pStyle w:val="SingleTxtG"/>
      </w:pPr>
      <w:r>
        <w:lastRenderedPageBreak/>
        <w:t>7.</w:t>
      </w:r>
      <w:r>
        <w:tab/>
        <w:t xml:space="preserve">Сбор информации: </w:t>
      </w:r>
    </w:p>
    <w:p w14:paraId="0B39C81B" w14:textId="039416ED" w:rsidR="00C77614" w:rsidRPr="00A30654" w:rsidRDefault="00C77614" w:rsidP="00C77614">
      <w:pPr>
        <w:pStyle w:val="SingleTxtG"/>
      </w:pPr>
      <w:r>
        <w:tab/>
      </w:r>
      <w:r>
        <w:t>В</w:t>
      </w:r>
      <w:r>
        <w:t>опросы, касающиеся Конвенции.</w:t>
      </w:r>
    </w:p>
    <w:p w14:paraId="42BE6902" w14:textId="77777777" w:rsidR="00C77614" w:rsidRPr="00A30654" w:rsidRDefault="00C77614" w:rsidP="00C77614">
      <w:pPr>
        <w:pStyle w:val="SingleTxtG"/>
      </w:pPr>
      <w:r>
        <w:t>8.</w:t>
      </w:r>
      <w:r>
        <w:tab/>
        <w:t>Обзор осуществления.</w:t>
      </w:r>
    </w:p>
    <w:p w14:paraId="1DCF4A38" w14:textId="77777777" w:rsidR="00C77614" w:rsidRPr="00A30654" w:rsidRDefault="00C77614" w:rsidP="00C77614">
      <w:pPr>
        <w:pStyle w:val="SingleTxtG"/>
      </w:pPr>
      <w:r>
        <w:t>9.</w:t>
      </w:r>
      <w:r>
        <w:tab/>
        <w:t>Прочие вопросы.</w:t>
      </w:r>
    </w:p>
    <w:p w14:paraId="345F0DAD" w14:textId="77777777" w:rsidR="00C77614" w:rsidRPr="00A30654" w:rsidRDefault="00C77614" w:rsidP="00C77614">
      <w:pPr>
        <w:pStyle w:val="SingleTxtG"/>
      </w:pPr>
      <w:r>
        <w:t>10.</w:t>
      </w:r>
      <w:r>
        <w:tab/>
        <w:t>Представление основных принятых решений и закрытие сессии.</w:t>
      </w:r>
    </w:p>
    <w:p w14:paraId="3D9C7CB1" w14:textId="77777777" w:rsidR="00C77614" w:rsidRPr="00A30654" w:rsidRDefault="00C77614" w:rsidP="00C7761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 к предварительной повестке дня</w:t>
      </w:r>
    </w:p>
    <w:p w14:paraId="376859C9" w14:textId="77777777" w:rsidR="00C77614" w:rsidRPr="00A30654" w:rsidRDefault="00C77614" w:rsidP="00C77614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3949326F" w14:textId="77777777" w:rsidR="00C77614" w:rsidRPr="00A30654" w:rsidRDefault="00C77614" w:rsidP="00C77614">
      <w:pPr>
        <w:pStyle w:val="SingleTxtG"/>
      </w:pPr>
      <w:r>
        <w:t>1.</w:t>
      </w:r>
      <w:r>
        <w:tab/>
        <w:t>Настоящая предварительная повестка дня была подготовлена секретариатом Конвенции об оценке воздействия на окружающую среду в трансграничном контексте (Конвенция Эспо) и Протокола по стратегической экологической оценке к ней в согласовании с Председателем Комитета по осуществлению</w:t>
      </w:r>
      <w:r w:rsidRPr="00C77614">
        <w:rPr>
          <w:rStyle w:val="aa"/>
        </w:rPr>
        <w:footnoteReference w:id="2"/>
      </w:r>
      <w:r>
        <w:t xml:space="preserve"> в соответствии с правилом 9 рабочих правил Комитета по осуществлению</w:t>
      </w:r>
      <w:r w:rsidRPr="00C77614">
        <w:rPr>
          <w:rStyle w:val="aa"/>
        </w:rPr>
        <w:footnoteReference w:id="3"/>
      </w:r>
      <w:r>
        <w:t xml:space="preserve">. Комитету по осуществлению Конвенции и Протокола будет предложено утвердить настоящую повестку дня. </w:t>
      </w:r>
    </w:p>
    <w:p w14:paraId="4820B1ED" w14:textId="77777777" w:rsidR="00C77614" w:rsidRPr="00A30654" w:rsidRDefault="00C77614" w:rsidP="00C77614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Членский состав Комитета по осуществлению</w:t>
      </w:r>
    </w:p>
    <w:p w14:paraId="2956B6A1" w14:textId="77777777" w:rsidR="00C77614" w:rsidRPr="00A30654" w:rsidRDefault="00C77614" w:rsidP="00C77614">
      <w:pPr>
        <w:pStyle w:val="SingleTxtG"/>
      </w:pPr>
      <w:r>
        <w:t>2.</w:t>
      </w:r>
      <w:r>
        <w:tab/>
        <w:t>Члены Комитета по осуществлению представятся. Затем Комитет изберет своего Председателя и заместителя Председателя.</w:t>
      </w:r>
    </w:p>
    <w:p w14:paraId="7EA8F6AE" w14:textId="77777777" w:rsidR="00C77614" w:rsidRPr="00A30654" w:rsidRDefault="00C77614" w:rsidP="00C77614">
      <w:pPr>
        <w:pStyle w:val="SingleTxtG"/>
      </w:pPr>
      <w:r>
        <w:t>3.</w:t>
      </w:r>
      <w:r>
        <w:tab/>
        <w:t>Секретариат и действующие члены Комитета ознакомят новых членов Комитета с основными документами, используемыми Комитетом.</w:t>
      </w:r>
    </w:p>
    <w:p w14:paraId="330C7A42" w14:textId="77777777" w:rsidR="00C77614" w:rsidRPr="00A30654" w:rsidRDefault="00C77614" w:rsidP="00C77614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Рассмотрение решений Совещаний Сторон</w:t>
      </w:r>
    </w:p>
    <w:p w14:paraId="00BAF200" w14:textId="25ABA90B" w:rsidR="00C77614" w:rsidRPr="00A30654" w:rsidRDefault="00C77614" w:rsidP="00C77614">
      <w:pPr>
        <w:pStyle w:val="SingleTxtG"/>
      </w:pPr>
      <w:r>
        <w:t>4.</w:t>
      </w:r>
      <w:r>
        <w:tab/>
        <w:t xml:space="preserve">Комитет рассмотрит решения, принятые Совещанием Сторон Конвенции на его девятой сессии и Совещанием Сторон Конвенции, действующим в качестве Совещания Сторон Протокола, на его </w:t>
      </w:r>
      <w:r w:rsidR="0023771A">
        <w:t xml:space="preserve">пятой </w:t>
      </w:r>
      <w:r>
        <w:t>сессии (Женева, 12</w:t>
      </w:r>
      <w:r>
        <w:t>–</w:t>
      </w:r>
      <w:r>
        <w:t>15 декабря 2023</w:t>
      </w:r>
      <w:r>
        <w:t> </w:t>
      </w:r>
      <w:r>
        <w:t>года), которые включены в доклад о работе этих двух сессий (ECE/MP.EIA/32</w:t>
      </w:r>
      <w:r w:rsidR="0023771A">
        <w:t>–</w:t>
      </w:r>
      <w:r>
        <w:t>ECE/MP.EIA/SEA/15 и три добавления к нему (готовятся к выпуску)</w:t>
      </w:r>
      <w:r w:rsidR="0023771A">
        <w:t>)</w:t>
      </w:r>
      <w:r>
        <w:t>. В частности, он рассмотрит решения:</w:t>
      </w:r>
    </w:p>
    <w:p w14:paraId="1EE28A12" w14:textId="4580C930" w:rsidR="00C77614" w:rsidRPr="00A30654" w:rsidRDefault="00C77614" w:rsidP="00C77614">
      <w:pPr>
        <w:pStyle w:val="SingleTxtG"/>
        <w:ind w:firstLine="567"/>
      </w:pPr>
      <w:r>
        <w:t>a)</w:t>
      </w:r>
      <w:r>
        <w:tab/>
        <w:t>по общим вопросам соблюдения Конвенции и Протокола (решения IX/4 и V/4 соответственно);</w:t>
      </w:r>
    </w:p>
    <w:p w14:paraId="73D7A47C" w14:textId="26313006" w:rsidR="00C77614" w:rsidRPr="00A30654" w:rsidRDefault="00C77614" w:rsidP="00C77614">
      <w:pPr>
        <w:pStyle w:val="SingleTxtG"/>
        <w:ind w:firstLine="567"/>
      </w:pPr>
      <w:r>
        <w:t>b)</w:t>
      </w:r>
      <w:r>
        <w:tab/>
        <w:t>по вопросам соблюдения конкретными странами (решения IX/4a</w:t>
      </w:r>
      <w:r w:rsidR="0023771A">
        <w:t>–</w:t>
      </w:r>
      <w:r>
        <w:t xml:space="preserve">V/4a </w:t>
      </w:r>
      <w:r w:rsidR="0023771A">
        <w:t>—</w:t>
      </w:r>
      <w:r>
        <w:t xml:space="preserve"> IX/4c</w:t>
      </w:r>
      <w:r w:rsidR="0023771A">
        <w:t>–</w:t>
      </w:r>
      <w:r>
        <w:t>V/4c, IX/4d</w:t>
      </w:r>
      <w:r w:rsidR="0023771A">
        <w:t xml:space="preserve"> — </w:t>
      </w:r>
      <w:r>
        <w:t xml:space="preserve">IX/4l и V/4d); </w:t>
      </w:r>
      <w:bookmarkStart w:id="2" w:name="_Hlk153794458"/>
      <w:bookmarkEnd w:id="2"/>
    </w:p>
    <w:p w14:paraId="32CE2D7C" w14:textId="480C17BE" w:rsidR="00C77614" w:rsidRPr="00A30654" w:rsidRDefault="00C77614" w:rsidP="00C77614">
      <w:pPr>
        <w:pStyle w:val="SingleTxtG"/>
        <w:ind w:firstLine="567"/>
      </w:pPr>
      <w:r>
        <w:t>c)</w:t>
      </w:r>
      <w:r>
        <w:tab/>
        <w:t>по обзору осуществления Конвенции и Протокола (решения IX/5 и V/5 соответственно);</w:t>
      </w:r>
    </w:p>
    <w:p w14:paraId="2AB3B6A7" w14:textId="77777777" w:rsidR="00C77614" w:rsidRPr="00A30654" w:rsidRDefault="00C77614" w:rsidP="00C77614">
      <w:pPr>
        <w:pStyle w:val="SingleTxtG"/>
        <w:ind w:firstLine="567"/>
      </w:pPr>
      <w:r>
        <w:t>d)</w:t>
      </w:r>
      <w:r>
        <w:tab/>
        <w:t>в отношении поправок к положениям о структуре и функциях Комитета по осуществлению и процедурах рассмотрения соблюдения (приняты решениями IX/4 и V/4);</w:t>
      </w:r>
    </w:p>
    <w:p w14:paraId="2A196736" w14:textId="77777777" w:rsidR="0023771A" w:rsidRDefault="0023771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B72FEE2" w14:textId="13973002" w:rsidR="00C77614" w:rsidRPr="00385286" w:rsidRDefault="00C77614" w:rsidP="00C77614">
      <w:pPr>
        <w:pStyle w:val="SingleTxtG"/>
        <w:ind w:firstLine="567"/>
      </w:pPr>
      <w:r>
        <w:lastRenderedPageBreak/>
        <w:t>e)</w:t>
      </w:r>
      <w:r>
        <w:tab/>
        <w:t>о принятии плана работы на 2024–2026 годы (решение IX/2–V/2);</w:t>
      </w:r>
    </w:p>
    <w:p w14:paraId="15A8F241" w14:textId="77777777" w:rsidR="00C77614" w:rsidRPr="00A30654" w:rsidRDefault="00C77614" w:rsidP="00C77614">
      <w:pPr>
        <w:pStyle w:val="SingleTxtG"/>
        <w:ind w:firstLine="567"/>
      </w:pPr>
      <w:r>
        <w:t>f)</w:t>
      </w:r>
      <w:r>
        <w:tab/>
        <w:t xml:space="preserve">о финансовых механизмах на 2024–2026 годы (решение IX/1–V/1). </w:t>
      </w:r>
    </w:p>
    <w:p w14:paraId="0D626C67" w14:textId="7B228209" w:rsidR="00C77614" w:rsidRPr="00A30654" w:rsidRDefault="00C77614" w:rsidP="00C77614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Последующие меры в связи с решениями IX/4b</w:t>
      </w:r>
      <w:r w:rsidR="0023771A">
        <w:rPr>
          <w:bCs/>
        </w:rPr>
        <w:t>–</w:t>
      </w:r>
      <w:r>
        <w:rPr>
          <w:bCs/>
        </w:rPr>
        <w:t>V/4b, IX/4c</w:t>
      </w:r>
      <w:r w:rsidR="0023771A">
        <w:rPr>
          <w:bCs/>
        </w:rPr>
        <w:t>–</w:t>
      </w:r>
      <w:r>
        <w:rPr>
          <w:bCs/>
        </w:rPr>
        <w:t>V/4c, IX/4d</w:t>
      </w:r>
      <w:r w:rsidR="0023771A">
        <w:rPr>
          <w:bCs/>
        </w:rPr>
        <w:t xml:space="preserve"> —</w:t>
      </w:r>
      <w:r w:rsidR="00A37C5B">
        <w:rPr>
          <w:bCs/>
        </w:rPr>
        <w:t xml:space="preserve"> </w:t>
      </w:r>
      <w:r>
        <w:rPr>
          <w:bCs/>
        </w:rPr>
        <w:t>IX/4l и V/4d</w:t>
      </w:r>
    </w:p>
    <w:p w14:paraId="13E55528" w14:textId="77777777" w:rsidR="00C77614" w:rsidRPr="00385286" w:rsidRDefault="00C77614" w:rsidP="00C77614">
      <w:pPr>
        <w:pStyle w:val="SingleTxtG"/>
      </w:pPr>
      <w:r>
        <w:t>5.</w:t>
      </w:r>
      <w:r>
        <w:tab/>
        <w:t>В соответствии с правилом 17 рабочих правил обсуждение пункта 4 повестки дня будет проходить без участия наблюдателей, если только Комитет не примет иного решения.</w:t>
      </w:r>
    </w:p>
    <w:p w14:paraId="600099AD" w14:textId="3161F36E" w:rsidR="00C77614" w:rsidRPr="00385286" w:rsidRDefault="00C77614" w:rsidP="00C77614">
      <w:pPr>
        <w:pStyle w:val="SingleTxtG"/>
      </w:pPr>
      <w:r>
        <w:t>6.</w:t>
      </w:r>
      <w:r>
        <w:tab/>
        <w:t>Предполагается, что Комитет примет необходимые меры в целях обеспечения выполнения решений Совещаний Сторон по конкретным странам, в частности рассмотрит действия, которые должны предпринять отдельные Стороны, и согласует содержание и сроки представления ими докладов Комитету по осуществлению. Эти</w:t>
      </w:r>
      <w:r w:rsidR="0023771A">
        <w:t> </w:t>
      </w:r>
      <w:r>
        <w:t xml:space="preserve">решения включают: </w:t>
      </w:r>
    </w:p>
    <w:p w14:paraId="121459E4" w14:textId="45E3CD77" w:rsidR="00C77614" w:rsidRPr="00385286" w:rsidRDefault="00C77614" w:rsidP="00C77614">
      <w:pPr>
        <w:pStyle w:val="SingleTxtG"/>
        <w:ind w:firstLine="567"/>
      </w:pPr>
      <w:r>
        <w:t>a)</w:t>
      </w:r>
      <w:r>
        <w:tab/>
        <w:t>решение IX/4b</w:t>
      </w:r>
      <w:r w:rsidR="0023771A">
        <w:t>–</w:t>
      </w:r>
      <w:r>
        <w:t>V/4b о соблюдении Арменией своих обязательств по Конвенции и Протоколу в отношении своего национального законодательства;</w:t>
      </w:r>
    </w:p>
    <w:p w14:paraId="31C943B7" w14:textId="77777777" w:rsidR="00C77614" w:rsidRPr="00385286" w:rsidRDefault="00C77614" w:rsidP="00C77614">
      <w:pPr>
        <w:pStyle w:val="SingleTxtG"/>
        <w:ind w:firstLine="567"/>
      </w:pPr>
      <w:r>
        <w:t xml:space="preserve">b) </w:t>
      </w:r>
      <w:r>
        <w:tab/>
        <w:t>решение IX/4c–V/4c о соблюдении Боснией и Герцеговиной своих обязательств по Конвенции и Протоколу в отношении строительства гидроэлектростанции «Бук-Биела» на реке Дрина;</w:t>
      </w:r>
      <w:bookmarkStart w:id="3" w:name="_Hlk153795113"/>
      <w:bookmarkEnd w:id="3"/>
    </w:p>
    <w:p w14:paraId="11378CB0" w14:textId="77777777" w:rsidR="00C77614" w:rsidRPr="00385286" w:rsidRDefault="00C77614" w:rsidP="00C77614">
      <w:pPr>
        <w:pStyle w:val="SingleTxtG"/>
        <w:ind w:firstLine="567"/>
      </w:pPr>
      <w:r>
        <w:t>c)</w:t>
      </w:r>
      <w:r>
        <w:tab/>
        <w:t>решение IX/4d о соблюдении Азербайджаном своих обязательств по Конвенции в отношении национального законодательства;</w:t>
      </w:r>
    </w:p>
    <w:p w14:paraId="1B1D012C" w14:textId="77777777" w:rsidR="00C77614" w:rsidRPr="00385286" w:rsidRDefault="00C77614" w:rsidP="00C77614">
      <w:pPr>
        <w:pStyle w:val="SingleTxtG"/>
        <w:ind w:firstLine="567"/>
      </w:pPr>
      <w:r>
        <w:t>d)</w:t>
      </w:r>
      <w:r>
        <w:tab/>
        <w:t>решение IX/4e о соблюдении Беларусью своих обязательств по Конвенции в отношении Белорусской атомной электростанции в Островце;</w:t>
      </w:r>
    </w:p>
    <w:p w14:paraId="42C2C888" w14:textId="77777777" w:rsidR="00C77614" w:rsidRPr="00385286" w:rsidRDefault="00C77614" w:rsidP="00C77614">
      <w:pPr>
        <w:pStyle w:val="SingleTxtG"/>
        <w:ind w:firstLine="567"/>
      </w:pPr>
      <w:r>
        <w:t>e)</w:t>
      </w:r>
      <w:r>
        <w:tab/>
        <w:t>решение IX/4f о соблюдении Беларусью своих обязательств по Конвенции в отношении национального законодательства;</w:t>
      </w:r>
    </w:p>
    <w:p w14:paraId="4593D130" w14:textId="77777777" w:rsidR="00C77614" w:rsidRPr="00385286" w:rsidRDefault="00C77614" w:rsidP="00C77614">
      <w:pPr>
        <w:pStyle w:val="SingleTxtG"/>
        <w:ind w:firstLine="567"/>
      </w:pPr>
      <w:r>
        <w:t>f)</w:t>
      </w:r>
      <w:r>
        <w:tab/>
        <w:t>решение IX/4k о соблюдении Украиной ее обязательств по Конвенции в связи с проектом строительства глубоководного судоходного канала «Дунай — Черное море» в украинском секторе дельты Дуная;</w:t>
      </w:r>
    </w:p>
    <w:p w14:paraId="52CCF8BA" w14:textId="77777777" w:rsidR="00C77614" w:rsidRPr="00385286" w:rsidRDefault="00C77614" w:rsidP="00C77614">
      <w:pPr>
        <w:pStyle w:val="SingleTxtG"/>
        <w:ind w:firstLine="567"/>
      </w:pPr>
      <w:r>
        <w:t>g)</w:t>
      </w:r>
      <w:r>
        <w:tab/>
        <w:t>решение IX/4l о соблюдении Украиной своих обязательств по Конвенции в связи с продлением срока эксплуатации Ровенской атомной электростанции;</w:t>
      </w:r>
    </w:p>
    <w:p w14:paraId="1C6ECCB1" w14:textId="388324C6" w:rsidR="00C77614" w:rsidRPr="00A30654" w:rsidRDefault="00C77614" w:rsidP="00C77614">
      <w:pPr>
        <w:pStyle w:val="SingleTxtG"/>
        <w:ind w:firstLine="567"/>
      </w:pPr>
      <w:r>
        <w:t>h)</w:t>
      </w:r>
      <w:r>
        <w:tab/>
        <w:t>решение V/4d о соблюдении Сербией ее обязательств по Протоколу в отношении Стратегии развития энергетического сектора Республики Сербия на период до 2025 года с прогнозами на период до 2030 года и Программы осуществления Стратегии на период 2017–2023 годов</w:t>
      </w:r>
      <w:r w:rsidR="00A37C5B">
        <w:t>.</w:t>
      </w:r>
    </w:p>
    <w:p w14:paraId="61AF62F6" w14:textId="77777777" w:rsidR="00C77614" w:rsidRPr="00A054C6" w:rsidRDefault="00C77614" w:rsidP="00C77614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Представления</w:t>
      </w:r>
    </w:p>
    <w:p w14:paraId="20746E35" w14:textId="77777777" w:rsidR="00C77614" w:rsidRPr="00385286" w:rsidRDefault="00C77614" w:rsidP="00C77614">
      <w:pPr>
        <w:pStyle w:val="SingleTxtG"/>
      </w:pPr>
      <w:r>
        <w:t>7.</w:t>
      </w:r>
      <w:r>
        <w:tab/>
        <w:t>В соответствии с правилом 17 (1) рабочих правил обсуждение пункта 5 повестки дня будет проходить без участия наблюдателей, если только Комитет не примет иного решения.</w:t>
      </w:r>
    </w:p>
    <w:p w14:paraId="2DB49DE1" w14:textId="78074A28" w:rsidR="00C77614" w:rsidRPr="00A30654" w:rsidRDefault="00C77614" w:rsidP="00C77614">
      <w:pPr>
        <w:pStyle w:val="SingleTxtG"/>
      </w:pPr>
      <w:r>
        <w:t>8.</w:t>
      </w:r>
      <w:r>
        <w:tab/>
        <w:t>Комитет рассмотрит представления Сторон, полученные со времени проведения предыдущей сессии Комитета.</w:t>
      </w:r>
      <w:r>
        <w:t xml:space="preserve"> </w:t>
      </w:r>
      <w:r>
        <w:t>Комитет также продолжит рассмотрение представления Беларуси от 12 апреля 2023 года с выражением обеспокоенности по поводу соблюдения Польшей своих обязательств по Конвенции в отношении строительства заградительного сооружения на территории трансграничного объекта Всемирного наследия Организации Объединенных Наций по вопросам образования, науки и культуры (ЮНЕСКО) «Беловежская пуща».</w:t>
      </w:r>
    </w:p>
    <w:p w14:paraId="0519842D" w14:textId="77777777" w:rsidR="00C77614" w:rsidRPr="00A30654" w:rsidRDefault="00C77614" w:rsidP="00C77614">
      <w:pPr>
        <w:pStyle w:val="H1G"/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>Инициатива Комитета</w:t>
      </w:r>
    </w:p>
    <w:p w14:paraId="3EF0781B" w14:textId="218C39B6" w:rsidR="00C77614" w:rsidRPr="00A30654" w:rsidRDefault="00C77614" w:rsidP="00C77614">
      <w:pPr>
        <w:pStyle w:val="SingleTxtG"/>
      </w:pPr>
      <w:r>
        <w:t>9.</w:t>
      </w:r>
      <w:r>
        <w:tab/>
        <w:t>В соответствии с правилом 17</w:t>
      </w:r>
      <w:r w:rsidR="0023771A">
        <w:t xml:space="preserve"> (1)</w:t>
      </w:r>
      <w:r>
        <w:t xml:space="preserve"> рабочих правил обсуждение пункта 6 повестки дня будет проходить без участия наблюдателей, если только Комитет не примет иного решения. </w:t>
      </w:r>
    </w:p>
    <w:p w14:paraId="2A3C81C5" w14:textId="4F7BA479" w:rsidR="00C77614" w:rsidRPr="00A30654" w:rsidRDefault="00C77614" w:rsidP="00C77614">
      <w:pPr>
        <w:pStyle w:val="SingleTxtG"/>
      </w:pPr>
      <w:r>
        <w:t xml:space="preserve">10. </w:t>
      </w:r>
      <w:r>
        <w:tab/>
        <w:t>Комитет продолжит рассмотрение своей инициативы, касающейся планируемого Францией продления срока эксплуатации энергоблока № 1 АЭС «Трикастен», которая была выдвинута на пятьдесят седьмой сессии Комитета (Женева, 29 августа — 1 сентября 2023 года). Ожидается, что он также сформулирует вопросы для соответствующих слушаний с участием Франции, запланированных на пятьдесят девятую сессию Комитета (Женева, 18–21 июня 2024 года), в соответствии с пунктом</w:t>
      </w:r>
      <w:r w:rsidR="0023771A">
        <w:t> </w:t>
      </w:r>
      <w:r>
        <w:t xml:space="preserve">9 положений о структуре и функциях Комитета. </w:t>
      </w:r>
    </w:p>
    <w:p w14:paraId="6E4B33DC" w14:textId="5AF3EC66" w:rsidR="00C77614" w:rsidRPr="00A30654" w:rsidRDefault="00C77614" w:rsidP="00C77614">
      <w:pPr>
        <w:pStyle w:val="H1G"/>
      </w:pPr>
      <w:r>
        <w:rPr>
          <w:bCs/>
        </w:rPr>
        <w:tab/>
      </w:r>
      <w:r>
        <w:rPr>
          <w:bCs/>
        </w:rPr>
        <w:t>7.</w:t>
      </w:r>
      <w:r>
        <w:tab/>
      </w:r>
      <w:r>
        <w:tab/>
      </w:r>
      <w:r>
        <w:rPr>
          <w:bCs/>
        </w:rPr>
        <w:t>Сбор информации</w:t>
      </w:r>
    </w:p>
    <w:p w14:paraId="56118232" w14:textId="77777777" w:rsidR="00C77614" w:rsidRPr="00A30654" w:rsidRDefault="00C77614" w:rsidP="00C77614">
      <w:pPr>
        <w:pStyle w:val="SingleTxtG"/>
      </w:pPr>
      <w:r>
        <w:t>11.</w:t>
      </w:r>
      <w:r>
        <w:tab/>
        <w:t>В соответствии с правилом 17 (1) рабочих правил обсуждение пункта 7 повестки дня будет проходить без участия наблюдателей, если только Комитет не примет иного решения.</w:t>
      </w:r>
    </w:p>
    <w:p w14:paraId="78BC9AFE" w14:textId="77777777" w:rsidR="00C77614" w:rsidRPr="00A30654" w:rsidRDefault="00C77614" w:rsidP="00C77614">
      <w:pPr>
        <w:pStyle w:val="H23G"/>
      </w:pPr>
      <w:r>
        <w:tab/>
      </w:r>
      <w:r>
        <w:tab/>
      </w:r>
      <w:r>
        <w:rPr>
          <w:bCs/>
        </w:rPr>
        <w:t>Вопросы, касающиеся Конвенции</w:t>
      </w:r>
    </w:p>
    <w:p w14:paraId="7692F283" w14:textId="77777777" w:rsidR="00C77614" w:rsidRPr="00A30654" w:rsidRDefault="00C77614" w:rsidP="00C77614">
      <w:pPr>
        <w:pStyle w:val="SingleTxtG"/>
      </w:pPr>
      <w:r>
        <w:t>12.</w:t>
      </w:r>
      <w:r>
        <w:tab/>
        <w:t xml:space="preserve">Комитет продолжит рассмотрение собираемой им информации в отношении: </w:t>
      </w:r>
    </w:p>
    <w:p w14:paraId="7E6E8FAF" w14:textId="5AC0FEA9" w:rsidR="00C77614" w:rsidRPr="00385286" w:rsidRDefault="00C77614" w:rsidP="00C77614">
      <w:pPr>
        <w:pStyle w:val="SingleTxtG"/>
        <w:ind w:firstLine="567"/>
      </w:pPr>
      <w:r>
        <w:t>a)</w:t>
      </w:r>
      <w:r>
        <w:tab/>
        <w:t>Украины в связи с планируемым строительством атомных энергоблоков №№ 3 и 4 Хмельницкой АЭС;</w:t>
      </w:r>
    </w:p>
    <w:p w14:paraId="728B35C4" w14:textId="77777777" w:rsidR="00C77614" w:rsidRPr="00385286" w:rsidRDefault="00C77614" w:rsidP="00C77614">
      <w:pPr>
        <w:pStyle w:val="SingleTxtG"/>
        <w:ind w:firstLine="567"/>
      </w:pPr>
      <w:r>
        <w:t>b)</w:t>
      </w:r>
      <w:r>
        <w:tab/>
        <w:t>Украины относительно планируемой деятельности, связанной с проведением горных работ на Мужиевском золоторудном месторождении;</w:t>
      </w:r>
    </w:p>
    <w:p w14:paraId="619A9085" w14:textId="522BC7C0" w:rsidR="00C77614" w:rsidRPr="00385286" w:rsidRDefault="00C77614" w:rsidP="00C77614">
      <w:pPr>
        <w:pStyle w:val="SingleTxtG"/>
        <w:ind w:firstLine="567"/>
        <w:rPr>
          <w:rFonts w:eastAsia="SimSun"/>
        </w:rPr>
      </w:pPr>
      <w:r>
        <w:t>c)</w:t>
      </w:r>
      <w:r>
        <w:tab/>
        <w:t>Украины в связи с продлением срока эксплуатации 12 энергоблоков Ровенской, Южно-Украинской, Запорожской и Хмельницкой атомных электростанци</w:t>
      </w:r>
      <w:r w:rsidR="0023771A">
        <w:t>й;</w:t>
      </w:r>
      <w:r>
        <w:t xml:space="preserve"> </w:t>
      </w:r>
    </w:p>
    <w:p w14:paraId="01A722F3" w14:textId="77777777" w:rsidR="00C77614" w:rsidRPr="00385286" w:rsidRDefault="00C77614" w:rsidP="00C77614">
      <w:pPr>
        <w:pStyle w:val="SingleTxtG"/>
        <w:ind w:firstLine="567"/>
        <w:rPr>
          <w:rFonts w:eastAsia="SimSun"/>
        </w:rPr>
      </w:pPr>
      <w:r>
        <w:t>d)</w:t>
      </w:r>
      <w:r>
        <w:tab/>
        <w:t>Германии в связи с планируемым строительством терминала сжиженного природного газа;</w:t>
      </w:r>
    </w:p>
    <w:p w14:paraId="03F47596" w14:textId="77777777" w:rsidR="00C77614" w:rsidRPr="00385286" w:rsidRDefault="00C77614" w:rsidP="00C77614">
      <w:pPr>
        <w:pStyle w:val="SingleTxtG"/>
        <w:ind w:firstLine="567"/>
      </w:pPr>
      <w:r>
        <w:t>e)</w:t>
      </w:r>
      <w:r>
        <w:tab/>
        <w:t xml:space="preserve">Северной Македонии в связи с разработкой нового золотомедного рудника; </w:t>
      </w:r>
    </w:p>
    <w:p w14:paraId="544F9C89" w14:textId="77777777" w:rsidR="00C77614" w:rsidRPr="00385286" w:rsidRDefault="00C77614" w:rsidP="00C77614">
      <w:pPr>
        <w:pStyle w:val="SingleTxtG"/>
        <w:ind w:firstLine="567"/>
      </w:pPr>
      <w:r>
        <w:t>f)</w:t>
      </w:r>
      <w:r>
        <w:tab/>
        <w:t xml:space="preserve">Болгарии в связи с запланированными горными разработками на нескольких объектах; </w:t>
      </w:r>
    </w:p>
    <w:p w14:paraId="0D351D14" w14:textId="71719CD2" w:rsidR="00C77614" w:rsidRPr="00A30654" w:rsidRDefault="00C77614" w:rsidP="00C77614">
      <w:pPr>
        <w:pStyle w:val="SingleTxtG"/>
        <w:ind w:firstLine="567"/>
        <w:rPr>
          <w:rFonts w:eastAsia="SimSun"/>
        </w:rPr>
      </w:pPr>
      <w:r>
        <w:t>g)</w:t>
      </w:r>
      <w:r>
        <w:tab/>
        <w:t>Франци</w:t>
      </w:r>
      <w:r w:rsidR="00C87F83">
        <w:t>и</w:t>
      </w:r>
      <w:r>
        <w:t xml:space="preserve"> в связи с запланированным продлением срока службы 31 блока восьми атомных электростанций. </w:t>
      </w:r>
    </w:p>
    <w:p w14:paraId="49A952AB" w14:textId="77777777" w:rsidR="00C77614" w:rsidRPr="00A30654" w:rsidRDefault="00C77614" w:rsidP="00C77614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Обзор осуществления</w:t>
      </w:r>
    </w:p>
    <w:p w14:paraId="7FD5521E" w14:textId="77777777" w:rsidR="00C77614" w:rsidRPr="00A30654" w:rsidRDefault="00C77614" w:rsidP="00C77614">
      <w:pPr>
        <w:pStyle w:val="SingleTxtG"/>
      </w:pPr>
      <w:r>
        <w:t>13.</w:t>
      </w:r>
      <w:r>
        <w:tab/>
        <w:t>В соответствии с правилом 17 (1) рабочих правил обсуждение пункта 8 повестки дня будет проходить без участия наблюдателей, если только Комитет не примет иного решения.</w:t>
      </w:r>
    </w:p>
    <w:p w14:paraId="35BC4D99" w14:textId="190D5AC2" w:rsidR="00C77614" w:rsidRPr="00A30654" w:rsidRDefault="00C77614" w:rsidP="00C77614">
      <w:pPr>
        <w:pStyle w:val="SingleTxtG"/>
      </w:pPr>
      <w:r>
        <w:t>14.</w:t>
      </w:r>
      <w:r>
        <w:tab/>
        <w:t>Секретариат доведет до сведения Комитета общие и конкретные вопросы соблюдения, выявленные в ходе седьмого обзора осуществления Конвенции (ECE/MP.EIA/2023/9) и четвертого обзора осуществления Протокола (ECE/MP.EIA/SEA/202</w:t>
      </w:r>
      <w:r w:rsidR="00C87F83">
        <w:t>3</w:t>
      </w:r>
      <w:r>
        <w:t>/</w:t>
      </w:r>
      <w:r w:rsidR="00C87F83">
        <w:t>9</w:t>
      </w:r>
      <w:r>
        <w:t>). Ожидается, что Комитет учтет их в своей работе в соответствии с решениями IX/5 и V/5 совещаний Сторон.</w:t>
      </w:r>
    </w:p>
    <w:p w14:paraId="13F9B46F" w14:textId="77777777" w:rsidR="00C77614" w:rsidRPr="00A30654" w:rsidRDefault="00C77614" w:rsidP="00C77614">
      <w:pPr>
        <w:pStyle w:val="SingleTxtG"/>
      </w:pPr>
      <w:r>
        <w:t>15.</w:t>
      </w:r>
      <w:r>
        <w:tab/>
        <w:t xml:space="preserve">Секретариат проведет консультации с Комитетом по вопросу о незначительных технических корректировках, которые следует внести в вопросники для представления докладов об осуществлении Конвенции и Протокола в период 2022–2024 годов, с </w:t>
      </w:r>
      <w:r>
        <w:lastRenderedPageBreak/>
        <w:t>учетом предложений по усовершенствованию вопросников в ходе предыдущего отчетного цикла (см. ECE/MP.EIA/WG.2/2022/INF.9)</w:t>
      </w:r>
      <w:r w:rsidRPr="00C77614">
        <w:rPr>
          <w:rStyle w:val="aa"/>
        </w:rPr>
        <w:footnoteReference w:id="4"/>
      </w:r>
      <w:r>
        <w:t>.</w:t>
      </w:r>
    </w:p>
    <w:p w14:paraId="6D8BD599" w14:textId="77777777" w:rsidR="00C77614" w:rsidRPr="00A30654" w:rsidRDefault="00C77614" w:rsidP="00C77614">
      <w:pPr>
        <w:pStyle w:val="SingleTxtG"/>
      </w:pPr>
      <w:r>
        <w:t>16.</w:t>
      </w:r>
      <w:r>
        <w:tab/>
        <w:t>Если позволит время, Комитет продолжит рассмотрение конкретных вопросов, касающихся соблюдения:</w:t>
      </w:r>
    </w:p>
    <w:p w14:paraId="288E2F2B" w14:textId="77777777" w:rsidR="00C77614" w:rsidRPr="00A30654" w:rsidRDefault="00C77614" w:rsidP="00C77614">
      <w:pPr>
        <w:pStyle w:val="SingleTxtG"/>
        <w:ind w:firstLine="567"/>
      </w:pPr>
      <w:r>
        <w:t>a)</w:t>
      </w:r>
      <w:r>
        <w:tab/>
        <w:t>Европейским союзом, которые были выявлены в ходе первого обзора осуществления Протокола</w:t>
      </w:r>
      <w:r w:rsidRPr="00C77614">
        <w:rPr>
          <w:rStyle w:val="aa"/>
        </w:rPr>
        <w:footnoteReference w:id="5"/>
      </w:r>
      <w:r>
        <w:t xml:space="preserve">; </w:t>
      </w:r>
    </w:p>
    <w:p w14:paraId="71B43D57" w14:textId="77777777" w:rsidR="00C77614" w:rsidRPr="00A30654" w:rsidRDefault="00C77614" w:rsidP="00C77614">
      <w:pPr>
        <w:pStyle w:val="SingleTxtG"/>
        <w:ind w:firstLine="567"/>
      </w:pPr>
      <w:r>
        <w:t>b)</w:t>
      </w:r>
      <w:r>
        <w:tab/>
        <w:t>Кыргызстаном, которые были выявлены в ходе шестого обзора осуществления Конвенции</w:t>
      </w:r>
      <w:r w:rsidRPr="00C77614">
        <w:rPr>
          <w:rStyle w:val="aa"/>
        </w:rPr>
        <w:footnoteReference w:id="6"/>
      </w:r>
      <w:r>
        <w:t>;</w:t>
      </w:r>
    </w:p>
    <w:p w14:paraId="2AA21FB4" w14:textId="77777777" w:rsidR="00C77614" w:rsidRPr="00A30654" w:rsidRDefault="00C77614" w:rsidP="00C77614">
      <w:pPr>
        <w:pStyle w:val="SingleTxtG"/>
        <w:ind w:firstLine="567"/>
      </w:pPr>
      <w:r>
        <w:t>c)</w:t>
      </w:r>
      <w:r>
        <w:tab/>
        <w:t>Сербией, выявленных в ходе второго обзора осуществления Протокола</w:t>
      </w:r>
      <w:r w:rsidRPr="00C77614">
        <w:rPr>
          <w:rStyle w:val="aa"/>
        </w:rPr>
        <w:footnoteReference w:id="7"/>
      </w:r>
      <w:r>
        <w:t xml:space="preserve">; </w:t>
      </w:r>
    </w:p>
    <w:p w14:paraId="28A701DA" w14:textId="54F4771A" w:rsidR="00C77614" w:rsidRPr="00A30654" w:rsidRDefault="00C77614" w:rsidP="00C77614">
      <w:pPr>
        <w:pStyle w:val="SingleTxtG"/>
        <w:ind w:firstLine="567"/>
      </w:pPr>
      <w:r>
        <w:t>d)</w:t>
      </w:r>
      <w:r>
        <w:tab/>
        <w:t>Северной Македонией, выявленных в ходе третьего обзора осуществления Протокола</w:t>
      </w:r>
      <w:r w:rsidRPr="00C77614">
        <w:rPr>
          <w:rStyle w:val="aa"/>
        </w:rPr>
        <w:footnoteReference w:id="8"/>
      </w:r>
      <w:r w:rsidR="00A37C5B">
        <w:t>.</w:t>
      </w:r>
    </w:p>
    <w:p w14:paraId="29FECA49" w14:textId="77777777" w:rsidR="00C77614" w:rsidRPr="00A30654" w:rsidRDefault="00C77614" w:rsidP="00C77614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Прочие вопросы</w:t>
      </w:r>
    </w:p>
    <w:p w14:paraId="2EA30DF0" w14:textId="77777777" w:rsidR="00C77614" w:rsidRPr="00A30654" w:rsidRDefault="00C77614" w:rsidP="00C77614">
      <w:pPr>
        <w:pStyle w:val="SingleTxtG"/>
      </w:pPr>
      <w:r>
        <w:t>17.</w:t>
      </w:r>
      <w:r>
        <w:tab/>
        <w:t>Членам Комитета, желающим поднять другие вопросы, следует как можно скорее связаться с секретариатом.</w:t>
      </w:r>
    </w:p>
    <w:p w14:paraId="405A8B9A" w14:textId="77777777" w:rsidR="00C77614" w:rsidRPr="00A30654" w:rsidRDefault="00C77614" w:rsidP="00C77614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Представление основных принятых решений и закрытие сессии</w:t>
      </w:r>
    </w:p>
    <w:p w14:paraId="6CAA5D7F" w14:textId="77777777" w:rsidR="00C77614" w:rsidRPr="00A30654" w:rsidRDefault="00C77614" w:rsidP="00C77614">
      <w:pPr>
        <w:pStyle w:val="SingleTxtG"/>
      </w:pPr>
      <w:r>
        <w:t>18.</w:t>
      </w:r>
      <w:r>
        <w:tab/>
        <w:t>Ожидается, что Комитет согласует основные решения, принятые на этой сессии, и подтвердит сроки и место проведения своей следующей сессии, после чего Председатель официально объявит сессию закрытой.</w:t>
      </w:r>
    </w:p>
    <w:p w14:paraId="5598D483" w14:textId="77777777" w:rsidR="00C77614" w:rsidRDefault="00C77614" w:rsidP="00C77614">
      <w:pPr>
        <w:spacing w:before="240"/>
        <w:jc w:val="center"/>
        <w:rPr>
          <w:u w:val="single"/>
        </w:rPr>
      </w:pPr>
      <w:r w:rsidRPr="00A30654">
        <w:rPr>
          <w:u w:val="single"/>
        </w:rPr>
        <w:tab/>
      </w:r>
      <w:r w:rsidRPr="00A30654">
        <w:rPr>
          <w:u w:val="single"/>
        </w:rPr>
        <w:tab/>
      </w:r>
      <w:r w:rsidRPr="00A30654">
        <w:rPr>
          <w:u w:val="single"/>
        </w:rPr>
        <w:tab/>
      </w:r>
    </w:p>
    <w:p w14:paraId="295CB9D1" w14:textId="1A80ADD0" w:rsidR="00E12C5F" w:rsidRPr="008D53B6" w:rsidRDefault="00E12C5F" w:rsidP="00D9145B"/>
    <w:sectPr w:rsidR="00E12C5F" w:rsidRPr="008D53B6" w:rsidSect="00C776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6EB7" w14:textId="77777777" w:rsidR="006B4B8A" w:rsidRPr="00A312BC" w:rsidRDefault="006B4B8A" w:rsidP="00A312BC"/>
  </w:endnote>
  <w:endnote w:type="continuationSeparator" w:id="0">
    <w:p w14:paraId="43351C48" w14:textId="77777777" w:rsidR="006B4B8A" w:rsidRPr="00A312BC" w:rsidRDefault="006B4B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3712" w14:textId="7F9CDB81" w:rsidR="00C77614" w:rsidRPr="00C77614" w:rsidRDefault="00C77614">
    <w:pPr>
      <w:pStyle w:val="a8"/>
    </w:pPr>
    <w:r w:rsidRPr="00C77614">
      <w:rPr>
        <w:b/>
        <w:sz w:val="18"/>
      </w:rPr>
      <w:fldChar w:fldCharType="begin"/>
    </w:r>
    <w:r w:rsidRPr="00C77614">
      <w:rPr>
        <w:b/>
        <w:sz w:val="18"/>
      </w:rPr>
      <w:instrText xml:space="preserve"> PAGE  \* MERGEFORMAT </w:instrText>
    </w:r>
    <w:r w:rsidRPr="00C77614">
      <w:rPr>
        <w:b/>
        <w:sz w:val="18"/>
      </w:rPr>
      <w:fldChar w:fldCharType="separate"/>
    </w:r>
    <w:r w:rsidRPr="00C77614">
      <w:rPr>
        <w:b/>
        <w:noProof/>
        <w:sz w:val="18"/>
      </w:rPr>
      <w:t>2</w:t>
    </w:r>
    <w:r w:rsidRPr="00C77614">
      <w:rPr>
        <w:b/>
        <w:sz w:val="18"/>
      </w:rPr>
      <w:fldChar w:fldCharType="end"/>
    </w:r>
    <w:r>
      <w:rPr>
        <w:b/>
        <w:sz w:val="18"/>
      </w:rPr>
      <w:tab/>
    </w:r>
    <w:r>
      <w:t>GE.23-25592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1826" w14:textId="579462DB" w:rsidR="00C77614" w:rsidRPr="00C77614" w:rsidRDefault="00C77614" w:rsidP="00C77614">
    <w:pPr>
      <w:pStyle w:val="a8"/>
      <w:tabs>
        <w:tab w:val="clear" w:pos="9639"/>
        <w:tab w:val="right" w:pos="9638"/>
      </w:tabs>
      <w:rPr>
        <w:b/>
        <w:sz w:val="18"/>
      </w:rPr>
    </w:pPr>
    <w:r>
      <w:t>GE.23-25592</w:t>
    </w:r>
    <w:r>
      <w:tab/>
    </w:r>
    <w:r w:rsidRPr="00C77614">
      <w:rPr>
        <w:b/>
        <w:sz w:val="18"/>
      </w:rPr>
      <w:fldChar w:fldCharType="begin"/>
    </w:r>
    <w:r w:rsidRPr="00C77614">
      <w:rPr>
        <w:b/>
        <w:sz w:val="18"/>
      </w:rPr>
      <w:instrText xml:space="preserve"> PAGE  \* MERGEFORMAT </w:instrText>
    </w:r>
    <w:r w:rsidRPr="00C77614">
      <w:rPr>
        <w:b/>
        <w:sz w:val="18"/>
      </w:rPr>
      <w:fldChar w:fldCharType="separate"/>
    </w:r>
    <w:r w:rsidRPr="00C77614">
      <w:rPr>
        <w:b/>
        <w:noProof/>
        <w:sz w:val="18"/>
      </w:rPr>
      <w:t>3</w:t>
    </w:r>
    <w:r w:rsidRPr="00C776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088E" w14:textId="5DE7C30F" w:rsidR="00042B72" w:rsidRPr="00C77614" w:rsidRDefault="00C77614" w:rsidP="00C7761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D1B363" wp14:editId="1E38D3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23-25592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D2BCD6" wp14:editId="631914B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020124   030124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8C92" w14:textId="77777777" w:rsidR="006B4B8A" w:rsidRPr="001075E9" w:rsidRDefault="006B4B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79A1DA" w14:textId="77777777" w:rsidR="006B4B8A" w:rsidRDefault="006B4B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5F39E8" w14:textId="1F330B31" w:rsidR="00C77614" w:rsidRPr="00385286" w:rsidRDefault="00C77614" w:rsidP="00C77614">
      <w:pPr>
        <w:pStyle w:val="ad"/>
        <w:rPr>
          <w:bCs/>
          <w:sz w:val="20"/>
        </w:rPr>
      </w:pPr>
      <w:r>
        <w:tab/>
        <w:t>*</w:t>
      </w:r>
      <w:r>
        <w:tab/>
        <w:t xml:space="preserve">Членам Комитета предлагается зарегистрироваться в режиме онлайн не позднее чем за две недели до начала совещания, т. е. до </w:t>
      </w:r>
      <w:r w:rsidRPr="00A30654">
        <w:rPr>
          <w:b/>
          <w:bCs/>
        </w:rPr>
        <w:t>13 февраля 2024 года</w:t>
      </w:r>
      <w:r>
        <w:t xml:space="preserve">, по ссылке: </w:t>
      </w:r>
      <w:hyperlink r:id="rId1" w:history="1">
        <w:r w:rsidRPr="00FB7B37">
          <w:rPr>
            <w:rStyle w:val="af1"/>
          </w:rPr>
          <w:t>https://indico.un.org/event/1007053/</w:t>
        </w:r>
      </w:hyperlink>
      <w:r w:rsidRPr="00C77614">
        <w:t xml:space="preserve"> </w:t>
      </w:r>
      <w:r>
        <w:t>(рекомендуется использовать браузер Internet Explorer). При</w:t>
      </w:r>
      <w:r>
        <w:rPr>
          <w:lang w:val="en-US"/>
        </w:rPr>
        <w:t> </w:t>
      </w:r>
      <w:r>
        <w:t>возникновении трудностей при регистрации просьба обращаться в секретариат (</w:t>
      </w:r>
      <w:hyperlink r:id="rId2" w:history="1">
        <w:r w:rsidRPr="00FB7B37">
          <w:rPr>
            <w:rStyle w:val="af1"/>
          </w:rPr>
          <w:t>eia.conv@un.org</w:t>
        </w:r>
      </w:hyperlink>
      <w:r>
        <w:t xml:space="preserve">; </w:t>
      </w:r>
      <w:hyperlink r:id="rId3" w:history="1">
        <w:r w:rsidRPr="00FB7B37">
          <w:rPr>
            <w:rStyle w:val="af1"/>
          </w:rPr>
          <w:t>maricar.delacruz@un.org</w:t>
        </w:r>
      </w:hyperlink>
      <w:r>
        <w:t>).</w:t>
      </w:r>
      <w:hyperlink r:id="rId4" w:history="1">
        <w:bookmarkStart w:id="0" w:name="_Hlt152074062"/>
        <w:bookmarkStart w:id="1" w:name="_Hlt152074063"/>
        <w:bookmarkEnd w:id="0"/>
        <w:bookmarkEnd w:id="1"/>
      </w:hyperlink>
    </w:p>
  </w:footnote>
  <w:footnote w:id="2">
    <w:p w14:paraId="533D324D" w14:textId="77777777" w:rsidR="00C77614" w:rsidRPr="00A30654" w:rsidRDefault="00C77614" w:rsidP="00C77614">
      <w:pPr>
        <w:pStyle w:val="ad"/>
      </w:pPr>
      <w:r>
        <w:tab/>
      </w:r>
      <w:r w:rsidRPr="00C77614">
        <w:rPr>
          <w:rStyle w:val="aa"/>
        </w:rPr>
        <w:footnoteRef/>
      </w:r>
      <w:r>
        <w:tab/>
        <w:t xml:space="preserve">Выполняет эти функции до девятой сессии Совещания Сторон Конвенции и пятой сессии Совещания Сторон Конвенции, действующего в качестве Совещания Сторон Протокола. </w:t>
      </w:r>
    </w:p>
  </w:footnote>
  <w:footnote w:id="3">
    <w:p w14:paraId="6DBF9693" w14:textId="77A86E2A" w:rsidR="00C77614" w:rsidRPr="00A30654" w:rsidRDefault="00C77614" w:rsidP="00C77614">
      <w:pPr>
        <w:pStyle w:val="ad"/>
      </w:pPr>
      <w:r>
        <w:tab/>
      </w:r>
      <w:r w:rsidRPr="00C77614">
        <w:rPr>
          <w:rStyle w:val="aa"/>
        </w:rPr>
        <w:footnoteRef/>
      </w:r>
      <w:r>
        <w:tab/>
        <w:t>Совещание Сторон Конвенции утвердило рабочие правила Комитета в решении IV/2, приложение IV (ECE/MP.EIA/10), а затем внесло в них поправки в решениях V/4, приложение (ECE/MP.EIA/15), VI/2, приложение II (ECE/MP.EIA/20/Add.1</w:t>
      </w:r>
      <w:r w:rsidR="0023771A">
        <w:t>–</w:t>
      </w:r>
      <w:r>
        <w:t>ECE/MP.EIA/SEA/4/Add.1) и IX/4 и V/4 (ECE/MP.EIA/32/Add.2</w:t>
      </w:r>
      <w:r w:rsidR="0023771A">
        <w:t>–</w:t>
      </w:r>
      <w:r>
        <w:t>ECE/MP.EIA/SEA/15/Add.2 и ECE/MP.EIA/32/Add.3</w:t>
      </w:r>
      <w:r w:rsidR="0023771A">
        <w:t>–</w:t>
      </w:r>
      <w:r>
        <w:t>ECE/MP.EIA/SEA/15/Add.3).</w:t>
      </w:r>
    </w:p>
  </w:footnote>
  <w:footnote w:id="4">
    <w:p w14:paraId="6A00871A" w14:textId="2BBA376D" w:rsidR="00C77614" w:rsidRPr="00A30654" w:rsidRDefault="00C77614" w:rsidP="00C77614">
      <w:pPr>
        <w:pStyle w:val="ad"/>
      </w:pPr>
      <w:r>
        <w:tab/>
      </w:r>
      <w:r w:rsidRPr="00C77614">
        <w:rPr>
          <w:rStyle w:val="aa"/>
        </w:rPr>
        <w:footnoteRef/>
      </w:r>
      <w:r>
        <w:tab/>
        <w:t>Этот неофициальный документ был представлен Рабочей группе по оценке воздействия на окружающую среду и стратегической экологической оценке на ее одиннадцатом совещании (Женева, 19–21 декабря 2022 года) и размещен на веб-странице этого совещания (</w:t>
      </w:r>
      <w:hyperlink r:id="rId5" w:history="1">
        <w:r w:rsidRPr="00FB7B37">
          <w:rPr>
            <w:rStyle w:val="af1"/>
          </w:rPr>
          <w:t>https://unece.org/info/Environmental-Policy/Environmental-Impact-Assessment/events/364357</w:t>
        </w:r>
      </w:hyperlink>
      <w:r>
        <w:t xml:space="preserve">).  </w:t>
      </w:r>
    </w:p>
  </w:footnote>
  <w:footnote w:id="5">
    <w:p w14:paraId="314BDA78" w14:textId="77777777" w:rsidR="00C77614" w:rsidRPr="00A30654" w:rsidRDefault="00C77614" w:rsidP="00C77614">
      <w:pPr>
        <w:pStyle w:val="ad"/>
        <w:rPr>
          <w:lang w:val="es-ES"/>
        </w:rPr>
      </w:pPr>
      <w:r>
        <w:tab/>
      </w:r>
      <w:r w:rsidRPr="00C77614">
        <w:rPr>
          <w:rStyle w:val="aa"/>
        </w:rPr>
        <w:footnoteRef/>
      </w:r>
      <w:r w:rsidRPr="00A30654">
        <w:rPr>
          <w:lang w:val="es-ES"/>
        </w:rPr>
        <w:tab/>
      </w:r>
      <w:r>
        <w:t>См</w:t>
      </w:r>
      <w:r w:rsidRPr="00A30654">
        <w:rPr>
          <w:lang w:val="es-ES"/>
        </w:rPr>
        <w:t xml:space="preserve">. ECE/MP.EIA/SEA/2014/3, </w:t>
      </w:r>
      <w:r>
        <w:t>п</w:t>
      </w:r>
      <w:r w:rsidRPr="00A30654">
        <w:rPr>
          <w:lang w:val="es-ES"/>
        </w:rPr>
        <w:t>. 5.</w:t>
      </w:r>
    </w:p>
  </w:footnote>
  <w:footnote w:id="6">
    <w:p w14:paraId="46090842" w14:textId="77777777" w:rsidR="00C77614" w:rsidRPr="00A30654" w:rsidRDefault="00C77614" w:rsidP="00C77614">
      <w:pPr>
        <w:pStyle w:val="ad"/>
        <w:rPr>
          <w:lang w:val="es-ES"/>
        </w:rPr>
      </w:pPr>
      <w:r w:rsidRPr="00A30654">
        <w:rPr>
          <w:lang w:val="es-ES"/>
        </w:rPr>
        <w:tab/>
      </w:r>
      <w:r w:rsidRPr="00C77614">
        <w:rPr>
          <w:rStyle w:val="aa"/>
        </w:rPr>
        <w:footnoteRef/>
      </w:r>
      <w:r w:rsidRPr="00A30654">
        <w:rPr>
          <w:lang w:val="es-ES"/>
        </w:rPr>
        <w:tab/>
        <w:t xml:space="preserve">ECE/MP.EIA/2020/8, </w:t>
      </w:r>
      <w:r>
        <w:t>пп</w:t>
      </w:r>
      <w:r w:rsidRPr="00A30654">
        <w:rPr>
          <w:lang w:val="es-ES"/>
        </w:rPr>
        <w:t>. 15–16.</w:t>
      </w:r>
    </w:p>
  </w:footnote>
  <w:footnote w:id="7">
    <w:p w14:paraId="638E9D92" w14:textId="77777777" w:rsidR="00C77614" w:rsidRPr="00A30654" w:rsidRDefault="00C77614" w:rsidP="00C77614">
      <w:pPr>
        <w:pStyle w:val="ad"/>
        <w:rPr>
          <w:lang w:val="es-ES"/>
        </w:rPr>
      </w:pPr>
      <w:r w:rsidRPr="00A30654">
        <w:rPr>
          <w:lang w:val="es-ES"/>
        </w:rPr>
        <w:tab/>
      </w:r>
      <w:r w:rsidRPr="00C77614">
        <w:rPr>
          <w:rStyle w:val="aa"/>
        </w:rPr>
        <w:footnoteRef/>
      </w:r>
      <w:r w:rsidRPr="00A30654">
        <w:rPr>
          <w:lang w:val="es-ES"/>
        </w:rPr>
        <w:tab/>
        <w:t xml:space="preserve">ECE/MP.EIA/SEA/2017/9, </w:t>
      </w:r>
      <w:r>
        <w:t>пп</w:t>
      </w:r>
      <w:r w:rsidRPr="00A30654">
        <w:rPr>
          <w:lang w:val="es-ES"/>
        </w:rPr>
        <w:t>. 37–39.</w:t>
      </w:r>
    </w:p>
  </w:footnote>
  <w:footnote w:id="8">
    <w:p w14:paraId="713FE2D2" w14:textId="77777777" w:rsidR="00C77614" w:rsidRPr="00A30654" w:rsidRDefault="00C77614" w:rsidP="00C77614">
      <w:pPr>
        <w:pStyle w:val="ad"/>
        <w:rPr>
          <w:lang w:val="es-ES"/>
        </w:rPr>
      </w:pPr>
      <w:r w:rsidRPr="00A30654">
        <w:rPr>
          <w:lang w:val="es-ES"/>
        </w:rPr>
        <w:tab/>
      </w:r>
      <w:r w:rsidRPr="00C77614">
        <w:rPr>
          <w:rStyle w:val="aa"/>
        </w:rPr>
        <w:footnoteRef/>
      </w:r>
      <w:r w:rsidRPr="00A30654">
        <w:rPr>
          <w:lang w:val="es-ES"/>
        </w:rPr>
        <w:tab/>
      </w:r>
      <w:r>
        <w:t>См</w:t>
      </w:r>
      <w:r w:rsidRPr="00A30654">
        <w:rPr>
          <w:lang w:val="es-ES"/>
        </w:rPr>
        <w:t xml:space="preserve">. ECE/MP.EIA/SEA/2020/8, </w:t>
      </w:r>
      <w:r>
        <w:t>п</w:t>
      </w:r>
      <w:r w:rsidRPr="00A30654">
        <w:rPr>
          <w:lang w:val="es-ES"/>
        </w:rPr>
        <w:t>. 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AFB" w14:textId="36E9D807" w:rsidR="00C77614" w:rsidRPr="00C77614" w:rsidRDefault="00C77614">
    <w:pPr>
      <w:pStyle w:val="a5"/>
    </w:pPr>
    <w:fldSimple w:instr=" TITLE  \* MERGEFORMAT ">
      <w:r w:rsidR="000E335C">
        <w:t>ECE/MP.EIA/IC/2024/1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61A1" w14:textId="665C49EE" w:rsidR="00C77614" w:rsidRPr="00C77614" w:rsidRDefault="00C77614" w:rsidP="00C77614">
    <w:pPr>
      <w:pStyle w:val="a5"/>
      <w:jc w:val="right"/>
    </w:pPr>
    <w:fldSimple w:instr=" TITLE  \* MERGEFORMAT ">
      <w:r w:rsidR="000E335C">
        <w:t>ECE/MP.EIA/IC/2024/1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8A"/>
    <w:rsid w:val="00033EE1"/>
    <w:rsid w:val="00042B72"/>
    <w:rsid w:val="000558BD"/>
    <w:rsid w:val="000B57E7"/>
    <w:rsid w:val="000B6373"/>
    <w:rsid w:val="000E335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771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4B8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7C5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7614"/>
    <w:rsid w:val="00C805C9"/>
    <w:rsid w:val="00C87F83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3E02D"/>
  <w15:docId w15:val="{D2BABA98-B834-489C-B6C1-24A5E4A9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C77614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C77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car.delacruz@un.org" TargetMode="External"/><Relationship Id="rId2" Type="http://schemas.openxmlformats.org/officeDocument/2006/relationships/hyperlink" Target="mailto:eia.conv@un.org" TargetMode="External"/><Relationship Id="rId1" Type="http://schemas.openxmlformats.org/officeDocument/2006/relationships/hyperlink" Target="https://indico.un.org/event/1007053/" TargetMode="External"/><Relationship Id="rId5" Type="http://schemas.openxmlformats.org/officeDocument/2006/relationships/hyperlink" Target="https://unece.org/info/Environmental-Policy/Environmental-Impact-Assessment/events/364357" TargetMode="External"/><Relationship Id="rId4" Type="http://schemas.openxmlformats.org/officeDocument/2006/relationships/hyperlink" Target="https://indico.un.org/event/100705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eate a new document." ma:contentTypeScope="" ma:versionID="2bca1c8369a37ef979ef791a799b961d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1a9147d787db9d139d06e2359022437f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EEA3C-D400-4257-868C-DC179F9E016A}"/>
</file>

<file path=customXml/itemProps2.xml><?xml version="1.0" encoding="utf-8"?>
<ds:datastoreItem xmlns:ds="http://schemas.openxmlformats.org/officeDocument/2006/customXml" ds:itemID="{8E71A522-DCC4-4FF1-8D77-51FB2D442C7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1195</Words>
  <Characters>7801</Characters>
  <Application>Microsoft Office Word</Application>
  <DocSecurity>0</DocSecurity>
  <Lines>179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ECE/MP.EIA/IC/2024/1</vt:lpstr>
      <vt:lpstr>A/</vt:lpstr>
      <vt:lpstr>A/</vt:lpstr>
    </vt:vector>
  </TitlesOfParts>
  <Company>DCM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ECE/MP.EIA/IC/2024/1</dc:title>
  <dc:subject/>
  <dc:creator>Anna BLAGODATSKIKH</dc:creator>
  <cp:keywords/>
  <cp:lastModifiedBy>Anna Blagodatskikh</cp:lastModifiedBy>
  <cp:revision>3</cp:revision>
  <cp:lastPrinted>2024-01-03T07:54:00Z</cp:lastPrinted>
  <dcterms:created xsi:type="dcterms:W3CDTF">2024-01-03T07:54:00Z</dcterms:created>
  <dcterms:modified xsi:type="dcterms:W3CDTF">2024-01-03T07:56:00Z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