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498" w:type="dxa"/>
        <w:tblLayout w:type="fixed"/>
        <w:tblCellMar>
          <w:left w:w="0" w:type="dxa"/>
          <w:right w:w="0" w:type="dxa"/>
        </w:tblCellMar>
        <w:tblLook w:val="01E0" w:firstRow="1" w:lastRow="1" w:firstColumn="1" w:lastColumn="1" w:noHBand="0" w:noVBand="0"/>
      </w:tblPr>
      <w:tblGrid>
        <w:gridCol w:w="2268"/>
        <w:gridCol w:w="5529"/>
        <w:gridCol w:w="1701"/>
      </w:tblGrid>
      <w:tr w:rsidR="00157609" w14:paraId="63312D02" w14:textId="77777777" w:rsidTr="00DA5948">
        <w:trPr>
          <w:cantSplit/>
          <w:trHeight w:hRule="exact" w:val="851"/>
        </w:trPr>
        <w:tc>
          <w:tcPr>
            <w:tcW w:w="2268" w:type="dxa"/>
            <w:tcBorders>
              <w:bottom w:val="single" w:sz="4" w:space="0" w:color="auto"/>
            </w:tcBorders>
            <w:vAlign w:val="bottom"/>
          </w:tcPr>
          <w:p w14:paraId="6F3E9B0E" w14:textId="77777777" w:rsidR="00157609" w:rsidRPr="00B97172" w:rsidRDefault="00157609" w:rsidP="00B20551">
            <w:pPr>
              <w:spacing w:after="80" w:line="300" w:lineRule="exact"/>
              <w:rPr>
                <w:b/>
                <w:sz w:val="24"/>
                <w:szCs w:val="24"/>
              </w:rPr>
            </w:pPr>
          </w:p>
        </w:tc>
        <w:tc>
          <w:tcPr>
            <w:tcW w:w="7230" w:type="dxa"/>
            <w:gridSpan w:val="2"/>
            <w:tcBorders>
              <w:bottom w:val="single" w:sz="4" w:space="0" w:color="auto"/>
            </w:tcBorders>
            <w:vAlign w:val="bottom"/>
          </w:tcPr>
          <w:p w14:paraId="4FCF6A63" w14:textId="6F8A52ED" w:rsidR="00157609" w:rsidRPr="00170046" w:rsidRDefault="00157609" w:rsidP="00C31681">
            <w:pPr>
              <w:jc w:val="right"/>
              <w:rPr>
                <w:b/>
                <w:bCs/>
                <w:lang w:val="en-US"/>
              </w:rPr>
            </w:pPr>
            <w:r w:rsidRPr="00DA5948">
              <w:rPr>
                <w:b/>
                <w:bCs/>
                <w:sz w:val="40"/>
              </w:rPr>
              <w:t>INF.</w:t>
            </w:r>
            <w:r w:rsidR="0076482B">
              <w:rPr>
                <w:b/>
                <w:bCs/>
                <w:sz w:val="40"/>
              </w:rPr>
              <w:t>3</w:t>
            </w:r>
            <w:r w:rsidR="00D81C7A">
              <w:rPr>
                <w:b/>
                <w:bCs/>
                <w:sz w:val="40"/>
              </w:rPr>
              <w:t>2</w:t>
            </w:r>
          </w:p>
        </w:tc>
      </w:tr>
      <w:tr w:rsidR="00157609" w14:paraId="24ABEA35" w14:textId="77777777" w:rsidTr="00614280">
        <w:trPr>
          <w:cantSplit/>
          <w:trHeight w:hRule="exact" w:val="3977"/>
        </w:trPr>
        <w:tc>
          <w:tcPr>
            <w:tcW w:w="7797" w:type="dxa"/>
            <w:gridSpan w:val="2"/>
            <w:tcBorders>
              <w:top w:val="single" w:sz="4" w:space="0" w:color="auto"/>
              <w:bottom w:val="single" w:sz="12" w:space="0" w:color="auto"/>
            </w:tcBorders>
          </w:tcPr>
          <w:p w14:paraId="709885C8" w14:textId="77777777" w:rsidR="00157609" w:rsidRDefault="00157609" w:rsidP="00B20551">
            <w:pPr>
              <w:spacing w:before="120" w:line="420" w:lineRule="exact"/>
              <w:rPr>
                <w:b/>
                <w:sz w:val="40"/>
                <w:szCs w:val="40"/>
              </w:rPr>
            </w:pPr>
            <w:r>
              <w:rPr>
                <w:b/>
                <w:sz w:val="40"/>
                <w:szCs w:val="40"/>
              </w:rPr>
              <w:t>Economic and Social Council</w:t>
            </w:r>
          </w:p>
          <w:p w14:paraId="2651449E" w14:textId="77777777" w:rsidR="00157609" w:rsidRDefault="00157609" w:rsidP="00157609">
            <w:pPr>
              <w:spacing w:before="120"/>
              <w:rPr>
                <w:sz w:val="28"/>
                <w:szCs w:val="28"/>
              </w:rPr>
            </w:pPr>
            <w:r w:rsidRPr="006852FE">
              <w:rPr>
                <w:sz w:val="28"/>
                <w:szCs w:val="28"/>
              </w:rPr>
              <w:t>Inland Transport Committee</w:t>
            </w:r>
          </w:p>
          <w:p w14:paraId="16C217B9" w14:textId="77777777" w:rsidR="00157609" w:rsidRPr="006852FE" w:rsidRDefault="00157609" w:rsidP="00157609">
            <w:pPr>
              <w:spacing w:before="120"/>
              <w:rPr>
                <w:sz w:val="28"/>
                <w:szCs w:val="28"/>
              </w:rPr>
            </w:pPr>
            <w:r>
              <w:rPr>
                <w:b/>
                <w:sz w:val="24"/>
                <w:szCs w:val="24"/>
              </w:rPr>
              <w:t>Working Party on the Transport of Dangerous Goods</w:t>
            </w:r>
          </w:p>
          <w:p w14:paraId="2F14E222" w14:textId="77777777" w:rsidR="00157609" w:rsidRPr="006852FE" w:rsidRDefault="00157609" w:rsidP="00157609">
            <w:pPr>
              <w:spacing w:before="120" w:after="120"/>
              <w:rPr>
                <w:b/>
              </w:rPr>
            </w:pPr>
            <w:r w:rsidRPr="006852FE">
              <w:rPr>
                <w:b/>
              </w:rPr>
              <w:t xml:space="preserve">Joint Meeting of Experts on the Regulations annexed to the </w:t>
            </w:r>
            <w:r w:rsidRPr="006852FE">
              <w:rPr>
                <w:b/>
              </w:rPr>
              <w:br/>
              <w:t xml:space="preserve">European Agreement concerning the International Carriage </w:t>
            </w:r>
            <w:r w:rsidRPr="006852FE">
              <w:rPr>
                <w:b/>
              </w:rPr>
              <w:br/>
              <w:t>of Dangerous Goods by Inland Waterways (ADN)</w:t>
            </w:r>
            <w:r w:rsidRPr="006852FE">
              <w:rPr>
                <w:b/>
              </w:rPr>
              <w:br/>
              <w:t>(ADN Safety Committee)</w:t>
            </w:r>
          </w:p>
          <w:p w14:paraId="1D1A5D82" w14:textId="1E5174ED" w:rsidR="007228D3" w:rsidRPr="003134DF" w:rsidRDefault="007228D3" w:rsidP="007228D3">
            <w:pPr>
              <w:spacing w:before="120"/>
              <w:rPr>
                <w:b/>
              </w:rPr>
            </w:pPr>
            <w:r>
              <w:rPr>
                <w:b/>
              </w:rPr>
              <w:t>Forty-</w:t>
            </w:r>
            <w:r w:rsidR="00877FC0">
              <w:rPr>
                <w:b/>
              </w:rPr>
              <w:t>thir</w:t>
            </w:r>
            <w:r>
              <w:rPr>
                <w:b/>
              </w:rPr>
              <w:t xml:space="preserve">d </w:t>
            </w:r>
            <w:r w:rsidRPr="003134DF">
              <w:rPr>
                <w:b/>
              </w:rPr>
              <w:t>session</w:t>
            </w:r>
          </w:p>
          <w:p w14:paraId="1781F4EF" w14:textId="5E2C5FAA" w:rsidR="007228D3" w:rsidRDefault="007228D3" w:rsidP="007228D3">
            <w:r w:rsidRPr="003134DF">
              <w:t xml:space="preserve">Geneva, </w:t>
            </w:r>
            <w:r>
              <w:t>2</w:t>
            </w:r>
            <w:r w:rsidR="00877FC0">
              <w:t>2</w:t>
            </w:r>
            <w:r>
              <w:t>-2</w:t>
            </w:r>
            <w:r w:rsidR="00877FC0">
              <w:t>6</w:t>
            </w:r>
            <w:r>
              <w:t xml:space="preserve"> </w:t>
            </w:r>
            <w:r w:rsidR="00877FC0">
              <w:t>January</w:t>
            </w:r>
            <w:r>
              <w:t xml:space="preserve"> 202</w:t>
            </w:r>
            <w:r w:rsidR="00877FC0">
              <w:t>4</w:t>
            </w:r>
          </w:p>
          <w:p w14:paraId="6F9E2AD8" w14:textId="1B81922E" w:rsidR="007228D3" w:rsidRPr="003134DF" w:rsidRDefault="007228D3" w:rsidP="007228D3">
            <w:r>
              <w:t xml:space="preserve">Item </w:t>
            </w:r>
            <w:r w:rsidR="001E09C1">
              <w:t>5</w:t>
            </w:r>
            <w:r>
              <w:t xml:space="preserve">(b) </w:t>
            </w:r>
            <w:r w:rsidRPr="003134DF">
              <w:t>of the provisional agenda</w:t>
            </w:r>
          </w:p>
          <w:p w14:paraId="17B24846" w14:textId="77777777" w:rsidR="00FA63F6" w:rsidRPr="00A51776" w:rsidRDefault="00FA63F6" w:rsidP="00FA63F6">
            <w:pPr>
              <w:contextualSpacing/>
              <w:rPr>
                <w:b/>
              </w:rPr>
            </w:pPr>
            <w:r w:rsidRPr="00A51776">
              <w:rPr>
                <w:b/>
              </w:rPr>
              <w:t>Proposals for amendments to the Regulations annexed to ADN:</w:t>
            </w:r>
          </w:p>
          <w:p w14:paraId="333197FE" w14:textId="5E03AE41" w:rsidR="00E277FB" w:rsidRPr="008A105B" w:rsidRDefault="00FA63F6" w:rsidP="00614280">
            <w:pPr>
              <w:contextualSpacing/>
              <w:rPr>
                <w:b/>
                <w:bCs/>
                <w:sz w:val="40"/>
                <w:szCs w:val="40"/>
              </w:rPr>
            </w:pPr>
            <w:r w:rsidRPr="00044AD0">
              <w:rPr>
                <w:b/>
                <w:bCs/>
              </w:rPr>
              <w:t>other proposals</w:t>
            </w:r>
          </w:p>
        </w:tc>
        <w:tc>
          <w:tcPr>
            <w:tcW w:w="1701" w:type="dxa"/>
            <w:tcBorders>
              <w:top w:val="single" w:sz="4" w:space="0" w:color="auto"/>
              <w:bottom w:val="single" w:sz="12" w:space="0" w:color="auto"/>
            </w:tcBorders>
          </w:tcPr>
          <w:p w14:paraId="10A0AEDD" w14:textId="77777777" w:rsidR="00DB74FE" w:rsidRDefault="00DB74FE" w:rsidP="00C31681">
            <w:pPr>
              <w:spacing w:line="240" w:lineRule="exact"/>
            </w:pPr>
          </w:p>
          <w:p w14:paraId="7F61019D" w14:textId="77777777" w:rsidR="00DB74FE" w:rsidRDefault="00DB74FE" w:rsidP="00C31681">
            <w:pPr>
              <w:spacing w:line="240" w:lineRule="exact"/>
            </w:pPr>
          </w:p>
          <w:p w14:paraId="4787E01E" w14:textId="77777777" w:rsidR="00DB74FE" w:rsidRDefault="00DB74FE" w:rsidP="00C31681">
            <w:pPr>
              <w:spacing w:line="240" w:lineRule="exact"/>
            </w:pPr>
          </w:p>
          <w:p w14:paraId="42ADB0F2" w14:textId="2B274536" w:rsidR="00157609" w:rsidRDefault="0076482B" w:rsidP="00C31681">
            <w:pPr>
              <w:spacing w:line="240" w:lineRule="exact"/>
            </w:pPr>
            <w:r>
              <w:t>22</w:t>
            </w:r>
            <w:r w:rsidR="00157609">
              <w:t xml:space="preserve"> </w:t>
            </w:r>
            <w:r>
              <w:t>January 2024</w:t>
            </w:r>
          </w:p>
          <w:p w14:paraId="1C6A09C9" w14:textId="2001CE93" w:rsidR="00157609" w:rsidRDefault="00AD22F6" w:rsidP="00C31681">
            <w:pPr>
              <w:spacing w:line="240" w:lineRule="exact"/>
            </w:pPr>
            <w:r>
              <w:t>German</w:t>
            </w:r>
          </w:p>
          <w:p w14:paraId="2B061DA4" w14:textId="77777777" w:rsidR="00157609" w:rsidRDefault="00157609" w:rsidP="00C31681">
            <w:pPr>
              <w:spacing w:line="240" w:lineRule="exact"/>
            </w:pPr>
            <w:r>
              <w:t>Original: English</w:t>
            </w:r>
          </w:p>
        </w:tc>
      </w:tr>
    </w:tbl>
    <w:p w14:paraId="23E4E7F2" w14:textId="77777777" w:rsidR="0063344C" w:rsidRPr="00D76BD0" w:rsidRDefault="0063344C" w:rsidP="0063344C">
      <w:pPr>
        <w:pStyle w:val="HChG"/>
        <w:rPr>
          <w:bCs/>
          <w:lang w:val="en-US"/>
        </w:rPr>
      </w:pPr>
      <w:r w:rsidRPr="00D76BD0">
        <w:rPr>
          <w:lang w:val="en-US"/>
        </w:rPr>
        <w:tab/>
      </w:r>
      <w:r w:rsidRPr="00D76BD0">
        <w:rPr>
          <w:lang w:val="en-US"/>
        </w:rPr>
        <w:tab/>
      </w:r>
      <w:r w:rsidRPr="00D76BD0">
        <w:rPr>
          <w:bCs/>
          <w:lang w:val="en-US"/>
        </w:rPr>
        <w:t xml:space="preserve">7.2.4.22 </w:t>
      </w:r>
      <w:proofErr w:type="spellStart"/>
      <w:r w:rsidRPr="00D76BD0">
        <w:rPr>
          <w:bCs/>
          <w:lang w:val="en-US"/>
        </w:rPr>
        <w:t>Öffnen</w:t>
      </w:r>
      <w:proofErr w:type="spellEnd"/>
      <w:r w:rsidRPr="00D76BD0">
        <w:rPr>
          <w:bCs/>
          <w:lang w:val="en-US"/>
        </w:rPr>
        <w:t xml:space="preserve"> von </w:t>
      </w:r>
      <w:proofErr w:type="spellStart"/>
      <w:r w:rsidRPr="00D76BD0">
        <w:rPr>
          <w:bCs/>
          <w:lang w:val="en-US"/>
        </w:rPr>
        <w:t>Öffnungen</w:t>
      </w:r>
      <w:proofErr w:type="spellEnd"/>
      <w:r w:rsidRPr="00D76BD0">
        <w:rPr>
          <w:bCs/>
          <w:lang w:val="en-US"/>
        </w:rPr>
        <w:t xml:space="preserve"> und </w:t>
      </w:r>
      <w:proofErr w:type="spellStart"/>
      <w:r w:rsidRPr="00D76BD0">
        <w:rPr>
          <w:bCs/>
          <w:lang w:val="en-US"/>
        </w:rPr>
        <w:t>Zudosierung</w:t>
      </w:r>
      <w:proofErr w:type="spellEnd"/>
      <w:r w:rsidRPr="00D76BD0">
        <w:rPr>
          <w:bCs/>
          <w:lang w:val="en-US"/>
        </w:rPr>
        <w:t xml:space="preserve"> </w:t>
      </w:r>
      <w:proofErr w:type="spellStart"/>
      <w:r w:rsidRPr="00D76BD0">
        <w:rPr>
          <w:bCs/>
          <w:lang w:val="en-US"/>
        </w:rPr>
        <w:t>zusätzlicher</w:t>
      </w:r>
      <w:proofErr w:type="spellEnd"/>
      <w:r w:rsidRPr="00D76BD0">
        <w:rPr>
          <w:bCs/>
          <w:lang w:val="en-US"/>
        </w:rPr>
        <w:t xml:space="preserve"> Additive</w:t>
      </w:r>
    </w:p>
    <w:p w14:paraId="1FA2F340" w14:textId="236F4D96" w:rsidR="0063344C" w:rsidRPr="00D27C7E" w:rsidRDefault="0063344C" w:rsidP="0063344C">
      <w:pPr>
        <w:pStyle w:val="H1G"/>
        <w:rPr>
          <w:bCs/>
          <w:sz w:val="22"/>
          <w:szCs w:val="22"/>
        </w:rPr>
      </w:pPr>
      <w:r w:rsidRPr="00D76BD0">
        <w:rPr>
          <w:lang w:val="en-US"/>
        </w:rPr>
        <w:tab/>
      </w:r>
      <w:r w:rsidRPr="00D76BD0">
        <w:rPr>
          <w:lang w:val="en-US"/>
        </w:rPr>
        <w:tab/>
      </w:r>
      <w:proofErr w:type="spellStart"/>
      <w:r w:rsidRPr="00D27C7E">
        <w:rPr>
          <w:bCs/>
        </w:rPr>
        <w:t>Eingereicht</w:t>
      </w:r>
      <w:proofErr w:type="spellEnd"/>
      <w:r w:rsidRPr="00D27C7E">
        <w:rPr>
          <w:bCs/>
        </w:rPr>
        <w:t xml:space="preserve"> von </w:t>
      </w:r>
      <w:proofErr w:type="spellStart"/>
      <w:r w:rsidRPr="00D27C7E">
        <w:rPr>
          <w:bCs/>
          <w:sz w:val="22"/>
          <w:szCs w:val="22"/>
        </w:rPr>
        <w:t>FuelsEurope</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000000" w14:paraId="365B32CA" w14:textId="77777777">
        <w:trPr>
          <w:jc w:val="center"/>
        </w:trPr>
        <w:tc>
          <w:tcPr>
            <w:tcW w:w="9637" w:type="dxa"/>
            <w:shd w:val="clear" w:color="auto" w:fill="auto"/>
          </w:tcPr>
          <w:p w14:paraId="495AAAE7" w14:textId="77777777" w:rsidR="0063344C" w:rsidRDefault="0063344C">
            <w:pPr>
              <w:spacing w:before="240" w:after="120"/>
              <w:ind w:left="255"/>
              <w:rPr>
                <w:i/>
                <w:sz w:val="24"/>
              </w:rPr>
            </w:pPr>
            <w:proofErr w:type="spellStart"/>
            <w:r>
              <w:rPr>
                <w:i/>
                <w:sz w:val="24"/>
              </w:rPr>
              <w:t>Zusammenfassung</w:t>
            </w:r>
            <w:proofErr w:type="spellEnd"/>
          </w:p>
        </w:tc>
      </w:tr>
      <w:tr w:rsidR="00000000" w:rsidRPr="00E8544B" w14:paraId="248CF679" w14:textId="77777777">
        <w:trPr>
          <w:jc w:val="center"/>
        </w:trPr>
        <w:tc>
          <w:tcPr>
            <w:tcW w:w="9637" w:type="dxa"/>
            <w:shd w:val="clear" w:color="auto" w:fill="auto"/>
          </w:tcPr>
          <w:p w14:paraId="63B8452D" w14:textId="0BB01F4C" w:rsidR="0063344C" w:rsidRDefault="0063344C">
            <w:pPr>
              <w:tabs>
                <w:tab w:val="left" w:pos="3969"/>
              </w:tabs>
              <w:ind w:left="851"/>
              <w:contextualSpacing/>
              <w:rPr>
                <w:b/>
                <w:bCs/>
                <w:lang w:val="de-DE"/>
              </w:rPr>
            </w:pPr>
            <w:proofErr w:type="spellStart"/>
            <w:r>
              <w:rPr>
                <w:b/>
                <w:lang w:val="nl-NL"/>
              </w:rPr>
              <w:t>Verbundene</w:t>
            </w:r>
            <w:proofErr w:type="spellEnd"/>
            <w:r>
              <w:rPr>
                <w:b/>
                <w:lang w:val="nl-NL"/>
              </w:rPr>
              <w:t xml:space="preserve"> </w:t>
            </w:r>
            <w:proofErr w:type="spellStart"/>
            <w:r>
              <w:rPr>
                <w:b/>
                <w:lang w:val="nl-NL"/>
              </w:rPr>
              <w:t>Dokumente</w:t>
            </w:r>
            <w:proofErr w:type="spellEnd"/>
            <w:r>
              <w:rPr>
                <w:b/>
                <w:lang w:val="nl-NL"/>
              </w:rPr>
              <w:t>:</w:t>
            </w:r>
            <w:r>
              <w:rPr>
                <w:lang w:val="nl-NL"/>
              </w:rPr>
              <w:t xml:space="preserve"> </w:t>
            </w:r>
            <w:r>
              <w:rPr>
                <w:lang w:val="nl-NL"/>
              </w:rPr>
              <w:tab/>
              <w:t>ECE/TRANS/WP.15/AC.2/2024/7 (Deutschland)</w:t>
            </w:r>
          </w:p>
          <w:p w14:paraId="2F42A85D" w14:textId="77777777" w:rsidR="0063344C" w:rsidRDefault="0063344C">
            <w:pPr>
              <w:tabs>
                <w:tab w:val="left" w:pos="3969"/>
              </w:tabs>
              <w:ind w:left="3261"/>
              <w:contextualSpacing/>
              <w:rPr>
                <w:lang w:val="en-US"/>
              </w:rPr>
            </w:pPr>
            <w:r>
              <w:rPr>
                <w:lang w:val="nl-NL"/>
              </w:rPr>
              <w:tab/>
            </w:r>
            <w:r>
              <w:rPr>
                <w:lang w:val="en-US"/>
              </w:rPr>
              <w:t>ECE/TRANS/WP.15/AC.2/2024/20 (</w:t>
            </w:r>
            <w:proofErr w:type="spellStart"/>
            <w:r>
              <w:rPr>
                <w:lang w:val="en-US"/>
              </w:rPr>
              <w:t>FuelsEurope</w:t>
            </w:r>
            <w:proofErr w:type="spellEnd"/>
            <w:r>
              <w:rPr>
                <w:lang w:val="en-US"/>
              </w:rPr>
              <w:t>)</w:t>
            </w:r>
          </w:p>
          <w:p w14:paraId="2B41C989" w14:textId="35AF747C" w:rsidR="0063344C" w:rsidRDefault="0063344C">
            <w:pPr>
              <w:tabs>
                <w:tab w:val="left" w:pos="3402"/>
              </w:tabs>
              <w:ind w:left="2160"/>
              <w:contextualSpacing/>
              <w:rPr>
                <w:lang w:val="en-US"/>
              </w:rPr>
            </w:pPr>
            <w:r>
              <w:rPr>
                <w:lang w:val="en-US"/>
              </w:rPr>
              <w:t xml:space="preserve"> </w:t>
            </w:r>
          </w:p>
          <w:p w14:paraId="15DD46C4" w14:textId="77777777" w:rsidR="0063344C" w:rsidRDefault="0063344C">
            <w:pPr>
              <w:pStyle w:val="ListParagraph"/>
              <w:ind w:left="2160"/>
              <w:rPr>
                <w:lang w:val="en-US"/>
              </w:rPr>
            </w:pPr>
          </w:p>
          <w:p w14:paraId="64F0974E" w14:textId="77777777" w:rsidR="0063344C" w:rsidRDefault="0063344C">
            <w:pPr>
              <w:tabs>
                <w:tab w:val="right" w:pos="851"/>
                <w:tab w:val="left" w:pos="3402"/>
              </w:tabs>
              <w:suppressAutoHyphens w:val="0"/>
              <w:spacing w:after="120"/>
              <w:ind w:left="3969" w:right="267" w:hanging="3118"/>
              <w:outlineLvl w:val="1"/>
              <w:rPr>
                <w:lang w:val="nl-NL"/>
              </w:rPr>
            </w:pPr>
            <w:r>
              <w:rPr>
                <w:b/>
                <w:lang w:val="nl-NL"/>
              </w:rPr>
              <w:t xml:space="preserve">Analytische </w:t>
            </w:r>
            <w:proofErr w:type="spellStart"/>
            <w:r>
              <w:rPr>
                <w:b/>
                <w:lang w:val="nl-NL"/>
              </w:rPr>
              <w:t>Zusammenfassung</w:t>
            </w:r>
            <w:proofErr w:type="spellEnd"/>
            <w:r>
              <w:rPr>
                <w:b/>
                <w:lang w:val="nl-NL"/>
              </w:rPr>
              <w:t>:</w:t>
            </w:r>
            <w:r>
              <w:rPr>
                <w:sz w:val="28"/>
                <w:lang w:val="nl-NL"/>
              </w:rPr>
              <w:tab/>
            </w:r>
            <w:proofErr w:type="spellStart"/>
            <w:r>
              <w:rPr>
                <w:lang w:val="nl-NL"/>
              </w:rPr>
              <w:t>Nach</w:t>
            </w:r>
            <w:proofErr w:type="spellEnd"/>
            <w:r>
              <w:rPr>
                <w:lang w:val="nl-NL"/>
              </w:rPr>
              <w:t xml:space="preserve"> der </w:t>
            </w:r>
            <w:proofErr w:type="spellStart"/>
            <w:r>
              <w:rPr>
                <w:lang w:val="nl-NL"/>
              </w:rPr>
              <w:t>Veröffentlichung</w:t>
            </w:r>
            <w:proofErr w:type="spellEnd"/>
            <w:r>
              <w:rPr>
                <w:lang w:val="nl-NL"/>
              </w:rPr>
              <w:t xml:space="preserve"> </w:t>
            </w:r>
            <w:proofErr w:type="spellStart"/>
            <w:r>
              <w:rPr>
                <w:lang w:val="nl-NL"/>
              </w:rPr>
              <w:t>auf</w:t>
            </w:r>
            <w:proofErr w:type="spellEnd"/>
            <w:r>
              <w:rPr>
                <w:lang w:val="nl-NL"/>
              </w:rPr>
              <w:t xml:space="preserve"> der UNECE </w:t>
            </w:r>
            <w:proofErr w:type="spellStart"/>
            <w:r>
              <w:rPr>
                <w:lang w:val="nl-NL"/>
              </w:rPr>
              <w:t>stellte</w:t>
            </w:r>
            <w:proofErr w:type="spellEnd"/>
            <w:r>
              <w:rPr>
                <w:lang w:val="nl-NL"/>
              </w:rPr>
              <w:t xml:space="preserve"> </w:t>
            </w:r>
            <w:proofErr w:type="spellStart"/>
            <w:r>
              <w:rPr>
                <w:lang w:val="nl-NL"/>
              </w:rPr>
              <w:t>sich</w:t>
            </w:r>
            <w:proofErr w:type="spellEnd"/>
            <w:r>
              <w:rPr>
                <w:lang w:val="nl-NL"/>
              </w:rPr>
              <w:t xml:space="preserve"> </w:t>
            </w:r>
            <w:proofErr w:type="spellStart"/>
            <w:r>
              <w:rPr>
                <w:lang w:val="nl-NL"/>
              </w:rPr>
              <w:t>heraus</w:t>
            </w:r>
            <w:proofErr w:type="spellEnd"/>
            <w:r>
              <w:rPr>
                <w:lang w:val="nl-NL"/>
              </w:rPr>
              <w:t xml:space="preserve">, </w:t>
            </w:r>
            <w:proofErr w:type="spellStart"/>
            <w:r>
              <w:rPr>
                <w:lang w:val="nl-NL"/>
              </w:rPr>
              <w:t>dass</w:t>
            </w:r>
            <w:proofErr w:type="spellEnd"/>
            <w:r>
              <w:rPr>
                <w:lang w:val="nl-NL"/>
              </w:rPr>
              <w:t xml:space="preserve"> </w:t>
            </w:r>
            <w:proofErr w:type="spellStart"/>
            <w:r>
              <w:rPr>
                <w:lang w:val="nl-NL"/>
              </w:rPr>
              <w:t>unsere</w:t>
            </w:r>
            <w:proofErr w:type="spellEnd"/>
            <w:r>
              <w:rPr>
                <w:lang w:val="nl-NL"/>
              </w:rPr>
              <w:t xml:space="preserve"> </w:t>
            </w:r>
            <w:proofErr w:type="spellStart"/>
            <w:r>
              <w:rPr>
                <w:lang w:val="nl-NL"/>
              </w:rPr>
              <w:t>Vorschläge</w:t>
            </w:r>
            <w:proofErr w:type="spellEnd"/>
            <w:r>
              <w:rPr>
                <w:lang w:val="nl-NL"/>
              </w:rPr>
              <w:t xml:space="preserve"> </w:t>
            </w:r>
            <w:proofErr w:type="spellStart"/>
            <w:r>
              <w:rPr>
                <w:lang w:val="nl-NL"/>
              </w:rPr>
              <w:t>im</w:t>
            </w:r>
            <w:proofErr w:type="spellEnd"/>
            <w:r>
              <w:rPr>
                <w:lang w:val="nl-NL"/>
              </w:rPr>
              <w:t xml:space="preserve"> </w:t>
            </w:r>
            <w:proofErr w:type="spellStart"/>
            <w:r>
              <w:rPr>
                <w:lang w:val="nl-NL"/>
              </w:rPr>
              <w:t>Dokument</w:t>
            </w:r>
            <w:proofErr w:type="spellEnd"/>
            <w:r>
              <w:rPr>
                <w:lang w:val="nl-NL"/>
              </w:rPr>
              <w:t xml:space="preserve"> 2024/20 nicht </w:t>
            </w:r>
            <w:proofErr w:type="spellStart"/>
            <w:r>
              <w:rPr>
                <w:lang w:val="nl-NL"/>
              </w:rPr>
              <w:t>mehr</w:t>
            </w:r>
            <w:proofErr w:type="spellEnd"/>
            <w:r>
              <w:rPr>
                <w:lang w:val="nl-NL"/>
              </w:rPr>
              <w:t xml:space="preserve"> </w:t>
            </w:r>
            <w:proofErr w:type="spellStart"/>
            <w:r>
              <w:rPr>
                <w:lang w:val="nl-NL"/>
              </w:rPr>
              <w:t>mit</w:t>
            </w:r>
            <w:proofErr w:type="spellEnd"/>
            <w:r>
              <w:rPr>
                <w:lang w:val="nl-NL"/>
              </w:rPr>
              <w:t xml:space="preserve"> </w:t>
            </w:r>
            <w:proofErr w:type="spellStart"/>
            <w:r>
              <w:rPr>
                <w:lang w:val="nl-NL"/>
              </w:rPr>
              <w:t>denen</w:t>
            </w:r>
            <w:proofErr w:type="spellEnd"/>
            <w:r>
              <w:rPr>
                <w:lang w:val="nl-NL"/>
              </w:rPr>
              <w:t xml:space="preserve"> </w:t>
            </w:r>
            <w:proofErr w:type="spellStart"/>
            <w:r>
              <w:rPr>
                <w:lang w:val="nl-NL"/>
              </w:rPr>
              <w:t>übereinstimmen</w:t>
            </w:r>
            <w:proofErr w:type="spellEnd"/>
            <w:r>
              <w:rPr>
                <w:lang w:val="nl-NL"/>
              </w:rPr>
              <w:t xml:space="preserve">, </w:t>
            </w:r>
            <w:proofErr w:type="spellStart"/>
            <w:r>
              <w:rPr>
                <w:lang w:val="nl-NL"/>
              </w:rPr>
              <w:t>auf</w:t>
            </w:r>
            <w:proofErr w:type="spellEnd"/>
            <w:r>
              <w:rPr>
                <w:lang w:val="nl-NL"/>
              </w:rPr>
              <w:t xml:space="preserve"> die in </w:t>
            </w:r>
            <w:proofErr w:type="spellStart"/>
            <w:r>
              <w:rPr>
                <w:lang w:val="nl-NL"/>
              </w:rPr>
              <w:t>Dokument</w:t>
            </w:r>
            <w:proofErr w:type="spellEnd"/>
            <w:r>
              <w:rPr>
                <w:lang w:val="nl-NL"/>
              </w:rPr>
              <w:t xml:space="preserve"> 2024/7 (Deutschland) verwiesen </w:t>
            </w:r>
            <w:proofErr w:type="spellStart"/>
            <w:r>
              <w:rPr>
                <w:lang w:val="nl-NL"/>
              </w:rPr>
              <w:t>wird</w:t>
            </w:r>
            <w:proofErr w:type="spellEnd"/>
            <w:r>
              <w:rPr>
                <w:lang w:val="nl-NL"/>
              </w:rPr>
              <w:t xml:space="preserve">. </w:t>
            </w:r>
          </w:p>
          <w:p w14:paraId="7CE97DD3" w14:textId="4A041E3E" w:rsidR="0063344C" w:rsidRDefault="00B85F9D">
            <w:pPr>
              <w:tabs>
                <w:tab w:val="right" w:pos="851"/>
                <w:tab w:val="left" w:pos="3402"/>
              </w:tabs>
              <w:suppressAutoHyphens w:val="0"/>
              <w:spacing w:after="120"/>
              <w:ind w:left="3969" w:right="267" w:hanging="3685"/>
              <w:outlineLvl w:val="1"/>
              <w:rPr>
                <w:lang w:val="nl-NL"/>
              </w:rPr>
            </w:pPr>
            <w:r>
              <w:rPr>
                <w:lang w:val="nl-NL"/>
              </w:rPr>
              <w:tab/>
            </w:r>
            <w:r>
              <w:rPr>
                <w:lang w:val="nl-NL"/>
              </w:rPr>
              <w:tab/>
            </w:r>
            <w:r>
              <w:rPr>
                <w:lang w:val="nl-NL"/>
              </w:rPr>
              <w:tab/>
            </w:r>
            <w:proofErr w:type="spellStart"/>
            <w:r w:rsidR="0063344C">
              <w:rPr>
                <w:lang w:val="nl-NL"/>
              </w:rPr>
              <w:t>Um</w:t>
            </w:r>
            <w:proofErr w:type="spellEnd"/>
            <w:r w:rsidR="0063344C">
              <w:rPr>
                <w:lang w:val="nl-NL"/>
              </w:rPr>
              <w:t xml:space="preserve"> die </w:t>
            </w:r>
            <w:proofErr w:type="spellStart"/>
            <w:r w:rsidR="0063344C">
              <w:rPr>
                <w:lang w:val="nl-NL"/>
              </w:rPr>
              <w:t>Lesbarkeit</w:t>
            </w:r>
            <w:proofErr w:type="spellEnd"/>
            <w:r w:rsidR="0063344C">
              <w:rPr>
                <w:lang w:val="nl-NL"/>
              </w:rPr>
              <w:t xml:space="preserve"> der </w:t>
            </w:r>
            <w:proofErr w:type="spellStart"/>
            <w:r w:rsidR="0063344C">
              <w:rPr>
                <w:lang w:val="nl-NL"/>
              </w:rPr>
              <w:t>Vorschläge</w:t>
            </w:r>
            <w:proofErr w:type="spellEnd"/>
            <w:r w:rsidR="0063344C">
              <w:rPr>
                <w:lang w:val="nl-NL"/>
              </w:rPr>
              <w:t xml:space="preserve"> </w:t>
            </w:r>
            <w:proofErr w:type="spellStart"/>
            <w:r w:rsidR="0063344C">
              <w:rPr>
                <w:lang w:val="nl-NL"/>
              </w:rPr>
              <w:t>von</w:t>
            </w:r>
            <w:proofErr w:type="spellEnd"/>
            <w:r w:rsidR="0063344C">
              <w:rPr>
                <w:lang w:val="nl-NL"/>
              </w:rPr>
              <w:t xml:space="preserve"> </w:t>
            </w:r>
            <w:proofErr w:type="spellStart"/>
            <w:r w:rsidR="0063344C">
              <w:rPr>
                <w:lang w:val="nl-NL"/>
              </w:rPr>
              <w:t>FuelsEurope</w:t>
            </w:r>
            <w:proofErr w:type="spellEnd"/>
            <w:r w:rsidR="0063344C">
              <w:rPr>
                <w:lang w:val="nl-NL"/>
              </w:rPr>
              <w:t xml:space="preserve">, wie </w:t>
            </w:r>
            <w:proofErr w:type="spellStart"/>
            <w:r w:rsidR="0063344C">
              <w:rPr>
                <w:lang w:val="nl-NL"/>
              </w:rPr>
              <w:t>sie</w:t>
            </w:r>
            <w:proofErr w:type="spellEnd"/>
            <w:r w:rsidR="0063344C">
              <w:rPr>
                <w:lang w:val="nl-NL"/>
              </w:rPr>
              <w:t xml:space="preserve"> in </w:t>
            </w:r>
            <w:proofErr w:type="spellStart"/>
            <w:r w:rsidR="0063344C">
              <w:rPr>
                <w:lang w:val="nl-NL"/>
              </w:rPr>
              <w:t>Dokument</w:t>
            </w:r>
            <w:proofErr w:type="spellEnd"/>
            <w:r w:rsidR="0063344C">
              <w:rPr>
                <w:lang w:val="nl-NL"/>
              </w:rPr>
              <w:t xml:space="preserve"> 2024/20 </w:t>
            </w:r>
            <w:proofErr w:type="spellStart"/>
            <w:r w:rsidR="0063344C">
              <w:rPr>
                <w:lang w:val="nl-NL"/>
              </w:rPr>
              <w:t>erfasst</w:t>
            </w:r>
            <w:proofErr w:type="spellEnd"/>
            <w:r w:rsidR="0063344C">
              <w:rPr>
                <w:lang w:val="nl-NL"/>
              </w:rPr>
              <w:t xml:space="preserve"> </w:t>
            </w:r>
            <w:proofErr w:type="spellStart"/>
            <w:r w:rsidR="0063344C">
              <w:rPr>
                <w:lang w:val="nl-NL"/>
              </w:rPr>
              <w:t>wurden</w:t>
            </w:r>
            <w:proofErr w:type="spellEnd"/>
            <w:r w:rsidR="0063344C">
              <w:rPr>
                <w:lang w:val="nl-NL"/>
              </w:rPr>
              <w:t xml:space="preserve">, </w:t>
            </w:r>
            <w:proofErr w:type="spellStart"/>
            <w:r w:rsidR="0063344C">
              <w:rPr>
                <w:lang w:val="nl-NL"/>
              </w:rPr>
              <w:t>zu</w:t>
            </w:r>
            <w:proofErr w:type="spellEnd"/>
            <w:r w:rsidR="0063344C">
              <w:rPr>
                <w:lang w:val="nl-NL"/>
              </w:rPr>
              <w:t xml:space="preserve"> </w:t>
            </w:r>
            <w:proofErr w:type="spellStart"/>
            <w:r w:rsidR="0063344C">
              <w:rPr>
                <w:lang w:val="nl-NL"/>
              </w:rPr>
              <w:t>verbessern</w:t>
            </w:r>
            <w:proofErr w:type="spellEnd"/>
            <w:r w:rsidR="0063344C">
              <w:rPr>
                <w:lang w:val="nl-NL"/>
              </w:rPr>
              <w:t xml:space="preserve">, </w:t>
            </w:r>
            <w:proofErr w:type="spellStart"/>
            <w:r w:rsidR="0063344C">
              <w:rPr>
                <w:lang w:val="nl-NL"/>
              </w:rPr>
              <w:t>folgen</w:t>
            </w:r>
            <w:proofErr w:type="spellEnd"/>
            <w:r w:rsidR="0063344C">
              <w:rPr>
                <w:lang w:val="nl-NL"/>
              </w:rPr>
              <w:t xml:space="preserve"> </w:t>
            </w:r>
            <w:proofErr w:type="spellStart"/>
            <w:r w:rsidR="0063344C">
              <w:rPr>
                <w:lang w:val="nl-NL"/>
              </w:rPr>
              <w:t>diese</w:t>
            </w:r>
            <w:proofErr w:type="spellEnd"/>
            <w:r w:rsidR="0063344C">
              <w:rPr>
                <w:lang w:val="nl-NL"/>
              </w:rPr>
              <w:t xml:space="preserve"> </w:t>
            </w:r>
            <w:proofErr w:type="spellStart"/>
            <w:r w:rsidR="0063344C">
              <w:rPr>
                <w:lang w:val="nl-NL"/>
              </w:rPr>
              <w:t>nun</w:t>
            </w:r>
            <w:proofErr w:type="spellEnd"/>
            <w:r w:rsidR="0063344C">
              <w:rPr>
                <w:lang w:val="nl-NL"/>
              </w:rPr>
              <w:t xml:space="preserve"> der </w:t>
            </w:r>
            <w:proofErr w:type="spellStart"/>
            <w:r w:rsidR="0063344C">
              <w:rPr>
                <w:lang w:val="nl-NL"/>
              </w:rPr>
              <w:t>Struktur</w:t>
            </w:r>
            <w:proofErr w:type="spellEnd"/>
            <w:r w:rsidR="0063344C">
              <w:rPr>
                <w:lang w:val="nl-NL"/>
              </w:rPr>
              <w:t xml:space="preserve"> des </w:t>
            </w:r>
            <w:proofErr w:type="spellStart"/>
            <w:r w:rsidR="0063344C">
              <w:rPr>
                <w:lang w:val="nl-NL"/>
              </w:rPr>
              <w:t>Dokuments</w:t>
            </w:r>
            <w:proofErr w:type="spellEnd"/>
            <w:r w:rsidR="0063344C">
              <w:rPr>
                <w:lang w:val="nl-NL"/>
              </w:rPr>
              <w:t xml:space="preserve"> 2024/7 (Deutschland).  </w:t>
            </w:r>
          </w:p>
        </w:tc>
      </w:tr>
      <w:tr w:rsidR="00000000" w:rsidRPr="00E8544B" w14:paraId="2809F817" w14:textId="77777777">
        <w:trPr>
          <w:jc w:val="center"/>
        </w:trPr>
        <w:tc>
          <w:tcPr>
            <w:tcW w:w="9637" w:type="dxa"/>
            <w:shd w:val="clear" w:color="auto" w:fill="auto"/>
          </w:tcPr>
          <w:p w14:paraId="69B035B9" w14:textId="77777777" w:rsidR="0063344C" w:rsidRDefault="0063344C" w:rsidP="00C212E2">
            <w:pPr>
              <w:rPr>
                <w:lang w:val="nl-NL"/>
              </w:rPr>
            </w:pPr>
          </w:p>
        </w:tc>
      </w:tr>
    </w:tbl>
    <w:p w14:paraId="217F43D4" w14:textId="77777777" w:rsidR="0063344C" w:rsidRPr="00272C35" w:rsidRDefault="0063344C" w:rsidP="0063344C">
      <w:pPr>
        <w:pStyle w:val="HChG"/>
        <w:rPr>
          <w:lang w:val="nl-NL"/>
        </w:rPr>
      </w:pPr>
      <w:r w:rsidRPr="00673192">
        <w:rPr>
          <w:lang w:val="nl-NL"/>
        </w:rPr>
        <w:tab/>
      </w:r>
      <w:r w:rsidRPr="00673192">
        <w:rPr>
          <w:lang w:val="nl-NL"/>
        </w:rPr>
        <w:tab/>
      </w:r>
      <w:proofErr w:type="spellStart"/>
      <w:r w:rsidRPr="00272C35">
        <w:rPr>
          <w:lang w:val="nl-NL"/>
        </w:rPr>
        <w:t>Einleit</w:t>
      </w:r>
      <w:r>
        <w:rPr>
          <w:lang w:val="nl-NL"/>
        </w:rPr>
        <w:t>ung</w:t>
      </w:r>
      <w:proofErr w:type="spellEnd"/>
    </w:p>
    <w:p w14:paraId="2A59DBB5" w14:textId="6C426FA8" w:rsidR="0063344C" w:rsidRPr="00215121" w:rsidRDefault="0063344C" w:rsidP="00E636E2">
      <w:pPr>
        <w:pStyle w:val="SingleTxtG"/>
        <w:rPr>
          <w:lang w:val="de-DE"/>
        </w:rPr>
      </w:pPr>
      <w:r w:rsidRPr="00215121">
        <w:rPr>
          <w:lang w:val="de-DE"/>
        </w:rPr>
        <w:t>1.</w:t>
      </w:r>
      <w:r w:rsidRPr="00215121">
        <w:rPr>
          <w:lang w:val="de-DE"/>
        </w:rPr>
        <w:tab/>
        <w:t xml:space="preserve">In der Sitzung des ADN-Sicherheitsausschusses vom August 2023 bot der Vertreter Deutschlands an, zusätzlich eingegangene Kommentare zum Thema Öffnen von Öffnungen mit Blick auf eine Diskussion in der Sitzung im Januar 2024 zu prüfen. Die konkreten zu prüfenden Unterabschnitte wurden im Protokoll </w:t>
      </w:r>
      <w:r>
        <w:rPr>
          <w:lang w:val="de-DE"/>
        </w:rPr>
        <w:tab/>
      </w:r>
      <w:hyperlink r:id="rId11" w:history="1">
        <w:r w:rsidRPr="00215121">
          <w:rPr>
            <w:lang w:val="de-DE"/>
          </w:rPr>
          <w:t>ECE/TRANS/WP.15/AC.2/86 genannt</w:t>
        </w:r>
      </w:hyperlink>
      <w:r w:rsidRPr="00215121">
        <w:rPr>
          <w:lang w:val="de-DE"/>
        </w:rPr>
        <w:t>.</w:t>
      </w:r>
    </w:p>
    <w:p w14:paraId="544E715D" w14:textId="7B408345" w:rsidR="0063344C" w:rsidRPr="00F76AE7" w:rsidRDefault="0063344C" w:rsidP="00E636E2">
      <w:pPr>
        <w:pStyle w:val="SingleTxtG"/>
        <w:rPr>
          <w:lang w:val="de-DE"/>
        </w:rPr>
      </w:pPr>
      <w:r w:rsidRPr="00F76AE7">
        <w:rPr>
          <w:lang w:val="de-DE"/>
        </w:rPr>
        <w:t>2.</w:t>
      </w:r>
      <w:r w:rsidRPr="00F76AE7">
        <w:rPr>
          <w:lang w:val="de-DE"/>
        </w:rPr>
        <w:tab/>
      </w:r>
      <w:proofErr w:type="spellStart"/>
      <w:r w:rsidRPr="00F76AE7">
        <w:rPr>
          <w:lang w:val="de-DE"/>
        </w:rPr>
        <w:t>FuelsEurope</w:t>
      </w:r>
      <w:proofErr w:type="spellEnd"/>
      <w:r w:rsidRPr="00F76AE7">
        <w:rPr>
          <w:lang w:val="de-DE"/>
        </w:rPr>
        <w:t xml:space="preserve"> begrüßt die in Dokument ECE/TRANS/WP.15/AC.2/2023/47 enthaltenen Vorschläge. Es wurde jedoch </w:t>
      </w:r>
      <w:proofErr w:type="spellStart"/>
      <w:r w:rsidRPr="00F76AE7">
        <w:rPr>
          <w:lang w:val="de-DE"/>
        </w:rPr>
        <w:t>vonseiten</w:t>
      </w:r>
      <w:proofErr w:type="spellEnd"/>
      <w:r w:rsidRPr="00F76AE7">
        <w:rPr>
          <w:lang w:val="de-DE"/>
        </w:rPr>
        <w:t xml:space="preserve"> der Industrie festgestellt, </w:t>
      </w:r>
      <w:proofErr w:type="spellStart"/>
      <w:r w:rsidRPr="00F76AE7">
        <w:rPr>
          <w:lang w:val="de-DE"/>
        </w:rPr>
        <w:t>dass</w:t>
      </w:r>
      <w:proofErr w:type="spellEnd"/>
      <w:r w:rsidRPr="00F76AE7">
        <w:rPr>
          <w:lang w:val="de-DE"/>
        </w:rPr>
        <w:t xml:space="preserve"> </w:t>
      </w:r>
      <w:r>
        <w:rPr>
          <w:lang w:val="de-DE"/>
        </w:rPr>
        <w:tab/>
      </w:r>
      <w:r w:rsidRPr="00F76AE7">
        <w:rPr>
          <w:lang w:val="de-DE"/>
        </w:rPr>
        <w:t xml:space="preserve">diese den aktuellen Bedürfnissen der </w:t>
      </w:r>
      <w:proofErr w:type="spellStart"/>
      <w:r w:rsidRPr="00F76AE7">
        <w:rPr>
          <w:lang w:val="de-DE"/>
        </w:rPr>
        <w:t>Befüller</w:t>
      </w:r>
      <w:proofErr w:type="spellEnd"/>
      <w:r w:rsidRPr="00F76AE7">
        <w:rPr>
          <w:lang w:val="de-DE"/>
        </w:rPr>
        <w:t xml:space="preserve"> im operativen </w:t>
      </w:r>
      <w:proofErr w:type="spellStart"/>
      <w:r w:rsidRPr="00F76AE7">
        <w:rPr>
          <w:lang w:val="de-DE"/>
        </w:rPr>
        <w:t>Prozess</w:t>
      </w:r>
      <w:proofErr w:type="spellEnd"/>
      <w:r w:rsidRPr="00F76AE7">
        <w:rPr>
          <w:lang w:val="de-DE"/>
        </w:rPr>
        <w:t xml:space="preserve"> der Beförderung flüssiger gefährlicher Güter nicht in vollem Umfang Rechnung tragen. </w:t>
      </w:r>
    </w:p>
    <w:p w14:paraId="605FE8FB" w14:textId="1D215E45" w:rsidR="0063344C" w:rsidRDefault="0063344C" w:rsidP="00E636E2">
      <w:pPr>
        <w:pStyle w:val="SingleTxtG"/>
        <w:rPr>
          <w:lang w:val="nl-NL"/>
        </w:rPr>
      </w:pPr>
      <w:r w:rsidRPr="006C34C7">
        <w:rPr>
          <w:lang w:val="nl-NL"/>
        </w:rPr>
        <w:t>3.</w:t>
      </w:r>
      <w:r w:rsidRPr="006C34C7">
        <w:rPr>
          <w:lang w:val="nl-NL"/>
        </w:rPr>
        <w:tab/>
      </w:r>
      <w:proofErr w:type="spellStart"/>
      <w:r w:rsidRPr="006C34C7">
        <w:rPr>
          <w:lang w:val="nl-NL"/>
        </w:rPr>
        <w:t>Dieser</w:t>
      </w:r>
      <w:proofErr w:type="spellEnd"/>
      <w:r w:rsidRPr="006C34C7">
        <w:rPr>
          <w:lang w:val="nl-NL"/>
        </w:rPr>
        <w:t xml:space="preserve"> </w:t>
      </w:r>
      <w:proofErr w:type="spellStart"/>
      <w:r w:rsidRPr="006C34C7">
        <w:rPr>
          <w:lang w:val="nl-NL"/>
        </w:rPr>
        <w:t>Bedarf</w:t>
      </w:r>
      <w:proofErr w:type="spellEnd"/>
      <w:r w:rsidRPr="006C34C7">
        <w:rPr>
          <w:lang w:val="nl-NL"/>
        </w:rPr>
        <w:t xml:space="preserve"> </w:t>
      </w:r>
      <w:proofErr w:type="spellStart"/>
      <w:r w:rsidRPr="006C34C7">
        <w:rPr>
          <w:lang w:val="nl-NL"/>
        </w:rPr>
        <w:t>betrifft</w:t>
      </w:r>
      <w:proofErr w:type="spellEnd"/>
      <w:r w:rsidRPr="006C34C7">
        <w:rPr>
          <w:lang w:val="nl-NL"/>
        </w:rPr>
        <w:t xml:space="preserve"> die </w:t>
      </w:r>
      <w:proofErr w:type="spellStart"/>
      <w:r>
        <w:rPr>
          <w:lang w:val="nl-NL"/>
        </w:rPr>
        <w:t>nachträgliche</w:t>
      </w:r>
      <w:proofErr w:type="spellEnd"/>
      <w:r>
        <w:rPr>
          <w:lang w:val="nl-NL"/>
        </w:rPr>
        <w:t xml:space="preserve"> </w:t>
      </w:r>
      <w:proofErr w:type="spellStart"/>
      <w:r>
        <w:rPr>
          <w:lang w:val="nl-NL"/>
        </w:rPr>
        <w:t>Zud</w:t>
      </w:r>
      <w:r w:rsidRPr="006C34C7">
        <w:rPr>
          <w:lang w:val="nl-NL"/>
        </w:rPr>
        <w:t>osierung</w:t>
      </w:r>
      <w:proofErr w:type="spellEnd"/>
      <w:r w:rsidRPr="006C34C7">
        <w:rPr>
          <w:lang w:val="nl-NL"/>
        </w:rPr>
        <w:t xml:space="preserve"> </w:t>
      </w:r>
      <w:proofErr w:type="spellStart"/>
      <w:r w:rsidRPr="006C34C7">
        <w:rPr>
          <w:lang w:val="nl-NL"/>
        </w:rPr>
        <w:t>zusätzlicher</w:t>
      </w:r>
      <w:proofErr w:type="spellEnd"/>
      <w:r w:rsidRPr="006C34C7">
        <w:rPr>
          <w:lang w:val="nl-NL"/>
        </w:rPr>
        <w:t xml:space="preserve"> </w:t>
      </w:r>
      <w:r>
        <w:rPr>
          <w:lang w:val="nl-NL"/>
        </w:rPr>
        <w:t>Additive</w:t>
      </w:r>
      <w:r w:rsidRPr="006C34C7">
        <w:rPr>
          <w:lang w:val="nl-NL"/>
        </w:rPr>
        <w:t xml:space="preserve"> </w:t>
      </w:r>
      <w:proofErr w:type="spellStart"/>
      <w:r w:rsidRPr="006C34C7">
        <w:rPr>
          <w:lang w:val="nl-NL"/>
        </w:rPr>
        <w:t>an</w:t>
      </w:r>
      <w:proofErr w:type="spellEnd"/>
      <w:r w:rsidRPr="006C34C7">
        <w:rPr>
          <w:lang w:val="nl-NL"/>
        </w:rPr>
        <w:t xml:space="preserve"> Bord </w:t>
      </w:r>
      <w:proofErr w:type="spellStart"/>
      <w:r w:rsidRPr="006C34C7">
        <w:rPr>
          <w:lang w:val="nl-NL"/>
        </w:rPr>
        <w:t>von</w:t>
      </w:r>
      <w:proofErr w:type="spellEnd"/>
      <w:r w:rsidRPr="006C34C7">
        <w:rPr>
          <w:lang w:val="nl-NL"/>
        </w:rPr>
        <w:t xml:space="preserve"> </w:t>
      </w:r>
      <w:proofErr w:type="spellStart"/>
      <w:r w:rsidRPr="006C34C7">
        <w:rPr>
          <w:lang w:val="nl-NL"/>
        </w:rPr>
        <w:t>Binnenschiffen</w:t>
      </w:r>
      <w:proofErr w:type="spellEnd"/>
      <w:r w:rsidRPr="006C34C7">
        <w:rPr>
          <w:lang w:val="nl-NL"/>
        </w:rPr>
        <w:t xml:space="preserve">, </w:t>
      </w:r>
      <w:proofErr w:type="spellStart"/>
      <w:r w:rsidRPr="006C34C7">
        <w:rPr>
          <w:lang w:val="nl-NL"/>
        </w:rPr>
        <w:t>und</w:t>
      </w:r>
      <w:proofErr w:type="spellEnd"/>
      <w:r w:rsidRPr="006C34C7">
        <w:rPr>
          <w:lang w:val="nl-NL"/>
        </w:rPr>
        <w:t xml:space="preserve"> </w:t>
      </w:r>
      <w:proofErr w:type="spellStart"/>
      <w:r w:rsidRPr="006C34C7">
        <w:rPr>
          <w:lang w:val="nl-NL"/>
        </w:rPr>
        <w:t>FuelsEurope</w:t>
      </w:r>
      <w:proofErr w:type="spellEnd"/>
      <w:r w:rsidRPr="006C34C7">
        <w:rPr>
          <w:lang w:val="nl-NL"/>
        </w:rPr>
        <w:t xml:space="preserve"> hat das </w:t>
      </w:r>
      <w:proofErr w:type="spellStart"/>
      <w:r w:rsidRPr="006C34C7">
        <w:rPr>
          <w:lang w:val="nl-NL"/>
        </w:rPr>
        <w:t>Dokument</w:t>
      </w:r>
      <w:proofErr w:type="spellEnd"/>
      <w:r w:rsidRPr="006C34C7">
        <w:rPr>
          <w:lang w:val="nl-NL"/>
        </w:rPr>
        <w:t xml:space="preserve"> 2024/20 </w:t>
      </w:r>
      <w:proofErr w:type="spellStart"/>
      <w:r w:rsidRPr="006C34C7">
        <w:rPr>
          <w:lang w:val="nl-NL"/>
        </w:rPr>
        <w:t>vorgelegt</w:t>
      </w:r>
      <w:proofErr w:type="spellEnd"/>
      <w:r w:rsidRPr="006C34C7">
        <w:rPr>
          <w:lang w:val="nl-NL"/>
        </w:rPr>
        <w:t xml:space="preserve">, das </w:t>
      </w:r>
      <w:proofErr w:type="spellStart"/>
      <w:r w:rsidRPr="006C34C7">
        <w:rPr>
          <w:lang w:val="nl-NL"/>
        </w:rPr>
        <w:t>Vorschläge</w:t>
      </w:r>
      <w:proofErr w:type="spellEnd"/>
      <w:r w:rsidRPr="006C34C7">
        <w:rPr>
          <w:lang w:val="nl-NL"/>
        </w:rPr>
        <w:t xml:space="preserve"> in der </w:t>
      </w:r>
      <w:proofErr w:type="spellStart"/>
      <w:r w:rsidRPr="006C34C7">
        <w:rPr>
          <w:lang w:val="nl-NL"/>
        </w:rPr>
        <w:t>Struktur</w:t>
      </w:r>
      <w:proofErr w:type="spellEnd"/>
      <w:r w:rsidRPr="006C34C7">
        <w:rPr>
          <w:lang w:val="nl-NL"/>
        </w:rPr>
        <w:t xml:space="preserve"> des </w:t>
      </w:r>
      <w:proofErr w:type="spellStart"/>
      <w:r w:rsidRPr="006C34C7">
        <w:rPr>
          <w:lang w:val="nl-NL"/>
        </w:rPr>
        <w:t>Dokuments</w:t>
      </w:r>
      <w:proofErr w:type="spellEnd"/>
      <w:r w:rsidRPr="006C34C7">
        <w:rPr>
          <w:lang w:val="nl-NL"/>
        </w:rPr>
        <w:t xml:space="preserve"> 2023/47 </w:t>
      </w:r>
      <w:proofErr w:type="spellStart"/>
      <w:r w:rsidRPr="006C34C7">
        <w:rPr>
          <w:lang w:val="nl-NL"/>
        </w:rPr>
        <w:t>widerspiegelt</w:t>
      </w:r>
      <w:proofErr w:type="spellEnd"/>
      <w:r w:rsidRPr="006C34C7">
        <w:rPr>
          <w:lang w:val="nl-NL"/>
        </w:rPr>
        <w:t>.</w:t>
      </w:r>
    </w:p>
    <w:p w14:paraId="5A79CA1C" w14:textId="47492738" w:rsidR="0063344C" w:rsidRPr="008106C2" w:rsidRDefault="0063344C" w:rsidP="00E636E2">
      <w:pPr>
        <w:pStyle w:val="SingleTxtG"/>
        <w:rPr>
          <w:lang w:val="nl-NL"/>
        </w:rPr>
      </w:pPr>
      <w:r w:rsidRPr="006C34C7">
        <w:rPr>
          <w:lang w:val="nl-NL"/>
        </w:rPr>
        <w:t>4.</w:t>
      </w:r>
      <w:r w:rsidRPr="006C34C7">
        <w:rPr>
          <w:lang w:val="nl-NL"/>
        </w:rPr>
        <w:tab/>
      </w:r>
      <w:proofErr w:type="spellStart"/>
      <w:r w:rsidRPr="008106C2">
        <w:rPr>
          <w:lang w:val="nl-NL"/>
        </w:rPr>
        <w:t>Nach</w:t>
      </w:r>
      <w:proofErr w:type="spellEnd"/>
      <w:r w:rsidRPr="008106C2">
        <w:rPr>
          <w:lang w:val="nl-NL"/>
        </w:rPr>
        <w:t xml:space="preserve"> der </w:t>
      </w:r>
      <w:proofErr w:type="spellStart"/>
      <w:r w:rsidRPr="008106C2">
        <w:rPr>
          <w:lang w:val="nl-NL"/>
        </w:rPr>
        <w:t>wesentlichen</w:t>
      </w:r>
      <w:proofErr w:type="spellEnd"/>
      <w:r w:rsidRPr="008106C2">
        <w:rPr>
          <w:lang w:val="nl-NL"/>
        </w:rPr>
        <w:t xml:space="preserve"> </w:t>
      </w:r>
      <w:proofErr w:type="spellStart"/>
      <w:r w:rsidRPr="008106C2">
        <w:rPr>
          <w:lang w:val="nl-NL"/>
        </w:rPr>
        <w:t>Änderung</w:t>
      </w:r>
      <w:proofErr w:type="spellEnd"/>
      <w:r w:rsidRPr="008106C2">
        <w:rPr>
          <w:lang w:val="nl-NL"/>
        </w:rPr>
        <w:t xml:space="preserve"> der </w:t>
      </w:r>
      <w:proofErr w:type="spellStart"/>
      <w:r w:rsidRPr="008106C2">
        <w:rPr>
          <w:lang w:val="nl-NL"/>
        </w:rPr>
        <w:t>Struktur</w:t>
      </w:r>
      <w:proofErr w:type="spellEnd"/>
      <w:r w:rsidRPr="008106C2">
        <w:rPr>
          <w:lang w:val="nl-NL"/>
        </w:rPr>
        <w:t xml:space="preserve">, die </w:t>
      </w:r>
      <w:proofErr w:type="spellStart"/>
      <w:r w:rsidRPr="008106C2">
        <w:rPr>
          <w:lang w:val="nl-NL"/>
        </w:rPr>
        <w:t>nun</w:t>
      </w:r>
      <w:proofErr w:type="spellEnd"/>
      <w:r w:rsidRPr="008106C2">
        <w:rPr>
          <w:lang w:val="nl-NL"/>
        </w:rPr>
        <w:t xml:space="preserve"> </w:t>
      </w:r>
      <w:proofErr w:type="spellStart"/>
      <w:r w:rsidRPr="008106C2">
        <w:rPr>
          <w:lang w:val="nl-NL"/>
        </w:rPr>
        <w:t>im</w:t>
      </w:r>
      <w:proofErr w:type="spellEnd"/>
      <w:r w:rsidRPr="008106C2">
        <w:rPr>
          <w:lang w:val="nl-NL"/>
        </w:rPr>
        <w:t xml:space="preserve"> </w:t>
      </w:r>
      <w:proofErr w:type="spellStart"/>
      <w:r w:rsidRPr="008106C2">
        <w:rPr>
          <w:lang w:val="nl-NL"/>
        </w:rPr>
        <w:t>Dokument</w:t>
      </w:r>
      <w:proofErr w:type="spellEnd"/>
      <w:r w:rsidRPr="008106C2">
        <w:rPr>
          <w:lang w:val="nl-NL"/>
        </w:rPr>
        <w:t xml:space="preserve"> 2024/7 </w:t>
      </w:r>
      <w:proofErr w:type="spellStart"/>
      <w:r w:rsidRPr="008106C2">
        <w:rPr>
          <w:lang w:val="nl-NL"/>
        </w:rPr>
        <w:t>zum</w:t>
      </w:r>
      <w:proofErr w:type="spellEnd"/>
      <w:r w:rsidRPr="008106C2">
        <w:rPr>
          <w:lang w:val="nl-NL"/>
        </w:rPr>
        <w:t xml:space="preserve"> </w:t>
      </w:r>
      <w:proofErr w:type="spellStart"/>
      <w:r w:rsidRPr="008106C2">
        <w:rPr>
          <w:lang w:val="nl-NL"/>
        </w:rPr>
        <w:t>Ausdruck</w:t>
      </w:r>
      <w:proofErr w:type="spellEnd"/>
      <w:r w:rsidRPr="008106C2">
        <w:rPr>
          <w:lang w:val="nl-NL"/>
        </w:rPr>
        <w:t xml:space="preserve"> </w:t>
      </w:r>
      <w:proofErr w:type="spellStart"/>
      <w:r w:rsidRPr="008106C2">
        <w:rPr>
          <w:lang w:val="nl-NL"/>
        </w:rPr>
        <w:t>kommt</w:t>
      </w:r>
      <w:proofErr w:type="spellEnd"/>
      <w:r w:rsidRPr="008106C2">
        <w:rPr>
          <w:lang w:val="nl-NL"/>
        </w:rPr>
        <w:t xml:space="preserve">, </w:t>
      </w:r>
      <w:proofErr w:type="spellStart"/>
      <w:r w:rsidRPr="008106C2">
        <w:rPr>
          <w:lang w:val="nl-NL"/>
        </w:rPr>
        <w:t>besteht</w:t>
      </w:r>
      <w:proofErr w:type="spellEnd"/>
      <w:r w:rsidRPr="008106C2">
        <w:rPr>
          <w:lang w:val="nl-NL"/>
        </w:rPr>
        <w:t xml:space="preserve"> die </w:t>
      </w:r>
      <w:proofErr w:type="spellStart"/>
      <w:r w:rsidRPr="008106C2">
        <w:rPr>
          <w:lang w:val="nl-NL"/>
        </w:rPr>
        <w:t>Notwendigkeit</w:t>
      </w:r>
      <w:proofErr w:type="spellEnd"/>
      <w:r w:rsidRPr="008106C2">
        <w:rPr>
          <w:lang w:val="nl-NL"/>
        </w:rPr>
        <w:t xml:space="preserve">, die </w:t>
      </w:r>
      <w:proofErr w:type="spellStart"/>
      <w:r w:rsidRPr="008106C2">
        <w:rPr>
          <w:lang w:val="nl-NL"/>
        </w:rPr>
        <w:t>Vorschläge</w:t>
      </w:r>
      <w:proofErr w:type="spellEnd"/>
      <w:r w:rsidRPr="008106C2">
        <w:rPr>
          <w:lang w:val="nl-NL"/>
        </w:rPr>
        <w:t xml:space="preserve">, wie </w:t>
      </w:r>
      <w:proofErr w:type="spellStart"/>
      <w:r w:rsidRPr="008106C2">
        <w:rPr>
          <w:lang w:val="nl-NL"/>
        </w:rPr>
        <w:t>sie</w:t>
      </w:r>
      <w:proofErr w:type="spellEnd"/>
      <w:r w:rsidRPr="008106C2">
        <w:rPr>
          <w:lang w:val="nl-NL"/>
        </w:rPr>
        <w:t xml:space="preserve"> </w:t>
      </w:r>
      <w:proofErr w:type="spellStart"/>
      <w:r w:rsidRPr="008106C2">
        <w:rPr>
          <w:lang w:val="nl-NL"/>
        </w:rPr>
        <w:t>im</w:t>
      </w:r>
      <w:proofErr w:type="spellEnd"/>
      <w:r w:rsidRPr="008106C2">
        <w:rPr>
          <w:lang w:val="nl-NL"/>
        </w:rPr>
        <w:t xml:space="preserve"> </w:t>
      </w:r>
      <w:proofErr w:type="spellStart"/>
      <w:r w:rsidRPr="008106C2">
        <w:rPr>
          <w:lang w:val="nl-NL"/>
        </w:rPr>
        <w:t>Dokument</w:t>
      </w:r>
      <w:proofErr w:type="spellEnd"/>
      <w:r w:rsidRPr="008106C2">
        <w:rPr>
          <w:lang w:val="nl-NL"/>
        </w:rPr>
        <w:t xml:space="preserve"> 2024/20 </w:t>
      </w:r>
      <w:proofErr w:type="spellStart"/>
      <w:r w:rsidRPr="008106C2">
        <w:rPr>
          <w:lang w:val="nl-NL"/>
        </w:rPr>
        <w:t>festgehalten</w:t>
      </w:r>
      <w:proofErr w:type="spellEnd"/>
      <w:r w:rsidRPr="008106C2">
        <w:rPr>
          <w:lang w:val="nl-NL"/>
        </w:rPr>
        <w:t xml:space="preserve"> </w:t>
      </w:r>
      <w:proofErr w:type="spellStart"/>
      <w:r w:rsidRPr="008106C2">
        <w:rPr>
          <w:lang w:val="nl-NL"/>
        </w:rPr>
        <w:t>sind</w:t>
      </w:r>
      <w:proofErr w:type="spellEnd"/>
      <w:r w:rsidRPr="008106C2">
        <w:rPr>
          <w:lang w:val="nl-NL"/>
        </w:rPr>
        <w:t xml:space="preserve">, </w:t>
      </w:r>
      <w:proofErr w:type="spellStart"/>
      <w:r w:rsidRPr="008106C2">
        <w:rPr>
          <w:lang w:val="nl-NL"/>
        </w:rPr>
        <w:t>neu</w:t>
      </w:r>
      <w:proofErr w:type="spellEnd"/>
      <w:r w:rsidRPr="008106C2">
        <w:rPr>
          <w:lang w:val="nl-NL"/>
        </w:rPr>
        <w:t xml:space="preserve"> </w:t>
      </w:r>
      <w:proofErr w:type="spellStart"/>
      <w:r w:rsidRPr="008106C2">
        <w:rPr>
          <w:lang w:val="nl-NL"/>
        </w:rPr>
        <w:t>zu</w:t>
      </w:r>
      <w:proofErr w:type="spellEnd"/>
      <w:r w:rsidRPr="008106C2">
        <w:rPr>
          <w:lang w:val="nl-NL"/>
        </w:rPr>
        <w:t xml:space="preserve"> </w:t>
      </w:r>
      <w:proofErr w:type="spellStart"/>
      <w:r w:rsidRPr="008106C2">
        <w:rPr>
          <w:lang w:val="nl-NL"/>
        </w:rPr>
        <w:t>strukturieren</w:t>
      </w:r>
      <w:proofErr w:type="spellEnd"/>
      <w:r w:rsidRPr="008106C2">
        <w:rPr>
          <w:lang w:val="nl-NL"/>
        </w:rPr>
        <w:t>.</w:t>
      </w:r>
    </w:p>
    <w:p w14:paraId="0D4B87B7" w14:textId="2EE622F8" w:rsidR="0063344C" w:rsidRPr="00DF720D" w:rsidRDefault="0063344C" w:rsidP="00E636E2">
      <w:pPr>
        <w:pStyle w:val="SingleTxtG"/>
        <w:rPr>
          <w:lang w:val="nl-NL"/>
        </w:rPr>
      </w:pPr>
      <w:r w:rsidRPr="00DF720D">
        <w:rPr>
          <w:lang w:val="nl-NL"/>
        </w:rPr>
        <w:lastRenderedPageBreak/>
        <w:t>5.</w:t>
      </w:r>
      <w:r w:rsidRPr="00DF720D">
        <w:rPr>
          <w:lang w:val="nl-NL"/>
        </w:rPr>
        <w:tab/>
      </w:r>
      <w:proofErr w:type="spellStart"/>
      <w:r w:rsidRPr="00DF720D">
        <w:rPr>
          <w:lang w:val="nl-NL"/>
        </w:rPr>
        <w:t>Um</w:t>
      </w:r>
      <w:proofErr w:type="spellEnd"/>
      <w:r w:rsidRPr="00DF720D">
        <w:rPr>
          <w:lang w:val="nl-NL"/>
        </w:rPr>
        <w:t xml:space="preserve"> </w:t>
      </w:r>
      <w:proofErr w:type="spellStart"/>
      <w:r w:rsidRPr="00DF720D">
        <w:rPr>
          <w:lang w:val="nl-NL"/>
        </w:rPr>
        <w:t>eine</w:t>
      </w:r>
      <w:proofErr w:type="spellEnd"/>
      <w:r w:rsidRPr="00DF720D">
        <w:rPr>
          <w:lang w:val="nl-NL"/>
        </w:rPr>
        <w:t xml:space="preserve"> </w:t>
      </w:r>
      <w:proofErr w:type="spellStart"/>
      <w:r w:rsidRPr="00DF720D">
        <w:rPr>
          <w:lang w:val="nl-NL"/>
        </w:rPr>
        <w:t>reibungslose</w:t>
      </w:r>
      <w:proofErr w:type="spellEnd"/>
      <w:r w:rsidRPr="00DF720D">
        <w:rPr>
          <w:lang w:val="nl-NL"/>
        </w:rPr>
        <w:t xml:space="preserve"> </w:t>
      </w:r>
      <w:proofErr w:type="spellStart"/>
      <w:r w:rsidRPr="00DF720D">
        <w:rPr>
          <w:lang w:val="nl-NL"/>
        </w:rPr>
        <w:t>Diskussion</w:t>
      </w:r>
      <w:proofErr w:type="spellEnd"/>
      <w:r w:rsidRPr="00DF720D">
        <w:rPr>
          <w:lang w:val="nl-NL"/>
        </w:rPr>
        <w:t xml:space="preserve"> </w:t>
      </w:r>
      <w:proofErr w:type="spellStart"/>
      <w:r>
        <w:rPr>
          <w:lang w:val="nl-NL"/>
        </w:rPr>
        <w:t>sowie</w:t>
      </w:r>
      <w:proofErr w:type="spellEnd"/>
      <w:r w:rsidRPr="00DF720D">
        <w:rPr>
          <w:lang w:val="nl-NL"/>
        </w:rPr>
        <w:t xml:space="preserve"> </w:t>
      </w:r>
      <w:proofErr w:type="spellStart"/>
      <w:r>
        <w:rPr>
          <w:lang w:val="nl-NL"/>
        </w:rPr>
        <w:t>einen</w:t>
      </w:r>
      <w:proofErr w:type="spellEnd"/>
      <w:r>
        <w:rPr>
          <w:lang w:val="nl-NL"/>
        </w:rPr>
        <w:t xml:space="preserve"> </w:t>
      </w:r>
      <w:proofErr w:type="spellStart"/>
      <w:r w:rsidRPr="00DF720D">
        <w:rPr>
          <w:lang w:val="nl-NL"/>
        </w:rPr>
        <w:t>Vergleich</w:t>
      </w:r>
      <w:proofErr w:type="spellEnd"/>
      <w:r w:rsidRPr="00DF720D">
        <w:rPr>
          <w:lang w:val="nl-NL"/>
        </w:rPr>
        <w:t xml:space="preserve"> </w:t>
      </w:r>
      <w:proofErr w:type="spellStart"/>
      <w:r w:rsidRPr="00DF720D">
        <w:rPr>
          <w:lang w:val="nl-NL"/>
        </w:rPr>
        <w:t>von</w:t>
      </w:r>
      <w:proofErr w:type="spellEnd"/>
      <w:r w:rsidRPr="00DF720D">
        <w:rPr>
          <w:lang w:val="nl-NL"/>
        </w:rPr>
        <w:t xml:space="preserve"> </w:t>
      </w:r>
      <w:proofErr w:type="spellStart"/>
      <w:r w:rsidRPr="00DF720D">
        <w:rPr>
          <w:lang w:val="nl-NL"/>
        </w:rPr>
        <w:t>Bestimmungen</w:t>
      </w:r>
      <w:proofErr w:type="spellEnd"/>
      <w:r w:rsidRPr="00DF720D">
        <w:rPr>
          <w:lang w:val="nl-NL"/>
        </w:rPr>
        <w:t xml:space="preserve"> </w:t>
      </w:r>
      <w:proofErr w:type="spellStart"/>
      <w:r w:rsidRPr="00DF720D">
        <w:rPr>
          <w:lang w:val="nl-NL"/>
        </w:rPr>
        <w:t>und</w:t>
      </w:r>
      <w:proofErr w:type="spellEnd"/>
      <w:r w:rsidRPr="00DF720D">
        <w:rPr>
          <w:lang w:val="nl-NL"/>
        </w:rPr>
        <w:t xml:space="preserve"> </w:t>
      </w:r>
      <w:proofErr w:type="spellStart"/>
      <w:r w:rsidRPr="00DF720D">
        <w:rPr>
          <w:lang w:val="nl-NL"/>
        </w:rPr>
        <w:t>Vorschlägen</w:t>
      </w:r>
      <w:proofErr w:type="spellEnd"/>
      <w:r w:rsidRPr="00DF720D">
        <w:rPr>
          <w:lang w:val="nl-NL"/>
        </w:rPr>
        <w:t xml:space="preserve"> </w:t>
      </w:r>
      <w:proofErr w:type="spellStart"/>
      <w:r w:rsidRPr="00DF720D">
        <w:rPr>
          <w:lang w:val="nl-NL"/>
        </w:rPr>
        <w:t>zu</w:t>
      </w:r>
      <w:proofErr w:type="spellEnd"/>
      <w:r w:rsidRPr="00DF720D">
        <w:rPr>
          <w:lang w:val="nl-NL"/>
        </w:rPr>
        <w:t xml:space="preserve"> </w:t>
      </w:r>
      <w:proofErr w:type="spellStart"/>
      <w:r w:rsidRPr="00DF720D">
        <w:rPr>
          <w:lang w:val="nl-NL"/>
        </w:rPr>
        <w:t>ermöglichen</w:t>
      </w:r>
      <w:proofErr w:type="spellEnd"/>
      <w:r w:rsidRPr="00DF720D">
        <w:rPr>
          <w:lang w:val="nl-NL"/>
        </w:rPr>
        <w:t xml:space="preserve">, stellen </w:t>
      </w:r>
      <w:proofErr w:type="spellStart"/>
      <w:r w:rsidRPr="00DF720D">
        <w:rPr>
          <w:lang w:val="nl-NL"/>
        </w:rPr>
        <w:t>wir</w:t>
      </w:r>
      <w:proofErr w:type="spellEnd"/>
      <w:r w:rsidRPr="00DF720D">
        <w:rPr>
          <w:lang w:val="nl-NL"/>
        </w:rPr>
        <w:t xml:space="preserve"> </w:t>
      </w:r>
      <w:proofErr w:type="spellStart"/>
      <w:r w:rsidRPr="00DF720D">
        <w:rPr>
          <w:lang w:val="nl-NL"/>
        </w:rPr>
        <w:t>hiermit</w:t>
      </w:r>
      <w:proofErr w:type="spellEnd"/>
      <w:r w:rsidRPr="00DF720D">
        <w:rPr>
          <w:lang w:val="nl-NL"/>
        </w:rPr>
        <w:t xml:space="preserve"> </w:t>
      </w:r>
      <w:proofErr w:type="spellStart"/>
      <w:r w:rsidRPr="00DF720D">
        <w:rPr>
          <w:lang w:val="nl-NL"/>
        </w:rPr>
        <w:t>unsere</w:t>
      </w:r>
      <w:proofErr w:type="spellEnd"/>
      <w:r w:rsidRPr="00DF720D">
        <w:rPr>
          <w:lang w:val="nl-NL"/>
        </w:rPr>
        <w:t xml:space="preserve"> </w:t>
      </w:r>
      <w:proofErr w:type="spellStart"/>
      <w:r w:rsidRPr="00DF720D">
        <w:rPr>
          <w:lang w:val="nl-NL"/>
        </w:rPr>
        <w:t>Vorschläge</w:t>
      </w:r>
      <w:proofErr w:type="spellEnd"/>
      <w:r w:rsidRPr="00DF720D">
        <w:rPr>
          <w:lang w:val="nl-NL"/>
        </w:rPr>
        <w:t xml:space="preserve"> </w:t>
      </w:r>
      <w:proofErr w:type="spellStart"/>
      <w:r w:rsidRPr="00DF720D">
        <w:rPr>
          <w:lang w:val="nl-NL"/>
        </w:rPr>
        <w:t>nach</w:t>
      </w:r>
      <w:r>
        <w:rPr>
          <w:lang w:val="nl-NL"/>
        </w:rPr>
        <w:t>der</w:t>
      </w:r>
      <w:proofErr w:type="spellEnd"/>
      <w:r>
        <w:rPr>
          <w:lang w:val="nl-NL"/>
        </w:rPr>
        <w:t xml:space="preserve"> </w:t>
      </w:r>
      <w:proofErr w:type="spellStart"/>
      <w:r>
        <w:rPr>
          <w:lang w:val="nl-NL"/>
        </w:rPr>
        <w:t>Struktur</w:t>
      </w:r>
      <w:proofErr w:type="spellEnd"/>
      <w:r>
        <w:rPr>
          <w:lang w:val="nl-NL"/>
        </w:rPr>
        <w:tab/>
      </w:r>
      <w:r w:rsidRPr="00DF720D">
        <w:rPr>
          <w:lang w:val="nl-NL"/>
        </w:rPr>
        <w:t xml:space="preserve">des </w:t>
      </w:r>
      <w:proofErr w:type="spellStart"/>
      <w:r w:rsidRPr="00DF720D">
        <w:rPr>
          <w:lang w:val="nl-NL"/>
        </w:rPr>
        <w:t>Dokuments</w:t>
      </w:r>
      <w:proofErr w:type="spellEnd"/>
      <w:r w:rsidRPr="00DF720D">
        <w:rPr>
          <w:lang w:val="nl-NL"/>
        </w:rPr>
        <w:t xml:space="preserve"> 2024/7 </w:t>
      </w:r>
      <w:proofErr w:type="spellStart"/>
      <w:r w:rsidRPr="00DF720D">
        <w:rPr>
          <w:lang w:val="nl-NL"/>
        </w:rPr>
        <w:t>vor</w:t>
      </w:r>
      <w:proofErr w:type="spellEnd"/>
      <w:r w:rsidRPr="00DF720D">
        <w:rPr>
          <w:lang w:val="nl-NL"/>
        </w:rPr>
        <w:t>.</w:t>
      </w:r>
    </w:p>
    <w:p w14:paraId="25A22E68" w14:textId="7D4591C6" w:rsidR="0063344C" w:rsidRPr="00C5422E" w:rsidRDefault="0063344C" w:rsidP="00E636E2">
      <w:pPr>
        <w:pStyle w:val="SingleTxtG"/>
        <w:rPr>
          <w:lang w:val="nl-NL"/>
        </w:rPr>
      </w:pPr>
      <w:r w:rsidRPr="00C5422E">
        <w:rPr>
          <w:lang w:val="nl-NL"/>
        </w:rPr>
        <w:t>6.</w:t>
      </w:r>
      <w:r w:rsidRPr="00C5422E">
        <w:rPr>
          <w:lang w:val="nl-NL"/>
        </w:rPr>
        <w:tab/>
      </w:r>
      <w:proofErr w:type="spellStart"/>
      <w:r w:rsidRPr="00C5422E">
        <w:rPr>
          <w:lang w:val="nl-NL"/>
        </w:rPr>
        <w:t>Identisch</w:t>
      </w:r>
      <w:proofErr w:type="spellEnd"/>
      <w:r w:rsidRPr="00C5422E">
        <w:rPr>
          <w:lang w:val="nl-NL"/>
        </w:rPr>
        <w:t xml:space="preserve"> </w:t>
      </w:r>
      <w:proofErr w:type="spellStart"/>
      <w:r w:rsidRPr="00C5422E">
        <w:rPr>
          <w:lang w:val="nl-NL"/>
        </w:rPr>
        <w:t>mit</w:t>
      </w:r>
      <w:proofErr w:type="spellEnd"/>
      <w:r w:rsidRPr="00C5422E">
        <w:rPr>
          <w:lang w:val="nl-NL"/>
        </w:rPr>
        <w:t xml:space="preserve"> der </w:t>
      </w:r>
      <w:proofErr w:type="spellStart"/>
      <w:r>
        <w:rPr>
          <w:lang w:val="nl-NL"/>
        </w:rPr>
        <w:t>nachträglichen</w:t>
      </w:r>
      <w:proofErr w:type="spellEnd"/>
      <w:r>
        <w:rPr>
          <w:lang w:val="nl-NL"/>
        </w:rPr>
        <w:t xml:space="preserve"> </w:t>
      </w:r>
      <w:r w:rsidRPr="00C5422E">
        <w:rPr>
          <w:lang w:val="nl-NL"/>
        </w:rPr>
        <w:t xml:space="preserve"> </w:t>
      </w:r>
      <w:proofErr w:type="spellStart"/>
      <w:r>
        <w:rPr>
          <w:lang w:val="nl-NL"/>
        </w:rPr>
        <w:t>Zud</w:t>
      </w:r>
      <w:r w:rsidRPr="00C5422E">
        <w:rPr>
          <w:lang w:val="nl-NL"/>
        </w:rPr>
        <w:t>osierung</w:t>
      </w:r>
      <w:proofErr w:type="spellEnd"/>
      <w:r w:rsidRPr="00C5422E">
        <w:rPr>
          <w:lang w:val="nl-NL"/>
        </w:rPr>
        <w:t xml:space="preserve"> </w:t>
      </w:r>
      <w:proofErr w:type="spellStart"/>
      <w:r w:rsidRPr="00C5422E">
        <w:rPr>
          <w:lang w:val="nl-NL"/>
        </w:rPr>
        <w:t>von</w:t>
      </w:r>
      <w:proofErr w:type="spellEnd"/>
      <w:r w:rsidRPr="00C5422E">
        <w:rPr>
          <w:lang w:val="nl-NL"/>
        </w:rPr>
        <w:t xml:space="preserve"> Stabilisatoren, wie </w:t>
      </w:r>
      <w:proofErr w:type="spellStart"/>
      <w:r w:rsidRPr="00C5422E">
        <w:rPr>
          <w:lang w:val="nl-NL"/>
        </w:rPr>
        <w:t>sie</w:t>
      </w:r>
      <w:proofErr w:type="spellEnd"/>
      <w:r w:rsidRPr="00C5422E">
        <w:rPr>
          <w:lang w:val="nl-NL"/>
        </w:rPr>
        <w:t xml:space="preserve"> in</w:t>
      </w:r>
      <w:r>
        <w:rPr>
          <w:lang w:val="nl-NL"/>
        </w:rPr>
        <w:t xml:space="preserve"> </w:t>
      </w:r>
      <w:r w:rsidRPr="00C5422E">
        <w:rPr>
          <w:lang w:val="nl-NL"/>
        </w:rPr>
        <w:t xml:space="preserve">den </w:t>
      </w:r>
      <w:proofErr w:type="spellStart"/>
      <w:r w:rsidRPr="00C5422E">
        <w:rPr>
          <w:lang w:val="nl-NL"/>
        </w:rPr>
        <w:t>deutschen</w:t>
      </w:r>
      <w:proofErr w:type="spellEnd"/>
      <w:r w:rsidRPr="00C5422E">
        <w:rPr>
          <w:lang w:val="nl-NL"/>
        </w:rPr>
        <w:t xml:space="preserve"> </w:t>
      </w:r>
      <w:proofErr w:type="spellStart"/>
      <w:r w:rsidRPr="00C5422E">
        <w:rPr>
          <w:lang w:val="nl-NL"/>
        </w:rPr>
        <w:t>Vorschlägen</w:t>
      </w:r>
      <w:proofErr w:type="spellEnd"/>
      <w:r w:rsidRPr="00C5422E">
        <w:rPr>
          <w:lang w:val="nl-NL"/>
        </w:rPr>
        <w:t xml:space="preserve"> </w:t>
      </w:r>
      <w:proofErr w:type="spellStart"/>
      <w:r w:rsidRPr="00C5422E">
        <w:rPr>
          <w:lang w:val="nl-NL"/>
        </w:rPr>
        <w:t>beschrieben</w:t>
      </w:r>
      <w:proofErr w:type="spellEnd"/>
      <w:r w:rsidRPr="00C5422E">
        <w:rPr>
          <w:lang w:val="nl-NL"/>
        </w:rPr>
        <w:t xml:space="preserve"> </w:t>
      </w:r>
      <w:proofErr w:type="spellStart"/>
      <w:r w:rsidRPr="00C5422E">
        <w:rPr>
          <w:lang w:val="nl-NL"/>
        </w:rPr>
        <w:t>ist</w:t>
      </w:r>
      <w:proofErr w:type="spellEnd"/>
      <w:r w:rsidRPr="00C5422E">
        <w:rPr>
          <w:lang w:val="nl-NL"/>
        </w:rPr>
        <w:t xml:space="preserve">, </w:t>
      </w:r>
      <w:proofErr w:type="spellStart"/>
      <w:r w:rsidRPr="00C5422E">
        <w:rPr>
          <w:lang w:val="nl-NL"/>
        </w:rPr>
        <w:t>kann</w:t>
      </w:r>
      <w:proofErr w:type="spellEnd"/>
      <w:r w:rsidRPr="00C5422E">
        <w:rPr>
          <w:lang w:val="nl-NL"/>
        </w:rPr>
        <w:t xml:space="preserve"> </w:t>
      </w:r>
      <w:proofErr w:type="spellStart"/>
      <w:r w:rsidRPr="00C5422E">
        <w:rPr>
          <w:lang w:val="nl-NL"/>
        </w:rPr>
        <w:t>auch</w:t>
      </w:r>
      <w:proofErr w:type="spellEnd"/>
      <w:r w:rsidRPr="00C5422E">
        <w:rPr>
          <w:lang w:val="nl-NL"/>
        </w:rPr>
        <w:t xml:space="preserve"> die </w:t>
      </w:r>
      <w:proofErr w:type="spellStart"/>
      <w:r>
        <w:rPr>
          <w:lang w:val="nl-NL"/>
        </w:rPr>
        <w:t>nachträgliche</w:t>
      </w:r>
      <w:proofErr w:type="spellEnd"/>
      <w:r>
        <w:rPr>
          <w:lang w:val="nl-NL"/>
        </w:rPr>
        <w:t xml:space="preserve"> </w:t>
      </w:r>
      <w:r w:rsidRPr="00C5422E">
        <w:rPr>
          <w:lang w:val="nl-NL"/>
        </w:rPr>
        <w:t xml:space="preserve"> </w:t>
      </w:r>
      <w:proofErr w:type="spellStart"/>
      <w:r>
        <w:rPr>
          <w:lang w:val="nl-NL"/>
        </w:rPr>
        <w:t>Zud</w:t>
      </w:r>
      <w:r w:rsidRPr="00C5422E">
        <w:rPr>
          <w:lang w:val="nl-NL"/>
        </w:rPr>
        <w:t>osierung</w:t>
      </w:r>
      <w:proofErr w:type="spellEnd"/>
      <w:r w:rsidRPr="00C5422E">
        <w:rPr>
          <w:lang w:val="nl-NL"/>
        </w:rPr>
        <w:t xml:space="preserve"> </w:t>
      </w:r>
      <w:proofErr w:type="spellStart"/>
      <w:r w:rsidRPr="00C5422E">
        <w:rPr>
          <w:lang w:val="nl-NL"/>
        </w:rPr>
        <w:t>anderer</w:t>
      </w:r>
      <w:proofErr w:type="spellEnd"/>
      <w:r w:rsidRPr="00C5422E">
        <w:rPr>
          <w:lang w:val="nl-NL"/>
        </w:rPr>
        <w:t xml:space="preserve"> </w:t>
      </w:r>
      <w:r>
        <w:rPr>
          <w:lang w:val="nl-NL"/>
        </w:rPr>
        <w:t>Additive</w:t>
      </w:r>
      <w:r w:rsidRPr="00C5422E">
        <w:rPr>
          <w:lang w:val="nl-NL"/>
        </w:rPr>
        <w:t xml:space="preserve"> </w:t>
      </w:r>
      <w:proofErr w:type="spellStart"/>
      <w:r w:rsidRPr="00C5422E">
        <w:rPr>
          <w:lang w:val="nl-NL"/>
        </w:rPr>
        <w:t>an</w:t>
      </w:r>
      <w:proofErr w:type="spellEnd"/>
      <w:r w:rsidRPr="00C5422E">
        <w:rPr>
          <w:lang w:val="nl-NL"/>
        </w:rPr>
        <w:t xml:space="preserve"> Bord </w:t>
      </w:r>
      <w:proofErr w:type="spellStart"/>
      <w:r w:rsidRPr="00C5422E">
        <w:rPr>
          <w:lang w:val="nl-NL"/>
        </w:rPr>
        <w:t>auf</w:t>
      </w:r>
      <w:proofErr w:type="spellEnd"/>
      <w:r w:rsidRPr="00C5422E">
        <w:rPr>
          <w:lang w:val="nl-NL"/>
        </w:rPr>
        <w:t xml:space="preserve"> </w:t>
      </w:r>
      <w:proofErr w:type="spellStart"/>
      <w:r w:rsidRPr="00C5422E">
        <w:rPr>
          <w:lang w:val="nl-NL"/>
        </w:rPr>
        <w:t>sichere</w:t>
      </w:r>
      <w:proofErr w:type="spellEnd"/>
      <w:r w:rsidRPr="00C5422E">
        <w:rPr>
          <w:lang w:val="nl-NL"/>
        </w:rPr>
        <w:t xml:space="preserve"> </w:t>
      </w:r>
      <w:proofErr w:type="spellStart"/>
      <w:r w:rsidRPr="00C5422E">
        <w:rPr>
          <w:lang w:val="nl-NL"/>
        </w:rPr>
        <w:t>Weise</w:t>
      </w:r>
      <w:proofErr w:type="spellEnd"/>
      <w:r w:rsidRPr="00C5422E">
        <w:rPr>
          <w:lang w:val="nl-NL"/>
        </w:rPr>
        <w:t xml:space="preserve"> </w:t>
      </w:r>
      <w:proofErr w:type="spellStart"/>
      <w:r w:rsidRPr="00C5422E">
        <w:rPr>
          <w:lang w:val="nl-NL"/>
        </w:rPr>
        <w:t>erfolgen</w:t>
      </w:r>
      <w:proofErr w:type="spellEnd"/>
      <w:r w:rsidRPr="00C5422E">
        <w:rPr>
          <w:lang w:val="nl-NL"/>
        </w:rPr>
        <w:t>.</w:t>
      </w:r>
    </w:p>
    <w:p w14:paraId="59DB04BA" w14:textId="7FF9D957" w:rsidR="0063344C" w:rsidRPr="001062FE" w:rsidRDefault="0063344C" w:rsidP="00E636E2">
      <w:pPr>
        <w:pStyle w:val="SingleTxtG"/>
        <w:rPr>
          <w:lang w:val="nl-NL"/>
        </w:rPr>
      </w:pPr>
      <w:r w:rsidRPr="001062FE">
        <w:rPr>
          <w:lang w:val="nl-NL"/>
        </w:rPr>
        <w:t>7.</w:t>
      </w:r>
      <w:r w:rsidRPr="001062FE">
        <w:rPr>
          <w:lang w:val="nl-NL"/>
        </w:rPr>
        <w:tab/>
        <w:t xml:space="preserve">Die </w:t>
      </w:r>
      <w:proofErr w:type="spellStart"/>
      <w:r w:rsidRPr="001062FE">
        <w:rPr>
          <w:lang w:val="nl-NL"/>
        </w:rPr>
        <w:t>Vorschläge</w:t>
      </w:r>
      <w:proofErr w:type="spellEnd"/>
      <w:r w:rsidRPr="001062FE">
        <w:rPr>
          <w:lang w:val="nl-NL"/>
        </w:rPr>
        <w:t xml:space="preserve"> </w:t>
      </w:r>
      <w:proofErr w:type="spellStart"/>
      <w:r w:rsidRPr="001062FE">
        <w:rPr>
          <w:lang w:val="nl-NL"/>
        </w:rPr>
        <w:t>stimmen</w:t>
      </w:r>
      <w:proofErr w:type="spellEnd"/>
      <w:r w:rsidRPr="001062FE">
        <w:rPr>
          <w:lang w:val="nl-NL"/>
        </w:rPr>
        <w:t xml:space="preserve"> in </w:t>
      </w:r>
      <w:proofErr w:type="spellStart"/>
      <w:r w:rsidRPr="001062FE">
        <w:rPr>
          <w:lang w:val="nl-NL"/>
        </w:rPr>
        <w:t>jeder</w:t>
      </w:r>
      <w:proofErr w:type="spellEnd"/>
      <w:r w:rsidRPr="001062FE">
        <w:rPr>
          <w:lang w:val="nl-NL"/>
        </w:rPr>
        <w:t xml:space="preserve"> </w:t>
      </w:r>
      <w:proofErr w:type="spellStart"/>
      <w:r w:rsidRPr="001062FE">
        <w:rPr>
          <w:lang w:val="nl-NL"/>
        </w:rPr>
        <w:t>Hinsicht</w:t>
      </w:r>
      <w:proofErr w:type="spellEnd"/>
      <w:r w:rsidRPr="001062FE">
        <w:rPr>
          <w:lang w:val="nl-NL"/>
        </w:rPr>
        <w:t xml:space="preserve"> </w:t>
      </w:r>
      <w:proofErr w:type="spellStart"/>
      <w:r w:rsidRPr="001062FE">
        <w:rPr>
          <w:lang w:val="nl-NL"/>
        </w:rPr>
        <w:t>mit</w:t>
      </w:r>
      <w:proofErr w:type="spellEnd"/>
      <w:r w:rsidRPr="001062FE">
        <w:rPr>
          <w:lang w:val="nl-NL"/>
        </w:rPr>
        <w:t xml:space="preserve"> den </w:t>
      </w:r>
      <w:proofErr w:type="spellStart"/>
      <w:r w:rsidRPr="001062FE">
        <w:rPr>
          <w:lang w:val="nl-NL"/>
        </w:rPr>
        <w:t>zwischen</w:t>
      </w:r>
      <w:proofErr w:type="spellEnd"/>
      <w:r w:rsidRPr="001062FE">
        <w:rPr>
          <w:lang w:val="nl-NL"/>
        </w:rPr>
        <w:t xml:space="preserve"> den </w:t>
      </w:r>
      <w:proofErr w:type="spellStart"/>
      <w:r w:rsidRPr="001062FE">
        <w:rPr>
          <w:lang w:val="nl-NL"/>
        </w:rPr>
        <w:t>Vertragsparteien</w:t>
      </w:r>
      <w:proofErr w:type="spellEnd"/>
      <w:r w:rsidRPr="001062FE">
        <w:rPr>
          <w:lang w:val="nl-NL"/>
        </w:rPr>
        <w:t xml:space="preserve"> </w:t>
      </w:r>
      <w:proofErr w:type="spellStart"/>
      <w:r w:rsidRPr="001062FE">
        <w:rPr>
          <w:lang w:val="nl-NL"/>
        </w:rPr>
        <w:t>vereinbarten</w:t>
      </w:r>
      <w:proofErr w:type="spellEnd"/>
      <w:r w:rsidRPr="001062FE">
        <w:rPr>
          <w:lang w:val="nl-NL"/>
        </w:rPr>
        <w:t xml:space="preserve"> </w:t>
      </w:r>
      <w:proofErr w:type="spellStart"/>
      <w:r w:rsidRPr="001062FE">
        <w:rPr>
          <w:lang w:val="nl-NL"/>
        </w:rPr>
        <w:t>unten</w:t>
      </w:r>
      <w:proofErr w:type="spellEnd"/>
      <w:r w:rsidRPr="001062FE">
        <w:rPr>
          <w:lang w:val="nl-NL"/>
        </w:rPr>
        <w:t xml:space="preserve"> </w:t>
      </w:r>
      <w:proofErr w:type="spellStart"/>
      <w:r w:rsidRPr="001062FE">
        <w:rPr>
          <w:lang w:val="nl-NL"/>
        </w:rPr>
        <w:t>stehenden</w:t>
      </w:r>
      <w:proofErr w:type="spellEnd"/>
      <w:r w:rsidRPr="001062FE">
        <w:rPr>
          <w:lang w:val="nl-NL"/>
        </w:rPr>
        <w:t xml:space="preserve"> </w:t>
      </w:r>
      <w:proofErr w:type="spellStart"/>
      <w:r w:rsidRPr="001062FE">
        <w:rPr>
          <w:lang w:val="nl-NL"/>
        </w:rPr>
        <w:t>Grundsätzen</w:t>
      </w:r>
      <w:proofErr w:type="spellEnd"/>
      <w:r w:rsidRPr="001062FE">
        <w:rPr>
          <w:lang w:val="nl-NL"/>
        </w:rPr>
        <w:t xml:space="preserve"> des ADN </w:t>
      </w:r>
      <w:proofErr w:type="spellStart"/>
      <w:r w:rsidRPr="001062FE">
        <w:rPr>
          <w:lang w:val="nl-NL"/>
        </w:rPr>
        <w:t>überein</w:t>
      </w:r>
      <w:proofErr w:type="spellEnd"/>
      <w:r w:rsidRPr="001062FE">
        <w:rPr>
          <w:lang w:val="nl-NL"/>
        </w:rPr>
        <w:t>:</w:t>
      </w:r>
    </w:p>
    <w:p w14:paraId="42512F35" w14:textId="77777777" w:rsidR="0063344C" w:rsidRPr="001062FE" w:rsidRDefault="0063344C" w:rsidP="00E636E2">
      <w:pPr>
        <w:pStyle w:val="SingleTxtG"/>
        <w:rPr>
          <w:b/>
          <w:sz w:val="22"/>
          <w:lang w:val="nl-NL"/>
        </w:rPr>
      </w:pPr>
    </w:p>
    <w:p w14:paraId="3F8CE3B7" w14:textId="77777777" w:rsidR="0063344C" w:rsidRDefault="0063344C" w:rsidP="0063344C">
      <w:pPr>
        <w:ind w:right="990"/>
        <w:jc w:val="center"/>
        <w:rPr>
          <w:b/>
          <w:sz w:val="22"/>
          <w:lang w:val="nl-NL"/>
        </w:rPr>
      </w:pPr>
      <w:r w:rsidRPr="003A4416">
        <w:rPr>
          <w:b/>
          <w:sz w:val="22"/>
          <w:lang w:val="nl-NL"/>
        </w:rPr>
        <w:t xml:space="preserve">„EUROPÄISCHES ÜBEREINKOMMEN </w:t>
      </w:r>
      <w:r w:rsidRPr="003A4416">
        <w:rPr>
          <w:b/>
          <w:sz w:val="22"/>
          <w:lang w:val="nl-NL"/>
        </w:rPr>
        <w:br/>
        <w:t>ÜBER DIE INTERNATIONALE BEFÖRDERUNG VON</w:t>
      </w:r>
    </w:p>
    <w:p w14:paraId="1B08A6B2" w14:textId="77777777" w:rsidR="0063344C" w:rsidRDefault="0063344C" w:rsidP="0063344C">
      <w:pPr>
        <w:ind w:right="990"/>
        <w:jc w:val="center"/>
        <w:rPr>
          <w:b/>
          <w:sz w:val="22"/>
          <w:lang w:val="de-DE"/>
        </w:rPr>
      </w:pPr>
      <w:r w:rsidRPr="003A4416">
        <w:rPr>
          <w:b/>
          <w:sz w:val="22"/>
          <w:lang w:val="nl-NL"/>
        </w:rPr>
        <w:t>GEFÄHRLICHEN GÜTERN</w:t>
      </w:r>
    </w:p>
    <w:p w14:paraId="35EFAB85" w14:textId="77777777" w:rsidR="0063344C" w:rsidRPr="003A4416" w:rsidRDefault="0063344C" w:rsidP="0063344C">
      <w:pPr>
        <w:jc w:val="center"/>
        <w:rPr>
          <w:b/>
          <w:sz w:val="22"/>
          <w:lang w:val="nl-NL"/>
        </w:rPr>
      </w:pPr>
      <w:r w:rsidRPr="003A4416">
        <w:rPr>
          <w:b/>
          <w:sz w:val="22"/>
          <w:lang w:val="nl-NL"/>
        </w:rPr>
        <w:t>AUF BINNENWASSERSTRASSEN</w:t>
      </w:r>
    </w:p>
    <w:p w14:paraId="4693D147" w14:textId="77777777" w:rsidR="0063344C" w:rsidRPr="003A4416" w:rsidRDefault="0063344C" w:rsidP="0063344C">
      <w:pPr>
        <w:jc w:val="center"/>
        <w:rPr>
          <w:b/>
          <w:sz w:val="22"/>
          <w:lang w:val="nl-NL"/>
        </w:rPr>
      </w:pPr>
      <w:r w:rsidRPr="003A4416">
        <w:rPr>
          <w:b/>
          <w:sz w:val="22"/>
          <w:lang w:val="nl-NL"/>
        </w:rPr>
        <w:t>(ADN)</w:t>
      </w:r>
    </w:p>
    <w:p w14:paraId="2FD060F8" w14:textId="69813C3C" w:rsidR="0063344C" w:rsidRPr="003A4416" w:rsidRDefault="0063344C" w:rsidP="00D017E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val="0"/>
        <w:spacing w:after="240"/>
        <w:ind w:left="1134" w:right="1134"/>
        <w:jc w:val="both"/>
        <w:rPr>
          <w:b/>
          <w:sz w:val="22"/>
          <w:lang w:val="nl-NL"/>
        </w:rPr>
      </w:pPr>
      <w:r w:rsidRPr="00D017E6">
        <w:rPr>
          <w:b/>
          <w:sz w:val="22"/>
        </w:rPr>
        <w:t>DIE</w:t>
      </w:r>
      <w:r w:rsidRPr="003A4416">
        <w:rPr>
          <w:b/>
          <w:sz w:val="22"/>
          <w:lang w:val="nl-NL"/>
        </w:rPr>
        <w:t xml:space="preserve"> VERTRAGSPARTEIEN,</w:t>
      </w:r>
    </w:p>
    <w:p w14:paraId="6824CB34" w14:textId="6F4F0811" w:rsidR="0063344C" w:rsidRPr="00A0000E" w:rsidRDefault="0063344C" w:rsidP="00D017E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val="0"/>
        <w:spacing w:after="240"/>
        <w:ind w:left="1134" w:right="1134"/>
        <w:jc w:val="both"/>
        <w:rPr>
          <w:b/>
          <w:snapToGrid w:val="0"/>
          <w:lang w:val="nl-NL"/>
        </w:rPr>
      </w:pPr>
      <w:r w:rsidRPr="00A0000E">
        <w:rPr>
          <w:b/>
          <w:sz w:val="22"/>
          <w:lang w:val="nl-NL"/>
        </w:rPr>
        <w:t xml:space="preserve">IN </w:t>
      </w:r>
      <w:r w:rsidRPr="00D017E6">
        <w:rPr>
          <w:b/>
          <w:sz w:val="22"/>
        </w:rPr>
        <w:t>DEM</w:t>
      </w:r>
      <w:r w:rsidRPr="00A0000E">
        <w:rPr>
          <w:b/>
          <w:sz w:val="22"/>
          <w:lang w:val="nl-NL"/>
        </w:rPr>
        <w:t xml:space="preserve"> WUNSCHE</w:t>
      </w:r>
      <w:r w:rsidRPr="00A0000E">
        <w:rPr>
          <w:rFonts w:ascii="Arial" w:hAnsi="Arial"/>
          <w:b/>
          <w:lang w:val="nl-NL" w:eastAsia="ja-JP"/>
        </w:rPr>
        <w:t xml:space="preserve">, </w:t>
      </w:r>
      <w:proofErr w:type="spellStart"/>
      <w:r w:rsidRPr="00A0000E">
        <w:rPr>
          <w:b/>
          <w:snapToGrid w:val="0"/>
          <w:lang w:val="nl-NL" w:eastAsia="en-US"/>
        </w:rPr>
        <w:t>gemeinsam</w:t>
      </w:r>
      <w:proofErr w:type="spellEnd"/>
      <w:r w:rsidRPr="00A0000E">
        <w:rPr>
          <w:b/>
          <w:snapToGrid w:val="0"/>
          <w:lang w:val="nl-NL" w:eastAsia="en-US"/>
        </w:rPr>
        <w:t xml:space="preserve"> </w:t>
      </w:r>
      <w:proofErr w:type="spellStart"/>
      <w:r w:rsidRPr="00A0000E">
        <w:rPr>
          <w:b/>
          <w:snapToGrid w:val="0"/>
          <w:lang w:val="nl-NL" w:eastAsia="en-US"/>
        </w:rPr>
        <w:t>einheitliche</w:t>
      </w:r>
      <w:proofErr w:type="spellEnd"/>
      <w:r w:rsidRPr="00A0000E">
        <w:rPr>
          <w:b/>
          <w:snapToGrid w:val="0"/>
          <w:lang w:val="nl-NL" w:eastAsia="en-US"/>
        </w:rPr>
        <w:t xml:space="preserve"> </w:t>
      </w:r>
      <w:proofErr w:type="spellStart"/>
      <w:r w:rsidRPr="00A0000E">
        <w:rPr>
          <w:b/>
          <w:snapToGrid w:val="0"/>
          <w:lang w:val="nl-NL" w:eastAsia="en-US"/>
        </w:rPr>
        <w:t>Prinzipien</w:t>
      </w:r>
      <w:proofErr w:type="spellEnd"/>
      <w:r w:rsidRPr="00A0000E">
        <w:rPr>
          <w:b/>
          <w:snapToGrid w:val="0"/>
          <w:lang w:val="nl-NL" w:eastAsia="en-US"/>
        </w:rPr>
        <w:t xml:space="preserve"> </w:t>
      </w:r>
      <w:proofErr w:type="spellStart"/>
      <w:r w:rsidRPr="00A0000E">
        <w:rPr>
          <w:b/>
          <w:snapToGrid w:val="0"/>
          <w:lang w:val="nl-NL" w:eastAsia="en-US"/>
        </w:rPr>
        <w:t>und</w:t>
      </w:r>
      <w:proofErr w:type="spellEnd"/>
      <w:r w:rsidRPr="00A0000E">
        <w:rPr>
          <w:b/>
          <w:snapToGrid w:val="0"/>
          <w:lang w:val="nl-NL" w:eastAsia="en-US"/>
        </w:rPr>
        <w:t xml:space="preserve"> </w:t>
      </w:r>
      <w:proofErr w:type="spellStart"/>
      <w:r w:rsidRPr="00A0000E">
        <w:rPr>
          <w:b/>
          <w:snapToGrid w:val="0"/>
          <w:lang w:val="nl-NL" w:eastAsia="en-US"/>
        </w:rPr>
        <w:t>Regeln</w:t>
      </w:r>
      <w:proofErr w:type="spellEnd"/>
      <w:r w:rsidRPr="00A0000E">
        <w:rPr>
          <w:b/>
          <w:snapToGrid w:val="0"/>
          <w:lang w:val="nl-NL" w:eastAsia="en-US"/>
        </w:rPr>
        <w:t xml:space="preserve"> </w:t>
      </w:r>
      <w:proofErr w:type="spellStart"/>
      <w:r w:rsidRPr="00A0000E">
        <w:rPr>
          <w:b/>
          <w:snapToGrid w:val="0"/>
          <w:lang w:val="nl-NL" w:eastAsia="en-US"/>
        </w:rPr>
        <w:t>aufzustellen</w:t>
      </w:r>
      <w:proofErr w:type="spellEnd"/>
      <w:r w:rsidRPr="00A0000E">
        <w:rPr>
          <w:b/>
          <w:snapToGrid w:val="0"/>
          <w:lang w:val="nl-NL" w:eastAsia="en-US"/>
        </w:rPr>
        <w:t xml:space="preserve"> </w:t>
      </w:r>
      <w:proofErr w:type="spellStart"/>
      <w:r w:rsidRPr="00A0000E">
        <w:rPr>
          <w:b/>
          <w:snapToGrid w:val="0"/>
          <w:lang w:val="nl-NL" w:eastAsia="en-US"/>
        </w:rPr>
        <w:t>mit</w:t>
      </w:r>
      <w:proofErr w:type="spellEnd"/>
      <w:r w:rsidRPr="00A0000E">
        <w:rPr>
          <w:b/>
          <w:snapToGrid w:val="0"/>
          <w:lang w:val="nl-NL" w:eastAsia="en-US"/>
        </w:rPr>
        <w:t xml:space="preserve"> </w:t>
      </w:r>
      <w:proofErr w:type="spellStart"/>
      <w:r w:rsidRPr="00A0000E">
        <w:rPr>
          <w:b/>
          <w:snapToGrid w:val="0"/>
          <w:lang w:val="nl-NL" w:eastAsia="en-US"/>
        </w:rPr>
        <w:t>dem</w:t>
      </w:r>
      <w:proofErr w:type="spellEnd"/>
      <w:r w:rsidRPr="00A0000E">
        <w:rPr>
          <w:b/>
          <w:snapToGrid w:val="0"/>
          <w:lang w:val="nl-NL" w:eastAsia="en-US"/>
        </w:rPr>
        <w:t xml:space="preserve"> Ziel:</w:t>
      </w:r>
    </w:p>
    <w:p w14:paraId="6694842C" w14:textId="77777777" w:rsidR="0063344C" w:rsidRPr="003A4416" w:rsidRDefault="0063344C" w:rsidP="00D017E6">
      <w:pPr>
        <w:pStyle w:val="SingleTxtG"/>
        <w:ind w:left="2268" w:hanging="567"/>
        <w:rPr>
          <w:snapToGrid w:val="0"/>
          <w:lang w:val="nl-NL"/>
        </w:rPr>
      </w:pPr>
      <w:r>
        <w:rPr>
          <w:lang w:val="nl-NL" w:eastAsia="ja-JP"/>
        </w:rPr>
        <w:t>a)</w:t>
      </w:r>
      <w:r>
        <w:rPr>
          <w:lang w:val="nl-NL" w:eastAsia="ja-JP"/>
        </w:rPr>
        <w:tab/>
      </w:r>
      <w:r>
        <w:rPr>
          <w:snapToGrid w:val="0"/>
          <w:lang w:val="nl-NL" w:eastAsia="en-US"/>
        </w:rPr>
        <w:t>die</w:t>
      </w:r>
      <w:r w:rsidRPr="003A4416">
        <w:rPr>
          <w:snapToGrid w:val="0"/>
          <w:lang w:val="nl-NL" w:eastAsia="en-US"/>
        </w:rPr>
        <w:t xml:space="preserve"> </w:t>
      </w:r>
      <w:proofErr w:type="spellStart"/>
      <w:r w:rsidRPr="003A4416">
        <w:rPr>
          <w:snapToGrid w:val="0"/>
          <w:lang w:val="nl-NL" w:eastAsia="en-US"/>
        </w:rPr>
        <w:t>Sicherheit</w:t>
      </w:r>
      <w:proofErr w:type="spellEnd"/>
      <w:r w:rsidRPr="003A4416">
        <w:rPr>
          <w:snapToGrid w:val="0"/>
          <w:lang w:val="nl-NL" w:eastAsia="en-US"/>
        </w:rPr>
        <w:t xml:space="preserve"> der internationalen </w:t>
      </w:r>
      <w:proofErr w:type="spellStart"/>
      <w:r w:rsidRPr="003A4416">
        <w:rPr>
          <w:snapToGrid w:val="0"/>
          <w:lang w:val="nl-NL" w:eastAsia="en-US"/>
        </w:rPr>
        <w:t>Beförderung</w:t>
      </w:r>
      <w:proofErr w:type="spellEnd"/>
      <w:r w:rsidRPr="003A4416">
        <w:rPr>
          <w:snapToGrid w:val="0"/>
          <w:lang w:val="nl-NL" w:eastAsia="en-US"/>
        </w:rPr>
        <w:t xml:space="preserve"> </w:t>
      </w:r>
      <w:proofErr w:type="spellStart"/>
      <w:r w:rsidRPr="003A4416">
        <w:rPr>
          <w:snapToGrid w:val="0"/>
          <w:lang w:val="nl-NL" w:eastAsia="en-US"/>
        </w:rPr>
        <w:t>von</w:t>
      </w:r>
      <w:proofErr w:type="spellEnd"/>
      <w:r w:rsidRPr="003A4416">
        <w:rPr>
          <w:snapToGrid w:val="0"/>
          <w:lang w:val="nl-NL" w:eastAsia="en-US"/>
        </w:rPr>
        <w:t xml:space="preserve"> </w:t>
      </w:r>
      <w:proofErr w:type="spellStart"/>
      <w:r w:rsidRPr="003A4416">
        <w:rPr>
          <w:snapToGrid w:val="0"/>
          <w:lang w:val="nl-NL" w:eastAsia="en-US"/>
        </w:rPr>
        <w:t>gefährlichen</w:t>
      </w:r>
      <w:proofErr w:type="spellEnd"/>
      <w:r w:rsidRPr="003A4416">
        <w:rPr>
          <w:snapToGrid w:val="0"/>
          <w:lang w:val="nl-NL" w:eastAsia="en-US"/>
        </w:rPr>
        <w:t xml:space="preserve"> </w:t>
      </w:r>
      <w:proofErr w:type="spellStart"/>
      <w:r w:rsidRPr="003A4416">
        <w:rPr>
          <w:snapToGrid w:val="0"/>
          <w:lang w:val="nl-NL" w:eastAsia="en-US"/>
        </w:rPr>
        <w:t>Gütern</w:t>
      </w:r>
      <w:proofErr w:type="spellEnd"/>
      <w:r w:rsidRPr="003A4416">
        <w:rPr>
          <w:snapToGrid w:val="0"/>
          <w:lang w:val="nl-NL" w:eastAsia="en-US"/>
        </w:rPr>
        <w:t xml:space="preserve"> </w:t>
      </w:r>
      <w:proofErr w:type="spellStart"/>
      <w:r w:rsidRPr="003A4416">
        <w:rPr>
          <w:snapToGrid w:val="0"/>
          <w:lang w:val="nl-NL" w:eastAsia="en-US"/>
        </w:rPr>
        <w:t>auf</w:t>
      </w:r>
      <w:proofErr w:type="spellEnd"/>
      <w:r w:rsidRPr="003A4416">
        <w:rPr>
          <w:snapToGrid w:val="0"/>
          <w:lang w:val="nl-NL" w:eastAsia="en-US"/>
        </w:rPr>
        <w:t xml:space="preserve"> </w:t>
      </w:r>
      <w:proofErr w:type="spellStart"/>
      <w:r w:rsidRPr="003A4416">
        <w:rPr>
          <w:snapToGrid w:val="0"/>
          <w:lang w:val="nl-NL" w:eastAsia="en-US"/>
        </w:rPr>
        <w:t>Binnenwasserstraßen</w:t>
      </w:r>
      <w:proofErr w:type="spellEnd"/>
      <w:r w:rsidRPr="003A4416">
        <w:rPr>
          <w:snapToGrid w:val="0"/>
          <w:lang w:val="nl-NL" w:eastAsia="en-US"/>
        </w:rPr>
        <w:t xml:space="preserve"> </w:t>
      </w:r>
      <w:proofErr w:type="spellStart"/>
      <w:r w:rsidRPr="003A4416">
        <w:rPr>
          <w:snapToGrid w:val="0"/>
          <w:lang w:val="nl-NL" w:eastAsia="en-US"/>
        </w:rPr>
        <w:t>zu</w:t>
      </w:r>
      <w:proofErr w:type="spellEnd"/>
      <w:r w:rsidRPr="003A4416">
        <w:rPr>
          <w:snapToGrid w:val="0"/>
          <w:lang w:val="nl-NL" w:eastAsia="en-US"/>
        </w:rPr>
        <w:t xml:space="preserve"> </w:t>
      </w:r>
      <w:proofErr w:type="spellStart"/>
      <w:r w:rsidRPr="003A4416">
        <w:rPr>
          <w:snapToGrid w:val="0"/>
          <w:lang w:val="nl-NL" w:eastAsia="en-US"/>
        </w:rPr>
        <w:t>verstärken</w:t>
      </w:r>
      <w:proofErr w:type="spellEnd"/>
    </w:p>
    <w:p w14:paraId="6A9F769B" w14:textId="77777777" w:rsidR="0063344C" w:rsidRPr="003A4416" w:rsidRDefault="0063344C" w:rsidP="00D017E6">
      <w:pPr>
        <w:pStyle w:val="SingleTxtG"/>
        <w:ind w:left="2268" w:hanging="567"/>
        <w:rPr>
          <w:snapToGrid w:val="0"/>
          <w:lang w:val="nl-NL"/>
        </w:rPr>
      </w:pPr>
      <w:r w:rsidRPr="003A4416">
        <w:rPr>
          <w:snapToGrid w:val="0"/>
          <w:lang w:val="nl-NL" w:eastAsia="en-US"/>
        </w:rPr>
        <w:t>b)</w:t>
      </w:r>
      <w:r w:rsidRPr="003A4416">
        <w:rPr>
          <w:snapToGrid w:val="0"/>
          <w:lang w:val="nl-NL" w:eastAsia="en-US"/>
        </w:rPr>
        <w:tab/>
      </w:r>
      <w:proofErr w:type="spellStart"/>
      <w:r w:rsidRPr="003A4416">
        <w:rPr>
          <w:snapToGrid w:val="0"/>
          <w:lang w:val="nl-NL" w:eastAsia="en-US"/>
        </w:rPr>
        <w:t>durch</w:t>
      </w:r>
      <w:proofErr w:type="spellEnd"/>
      <w:r w:rsidRPr="003A4416">
        <w:rPr>
          <w:snapToGrid w:val="0"/>
          <w:lang w:val="nl-NL" w:eastAsia="en-US"/>
        </w:rPr>
        <w:t xml:space="preserve"> </w:t>
      </w:r>
      <w:proofErr w:type="spellStart"/>
      <w:r w:rsidRPr="003A4416">
        <w:rPr>
          <w:snapToGrid w:val="0"/>
          <w:lang w:val="nl-NL" w:eastAsia="en-US"/>
        </w:rPr>
        <w:t>Vermeidung</w:t>
      </w:r>
      <w:proofErr w:type="spellEnd"/>
      <w:r w:rsidRPr="003A4416">
        <w:rPr>
          <w:snapToGrid w:val="0"/>
          <w:lang w:val="nl-NL" w:eastAsia="en-US"/>
        </w:rPr>
        <w:t xml:space="preserve"> </w:t>
      </w:r>
      <w:proofErr w:type="spellStart"/>
      <w:r w:rsidRPr="003A4416">
        <w:rPr>
          <w:snapToGrid w:val="0"/>
          <w:lang w:val="nl-NL" w:eastAsia="en-US"/>
        </w:rPr>
        <w:t>von</w:t>
      </w:r>
      <w:proofErr w:type="spellEnd"/>
      <w:r w:rsidRPr="003A4416">
        <w:rPr>
          <w:snapToGrid w:val="0"/>
          <w:lang w:val="nl-NL" w:eastAsia="en-US"/>
        </w:rPr>
        <w:t xml:space="preserve"> </w:t>
      </w:r>
      <w:proofErr w:type="spellStart"/>
      <w:r w:rsidRPr="003A4416">
        <w:rPr>
          <w:snapToGrid w:val="0"/>
          <w:lang w:val="nl-NL" w:eastAsia="en-US"/>
        </w:rPr>
        <w:t>Verschmutzungen</w:t>
      </w:r>
      <w:proofErr w:type="spellEnd"/>
      <w:r w:rsidRPr="003A4416">
        <w:rPr>
          <w:snapToGrid w:val="0"/>
          <w:lang w:val="nl-NL" w:eastAsia="en-US"/>
        </w:rPr>
        <w:t xml:space="preserve">, die bei </w:t>
      </w:r>
      <w:proofErr w:type="spellStart"/>
      <w:r w:rsidRPr="003A4416">
        <w:rPr>
          <w:snapToGrid w:val="0"/>
          <w:lang w:val="nl-NL" w:eastAsia="en-US"/>
        </w:rPr>
        <w:t>Unfällen</w:t>
      </w:r>
      <w:proofErr w:type="spellEnd"/>
      <w:r w:rsidRPr="003A4416">
        <w:rPr>
          <w:snapToGrid w:val="0"/>
          <w:lang w:val="nl-NL" w:eastAsia="en-US"/>
        </w:rPr>
        <w:t xml:space="preserve"> </w:t>
      </w:r>
      <w:proofErr w:type="spellStart"/>
      <w:r w:rsidRPr="003A4416">
        <w:rPr>
          <w:snapToGrid w:val="0"/>
          <w:lang w:val="nl-NL" w:eastAsia="en-US"/>
        </w:rPr>
        <w:t>und</w:t>
      </w:r>
      <w:proofErr w:type="spellEnd"/>
      <w:r w:rsidRPr="003A4416">
        <w:rPr>
          <w:snapToGrid w:val="0"/>
          <w:lang w:val="nl-NL" w:eastAsia="en-US"/>
        </w:rPr>
        <w:t xml:space="preserve"> </w:t>
      </w:r>
      <w:proofErr w:type="spellStart"/>
      <w:r w:rsidRPr="003A4416">
        <w:rPr>
          <w:snapToGrid w:val="0"/>
          <w:lang w:val="nl-NL" w:eastAsia="en-US"/>
        </w:rPr>
        <w:t>Zwischenfällen</w:t>
      </w:r>
      <w:proofErr w:type="spellEnd"/>
      <w:r w:rsidRPr="003A4416">
        <w:rPr>
          <w:snapToGrid w:val="0"/>
          <w:lang w:val="nl-NL" w:eastAsia="en-US"/>
        </w:rPr>
        <w:t xml:space="preserve"> bei </w:t>
      </w:r>
      <w:proofErr w:type="spellStart"/>
      <w:r w:rsidRPr="003A4416">
        <w:rPr>
          <w:snapToGrid w:val="0"/>
          <w:lang w:val="nl-NL" w:eastAsia="en-US"/>
        </w:rPr>
        <w:t>solchen</w:t>
      </w:r>
      <w:proofErr w:type="spellEnd"/>
      <w:r w:rsidRPr="003A4416">
        <w:rPr>
          <w:snapToGrid w:val="0"/>
          <w:lang w:val="nl-NL" w:eastAsia="en-US"/>
        </w:rPr>
        <w:t xml:space="preserve"> </w:t>
      </w:r>
      <w:proofErr w:type="spellStart"/>
      <w:r w:rsidRPr="003A4416">
        <w:rPr>
          <w:snapToGrid w:val="0"/>
          <w:lang w:val="nl-NL" w:eastAsia="en-US"/>
        </w:rPr>
        <w:t>Beförderungen</w:t>
      </w:r>
      <w:proofErr w:type="spellEnd"/>
      <w:r w:rsidRPr="003A4416">
        <w:rPr>
          <w:snapToGrid w:val="0"/>
          <w:lang w:val="nl-NL" w:eastAsia="en-US"/>
        </w:rPr>
        <w:t xml:space="preserve"> </w:t>
      </w:r>
      <w:proofErr w:type="spellStart"/>
      <w:r w:rsidRPr="003A4416">
        <w:rPr>
          <w:snapToGrid w:val="0"/>
          <w:lang w:val="nl-NL" w:eastAsia="en-US"/>
        </w:rPr>
        <w:t>entstehen</w:t>
      </w:r>
      <w:proofErr w:type="spellEnd"/>
      <w:r w:rsidRPr="003A4416">
        <w:rPr>
          <w:snapToGrid w:val="0"/>
          <w:lang w:val="nl-NL" w:eastAsia="en-US"/>
        </w:rPr>
        <w:t xml:space="preserve"> </w:t>
      </w:r>
      <w:proofErr w:type="spellStart"/>
      <w:r w:rsidRPr="003A4416">
        <w:rPr>
          <w:snapToGrid w:val="0"/>
          <w:lang w:val="nl-NL" w:eastAsia="en-US"/>
        </w:rPr>
        <w:t>könnten</w:t>
      </w:r>
      <w:proofErr w:type="spellEnd"/>
      <w:r w:rsidRPr="003A4416">
        <w:rPr>
          <w:snapToGrid w:val="0"/>
          <w:lang w:val="nl-NL" w:eastAsia="en-US"/>
        </w:rPr>
        <w:t xml:space="preserve">, </w:t>
      </w:r>
      <w:proofErr w:type="spellStart"/>
      <w:r w:rsidRPr="003A4416">
        <w:rPr>
          <w:snapToGrid w:val="0"/>
          <w:lang w:val="nl-NL" w:eastAsia="en-US"/>
        </w:rPr>
        <w:t>wirksam</w:t>
      </w:r>
      <w:proofErr w:type="spellEnd"/>
      <w:r w:rsidRPr="003A4416">
        <w:rPr>
          <w:snapToGrid w:val="0"/>
          <w:lang w:val="nl-NL" w:eastAsia="en-US"/>
        </w:rPr>
        <w:t xml:space="preserve"> </w:t>
      </w:r>
      <w:proofErr w:type="spellStart"/>
      <w:r w:rsidRPr="003A4416">
        <w:rPr>
          <w:snapToGrid w:val="0"/>
          <w:lang w:val="nl-NL" w:eastAsia="en-US"/>
        </w:rPr>
        <w:t>zum</w:t>
      </w:r>
      <w:proofErr w:type="spellEnd"/>
      <w:r w:rsidRPr="003A4416">
        <w:rPr>
          <w:snapToGrid w:val="0"/>
          <w:lang w:val="nl-NL" w:eastAsia="en-US"/>
        </w:rPr>
        <w:t xml:space="preserve"> </w:t>
      </w:r>
      <w:proofErr w:type="spellStart"/>
      <w:r w:rsidRPr="003A4416">
        <w:rPr>
          <w:snapToGrid w:val="0"/>
          <w:lang w:val="nl-NL" w:eastAsia="en-US"/>
        </w:rPr>
        <w:t>Umweltschutz</w:t>
      </w:r>
      <w:proofErr w:type="spellEnd"/>
      <w:r w:rsidRPr="003A4416">
        <w:rPr>
          <w:snapToGrid w:val="0"/>
          <w:lang w:val="nl-NL" w:eastAsia="en-US"/>
        </w:rPr>
        <w:t xml:space="preserve"> </w:t>
      </w:r>
      <w:proofErr w:type="spellStart"/>
      <w:r w:rsidRPr="003A4416">
        <w:rPr>
          <w:snapToGrid w:val="0"/>
          <w:lang w:val="nl-NL" w:eastAsia="en-US"/>
        </w:rPr>
        <w:t>beizutragen</w:t>
      </w:r>
      <w:proofErr w:type="spellEnd"/>
      <w:r w:rsidRPr="003A4416">
        <w:rPr>
          <w:snapToGrid w:val="0"/>
          <w:lang w:val="nl-NL" w:eastAsia="en-US"/>
        </w:rPr>
        <w:t xml:space="preserve"> </w:t>
      </w:r>
      <w:proofErr w:type="spellStart"/>
      <w:r w:rsidRPr="003A4416">
        <w:rPr>
          <w:snapToGrid w:val="0"/>
          <w:lang w:val="nl-NL" w:eastAsia="en-US"/>
        </w:rPr>
        <w:t>und</w:t>
      </w:r>
      <w:proofErr w:type="spellEnd"/>
    </w:p>
    <w:p w14:paraId="0296045C" w14:textId="77777777" w:rsidR="0063344C" w:rsidRPr="003A4416" w:rsidRDefault="0063344C" w:rsidP="00D017E6">
      <w:pPr>
        <w:pStyle w:val="SingleTxtG"/>
        <w:ind w:left="2268" w:hanging="567"/>
        <w:rPr>
          <w:snapToGrid w:val="0"/>
          <w:lang w:val="nl-NL"/>
        </w:rPr>
      </w:pPr>
      <w:r w:rsidRPr="003A4416">
        <w:rPr>
          <w:snapToGrid w:val="0"/>
          <w:lang w:val="nl-NL" w:eastAsia="en-US"/>
        </w:rPr>
        <w:t>c)</w:t>
      </w:r>
      <w:r w:rsidRPr="003A4416">
        <w:rPr>
          <w:snapToGrid w:val="0"/>
          <w:lang w:val="nl-NL" w:eastAsia="en-US"/>
        </w:rPr>
        <w:tab/>
        <w:t xml:space="preserve">die </w:t>
      </w:r>
      <w:proofErr w:type="spellStart"/>
      <w:r w:rsidRPr="003A4416">
        <w:rPr>
          <w:snapToGrid w:val="0"/>
          <w:lang w:val="nl-NL" w:eastAsia="en-US"/>
        </w:rPr>
        <w:t>Beförderungsabläufe</w:t>
      </w:r>
      <w:proofErr w:type="spellEnd"/>
      <w:r w:rsidRPr="003A4416">
        <w:rPr>
          <w:snapToGrid w:val="0"/>
          <w:lang w:val="nl-NL" w:eastAsia="en-US"/>
        </w:rPr>
        <w:t xml:space="preserve"> </w:t>
      </w:r>
      <w:proofErr w:type="spellStart"/>
      <w:r w:rsidRPr="003A4416">
        <w:rPr>
          <w:snapToGrid w:val="0"/>
          <w:lang w:val="nl-NL" w:eastAsia="en-US"/>
        </w:rPr>
        <w:t>zu</w:t>
      </w:r>
      <w:proofErr w:type="spellEnd"/>
      <w:r w:rsidRPr="003A4416">
        <w:rPr>
          <w:snapToGrid w:val="0"/>
          <w:lang w:val="nl-NL" w:eastAsia="en-US"/>
        </w:rPr>
        <w:t xml:space="preserve"> </w:t>
      </w:r>
      <w:proofErr w:type="spellStart"/>
      <w:r w:rsidRPr="003A4416">
        <w:rPr>
          <w:snapToGrid w:val="0"/>
          <w:lang w:val="nl-NL" w:eastAsia="en-US"/>
        </w:rPr>
        <w:t>erleichtern</w:t>
      </w:r>
      <w:proofErr w:type="spellEnd"/>
      <w:r w:rsidRPr="003A4416">
        <w:rPr>
          <w:snapToGrid w:val="0"/>
          <w:lang w:val="nl-NL" w:eastAsia="en-US"/>
        </w:rPr>
        <w:t xml:space="preserve"> </w:t>
      </w:r>
      <w:proofErr w:type="spellStart"/>
      <w:r w:rsidRPr="003A4416">
        <w:rPr>
          <w:snapToGrid w:val="0"/>
          <w:lang w:val="nl-NL" w:eastAsia="en-US"/>
        </w:rPr>
        <w:t>und</w:t>
      </w:r>
      <w:proofErr w:type="spellEnd"/>
      <w:r w:rsidRPr="003A4416">
        <w:rPr>
          <w:snapToGrid w:val="0"/>
          <w:lang w:val="nl-NL" w:eastAsia="en-US"/>
        </w:rPr>
        <w:t xml:space="preserve"> den internationalen Handel </w:t>
      </w:r>
      <w:proofErr w:type="spellStart"/>
      <w:r w:rsidRPr="003A4416">
        <w:rPr>
          <w:snapToGrid w:val="0"/>
          <w:lang w:val="nl-NL" w:eastAsia="en-US"/>
        </w:rPr>
        <w:t>zu</w:t>
      </w:r>
      <w:proofErr w:type="spellEnd"/>
      <w:r w:rsidRPr="003A4416">
        <w:rPr>
          <w:snapToGrid w:val="0"/>
          <w:lang w:val="nl-NL" w:eastAsia="en-US"/>
        </w:rPr>
        <w:t xml:space="preserve"> </w:t>
      </w:r>
      <w:proofErr w:type="spellStart"/>
      <w:r w:rsidRPr="003A4416">
        <w:rPr>
          <w:snapToGrid w:val="0"/>
          <w:lang w:val="nl-NL" w:eastAsia="en-US"/>
        </w:rPr>
        <w:t>fördern</w:t>
      </w:r>
      <w:proofErr w:type="spellEnd"/>
      <w:r w:rsidRPr="003A4416">
        <w:rPr>
          <w:snapToGrid w:val="0"/>
          <w:lang w:val="nl-NL" w:eastAsia="en-US"/>
        </w:rPr>
        <w:t>,“</w:t>
      </w:r>
    </w:p>
    <w:p w14:paraId="5031EE0D" w14:textId="77777777" w:rsidR="0063344C" w:rsidRPr="00151074" w:rsidRDefault="0063344C" w:rsidP="00D017E6">
      <w:pPr>
        <w:pStyle w:val="HChG"/>
        <w:rPr>
          <w:lang w:val="nl-NL"/>
        </w:rPr>
      </w:pPr>
      <w:r w:rsidRPr="003A4416">
        <w:rPr>
          <w:b w:val="0"/>
          <w:lang w:val="nl-NL"/>
        </w:rPr>
        <w:tab/>
      </w:r>
      <w:r w:rsidRPr="00151074">
        <w:rPr>
          <w:bCs/>
          <w:lang w:val="nl-NL"/>
        </w:rPr>
        <w:t>I.</w:t>
      </w:r>
      <w:r w:rsidRPr="00151074">
        <w:rPr>
          <w:lang w:val="nl-NL"/>
        </w:rPr>
        <w:tab/>
      </w:r>
      <w:proofErr w:type="spellStart"/>
      <w:r w:rsidRPr="00151074">
        <w:rPr>
          <w:lang w:val="nl-NL"/>
        </w:rPr>
        <w:t>Vorschläge</w:t>
      </w:r>
      <w:proofErr w:type="spellEnd"/>
      <w:r w:rsidRPr="00151074">
        <w:rPr>
          <w:lang w:val="nl-NL"/>
        </w:rPr>
        <w:t xml:space="preserve"> </w:t>
      </w:r>
      <w:proofErr w:type="spellStart"/>
      <w:r w:rsidRPr="00151074">
        <w:rPr>
          <w:lang w:val="nl-NL"/>
        </w:rPr>
        <w:t>für</w:t>
      </w:r>
      <w:proofErr w:type="spellEnd"/>
      <w:r w:rsidRPr="00151074">
        <w:rPr>
          <w:lang w:val="nl-NL"/>
        </w:rPr>
        <w:t xml:space="preserve"> die </w:t>
      </w:r>
      <w:proofErr w:type="spellStart"/>
      <w:r w:rsidRPr="00D017E6">
        <w:t>Gestattung</w:t>
      </w:r>
      <w:proofErr w:type="spellEnd"/>
      <w:r w:rsidRPr="00151074">
        <w:rPr>
          <w:lang w:val="nl-NL"/>
        </w:rPr>
        <w:t xml:space="preserve"> </w:t>
      </w:r>
      <w:proofErr w:type="spellStart"/>
      <w:r w:rsidRPr="00151074">
        <w:rPr>
          <w:lang w:val="nl-NL"/>
        </w:rPr>
        <w:t>einer</w:t>
      </w:r>
      <w:proofErr w:type="spellEnd"/>
      <w:r w:rsidRPr="00151074">
        <w:rPr>
          <w:lang w:val="nl-NL"/>
        </w:rPr>
        <w:t xml:space="preserve"> </w:t>
      </w:r>
      <w:proofErr w:type="spellStart"/>
      <w:r w:rsidRPr="00151074">
        <w:rPr>
          <w:lang w:val="nl-NL"/>
        </w:rPr>
        <w:t>Zudosierung</w:t>
      </w:r>
      <w:proofErr w:type="spellEnd"/>
      <w:r w:rsidRPr="00151074">
        <w:rPr>
          <w:lang w:val="nl-NL"/>
        </w:rPr>
        <w:t xml:space="preserve"> </w:t>
      </w:r>
      <w:proofErr w:type="spellStart"/>
      <w:r w:rsidRPr="00151074">
        <w:rPr>
          <w:lang w:val="nl-NL"/>
        </w:rPr>
        <w:t>zusätzlicher</w:t>
      </w:r>
      <w:proofErr w:type="spellEnd"/>
      <w:r w:rsidRPr="00151074">
        <w:rPr>
          <w:lang w:val="nl-NL"/>
        </w:rPr>
        <w:t xml:space="preserve"> Additive</w:t>
      </w:r>
    </w:p>
    <w:p w14:paraId="26863E25" w14:textId="04C5D156" w:rsidR="0063344C" w:rsidRPr="005C03A5" w:rsidRDefault="0063344C" w:rsidP="005C03A5">
      <w:pPr>
        <w:pStyle w:val="SingleTxtG"/>
        <w:rPr>
          <w:b/>
          <w:bCs/>
          <w:lang w:val="nl-NL"/>
        </w:rPr>
      </w:pPr>
      <w:r w:rsidRPr="005C03A5">
        <w:rPr>
          <w:b/>
          <w:bCs/>
          <w:lang w:val="nl-NL"/>
        </w:rPr>
        <w:t xml:space="preserve">7.2.4.22, </w:t>
      </w:r>
      <w:proofErr w:type="spellStart"/>
      <w:r w:rsidRPr="005C03A5">
        <w:rPr>
          <w:b/>
          <w:bCs/>
          <w:lang w:val="nl-NL"/>
        </w:rPr>
        <w:t>Öffnen</w:t>
      </w:r>
      <w:proofErr w:type="spellEnd"/>
      <w:r w:rsidRPr="005C03A5">
        <w:rPr>
          <w:b/>
          <w:bCs/>
          <w:lang w:val="nl-NL"/>
        </w:rPr>
        <w:t xml:space="preserve"> </w:t>
      </w:r>
      <w:proofErr w:type="spellStart"/>
      <w:r w:rsidRPr="005C03A5">
        <w:rPr>
          <w:b/>
          <w:bCs/>
          <w:lang w:val="nl-NL"/>
        </w:rPr>
        <w:t>von</w:t>
      </w:r>
      <w:proofErr w:type="spellEnd"/>
      <w:r w:rsidRPr="005C03A5">
        <w:rPr>
          <w:b/>
          <w:bCs/>
          <w:lang w:val="nl-NL"/>
        </w:rPr>
        <w:t xml:space="preserve"> </w:t>
      </w:r>
      <w:proofErr w:type="spellStart"/>
      <w:r w:rsidRPr="005C03A5">
        <w:rPr>
          <w:b/>
          <w:bCs/>
          <w:lang w:val="nl-NL"/>
        </w:rPr>
        <w:t>Öffnungen</w:t>
      </w:r>
      <w:proofErr w:type="spellEnd"/>
      <w:r w:rsidRPr="005C03A5">
        <w:rPr>
          <w:b/>
          <w:bCs/>
          <w:lang w:val="nl-NL"/>
        </w:rPr>
        <w:t xml:space="preserve"> der Ladetanks (</w:t>
      </w:r>
      <w:proofErr w:type="spellStart"/>
      <w:r w:rsidRPr="005C03A5">
        <w:rPr>
          <w:b/>
          <w:bCs/>
          <w:lang w:val="nl-NL"/>
        </w:rPr>
        <w:t>Allgemein</w:t>
      </w:r>
      <w:proofErr w:type="spellEnd"/>
      <w:r w:rsidRPr="005C03A5">
        <w:rPr>
          <w:b/>
          <w:bCs/>
          <w:lang w:val="nl-NL"/>
        </w:rPr>
        <w:t>):</w:t>
      </w:r>
    </w:p>
    <w:p w14:paraId="070ADE9F" w14:textId="5FFB586B" w:rsidR="0063344C" w:rsidRDefault="0063344C" w:rsidP="005C03A5">
      <w:pPr>
        <w:pStyle w:val="SingleTxtG"/>
        <w:rPr>
          <w:lang w:val="nl-NL"/>
        </w:rPr>
      </w:pPr>
      <w:r w:rsidRPr="00542EB2">
        <w:rPr>
          <w:lang w:val="nl-NL"/>
        </w:rPr>
        <w:t>8.</w:t>
      </w:r>
      <w:r w:rsidRPr="00542EB2">
        <w:rPr>
          <w:lang w:val="nl-NL"/>
        </w:rPr>
        <w:tab/>
        <w:t xml:space="preserve">in </w:t>
      </w:r>
      <w:proofErr w:type="spellStart"/>
      <w:r w:rsidRPr="005C03A5">
        <w:t>Unterabsatz</w:t>
      </w:r>
      <w:proofErr w:type="spellEnd"/>
      <w:r w:rsidRPr="00542EB2">
        <w:rPr>
          <w:lang w:val="nl-NL"/>
        </w:rPr>
        <w:t xml:space="preserve"> 7.2.4.22.1, </w:t>
      </w:r>
      <w:proofErr w:type="spellStart"/>
      <w:r>
        <w:rPr>
          <w:lang w:val="nl-NL"/>
        </w:rPr>
        <w:t>n</w:t>
      </w:r>
      <w:r w:rsidRPr="00542EB2">
        <w:rPr>
          <w:lang w:val="nl-NL"/>
        </w:rPr>
        <w:t>ach</w:t>
      </w:r>
      <w:proofErr w:type="spellEnd"/>
      <w:r w:rsidRPr="00542EB2">
        <w:rPr>
          <w:lang w:val="nl-NL"/>
        </w:rPr>
        <w:t xml:space="preserve"> </w:t>
      </w:r>
      <w:r w:rsidRPr="006C152E">
        <w:rPr>
          <w:i/>
          <w:iCs/>
          <w:lang w:val="nl-NL"/>
        </w:rPr>
        <w:t xml:space="preserve">"∙ </w:t>
      </w:r>
      <w:proofErr w:type="spellStart"/>
      <w:r w:rsidRPr="006C152E">
        <w:rPr>
          <w:i/>
          <w:iCs/>
          <w:lang w:val="nl-NL"/>
        </w:rPr>
        <w:t>Für</w:t>
      </w:r>
      <w:proofErr w:type="spellEnd"/>
      <w:r w:rsidRPr="006C152E">
        <w:rPr>
          <w:i/>
          <w:iCs/>
          <w:lang w:val="nl-NL"/>
        </w:rPr>
        <w:t xml:space="preserve"> die </w:t>
      </w:r>
      <w:proofErr w:type="spellStart"/>
      <w:r w:rsidRPr="006C152E">
        <w:rPr>
          <w:i/>
          <w:iCs/>
          <w:lang w:val="nl-NL"/>
        </w:rPr>
        <w:t>nachträgliche</w:t>
      </w:r>
      <w:proofErr w:type="spellEnd"/>
      <w:r w:rsidRPr="006C152E">
        <w:rPr>
          <w:i/>
          <w:iCs/>
          <w:lang w:val="nl-NL"/>
        </w:rPr>
        <w:t xml:space="preserve"> </w:t>
      </w:r>
      <w:proofErr w:type="spellStart"/>
      <w:r w:rsidRPr="006C152E">
        <w:rPr>
          <w:i/>
          <w:iCs/>
          <w:lang w:val="nl-NL"/>
        </w:rPr>
        <w:t>Zugabe</w:t>
      </w:r>
      <w:proofErr w:type="spellEnd"/>
      <w:r w:rsidRPr="006C152E">
        <w:rPr>
          <w:i/>
          <w:iCs/>
          <w:lang w:val="nl-NL"/>
        </w:rPr>
        <w:t xml:space="preserve"> </w:t>
      </w:r>
      <w:proofErr w:type="spellStart"/>
      <w:r w:rsidRPr="006C152E">
        <w:rPr>
          <w:i/>
          <w:iCs/>
          <w:lang w:val="nl-NL"/>
        </w:rPr>
        <w:t>von</w:t>
      </w:r>
      <w:proofErr w:type="spellEnd"/>
      <w:r w:rsidRPr="006C152E">
        <w:rPr>
          <w:i/>
          <w:iCs/>
          <w:lang w:val="nl-NL"/>
        </w:rPr>
        <w:t xml:space="preserve"> Stabilisator in </w:t>
      </w:r>
      <w:proofErr w:type="spellStart"/>
      <w:r w:rsidRPr="006C152E">
        <w:rPr>
          <w:i/>
          <w:iCs/>
          <w:lang w:val="nl-NL"/>
        </w:rPr>
        <w:t>Ausnahmefällen</w:t>
      </w:r>
      <w:proofErr w:type="spellEnd"/>
      <w:r w:rsidRPr="006C152E">
        <w:rPr>
          <w:i/>
          <w:iCs/>
          <w:lang w:val="nl-NL"/>
        </w:rPr>
        <w:t>"</w:t>
      </w:r>
      <w:r w:rsidRPr="00542EB2">
        <w:rPr>
          <w:lang w:val="nl-NL"/>
        </w:rPr>
        <w:t xml:space="preserve"> </w:t>
      </w:r>
      <w:proofErr w:type="spellStart"/>
      <w:r w:rsidRPr="00542EB2">
        <w:rPr>
          <w:lang w:val="nl-NL"/>
        </w:rPr>
        <w:t>wird</w:t>
      </w:r>
      <w:proofErr w:type="spellEnd"/>
      <w:r w:rsidRPr="00542EB2">
        <w:rPr>
          <w:lang w:val="nl-NL"/>
        </w:rPr>
        <w:t xml:space="preserve"> </w:t>
      </w:r>
      <w:proofErr w:type="spellStart"/>
      <w:r w:rsidRPr="00542EB2">
        <w:rPr>
          <w:lang w:val="nl-NL"/>
        </w:rPr>
        <w:t>ein</w:t>
      </w:r>
      <w:proofErr w:type="spellEnd"/>
      <w:r w:rsidRPr="00542EB2">
        <w:rPr>
          <w:lang w:val="nl-NL"/>
        </w:rPr>
        <w:t xml:space="preserve"> </w:t>
      </w:r>
      <w:proofErr w:type="spellStart"/>
      <w:r w:rsidRPr="00542EB2">
        <w:rPr>
          <w:lang w:val="nl-NL"/>
        </w:rPr>
        <w:t>neuer</w:t>
      </w:r>
      <w:proofErr w:type="spellEnd"/>
      <w:r w:rsidRPr="00542EB2">
        <w:rPr>
          <w:lang w:val="nl-NL"/>
        </w:rPr>
        <w:t xml:space="preserve"> </w:t>
      </w:r>
      <w:proofErr w:type="spellStart"/>
      <w:r>
        <w:rPr>
          <w:lang w:val="nl-NL"/>
        </w:rPr>
        <w:t>Spiegel</w:t>
      </w:r>
      <w:r w:rsidRPr="00542EB2">
        <w:rPr>
          <w:lang w:val="nl-NL"/>
        </w:rPr>
        <w:t>strich</w:t>
      </w:r>
      <w:proofErr w:type="spellEnd"/>
      <w:r w:rsidRPr="00542EB2">
        <w:rPr>
          <w:lang w:val="nl-NL"/>
        </w:rPr>
        <w:t xml:space="preserve"> </w:t>
      </w:r>
      <w:proofErr w:type="spellStart"/>
      <w:r>
        <w:rPr>
          <w:lang w:val="nl-NL"/>
        </w:rPr>
        <w:t>mit</w:t>
      </w:r>
      <w:proofErr w:type="spellEnd"/>
      <w:r>
        <w:rPr>
          <w:lang w:val="nl-NL"/>
        </w:rPr>
        <w:t xml:space="preserve"> </w:t>
      </w:r>
      <w:proofErr w:type="spellStart"/>
      <w:r>
        <w:rPr>
          <w:lang w:val="nl-NL"/>
        </w:rPr>
        <w:t>folgenden</w:t>
      </w:r>
      <w:proofErr w:type="spellEnd"/>
      <w:r>
        <w:rPr>
          <w:lang w:val="nl-NL"/>
        </w:rPr>
        <w:t xml:space="preserve"> </w:t>
      </w:r>
      <w:proofErr w:type="spellStart"/>
      <w:r>
        <w:rPr>
          <w:lang w:val="nl-NL"/>
        </w:rPr>
        <w:t>Wortlaut</w:t>
      </w:r>
      <w:proofErr w:type="spellEnd"/>
      <w:r>
        <w:rPr>
          <w:lang w:val="nl-NL"/>
        </w:rPr>
        <w:t xml:space="preserve"> </w:t>
      </w:r>
      <w:proofErr w:type="spellStart"/>
      <w:r>
        <w:rPr>
          <w:lang w:val="nl-NL"/>
        </w:rPr>
        <w:t>aufgenommen</w:t>
      </w:r>
      <w:proofErr w:type="spellEnd"/>
      <w:r w:rsidRPr="00542EB2">
        <w:rPr>
          <w:lang w:val="nl-NL"/>
        </w:rPr>
        <w:t>:</w:t>
      </w:r>
    </w:p>
    <w:p w14:paraId="470B30AF" w14:textId="77777777" w:rsidR="0063344C" w:rsidRPr="008A6059" w:rsidRDefault="0063344C" w:rsidP="0063344C">
      <w:pPr>
        <w:pStyle w:val="SingleTxtG"/>
        <w:rPr>
          <w:lang w:val="nl-NL"/>
        </w:rPr>
      </w:pPr>
      <w:r>
        <w:rPr>
          <w:lang w:val="nl-NL"/>
        </w:rPr>
        <w:tab/>
      </w:r>
      <w:r w:rsidRPr="00B83864">
        <w:rPr>
          <w:b/>
          <w:bCs/>
          <w:u w:val="single"/>
          <w:lang w:val="nl-NL"/>
        </w:rPr>
        <w:t>“*</w:t>
      </w:r>
      <w:r w:rsidRPr="008A6059">
        <w:rPr>
          <w:b/>
          <w:bCs/>
          <w:u w:val="single"/>
          <w:lang w:val="de-DE"/>
        </w:rPr>
        <w:t>zur</w:t>
      </w:r>
      <w:r w:rsidRPr="008A6059">
        <w:rPr>
          <w:b/>
          <w:u w:val="single"/>
          <w:lang w:val="de-DE"/>
        </w:rPr>
        <w:t xml:space="preserve"> nachträglichen Zugabe sonstiger Additive im Ausnahmefall nach dem </w:t>
      </w:r>
      <w:r w:rsidRPr="0043530E">
        <w:rPr>
          <w:b/>
          <w:lang w:val="de-DE"/>
        </w:rPr>
        <w:tab/>
      </w:r>
      <w:r w:rsidRPr="008A6059">
        <w:rPr>
          <w:b/>
          <w:u w:val="single"/>
          <w:lang w:val="de-DE"/>
        </w:rPr>
        <w:t>Beladen, aber vor Fahrtbeginn oder nach Fahrtende, aber vor dem Entladen.“.</w:t>
      </w:r>
    </w:p>
    <w:p w14:paraId="135788E3" w14:textId="0C775B95" w:rsidR="0063344C" w:rsidRPr="002A5DAC" w:rsidRDefault="0063344C" w:rsidP="002A5DAC">
      <w:pPr>
        <w:pStyle w:val="Bullet1G"/>
      </w:pPr>
      <w:r w:rsidRPr="002A5DAC">
        <w:t xml:space="preserve">In 7.2.4.22.13 </w:t>
      </w:r>
      <w:proofErr w:type="spellStart"/>
      <w:r w:rsidRPr="002A5DAC">
        <w:t>wird</w:t>
      </w:r>
      <w:proofErr w:type="spellEnd"/>
      <w:r w:rsidRPr="002A5DAC">
        <w:t xml:space="preserve"> “</w:t>
      </w:r>
      <w:proofErr w:type="spellStart"/>
      <w:r w:rsidRPr="002A5DAC">
        <w:t>oder</w:t>
      </w:r>
      <w:proofErr w:type="spellEnd"/>
      <w:r w:rsidRPr="002A5DAC">
        <w:t xml:space="preserve"> </w:t>
      </w:r>
      <w:proofErr w:type="spellStart"/>
      <w:r w:rsidRPr="002A5DAC">
        <w:t>Stabilisator</w:t>
      </w:r>
      <w:proofErr w:type="spellEnd"/>
      <w:r w:rsidRPr="002A5DAC">
        <w:t xml:space="preserve">” </w:t>
      </w:r>
      <w:proofErr w:type="spellStart"/>
      <w:r w:rsidRPr="002A5DAC">
        <w:t>mit</w:t>
      </w:r>
      <w:proofErr w:type="spellEnd"/>
      <w:r w:rsidRPr="002A5DAC">
        <w:t xml:space="preserve"> “, </w:t>
      </w:r>
      <w:proofErr w:type="spellStart"/>
      <w:r w:rsidRPr="002A5DAC">
        <w:t>Stabilisator</w:t>
      </w:r>
      <w:proofErr w:type="spellEnd"/>
      <w:r w:rsidRPr="002A5DAC">
        <w:t xml:space="preserve"> </w:t>
      </w:r>
      <w:proofErr w:type="spellStart"/>
      <w:r w:rsidRPr="002A5DAC">
        <w:t>oder</w:t>
      </w:r>
      <w:proofErr w:type="spellEnd"/>
      <w:r w:rsidRPr="002A5DAC">
        <w:t xml:space="preserve"> </w:t>
      </w:r>
      <w:proofErr w:type="spellStart"/>
      <w:r w:rsidRPr="002A5DAC">
        <w:t>sonstigen</w:t>
      </w:r>
      <w:proofErr w:type="spellEnd"/>
      <w:r w:rsidRPr="002A5DAC">
        <w:t xml:space="preserve"> </w:t>
      </w:r>
      <w:proofErr w:type="spellStart"/>
      <w:r w:rsidRPr="002A5DAC">
        <w:t>Additiven</w:t>
      </w:r>
      <w:proofErr w:type="spellEnd"/>
      <w:r w:rsidRPr="002A5DAC">
        <w:t xml:space="preserve">” </w:t>
      </w:r>
      <w:proofErr w:type="spellStart"/>
      <w:r w:rsidRPr="002A5DAC">
        <w:t>ersetzt</w:t>
      </w:r>
      <w:proofErr w:type="spellEnd"/>
      <w:r w:rsidRPr="002A5DAC">
        <w:t>.</w:t>
      </w:r>
    </w:p>
    <w:p w14:paraId="202B21BE" w14:textId="5A0108AB" w:rsidR="0063344C" w:rsidRPr="002A5DAC" w:rsidRDefault="0063344C" w:rsidP="002A5DAC">
      <w:pPr>
        <w:pStyle w:val="Bullet1G"/>
      </w:pPr>
      <w:r w:rsidRPr="002A5DAC">
        <w:t xml:space="preserve">Eine </w:t>
      </w:r>
      <w:proofErr w:type="spellStart"/>
      <w:r w:rsidRPr="002A5DAC">
        <w:t>neue</w:t>
      </w:r>
      <w:proofErr w:type="spellEnd"/>
      <w:r w:rsidRPr="002A5DAC">
        <w:t xml:space="preserve"> </w:t>
      </w:r>
      <w:proofErr w:type="spellStart"/>
      <w:r w:rsidRPr="002A5DAC">
        <w:t>Überschrift</w:t>
      </w:r>
      <w:proofErr w:type="spellEnd"/>
      <w:r w:rsidRPr="002A5DAC">
        <w:t xml:space="preserve"> 7.2.4.15 und </w:t>
      </w:r>
      <w:proofErr w:type="spellStart"/>
      <w:r w:rsidRPr="002A5DAC">
        <w:t>einen</w:t>
      </w:r>
      <w:proofErr w:type="spellEnd"/>
      <w:r w:rsidRPr="002A5DAC">
        <w:t xml:space="preserve"> </w:t>
      </w:r>
      <w:proofErr w:type="spellStart"/>
      <w:r w:rsidRPr="002A5DAC">
        <w:t>neuen</w:t>
      </w:r>
      <w:proofErr w:type="spellEnd"/>
      <w:r w:rsidRPr="002A5DAC">
        <w:t xml:space="preserve"> </w:t>
      </w:r>
      <w:proofErr w:type="spellStart"/>
      <w:r w:rsidRPr="002A5DAC">
        <w:t>Absatz</w:t>
      </w:r>
      <w:proofErr w:type="spellEnd"/>
      <w:r w:rsidRPr="002A5DAC">
        <w:t xml:space="preserve"> 7.2.4.15.1 </w:t>
      </w:r>
      <w:proofErr w:type="spellStart"/>
      <w:r w:rsidRPr="002A5DAC">
        <w:t>sowie</w:t>
      </w:r>
      <w:proofErr w:type="spellEnd"/>
      <w:r w:rsidRPr="002A5DAC">
        <w:t xml:space="preserve"> </w:t>
      </w:r>
      <w:proofErr w:type="spellStart"/>
      <w:r w:rsidRPr="002A5DAC">
        <w:t>neunen</w:t>
      </w:r>
      <w:proofErr w:type="spellEnd"/>
      <w:r w:rsidRPr="002A5DAC">
        <w:t xml:space="preserve"> </w:t>
      </w:r>
      <w:proofErr w:type="spellStart"/>
      <w:r w:rsidRPr="002A5DAC">
        <w:t>Absatz</w:t>
      </w:r>
      <w:proofErr w:type="spellEnd"/>
      <w:r w:rsidRPr="002A5DAC">
        <w:t xml:space="preserve"> 7.2.4.15.2 </w:t>
      </w:r>
      <w:proofErr w:type="spellStart"/>
      <w:r w:rsidRPr="002A5DAC">
        <w:t>wird</w:t>
      </w:r>
      <w:proofErr w:type="spellEnd"/>
      <w:r w:rsidRPr="002A5DAC">
        <w:t xml:space="preserve"> </w:t>
      </w:r>
      <w:proofErr w:type="spellStart"/>
      <w:r w:rsidRPr="002A5DAC">
        <w:t>eingefügt</w:t>
      </w:r>
      <w:proofErr w:type="spellEnd"/>
      <w:r w:rsidRPr="002A5DAC">
        <w:t>:</w:t>
      </w:r>
    </w:p>
    <w:p w14:paraId="31BA2F1F" w14:textId="77777777" w:rsidR="0063344C" w:rsidRPr="002A5DAC" w:rsidRDefault="0063344C" w:rsidP="002A5DAC">
      <w:pPr>
        <w:pStyle w:val="Bullet1G"/>
        <w:rPr>
          <w:b/>
          <w:bCs/>
          <w:u w:val="single"/>
        </w:rPr>
      </w:pPr>
      <w:r w:rsidRPr="002A5DAC">
        <w:rPr>
          <w:b/>
          <w:bCs/>
          <w:u w:val="single"/>
        </w:rPr>
        <w:t xml:space="preserve">„7.2.4.22.15 </w:t>
      </w:r>
      <w:r w:rsidRPr="002A5DAC">
        <w:rPr>
          <w:b/>
          <w:bCs/>
          <w:u w:val="single"/>
        </w:rPr>
        <w:tab/>
      </w:r>
      <w:proofErr w:type="spellStart"/>
      <w:r w:rsidRPr="002A5DAC">
        <w:rPr>
          <w:b/>
          <w:bCs/>
          <w:u w:val="single"/>
        </w:rPr>
        <w:t>Zugabe</w:t>
      </w:r>
      <w:proofErr w:type="spellEnd"/>
      <w:r w:rsidRPr="002A5DAC">
        <w:rPr>
          <w:b/>
          <w:bCs/>
          <w:u w:val="single"/>
        </w:rPr>
        <w:t xml:space="preserve"> von </w:t>
      </w:r>
      <w:proofErr w:type="spellStart"/>
      <w:r w:rsidRPr="002A5DAC">
        <w:rPr>
          <w:b/>
          <w:bCs/>
          <w:u w:val="single"/>
        </w:rPr>
        <w:t>Stabilisator</w:t>
      </w:r>
      <w:proofErr w:type="spellEnd"/>
      <w:r w:rsidRPr="002A5DAC">
        <w:rPr>
          <w:b/>
          <w:bCs/>
          <w:u w:val="single"/>
        </w:rPr>
        <w:t xml:space="preserve"> </w:t>
      </w:r>
      <w:proofErr w:type="spellStart"/>
      <w:r w:rsidRPr="002A5DAC">
        <w:rPr>
          <w:b/>
          <w:bCs/>
          <w:u w:val="single"/>
        </w:rPr>
        <w:t>oder</w:t>
      </w:r>
      <w:proofErr w:type="spellEnd"/>
      <w:r w:rsidRPr="002A5DAC">
        <w:rPr>
          <w:b/>
          <w:bCs/>
          <w:u w:val="single"/>
        </w:rPr>
        <w:t xml:space="preserve"> </w:t>
      </w:r>
      <w:proofErr w:type="spellStart"/>
      <w:r w:rsidRPr="002A5DAC">
        <w:rPr>
          <w:b/>
          <w:bCs/>
          <w:u w:val="single"/>
        </w:rPr>
        <w:t>sonstigen</w:t>
      </w:r>
      <w:proofErr w:type="spellEnd"/>
      <w:r w:rsidRPr="002A5DAC">
        <w:rPr>
          <w:b/>
          <w:bCs/>
          <w:u w:val="single"/>
        </w:rPr>
        <w:t xml:space="preserve"> </w:t>
      </w:r>
      <w:proofErr w:type="spellStart"/>
      <w:r w:rsidRPr="002A5DAC">
        <w:rPr>
          <w:b/>
          <w:bCs/>
          <w:u w:val="single"/>
        </w:rPr>
        <w:t>Additiven</w:t>
      </w:r>
      <w:proofErr w:type="spellEnd"/>
      <w:r w:rsidRPr="002A5DAC">
        <w:rPr>
          <w:b/>
          <w:bCs/>
          <w:u w:val="single"/>
        </w:rPr>
        <w:t xml:space="preserve"> </w:t>
      </w:r>
      <w:proofErr w:type="spellStart"/>
      <w:r w:rsidRPr="002A5DAC">
        <w:rPr>
          <w:b/>
          <w:bCs/>
          <w:u w:val="single"/>
        </w:rPr>
        <w:t>im</w:t>
      </w:r>
      <w:proofErr w:type="spellEnd"/>
      <w:r w:rsidRPr="002A5DAC">
        <w:rPr>
          <w:b/>
          <w:bCs/>
          <w:u w:val="single"/>
        </w:rPr>
        <w:t xml:space="preserve"> </w:t>
      </w:r>
      <w:proofErr w:type="spellStart"/>
      <w:r w:rsidRPr="002A5DAC">
        <w:rPr>
          <w:b/>
          <w:bCs/>
          <w:u w:val="single"/>
        </w:rPr>
        <w:t>Ausnahmefall</w:t>
      </w:r>
      <w:bookmarkStart w:id="0" w:name="_Hlk148623908"/>
      <w:proofErr w:type="spellEnd"/>
    </w:p>
    <w:p w14:paraId="4EAE7B79" w14:textId="77777777" w:rsidR="0063344C" w:rsidRPr="002A5DAC" w:rsidRDefault="0063344C" w:rsidP="002A5DAC">
      <w:pPr>
        <w:pStyle w:val="Bullet1G"/>
        <w:rPr>
          <w:b/>
          <w:bCs/>
          <w:u w:val="single"/>
        </w:rPr>
      </w:pPr>
      <w:r w:rsidRPr="002A5DAC">
        <w:rPr>
          <w:b/>
          <w:bCs/>
          <w:u w:val="single"/>
        </w:rPr>
        <w:t>7.2.4.22.15.1</w:t>
      </w:r>
      <w:r w:rsidRPr="002A5DAC">
        <w:rPr>
          <w:b/>
          <w:bCs/>
          <w:u w:val="single"/>
        </w:rPr>
        <w:tab/>
      </w:r>
      <w:proofErr w:type="spellStart"/>
      <w:r w:rsidRPr="002A5DAC">
        <w:rPr>
          <w:b/>
          <w:bCs/>
          <w:u w:val="single"/>
        </w:rPr>
        <w:t>Wenn</w:t>
      </w:r>
      <w:proofErr w:type="spellEnd"/>
      <w:r w:rsidRPr="002A5DAC">
        <w:rPr>
          <w:b/>
          <w:bCs/>
          <w:u w:val="single"/>
        </w:rPr>
        <w:t xml:space="preserve"> </w:t>
      </w:r>
      <w:proofErr w:type="spellStart"/>
      <w:r w:rsidRPr="002A5DAC">
        <w:rPr>
          <w:b/>
          <w:bCs/>
          <w:u w:val="single"/>
        </w:rPr>
        <w:t>aufgrund</w:t>
      </w:r>
      <w:proofErr w:type="spellEnd"/>
      <w:r w:rsidRPr="002A5DAC">
        <w:rPr>
          <w:b/>
          <w:bCs/>
          <w:u w:val="single"/>
        </w:rPr>
        <w:t xml:space="preserve"> </w:t>
      </w:r>
      <w:proofErr w:type="spellStart"/>
      <w:r w:rsidRPr="002A5DAC">
        <w:rPr>
          <w:b/>
          <w:bCs/>
          <w:u w:val="single"/>
        </w:rPr>
        <w:t>einer</w:t>
      </w:r>
      <w:proofErr w:type="spellEnd"/>
      <w:r w:rsidRPr="002A5DAC">
        <w:rPr>
          <w:b/>
          <w:bCs/>
          <w:u w:val="single"/>
        </w:rPr>
        <w:t xml:space="preserve"> </w:t>
      </w:r>
      <w:proofErr w:type="spellStart"/>
      <w:r w:rsidRPr="002A5DAC">
        <w:rPr>
          <w:b/>
          <w:bCs/>
          <w:u w:val="single"/>
        </w:rPr>
        <w:t>unerwarteten</w:t>
      </w:r>
      <w:proofErr w:type="spellEnd"/>
      <w:r w:rsidRPr="002A5DAC">
        <w:rPr>
          <w:b/>
          <w:bCs/>
          <w:u w:val="single"/>
        </w:rPr>
        <w:t xml:space="preserve"> </w:t>
      </w:r>
      <w:proofErr w:type="spellStart"/>
      <w:r w:rsidRPr="002A5DAC">
        <w:rPr>
          <w:b/>
          <w:bCs/>
          <w:u w:val="single"/>
        </w:rPr>
        <w:t>Verlängerung</w:t>
      </w:r>
      <w:proofErr w:type="spellEnd"/>
      <w:r w:rsidRPr="002A5DAC">
        <w:rPr>
          <w:b/>
          <w:bCs/>
          <w:u w:val="single"/>
        </w:rPr>
        <w:t xml:space="preserve"> der </w:t>
      </w:r>
      <w:proofErr w:type="spellStart"/>
      <w:r w:rsidRPr="002A5DAC">
        <w:rPr>
          <w:b/>
          <w:bCs/>
          <w:u w:val="single"/>
        </w:rPr>
        <w:t>Fahrtzeit</w:t>
      </w:r>
      <w:proofErr w:type="spellEnd"/>
      <w:r w:rsidRPr="002A5DAC">
        <w:rPr>
          <w:b/>
          <w:bCs/>
          <w:u w:val="single"/>
        </w:rPr>
        <w:t xml:space="preserve"> </w:t>
      </w:r>
      <w:proofErr w:type="spellStart"/>
      <w:r w:rsidRPr="002A5DAC">
        <w:rPr>
          <w:b/>
          <w:bCs/>
          <w:u w:val="single"/>
        </w:rPr>
        <w:t>während</w:t>
      </w:r>
      <w:proofErr w:type="spellEnd"/>
      <w:r w:rsidRPr="002A5DAC">
        <w:rPr>
          <w:b/>
          <w:bCs/>
          <w:u w:val="single"/>
        </w:rPr>
        <w:t xml:space="preserve"> der </w:t>
      </w:r>
      <w:proofErr w:type="spellStart"/>
      <w:r w:rsidRPr="002A5DAC">
        <w:rPr>
          <w:b/>
          <w:bCs/>
          <w:u w:val="single"/>
        </w:rPr>
        <w:t>Beförderung</w:t>
      </w:r>
      <w:proofErr w:type="spellEnd"/>
      <w:r w:rsidRPr="002A5DAC">
        <w:rPr>
          <w:b/>
          <w:bCs/>
          <w:u w:val="single"/>
        </w:rPr>
        <w:t xml:space="preserve"> in </w:t>
      </w:r>
      <w:proofErr w:type="spellStart"/>
      <w:r w:rsidRPr="002A5DAC">
        <w:rPr>
          <w:b/>
          <w:bCs/>
          <w:u w:val="single"/>
        </w:rPr>
        <w:t>einem</w:t>
      </w:r>
      <w:proofErr w:type="spellEnd"/>
      <w:r w:rsidRPr="002A5DAC">
        <w:rPr>
          <w:b/>
          <w:bCs/>
          <w:u w:val="single"/>
        </w:rPr>
        <w:t xml:space="preserve"> </w:t>
      </w:r>
      <w:proofErr w:type="spellStart"/>
      <w:r w:rsidRPr="002A5DAC">
        <w:rPr>
          <w:b/>
          <w:bCs/>
          <w:u w:val="single"/>
        </w:rPr>
        <w:t>oder</w:t>
      </w:r>
      <w:proofErr w:type="spellEnd"/>
      <w:r w:rsidRPr="002A5DAC">
        <w:rPr>
          <w:b/>
          <w:bCs/>
          <w:u w:val="single"/>
        </w:rPr>
        <w:t xml:space="preserve"> </w:t>
      </w:r>
      <w:proofErr w:type="spellStart"/>
      <w:r w:rsidRPr="002A5DAC">
        <w:rPr>
          <w:b/>
          <w:bCs/>
          <w:u w:val="single"/>
        </w:rPr>
        <w:t>mehreren</w:t>
      </w:r>
      <w:proofErr w:type="spellEnd"/>
      <w:r w:rsidRPr="002A5DAC">
        <w:rPr>
          <w:b/>
          <w:bCs/>
          <w:u w:val="single"/>
        </w:rPr>
        <w:t xml:space="preserve"> </w:t>
      </w:r>
      <w:proofErr w:type="spellStart"/>
      <w:r w:rsidRPr="002A5DAC">
        <w:rPr>
          <w:b/>
          <w:bCs/>
          <w:u w:val="single"/>
        </w:rPr>
        <w:t>Ladetanks</w:t>
      </w:r>
      <w:proofErr w:type="spellEnd"/>
      <w:r w:rsidRPr="002A5DAC">
        <w:rPr>
          <w:b/>
          <w:bCs/>
          <w:u w:val="single"/>
        </w:rPr>
        <w:t xml:space="preserve"> </w:t>
      </w:r>
      <w:proofErr w:type="spellStart"/>
      <w:r w:rsidRPr="002A5DAC">
        <w:rPr>
          <w:b/>
          <w:bCs/>
          <w:u w:val="single"/>
        </w:rPr>
        <w:t>zusätzlicher</w:t>
      </w:r>
      <w:proofErr w:type="spellEnd"/>
      <w:r w:rsidRPr="002A5DAC">
        <w:rPr>
          <w:b/>
          <w:bCs/>
          <w:u w:val="single"/>
        </w:rPr>
        <w:t xml:space="preserve"> </w:t>
      </w:r>
      <w:proofErr w:type="spellStart"/>
      <w:r w:rsidRPr="002A5DAC">
        <w:rPr>
          <w:b/>
          <w:bCs/>
          <w:u w:val="single"/>
        </w:rPr>
        <w:t>Stabilisator</w:t>
      </w:r>
      <w:proofErr w:type="spellEnd"/>
      <w:r w:rsidRPr="002A5DAC">
        <w:rPr>
          <w:b/>
          <w:bCs/>
          <w:u w:val="single"/>
        </w:rPr>
        <w:t xml:space="preserve"> </w:t>
      </w:r>
      <w:proofErr w:type="spellStart"/>
      <w:r w:rsidRPr="002A5DAC">
        <w:rPr>
          <w:b/>
          <w:bCs/>
          <w:u w:val="single"/>
        </w:rPr>
        <w:t>beigefügt</w:t>
      </w:r>
      <w:proofErr w:type="spellEnd"/>
      <w:r w:rsidRPr="002A5DAC">
        <w:rPr>
          <w:b/>
          <w:bCs/>
          <w:u w:val="single"/>
        </w:rPr>
        <w:t xml:space="preserve"> </w:t>
      </w:r>
      <w:proofErr w:type="spellStart"/>
      <w:r w:rsidRPr="002A5DAC">
        <w:rPr>
          <w:b/>
          <w:bCs/>
          <w:u w:val="single"/>
        </w:rPr>
        <w:t>werden</w:t>
      </w:r>
      <w:proofErr w:type="spellEnd"/>
      <w:r w:rsidRPr="002A5DAC">
        <w:rPr>
          <w:b/>
          <w:bCs/>
          <w:u w:val="single"/>
        </w:rPr>
        <w:t xml:space="preserve"> muss, </w:t>
      </w:r>
      <w:proofErr w:type="spellStart"/>
      <w:r w:rsidRPr="002A5DAC">
        <w:rPr>
          <w:b/>
          <w:bCs/>
          <w:u w:val="single"/>
        </w:rPr>
        <w:t>darf</w:t>
      </w:r>
      <w:proofErr w:type="spellEnd"/>
      <w:r w:rsidRPr="002A5DAC">
        <w:rPr>
          <w:b/>
          <w:bCs/>
          <w:u w:val="single"/>
        </w:rPr>
        <w:t xml:space="preserve"> das </w:t>
      </w:r>
      <w:proofErr w:type="spellStart"/>
      <w:r w:rsidRPr="002A5DAC">
        <w:rPr>
          <w:b/>
          <w:bCs/>
          <w:u w:val="single"/>
        </w:rPr>
        <w:t>ausschließlich</w:t>
      </w:r>
      <w:proofErr w:type="spellEnd"/>
      <w:r w:rsidRPr="002A5DAC">
        <w:rPr>
          <w:b/>
          <w:bCs/>
          <w:u w:val="single"/>
        </w:rPr>
        <w:t xml:space="preserve"> </w:t>
      </w:r>
      <w:proofErr w:type="spellStart"/>
      <w:r w:rsidRPr="002A5DAC">
        <w:rPr>
          <w:b/>
          <w:bCs/>
          <w:u w:val="single"/>
        </w:rPr>
        <w:t>über</w:t>
      </w:r>
      <w:proofErr w:type="spellEnd"/>
      <w:r w:rsidRPr="002A5DAC">
        <w:rPr>
          <w:b/>
          <w:bCs/>
          <w:u w:val="single"/>
        </w:rPr>
        <w:t xml:space="preserve"> die </w:t>
      </w:r>
      <w:proofErr w:type="spellStart"/>
      <w:r w:rsidRPr="002A5DAC">
        <w:rPr>
          <w:b/>
          <w:bCs/>
          <w:u w:val="single"/>
        </w:rPr>
        <w:t>Probeentnahmeöffnung</w:t>
      </w:r>
      <w:proofErr w:type="spellEnd"/>
      <w:r w:rsidRPr="002A5DAC">
        <w:rPr>
          <w:b/>
          <w:bCs/>
          <w:u w:val="single"/>
        </w:rPr>
        <w:t xml:space="preserve"> </w:t>
      </w:r>
      <w:proofErr w:type="spellStart"/>
      <w:r w:rsidRPr="002A5DAC">
        <w:rPr>
          <w:b/>
          <w:bCs/>
          <w:u w:val="single"/>
        </w:rPr>
        <w:t>erfolgen</w:t>
      </w:r>
      <w:proofErr w:type="spellEnd"/>
      <w:r w:rsidRPr="002A5DAC">
        <w:rPr>
          <w:b/>
          <w:bCs/>
          <w:u w:val="single"/>
        </w:rPr>
        <w:t xml:space="preserve">. Eine </w:t>
      </w:r>
      <w:proofErr w:type="spellStart"/>
      <w:r w:rsidRPr="002A5DAC">
        <w:rPr>
          <w:b/>
          <w:bCs/>
          <w:u w:val="single"/>
        </w:rPr>
        <w:t>statische</w:t>
      </w:r>
      <w:proofErr w:type="spellEnd"/>
      <w:r w:rsidRPr="002A5DAC">
        <w:rPr>
          <w:b/>
          <w:bCs/>
          <w:u w:val="single"/>
        </w:rPr>
        <w:t xml:space="preserve"> </w:t>
      </w:r>
      <w:proofErr w:type="spellStart"/>
      <w:r w:rsidRPr="002A5DAC">
        <w:rPr>
          <w:b/>
          <w:bCs/>
          <w:u w:val="single"/>
        </w:rPr>
        <w:t>Aufladung</w:t>
      </w:r>
      <w:proofErr w:type="spellEnd"/>
      <w:r w:rsidRPr="002A5DAC">
        <w:rPr>
          <w:b/>
          <w:bCs/>
          <w:u w:val="single"/>
        </w:rPr>
        <w:t xml:space="preserve"> muss </w:t>
      </w:r>
      <w:proofErr w:type="spellStart"/>
      <w:r w:rsidRPr="002A5DAC">
        <w:rPr>
          <w:b/>
          <w:bCs/>
          <w:u w:val="single"/>
        </w:rPr>
        <w:t>verhindert</w:t>
      </w:r>
      <w:proofErr w:type="spellEnd"/>
      <w:r w:rsidRPr="002A5DAC">
        <w:rPr>
          <w:b/>
          <w:bCs/>
          <w:u w:val="single"/>
        </w:rPr>
        <w:t xml:space="preserve"> </w:t>
      </w:r>
      <w:proofErr w:type="spellStart"/>
      <w:r w:rsidRPr="002A5DAC">
        <w:rPr>
          <w:b/>
          <w:bCs/>
          <w:u w:val="single"/>
        </w:rPr>
        <w:t>werden</w:t>
      </w:r>
      <w:proofErr w:type="spellEnd"/>
      <w:r w:rsidRPr="002A5DAC">
        <w:rPr>
          <w:b/>
          <w:bCs/>
          <w:u w:val="single"/>
        </w:rPr>
        <w:t>.</w:t>
      </w:r>
      <w:bookmarkEnd w:id="0"/>
    </w:p>
    <w:p w14:paraId="16C3A82D" w14:textId="77777777" w:rsidR="0063344C" w:rsidRPr="002A5DAC" w:rsidRDefault="0063344C" w:rsidP="002A5DAC">
      <w:pPr>
        <w:pStyle w:val="Bullet1G"/>
        <w:rPr>
          <w:b/>
          <w:bCs/>
          <w:u w:val="single"/>
        </w:rPr>
      </w:pPr>
      <w:r w:rsidRPr="002A5DAC">
        <w:rPr>
          <w:b/>
          <w:bCs/>
          <w:u w:val="single"/>
        </w:rPr>
        <w:t xml:space="preserve">7.2.4.22.15.2 </w:t>
      </w:r>
      <w:r w:rsidRPr="002A5DAC">
        <w:rPr>
          <w:b/>
          <w:bCs/>
          <w:u w:val="single"/>
        </w:rPr>
        <w:tab/>
      </w:r>
      <w:proofErr w:type="spellStart"/>
      <w:r w:rsidRPr="002A5DAC">
        <w:rPr>
          <w:b/>
          <w:bCs/>
          <w:u w:val="single"/>
        </w:rPr>
        <w:t>Wenn</w:t>
      </w:r>
      <w:proofErr w:type="spellEnd"/>
      <w:r w:rsidRPr="002A5DAC">
        <w:rPr>
          <w:b/>
          <w:bCs/>
          <w:u w:val="single"/>
        </w:rPr>
        <w:t xml:space="preserve"> die </w:t>
      </w:r>
      <w:proofErr w:type="spellStart"/>
      <w:r w:rsidRPr="002A5DAC">
        <w:rPr>
          <w:b/>
          <w:bCs/>
          <w:u w:val="single"/>
        </w:rPr>
        <w:t>Messdaten</w:t>
      </w:r>
      <w:proofErr w:type="spellEnd"/>
      <w:r w:rsidRPr="002A5DAC">
        <w:rPr>
          <w:b/>
          <w:bCs/>
          <w:u w:val="single"/>
        </w:rPr>
        <w:t xml:space="preserve"> </w:t>
      </w:r>
      <w:proofErr w:type="spellStart"/>
      <w:r w:rsidRPr="002A5DAC">
        <w:rPr>
          <w:b/>
          <w:bCs/>
          <w:u w:val="single"/>
        </w:rPr>
        <w:t>eine</w:t>
      </w:r>
      <w:proofErr w:type="spellEnd"/>
      <w:r w:rsidRPr="002A5DAC">
        <w:rPr>
          <w:b/>
          <w:bCs/>
          <w:u w:val="single"/>
        </w:rPr>
        <w:t xml:space="preserve"> </w:t>
      </w:r>
      <w:proofErr w:type="spellStart"/>
      <w:r w:rsidRPr="002A5DAC">
        <w:rPr>
          <w:b/>
          <w:bCs/>
          <w:u w:val="single"/>
        </w:rPr>
        <w:t>niedrigere</w:t>
      </w:r>
      <w:proofErr w:type="spellEnd"/>
      <w:r w:rsidRPr="002A5DAC">
        <w:rPr>
          <w:b/>
          <w:bCs/>
          <w:u w:val="single"/>
        </w:rPr>
        <w:t xml:space="preserve"> </w:t>
      </w:r>
      <w:proofErr w:type="spellStart"/>
      <w:r w:rsidRPr="002A5DAC">
        <w:rPr>
          <w:b/>
          <w:bCs/>
          <w:u w:val="single"/>
        </w:rPr>
        <w:t>als</w:t>
      </w:r>
      <w:proofErr w:type="spellEnd"/>
      <w:r w:rsidRPr="002A5DAC">
        <w:rPr>
          <w:b/>
          <w:bCs/>
          <w:u w:val="single"/>
        </w:rPr>
        <w:t xml:space="preserve"> die </w:t>
      </w:r>
      <w:proofErr w:type="spellStart"/>
      <w:r w:rsidRPr="002A5DAC">
        <w:rPr>
          <w:b/>
          <w:bCs/>
          <w:u w:val="single"/>
        </w:rPr>
        <w:t>gesetzlich</w:t>
      </w:r>
      <w:proofErr w:type="spellEnd"/>
      <w:r w:rsidRPr="002A5DAC">
        <w:rPr>
          <w:b/>
          <w:bCs/>
          <w:u w:val="single"/>
        </w:rPr>
        <w:t xml:space="preserve"> </w:t>
      </w:r>
      <w:proofErr w:type="spellStart"/>
      <w:r w:rsidRPr="002A5DAC">
        <w:rPr>
          <w:b/>
          <w:bCs/>
          <w:u w:val="single"/>
        </w:rPr>
        <w:t>vorgeschriebene</w:t>
      </w:r>
      <w:proofErr w:type="spellEnd"/>
      <w:r w:rsidRPr="002A5DAC">
        <w:rPr>
          <w:b/>
          <w:bCs/>
          <w:u w:val="single"/>
        </w:rPr>
        <w:t xml:space="preserve"> </w:t>
      </w:r>
      <w:proofErr w:type="spellStart"/>
      <w:r w:rsidRPr="002A5DAC">
        <w:rPr>
          <w:b/>
          <w:bCs/>
          <w:u w:val="single"/>
        </w:rPr>
        <w:t>Dosierrate</w:t>
      </w:r>
      <w:proofErr w:type="spellEnd"/>
      <w:r w:rsidRPr="002A5DAC">
        <w:rPr>
          <w:b/>
          <w:bCs/>
          <w:u w:val="single"/>
        </w:rPr>
        <w:t xml:space="preserve"> in der </w:t>
      </w:r>
      <w:proofErr w:type="spellStart"/>
      <w:r w:rsidRPr="002A5DAC">
        <w:rPr>
          <w:b/>
          <w:bCs/>
          <w:u w:val="single"/>
        </w:rPr>
        <w:t>Ladung</w:t>
      </w:r>
      <w:proofErr w:type="spellEnd"/>
      <w:r w:rsidRPr="002A5DAC">
        <w:rPr>
          <w:b/>
          <w:bCs/>
          <w:u w:val="single"/>
        </w:rPr>
        <w:t xml:space="preserve"> </w:t>
      </w:r>
      <w:proofErr w:type="spellStart"/>
      <w:r w:rsidRPr="002A5DAC">
        <w:rPr>
          <w:b/>
          <w:bCs/>
          <w:u w:val="single"/>
        </w:rPr>
        <w:t>ergeben</w:t>
      </w:r>
      <w:proofErr w:type="spellEnd"/>
      <w:r w:rsidRPr="002A5DAC">
        <w:rPr>
          <w:b/>
          <w:bCs/>
          <w:u w:val="single"/>
        </w:rPr>
        <w:t xml:space="preserve"> und </w:t>
      </w:r>
      <w:proofErr w:type="spellStart"/>
      <w:r w:rsidRPr="002A5DAC">
        <w:rPr>
          <w:b/>
          <w:bCs/>
          <w:u w:val="single"/>
        </w:rPr>
        <w:t>wenn</w:t>
      </w:r>
      <w:proofErr w:type="spellEnd"/>
      <w:r w:rsidRPr="002A5DAC">
        <w:rPr>
          <w:b/>
          <w:bCs/>
          <w:u w:val="single"/>
        </w:rPr>
        <w:t xml:space="preserve"> </w:t>
      </w:r>
      <w:proofErr w:type="spellStart"/>
      <w:r w:rsidRPr="002A5DAC">
        <w:rPr>
          <w:b/>
          <w:bCs/>
          <w:u w:val="single"/>
        </w:rPr>
        <w:t>deshalb</w:t>
      </w:r>
      <w:proofErr w:type="spellEnd"/>
      <w:r w:rsidRPr="002A5DAC">
        <w:rPr>
          <w:b/>
          <w:bCs/>
          <w:u w:val="single"/>
        </w:rPr>
        <w:t xml:space="preserve"> </w:t>
      </w:r>
      <w:proofErr w:type="spellStart"/>
      <w:r w:rsidRPr="002A5DAC">
        <w:rPr>
          <w:b/>
          <w:bCs/>
          <w:u w:val="single"/>
        </w:rPr>
        <w:t>während</w:t>
      </w:r>
      <w:proofErr w:type="spellEnd"/>
      <w:r w:rsidRPr="002A5DAC">
        <w:rPr>
          <w:b/>
          <w:bCs/>
          <w:u w:val="single"/>
        </w:rPr>
        <w:t xml:space="preserve"> der </w:t>
      </w:r>
      <w:proofErr w:type="spellStart"/>
      <w:r w:rsidRPr="002A5DAC">
        <w:rPr>
          <w:b/>
          <w:bCs/>
          <w:u w:val="single"/>
        </w:rPr>
        <w:t>Beförderung</w:t>
      </w:r>
      <w:proofErr w:type="spellEnd"/>
      <w:r w:rsidRPr="002A5DAC">
        <w:rPr>
          <w:b/>
          <w:bCs/>
          <w:u w:val="single"/>
        </w:rPr>
        <w:t xml:space="preserve"> in </w:t>
      </w:r>
      <w:proofErr w:type="spellStart"/>
      <w:r w:rsidRPr="002A5DAC">
        <w:rPr>
          <w:b/>
          <w:bCs/>
          <w:u w:val="single"/>
        </w:rPr>
        <w:t>einem</w:t>
      </w:r>
      <w:proofErr w:type="spellEnd"/>
      <w:r w:rsidRPr="002A5DAC">
        <w:rPr>
          <w:b/>
          <w:bCs/>
          <w:u w:val="single"/>
        </w:rPr>
        <w:t xml:space="preserve"> </w:t>
      </w:r>
      <w:proofErr w:type="spellStart"/>
      <w:r w:rsidRPr="002A5DAC">
        <w:rPr>
          <w:b/>
          <w:bCs/>
          <w:u w:val="single"/>
        </w:rPr>
        <w:t>oder</w:t>
      </w:r>
      <w:proofErr w:type="spellEnd"/>
      <w:r w:rsidRPr="002A5DAC">
        <w:rPr>
          <w:b/>
          <w:bCs/>
          <w:u w:val="single"/>
        </w:rPr>
        <w:t xml:space="preserve"> </w:t>
      </w:r>
      <w:proofErr w:type="spellStart"/>
      <w:r w:rsidRPr="002A5DAC">
        <w:rPr>
          <w:b/>
          <w:bCs/>
          <w:u w:val="single"/>
        </w:rPr>
        <w:t>mehreren</w:t>
      </w:r>
      <w:proofErr w:type="spellEnd"/>
      <w:r w:rsidRPr="002A5DAC">
        <w:rPr>
          <w:b/>
          <w:bCs/>
          <w:u w:val="single"/>
        </w:rPr>
        <w:t xml:space="preserve"> </w:t>
      </w:r>
      <w:proofErr w:type="spellStart"/>
      <w:r w:rsidRPr="002A5DAC">
        <w:rPr>
          <w:b/>
          <w:bCs/>
          <w:u w:val="single"/>
        </w:rPr>
        <w:t>Ladetanks</w:t>
      </w:r>
      <w:proofErr w:type="spellEnd"/>
      <w:r w:rsidRPr="002A5DAC">
        <w:rPr>
          <w:b/>
          <w:bCs/>
          <w:u w:val="single"/>
        </w:rPr>
        <w:t xml:space="preserve"> </w:t>
      </w:r>
      <w:proofErr w:type="spellStart"/>
      <w:r w:rsidRPr="002A5DAC">
        <w:rPr>
          <w:b/>
          <w:bCs/>
          <w:u w:val="single"/>
        </w:rPr>
        <w:t>zusätzliches</w:t>
      </w:r>
      <w:proofErr w:type="spellEnd"/>
      <w:r w:rsidRPr="002A5DAC">
        <w:rPr>
          <w:b/>
          <w:bCs/>
          <w:u w:val="single"/>
        </w:rPr>
        <w:t xml:space="preserve"> </w:t>
      </w:r>
      <w:proofErr w:type="spellStart"/>
      <w:r w:rsidRPr="002A5DAC">
        <w:rPr>
          <w:b/>
          <w:bCs/>
          <w:u w:val="single"/>
        </w:rPr>
        <w:t>Additiv</w:t>
      </w:r>
      <w:proofErr w:type="spellEnd"/>
      <w:r w:rsidRPr="002A5DAC">
        <w:rPr>
          <w:b/>
          <w:bCs/>
          <w:u w:val="single"/>
        </w:rPr>
        <w:t xml:space="preserve"> </w:t>
      </w:r>
      <w:proofErr w:type="spellStart"/>
      <w:r w:rsidRPr="002A5DAC">
        <w:rPr>
          <w:b/>
          <w:bCs/>
          <w:u w:val="single"/>
        </w:rPr>
        <w:t>beigefügt</w:t>
      </w:r>
      <w:proofErr w:type="spellEnd"/>
      <w:r w:rsidRPr="002A5DAC">
        <w:rPr>
          <w:b/>
          <w:bCs/>
          <w:u w:val="single"/>
        </w:rPr>
        <w:t xml:space="preserve"> </w:t>
      </w:r>
      <w:proofErr w:type="spellStart"/>
      <w:r w:rsidRPr="002A5DAC">
        <w:rPr>
          <w:b/>
          <w:bCs/>
          <w:u w:val="single"/>
        </w:rPr>
        <w:t>werden</w:t>
      </w:r>
      <w:proofErr w:type="spellEnd"/>
      <w:r w:rsidRPr="002A5DAC">
        <w:rPr>
          <w:b/>
          <w:bCs/>
          <w:u w:val="single"/>
        </w:rPr>
        <w:t xml:space="preserve"> muss, </w:t>
      </w:r>
      <w:proofErr w:type="spellStart"/>
      <w:r w:rsidRPr="002A5DAC">
        <w:rPr>
          <w:b/>
          <w:bCs/>
          <w:u w:val="single"/>
        </w:rPr>
        <w:t>darf</w:t>
      </w:r>
      <w:proofErr w:type="spellEnd"/>
      <w:r w:rsidRPr="002A5DAC">
        <w:rPr>
          <w:b/>
          <w:bCs/>
          <w:u w:val="single"/>
        </w:rPr>
        <w:t xml:space="preserve"> das </w:t>
      </w:r>
      <w:proofErr w:type="spellStart"/>
      <w:r w:rsidRPr="002A5DAC">
        <w:rPr>
          <w:b/>
          <w:bCs/>
          <w:u w:val="single"/>
        </w:rPr>
        <w:t>ausschließlich</w:t>
      </w:r>
      <w:proofErr w:type="spellEnd"/>
      <w:r w:rsidRPr="002A5DAC">
        <w:rPr>
          <w:b/>
          <w:bCs/>
          <w:u w:val="single"/>
        </w:rPr>
        <w:t xml:space="preserve"> </w:t>
      </w:r>
      <w:proofErr w:type="spellStart"/>
      <w:r w:rsidRPr="002A5DAC">
        <w:rPr>
          <w:b/>
          <w:bCs/>
          <w:u w:val="single"/>
        </w:rPr>
        <w:t>über</w:t>
      </w:r>
      <w:proofErr w:type="spellEnd"/>
      <w:r w:rsidRPr="002A5DAC">
        <w:rPr>
          <w:b/>
          <w:bCs/>
          <w:u w:val="single"/>
        </w:rPr>
        <w:t xml:space="preserve"> die </w:t>
      </w:r>
      <w:proofErr w:type="spellStart"/>
      <w:r w:rsidRPr="002A5DAC">
        <w:rPr>
          <w:b/>
          <w:bCs/>
          <w:u w:val="single"/>
        </w:rPr>
        <w:lastRenderedPageBreak/>
        <w:t>Probeentnahmeöffnung</w:t>
      </w:r>
      <w:proofErr w:type="spellEnd"/>
      <w:r w:rsidRPr="002A5DAC">
        <w:rPr>
          <w:b/>
          <w:bCs/>
          <w:u w:val="single"/>
        </w:rPr>
        <w:t xml:space="preserve"> </w:t>
      </w:r>
      <w:proofErr w:type="spellStart"/>
      <w:r w:rsidRPr="002A5DAC">
        <w:rPr>
          <w:b/>
          <w:bCs/>
          <w:u w:val="single"/>
        </w:rPr>
        <w:t>erfolgen</w:t>
      </w:r>
      <w:proofErr w:type="spellEnd"/>
      <w:r w:rsidRPr="002A5DAC">
        <w:rPr>
          <w:b/>
          <w:bCs/>
          <w:u w:val="single"/>
        </w:rPr>
        <w:t xml:space="preserve">. Eine </w:t>
      </w:r>
      <w:proofErr w:type="spellStart"/>
      <w:r w:rsidRPr="002A5DAC">
        <w:rPr>
          <w:b/>
          <w:bCs/>
          <w:u w:val="single"/>
        </w:rPr>
        <w:t>statische</w:t>
      </w:r>
      <w:proofErr w:type="spellEnd"/>
      <w:r w:rsidRPr="002A5DAC">
        <w:rPr>
          <w:b/>
          <w:bCs/>
          <w:u w:val="single"/>
        </w:rPr>
        <w:t xml:space="preserve"> </w:t>
      </w:r>
      <w:proofErr w:type="spellStart"/>
      <w:r w:rsidRPr="002A5DAC">
        <w:rPr>
          <w:b/>
          <w:bCs/>
          <w:u w:val="single"/>
        </w:rPr>
        <w:t>Aufladung</w:t>
      </w:r>
      <w:proofErr w:type="spellEnd"/>
      <w:r w:rsidRPr="002A5DAC">
        <w:rPr>
          <w:b/>
          <w:bCs/>
          <w:u w:val="single"/>
        </w:rPr>
        <w:t xml:space="preserve"> muss </w:t>
      </w:r>
      <w:proofErr w:type="spellStart"/>
      <w:r w:rsidRPr="002A5DAC">
        <w:rPr>
          <w:b/>
          <w:bCs/>
          <w:u w:val="single"/>
        </w:rPr>
        <w:t>verhindert</w:t>
      </w:r>
      <w:proofErr w:type="spellEnd"/>
      <w:r w:rsidRPr="002A5DAC">
        <w:rPr>
          <w:b/>
          <w:bCs/>
          <w:u w:val="single"/>
        </w:rPr>
        <w:t xml:space="preserve"> </w:t>
      </w:r>
      <w:proofErr w:type="spellStart"/>
      <w:r w:rsidRPr="002A5DAC">
        <w:rPr>
          <w:b/>
          <w:bCs/>
          <w:u w:val="single"/>
        </w:rPr>
        <w:t>werden</w:t>
      </w:r>
      <w:proofErr w:type="spellEnd"/>
      <w:r w:rsidRPr="002A5DAC">
        <w:rPr>
          <w:b/>
          <w:bCs/>
          <w:u w:val="single"/>
        </w:rPr>
        <w:t>.“.</w:t>
      </w:r>
    </w:p>
    <w:p w14:paraId="6B178A4E" w14:textId="77777777" w:rsidR="0063344C" w:rsidRPr="00923EC1" w:rsidRDefault="0063344C" w:rsidP="0063344C">
      <w:pPr>
        <w:pStyle w:val="Bullet1G"/>
        <w:numPr>
          <w:ilvl w:val="0"/>
          <w:numId w:val="0"/>
        </w:numPr>
        <w:ind w:left="1701"/>
        <w:rPr>
          <w:b/>
          <w:bCs/>
          <w:u w:val="single"/>
          <w:lang w:val="nl-NL"/>
        </w:rPr>
      </w:pPr>
    </w:p>
    <w:p w14:paraId="0121C8E0" w14:textId="1B11BB27" w:rsidR="0063344C" w:rsidRPr="0045658C" w:rsidRDefault="0063344C" w:rsidP="00AF5BD7">
      <w:pPr>
        <w:pStyle w:val="SingleTxtG"/>
        <w:rPr>
          <w:lang w:val="nl-NL"/>
        </w:rPr>
      </w:pPr>
      <w:r w:rsidRPr="0045658C">
        <w:rPr>
          <w:lang w:val="nl-NL"/>
        </w:rPr>
        <w:t>9.</w:t>
      </w:r>
      <w:r w:rsidRPr="0045658C">
        <w:rPr>
          <w:lang w:val="nl-NL"/>
        </w:rPr>
        <w:tab/>
      </w:r>
      <w:proofErr w:type="spellStart"/>
      <w:r w:rsidRPr="0045658C">
        <w:rPr>
          <w:lang w:val="nl-NL"/>
        </w:rPr>
        <w:t>Aufgrund</w:t>
      </w:r>
      <w:proofErr w:type="spellEnd"/>
      <w:r w:rsidRPr="0045658C">
        <w:rPr>
          <w:lang w:val="nl-NL"/>
        </w:rPr>
        <w:t xml:space="preserve"> der </w:t>
      </w:r>
      <w:proofErr w:type="spellStart"/>
      <w:r w:rsidRPr="0045658C">
        <w:rPr>
          <w:lang w:val="nl-NL"/>
        </w:rPr>
        <w:t>für</w:t>
      </w:r>
      <w:proofErr w:type="spellEnd"/>
      <w:r w:rsidRPr="0045658C">
        <w:rPr>
          <w:lang w:val="nl-NL"/>
        </w:rPr>
        <w:t xml:space="preserve"> 7.2.4.22.13</w:t>
      </w:r>
      <w:r>
        <w:rPr>
          <w:lang w:val="nl-NL"/>
        </w:rPr>
        <w:t xml:space="preserve"> </w:t>
      </w:r>
      <w:proofErr w:type="spellStart"/>
      <w:r w:rsidRPr="0045658C">
        <w:rPr>
          <w:lang w:val="nl-NL"/>
        </w:rPr>
        <w:t>vorgeschlagenen</w:t>
      </w:r>
      <w:proofErr w:type="spellEnd"/>
      <w:r w:rsidRPr="0045658C">
        <w:rPr>
          <w:lang w:val="nl-NL"/>
        </w:rPr>
        <w:t xml:space="preserve"> </w:t>
      </w:r>
      <w:proofErr w:type="spellStart"/>
      <w:r w:rsidRPr="0045658C">
        <w:rPr>
          <w:lang w:val="nl-NL"/>
        </w:rPr>
        <w:t>Änderung</w:t>
      </w:r>
      <w:proofErr w:type="spellEnd"/>
      <w:r w:rsidRPr="0045658C">
        <w:rPr>
          <w:lang w:val="nl-NL"/>
        </w:rPr>
        <w:t xml:space="preserve"> wiederholen</w:t>
      </w:r>
      <w:r>
        <w:rPr>
          <w:lang w:val="nl-NL"/>
        </w:rPr>
        <w:t xml:space="preserve"> </w:t>
      </w:r>
      <w:proofErr w:type="spellStart"/>
      <w:r w:rsidRPr="0045658C">
        <w:rPr>
          <w:lang w:val="nl-NL"/>
        </w:rPr>
        <w:t>wir</w:t>
      </w:r>
      <w:proofErr w:type="spellEnd"/>
      <w:r w:rsidRPr="0045658C">
        <w:rPr>
          <w:lang w:val="nl-NL"/>
        </w:rPr>
        <w:t xml:space="preserve"> </w:t>
      </w:r>
      <w:proofErr w:type="spellStart"/>
      <w:r w:rsidRPr="0045658C">
        <w:rPr>
          <w:lang w:val="nl-NL"/>
        </w:rPr>
        <w:t>unseren</w:t>
      </w:r>
      <w:proofErr w:type="spellEnd"/>
      <w:r w:rsidRPr="0045658C">
        <w:rPr>
          <w:lang w:val="nl-NL"/>
        </w:rPr>
        <w:t xml:space="preserve"> </w:t>
      </w:r>
      <w:proofErr w:type="spellStart"/>
      <w:r w:rsidRPr="0045658C">
        <w:rPr>
          <w:lang w:val="nl-NL"/>
        </w:rPr>
        <w:t>Vorschlag</w:t>
      </w:r>
      <w:proofErr w:type="spellEnd"/>
      <w:r w:rsidRPr="0045658C">
        <w:rPr>
          <w:lang w:val="nl-NL"/>
        </w:rPr>
        <w:t xml:space="preserve"> </w:t>
      </w:r>
      <w:proofErr w:type="spellStart"/>
      <w:r w:rsidRPr="0045658C">
        <w:rPr>
          <w:lang w:val="nl-NL"/>
        </w:rPr>
        <w:t>gemäß</w:t>
      </w:r>
      <w:proofErr w:type="spellEnd"/>
      <w:r w:rsidRPr="0045658C">
        <w:rPr>
          <w:lang w:val="nl-NL"/>
        </w:rPr>
        <w:t xml:space="preserve"> </w:t>
      </w:r>
      <w:proofErr w:type="spellStart"/>
      <w:r w:rsidRPr="0045658C">
        <w:rPr>
          <w:lang w:val="nl-NL"/>
        </w:rPr>
        <w:t>dem</w:t>
      </w:r>
      <w:proofErr w:type="spellEnd"/>
      <w:r w:rsidRPr="0045658C">
        <w:rPr>
          <w:lang w:val="nl-NL"/>
        </w:rPr>
        <w:t xml:space="preserve"> </w:t>
      </w:r>
      <w:proofErr w:type="spellStart"/>
      <w:r w:rsidRPr="0045658C">
        <w:rPr>
          <w:lang w:val="nl-NL"/>
        </w:rPr>
        <w:t>Arbeitsdokument</w:t>
      </w:r>
      <w:proofErr w:type="spellEnd"/>
      <w:r w:rsidRPr="0045658C">
        <w:rPr>
          <w:lang w:val="nl-NL"/>
        </w:rPr>
        <w:t xml:space="preserve"> 2024/20 </w:t>
      </w:r>
      <w:proofErr w:type="spellStart"/>
      <w:r w:rsidRPr="0045658C">
        <w:rPr>
          <w:lang w:val="nl-NL"/>
        </w:rPr>
        <w:t>für</w:t>
      </w:r>
      <w:proofErr w:type="spellEnd"/>
      <w:r w:rsidRPr="0045658C">
        <w:rPr>
          <w:lang w:val="nl-NL"/>
        </w:rPr>
        <w:t xml:space="preserve"> </w:t>
      </w:r>
      <w:proofErr w:type="spellStart"/>
      <w:r w:rsidRPr="0045658C">
        <w:rPr>
          <w:lang w:val="nl-NL"/>
        </w:rPr>
        <w:t>eine</w:t>
      </w:r>
      <w:proofErr w:type="spellEnd"/>
      <w:r w:rsidRPr="0045658C">
        <w:rPr>
          <w:lang w:val="nl-NL"/>
        </w:rPr>
        <w:t xml:space="preserve"> </w:t>
      </w:r>
      <w:proofErr w:type="spellStart"/>
      <w:r w:rsidRPr="0045658C">
        <w:rPr>
          <w:lang w:val="nl-NL"/>
        </w:rPr>
        <w:t>Änderung</w:t>
      </w:r>
      <w:proofErr w:type="spellEnd"/>
      <w:r w:rsidRPr="0045658C">
        <w:rPr>
          <w:lang w:val="nl-NL"/>
        </w:rPr>
        <w:t xml:space="preserve"> </w:t>
      </w:r>
      <w:proofErr w:type="spellStart"/>
      <w:r w:rsidRPr="0045658C">
        <w:rPr>
          <w:lang w:val="nl-NL"/>
        </w:rPr>
        <w:t>von</w:t>
      </w:r>
      <w:proofErr w:type="spellEnd"/>
      <w:r w:rsidRPr="0045658C">
        <w:rPr>
          <w:lang w:val="nl-NL"/>
        </w:rPr>
        <w:t xml:space="preserve"> </w:t>
      </w:r>
      <w:proofErr w:type="spellStart"/>
      <w:r w:rsidRPr="0045658C">
        <w:rPr>
          <w:lang w:val="nl-NL"/>
        </w:rPr>
        <w:t>Abschnitt</w:t>
      </w:r>
      <w:proofErr w:type="spellEnd"/>
      <w:r w:rsidRPr="0045658C">
        <w:rPr>
          <w:lang w:val="nl-NL"/>
        </w:rPr>
        <w:t xml:space="preserve"> 7.2.4.16.8, </w:t>
      </w:r>
      <w:proofErr w:type="spellStart"/>
      <w:r w:rsidRPr="0045658C">
        <w:rPr>
          <w:lang w:val="nl-NL"/>
        </w:rPr>
        <w:t>zweiter</w:t>
      </w:r>
      <w:proofErr w:type="spellEnd"/>
      <w:r w:rsidRPr="0045658C">
        <w:rPr>
          <w:lang w:val="nl-NL"/>
        </w:rPr>
        <w:t xml:space="preserve"> </w:t>
      </w:r>
      <w:proofErr w:type="spellStart"/>
      <w:r w:rsidRPr="0045658C">
        <w:rPr>
          <w:lang w:val="nl-NL"/>
        </w:rPr>
        <w:t>Absatz</w:t>
      </w:r>
      <w:proofErr w:type="spellEnd"/>
      <w:r w:rsidRPr="0045658C">
        <w:rPr>
          <w:lang w:val="nl-NL"/>
        </w:rPr>
        <w:t>:</w:t>
      </w:r>
    </w:p>
    <w:p w14:paraId="0823FAA4" w14:textId="73A31954" w:rsidR="0063344C" w:rsidRPr="001C75EF" w:rsidRDefault="0063344C" w:rsidP="00D72A24">
      <w:pPr>
        <w:pStyle w:val="SingleTxtG"/>
        <w:ind w:left="1701"/>
        <w:rPr>
          <w:lang w:val="nl-NL"/>
        </w:rPr>
      </w:pPr>
      <w:r w:rsidRPr="001C75EF">
        <w:rPr>
          <w:lang w:val="nl-NL"/>
        </w:rPr>
        <w:t xml:space="preserve">7.2.4.16.8, </w:t>
      </w:r>
      <w:proofErr w:type="spellStart"/>
      <w:r w:rsidRPr="001C75EF">
        <w:rPr>
          <w:lang w:val="nl-NL"/>
        </w:rPr>
        <w:t>nach</w:t>
      </w:r>
      <w:proofErr w:type="spellEnd"/>
      <w:r w:rsidRPr="001C75EF">
        <w:rPr>
          <w:lang w:val="nl-NL"/>
        </w:rPr>
        <w:t>:</w:t>
      </w:r>
      <w:r w:rsidRPr="001C75EF">
        <w:rPr>
          <w:i/>
          <w:iCs/>
          <w:lang w:val="nl-NL"/>
        </w:rPr>
        <w:t xml:space="preserve"> “…</w:t>
      </w:r>
      <w:proofErr w:type="spellStart"/>
      <w:r w:rsidRPr="001C75EF">
        <w:rPr>
          <w:i/>
          <w:iCs/>
          <w:lang w:val="nl-NL"/>
        </w:rPr>
        <w:t>Probenentnahme</w:t>
      </w:r>
      <w:proofErr w:type="spellEnd"/>
      <w:r w:rsidRPr="001C75EF">
        <w:rPr>
          <w:i/>
          <w:iCs/>
          <w:lang w:val="nl-NL"/>
        </w:rPr>
        <w:t xml:space="preserve"> </w:t>
      </w:r>
      <w:proofErr w:type="spellStart"/>
      <w:r w:rsidRPr="001C75EF">
        <w:rPr>
          <w:i/>
          <w:iCs/>
          <w:lang w:val="nl-NL"/>
        </w:rPr>
        <w:t>vornehmen</w:t>
      </w:r>
      <w:proofErr w:type="spellEnd"/>
      <w:r w:rsidRPr="001C75EF">
        <w:rPr>
          <w:i/>
          <w:iCs/>
          <w:lang w:val="nl-NL"/>
        </w:rPr>
        <w:t>, ”</w:t>
      </w:r>
      <w:r w:rsidRPr="001C75EF">
        <w:rPr>
          <w:lang w:val="nl-NL"/>
        </w:rPr>
        <w:t xml:space="preserve"> </w:t>
      </w:r>
      <w:proofErr w:type="spellStart"/>
      <w:r w:rsidRPr="001C75EF">
        <w:rPr>
          <w:lang w:val="nl-NL"/>
        </w:rPr>
        <w:t>und</w:t>
      </w:r>
      <w:proofErr w:type="spellEnd"/>
      <w:r w:rsidRPr="001C75EF">
        <w:rPr>
          <w:lang w:val="nl-NL"/>
        </w:rPr>
        <w:t xml:space="preserve"> </w:t>
      </w:r>
      <w:proofErr w:type="spellStart"/>
      <w:r w:rsidRPr="001C75EF">
        <w:rPr>
          <w:lang w:val="nl-NL"/>
        </w:rPr>
        <w:t>bevor</w:t>
      </w:r>
      <w:proofErr w:type="spellEnd"/>
      <w:r w:rsidRPr="001C75EF">
        <w:rPr>
          <w:lang w:val="nl-NL"/>
        </w:rPr>
        <w:t xml:space="preserve"> </w:t>
      </w:r>
      <w:r w:rsidRPr="001C75EF">
        <w:rPr>
          <w:i/>
          <w:iCs/>
          <w:lang w:val="nl-NL"/>
        </w:rPr>
        <w:t>“</w:t>
      </w:r>
      <w:proofErr w:type="spellStart"/>
      <w:r w:rsidRPr="001C75EF">
        <w:rPr>
          <w:i/>
          <w:iCs/>
          <w:lang w:val="nl-NL"/>
        </w:rPr>
        <w:t>oder</w:t>
      </w:r>
      <w:proofErr w:type="spellEnd"/>
      <w:r w:rsidRPr="001C75EF">
        <w:rPr>
          <w:i/>
          <w:iCs/>
          <w:lang w:val="nl-NL"/>
        </w:rPr>
        <w:t xml:space="preserve"> </w:t>
      </w:r>
      <w:proofErr w:type="spellStart"/>
      <w:r w:rsidRPr="001C75EF">
        <w:rPr>
          <w:i/>
          <w:iCs/>
          <w:lang w:val="nl-NL"/>
        </w:rPr>
        <w:t>eine</w:t>
      </w:r>
      <w:proofErr w:type="spellEnd"/>
      <w:r w:rsidRPr="001C75EF">
        <w:rPr>
          <w:i/>
          <w:iCs/>
          <w:lang w:val="nl-NL"/>
        </w:rPr>
        <w:t xml:space="preserve"> </w:t>
      </w:r>
      <w:proofErr w:type="spellStart"/>
      <w:r w:rsidRPr="001C75EF">
        <w:rPr>
          <w:i/>
          <w:iCs/>
          <w:lang w:val="nl-NL"/>
        </w:rPr>
        <w:t>Peil</w:t>
      </w:r>
      <w:r>
        <w:rPr>
          <w:i/>
          <w:iCs/>
          <w:lang w:val="nl-NL"/>
        </w:rPr>
        <w:t>u</w:t>
      </w:r>
      <w:r w:rsidRPr="001C75EF">
        <w:rPr>
          <w:i/>
          <w:iCs/>
          <w:lang w:val="nl-NL"/>
        </w:rPr>
        <w:t>ng</w:t>
      </w:r>
      <w:proofErr w:type="spellEnd"/>
      <w:r w:rsidRPr="001C75EF">
        <w:rPr>
          <w:i/>
          <w:iCs/>
          <w:lang w:val="nl-NL"/>
        </w:rPr>
        <w:t xml:space="preserve"> …”, </w:t>
      </w:r>
      <w:proofErr w:type="spellStart"/>
      <w:r w:rsidRPr="00E17203">
        <w:rPr>
          <w:lang w:val="nl-NL"/>
        </w:rPr>
        <w:t>wird</w:t>
      </w:r>
      <w:proofErr w:type="spellEnd"/>
      <w:r w:rsidRPr="00E17203">
        <w:rPr>
          <w:lang w:val="nl-NL"/>
        </w:rPr>
        <w:t xml:space="preserve"> </w:t>
      </w:r>
      <w:proofErr w:type="spellStart"/>
      <w:r>
        <w:rPr>
          <w:lang w:val="nl-NL"/>
        </w:rPr>
        <w:t>folgender</w:t>
      </w:r>
      <w:proofErr w:type="spellEnd"/>
      <w:r>
        <w:rPr>
          <w:lang w:val="nl-NL"/>
        </w:rPr>
        <w:t xml:space="preserve"> </w:t>
      </w:r>
      <w:proofErr w:type="spellStart"/>
      <w:r>
        <w:rPr>
          <w:lang w:val="nl-NL"/>
        </w:rPr>
        <w:t>Wortlaut</w:t>
      </w:r>
      <w:proofErr w:type="spellEnd"/>
      <w:r>
        <w:rPr>
          <w:lang w:val="nl-NL"/>
        </w:rPr>
        <w:t xml:space="preserve"> </w:t>
      </w:r>
      <w:proofErr w:type="spellStart"/>
      <w:r>
        <w:rPr>
          <w:lang w:val="nl-NL"/>
        </w:rPr>
        <w:t>eingef</w:t>
      </w:r>
      <w:r w:rsidRPr="001C75EF">
        <w:rPr>
          <w:bCs/>
          <w:lang w:val="nl-NL"/>
        </w:rPr>
        <w:t>ü</w:t>
      </w:r>
      <w:r>
        <w:rPr>
          <w:lang w:val="nl-NL"/>
        </w:rPr>
        <w:t>gt</w:t>
      </w:r>
      <w:proofErr w:type="spellEnd"/>
      <w:r>
        <w:rPr>
          <w:lang w:val="nl-NL"/>
        </w:rPr>
        <w:t xml:space="preserve"> :</w:t>
      </w:r>
      <w:r w:rsidRPr="001C75EF">
        <w:rPr>
          <w:lang w:val="nl-NL"/>
        </w:rPr>
        <w:t xml:space="preserve"> </w:t>
      </w:r>
      <w:r w:rsidRPr="001C75EF">
        <w:rPr>
          <w:b/>
          <w:u w:val="single"/>
          <w:lang w:val="nl-NL"/>
        </w:rPr>
        <w:t xml:space="preserve">Additive </w:t>
      </w:r>
      <w:proofErr w:type="spellStart"/>
      <w:r w:rsidRPr="001C75EF">
        <w:rPr>
          <w:b/>
          <w:u w:val="single"/>
          <w:lang w:val="nl-NL"/>
        </w:rPr>
        <w:t>beifügen</w:t>
      </w:r>
      <w:proofErr w:type="spellEnd"/>
      <w:r w:rsidRPr="001C75EF">
        <w:rPr>
          <w:b/>
          <w:u w:val="single"/>
          <w:lang w:val="nl-NL"/>
        </w:rPr>
        <w:t xml:space="preserve"> (</w:t>
      </w:r>
      <w:proofErr w:type="spellStart"/>
      <w:r w:rsidRPr="001C75EF">
        <w:rPr>
          <w:b/>
          <w:u w:val="single"/>
          <w:lang w:val="nl-NL"/>
        </w:rPr>
        <w:t>siehe</w:t>
      </w:r>
      <w:proofErr w:type="spellEnd"/>
      <w:r w:rsidRPr="001C75EF">
        <w:rPr>
          <w:b/>
          <w:u w:val="single"/>
          <w:lang w:val="nl-NL"/>
        </w:rPr>
        <w:t xml:space="preserve"> </w:t>
      </w:r>
      <w:proofErr w:type="spellStart"/>
      <w:r w:rsidRPr="001C75EF">
        <w:rPr>
          <w:b/>
          <w:u w:val="single"/>
          <w:lang w:val="nl-NL"/>
        </w:rPr>
        <w:t>Unterabschnitt</w:t>
      </w:r>
      <w:proofErr w:type="spellEnd"/>
      <w:r w:rsidRPr="001C75EF">
        <w:rPr>
          <w:b/>
          <w:u w:val="single"/>
          <w:lang w:val="nl-NL"/>
        </w:rPr>
        <w:t xml:space="preserve"> 7.2.4.22)</w:t>
      </w:r>
      <w:r>
        <w:rPr>
          <w:bCs/>
          <w:lang w:val="nl-NL"/>
        </w:rPr>
        <w:t>.</w:t>
      </w:r>
    </w:p>
    <w:p w14:paraId="67532112" w14:textId="40F5EEA9" w:rsidR="0063344C" w:rsidRPr="001C75EF" w:rsidRDefault="0063344C" w:rsidP="00AF5BD7">
      <w:pPr>
        <w:pStyle w:val="SingleTxtG"/>
        <w:rPr>
          <w:lang w:val="de-DE"/>
        </w:rPr>
      </w:pPr>
      <w:r w:rsidRPr="001C75EF">
        <w:rPr>
          <w:lang w:val="nl-NL"/>
        </w:rPr>
        <w:t>10.</w:t>
      </w:r>
      <w:r w:rsidRPr="001C75EF">
        <w:rPr>
          <w:lang w:val="nl-NL"/>
        </w:rPr>
        <w:tab/>
      </w:r>
      <w:r w:rsidRPr="001C75EF">
        <w:rPr>
          <w:lang w:val="de-DE"/>
        </w:rPr>
        <w:t xml:space="preserve">Angesichts der Tatsache, </w:t>
      </w:r>
      <w:proofErr w:type="spellStart"/>
      <w:r w:rsidRPr="001C75EF">
        <w:rPr>
          <w:lang w:val="de-DE"/>
        </w:rPr>
        <w:t>dass</w:t>
      </w:r>
      <w:proofErr w:type="spellEnd"/>
      <w:r w:rsidRPr="001C75EF">
        <w:rPr>
          <w:lang w:val="de-DE"/>
        </w:rPr>
        <w:t xml:space="preserve"> die zusätzliche </w:t>
      </w:r>
      <w:proofErr w:type="spellStart"/>
      <w:r w:rsidRPr="001C75EF">
        <w:rPr>
          <w:lang w:val="de-DE"/>
        </w:rPr>
        <w:t>Additivierung</w:t>
      </w:r>
      <w:proofErr w:type="spellEnd"/>
      <w:r w:rsidRPr="001C75EF">
        <w:rPr>
          <w:lang w:val="de-DE"/>
        </w:rPr>
        <w:t xml:space="preserve"> an Bord die kurzfristige Unterbringung von Versandstücken im Ladungsbereich</w:t>
      </w:r>
      <w:r w:rsidR="00D72A24">
        <w:rPr>
          <w:lang w:val="de-DE"/>
        </w:rPr>
        <w:t xml:space="preserve"> </w:t>
      </w:r>
      <w:r w:rsidRPr="001C75EF">
        <w:rPr>
          <w:lang w:val="de-DE"/>
        </w:rPr>
        <w:t>erfordert, wird</w:t>
      </w:r>
      <w:r>
        <w:rPr>
          <w:lang w:val="de-DE"/>
        </w:rPr>
        <w:t xml:space="preserve"> </w:t>
      </w:r>
      <w:r w:rsidRPr="001C75EF">
        <w:rPr>
          <w:lang w:val="de-DE"/>
        </w:rPr>
        <w:t xml:space="preserve">des </w:t>
      </w:r>
      <w:proofErr w:type="spellStart"/>
      <w:r w:rsidRPr="001C75EF">
        <w:rPr>
          <w:lang w:val="de-DE"/>
        </w:rPr>
        <w:t>Weiteren</w:t>
      </w:r>
      <w:proofErr w:type="spellEnd"/>
      <w:r w:rsidRPr="001C75EF">
        <w:rPr>
          <w:lang w:val="de-DE"/>
        </w:rPr>
        <w:t xml:space="preserve"> die Aufnahme eines neuen Absatzes 7.2.4.1.5 mit den zu</w:t>
      </w:r>
      <w:r>
        <w:rPr>
          <w:lang w:val="de-DE"/>
        </w:rPr>
        <w:t xml:space="preserve"> </w:t>
      </w:r>
      <w:r w:rsidRPr="001C75EF">
        <w:rPr>
          <w:lang w:val="de-DE"/>
        </w:rPr>
        <w:t>einzuhaltenden Bedingungen vorgeschlagen:</w:t>
      </w:r>
    </w:p>
    <w:p w14:paraId="7B289D6B" w14:textId="4D397D9E" w:rsidR="0063344C" w:rsidRPr="001C75EF" w:rsidRDefault="0063344C" w:rsidP="00342999">
      <w:pPr>
        <w:pStyle w:val="SingleTxtG"/>
        <w:ind w:left="1701"/>
        <w:rPr>
          <w:b/>
          <w:bCs/>
          <w:u w:val="single"/>
          <w:lang w:val="de-DE"/>
        </w:rPr>
      </w:pPr>
      <w:r w:rsidRPr="001C75EF">
        <w:rPr>
          <w:b/>
          <w:u w:val="single"/>
          <w:lang w:val="de-DE"/>
        </w:rPr>
        <w:t>„7.2.4.1.5</w:t>
      </w:r>
      <w:r w:rsidRPr="001C75EF">
        <w:rPr>
          <w:b/>
          <w:u w:val="single"/>
          <w:lang w:val="de-DE"/>
        </w:rPr>
        <w:tab/>
        <w:t>An Bord von Schiffen ist es allein zum Zwecke der</w:t>
      </w:r>
      <w:r>
        <w:rPr>
          <w:b/>
          <w:u w:val="single"/>
          <w:lang w:val="de-DE"/>
        </w:rPr>
        <w:t xml:space="preserve"> </w:t>
      </w:r>
      <w:proofErr w:type="spellStart"/>
      <w:r w:rsidRPr="001C75EF">
        <w:rPr>
          <w:b/>
          <w:u w:val="single"/>
          <w:lang w:val="de-DE"/>
        </w:rPr>
        <w:t>Additivierung</w:t>
      </w:r>
      <w:proofErr w:type="spellEnd"/>
      <w:r w:rsidRPr="001C75EF">
        <w:rPr>
          <w:b/>
          <w:u w:val="single"/>
          <w:lang w:val="de-DE"/>
        </w:rPr>
        <w:t xml:space="preserve"> (siehe 7.2.4.22) für die ausschließliche Dauer des </w:t>
      </w:r>
      <w:proofErr w:type="spellStart"/>
      <w:r w:rsidRPr="001C75EF">
        <w:rPr>
          <w:b/>
          <w:u w:val="single"/>
          <w:lang w:val="de-DE"/>
        </w:rPr>
        <w:t>Additivierungsvorgangs</w:t>
      </w:r>
      <w:proofErr w:type="spellEnd"/>
      <w:r w:rsidRPr="001C75EF">
        <w:rPr>
          <w:b/>
          <w:u w:val="single"/>
          <w:lang w:val="de-DE"/>
        </w:rPr>
        <w:t xml:space="preserve"> gestattet, Versandstücke mit Additiven im Ladungsbereich unterzubringen. Die </w:t>
      </w:r>
      <w:proofErr w:type="spellStart"/>
      <w:r w:rsidRPr="001C75EF">
        <w:rPr>
          <w:b/>
          <w:u w:val="single"/>
          <w:lang w:val="de-DE"/>
        </w:rPr>
        <w:t>Additivierung</w:t>
      </w:r>
      <w:proofErr w:type="spellEnd"/>
      <w:r w:rsidRPr="001C75EF">
        <w:rPr>
          <w:b/>
          <w:u w:val="single"/>
          <w:lang w:val="de-DE"/>
        </w:rPr>
        <w:t xml:space="preserve"> hat nach dem Ende des Beladevorgangs und vor Fahrtbeginn oder nach</w:t>
      </w:r>
      <w:r w:rsidR="00342999">
        <w:rPr>
          <w:b/>
          <w:u w:val="single"/>
          <w:lang w:val="de-DE"/>
        </w:rPr>
        <w:t xml:space="preserve"> </w:t>
      </w:r>
      <w:r w:rsidRPr="001C75EF">
        <w:rPr>
          <w:b/>
          <w:u w:val="single"/>
          <w:lang w:val="de-DE"/>
        </w:rPr>
        <w:t>Fahrtende und vor Beginn des Entladevorgangs zu erfolgen. Die Einzelheiten von Absatz 7.2.4.22 sind zu berücksichtigen. Die Gesamtmenge der Versandstücke darf ... nicht überschreiten und das Gesamtgewicht der vollen Versandstücke darf ... kg nicht überschreiten. Das Gewicht eines einzelnen Versandstücks ist auf... kg zu begrenzen.“.</w:t>
      </w:r>
    </w:p>
    <w:p w14:paraId="602C0D5A" w14:textId="77777777" w:rsidR="0063344C" w:rsidRPr="00A23395" w:rsidRDefault="0063344C" w:rsidP="0063344C">
      <w:pPr>
        <w:pStyle w:val="SingleTxtG"/>
        <w:rPr>
          <w:lang w:val="de-DE"/>
        </w:rPr>
      </w:pPr>
      <w:r w:rsidRPr="00A23395">
        <w:rPr>
          <w:b/>
          <w:sz w:val="28"/>
          <w:lang w:val="de-DE"/>
        </w:rPr>
        <w:t>II.</w:t>
      </w:r>
      <w:r w:rsidRPr="00A23395">
        <w:rPr>
          <w:b/>
          <w:sz w:val="28"/>
          <w:lang w:val="de-DE"/>
        </w:rPr>
        <w:tab/>
        <w:t>Begründung</w:t>
      </w:r>
    </w:p>
    <w:p w14:paraId="15091CBA" w14:textId="4CB8D9F9" w:rsidR="0063344C" w:rsidRPr="00C00532" w:rsidRDefault="0063344C" w:rsidP="00C00532">
      <w:pPr>
        <w:pStyle w:val="SingleTxtG"/>
      </w:pPr>
      <w:r w:rsidRPr="00C00532">
        <w:t>11.</w:t>
      </w:r>
      <w:r w:rsidRPr="00C00532">
        <w:tab/>
      </w:r>
      <w:proofErr w:type="spellStart"/>
      <w:r w:rsidRPr="00C00532">
        <w:t>Sicherheit</w:t>
      </w:r>
      <w:proofErr w:type="spellEnd"/>
      <w:r w:rsidRPr="00C00532">
        <w:t xml:space="preserve">: </w:t>
      </w:r>
      <w:proofErr w:type="spellStart"/>
      <w:r w:rsidRPr="00C00532">
        <w:t>Weniger</w:t>
      </w:r>
      <w:proofErr w:type="spellEnd"/>
      <w:r w:rsidRPr="00C00532">
        <w:t xml:space="preserve"> </w:t>
      </w:r>
      <w:proofErr w:type="spellStart"/>
      <w:r w:rsidRPr="00C00532">
        <w:t>zusätzliche</w:t>
      </w:r>
      <w:proofErr w:type="spellEnd"/>
      <w:r w:rsidRPr="00C00532">
        <w:t xml:space="preserve"> Handling-/</w:t>
      </w:r>
      <w:proofErr w:type="spellStart"/>
      <w:r w:rsidRPr="00C00532">
        <w:t>Entlade</w:t>
      </w:r>
      <w:proofErr w:type="spellEnd"/>
      <w:r w:rsidRPr="00C00532">
        <w:t>-/</w:t>
      </w:r>
      <w:proofErr w:type="spellStart"/>
      <w:r w:rsidRPr="00C00532">
        <w:t>Ladevorgänge</w:t>
      </w:r>
      <w:proofErr w:type="spellEnd"/>
      <w:r w:rsidRPr="00C00532">
        <w:t xml:space="preserve"> </w:t>
      </w:r>
      <w:proofErr w:type="spellStart"/>
      <w:r w:rsidRPr="00C00532">
        <w:t>sowie</w:t>
      </w:r>
      <w:proofErr w:type="spellEnd"/>
      <w:r w:rsidRPr="00C00532">
        <w:t xml:space="preserve"> </w:t>
      </w:r>
      <w:proofErr w:type="spellStart"/>
      <w:r w:rsidRPr="00C00532">
        <w:t>Schiffsbewegungen</w:t>
      </w:r>
      <w:proofErr w:type="spellEnd"/>
      <w:r w:rsidRPr="00C00532">
        <w:t xml:space="preserve">: Falls die </w:t>
      </w:r>
      <w:proofErr w:type="spellStart"/>
      <w:r w:rsidRPr="00C00532">
        <w:t>Dosierrate</w:t>
      </w:r>
      <w:proofErr w:type="spellEnd"/>
      <w:r w:rsidRPr="00C00532">
        <w:t xml:space="preserve"> </w:t>
      </w:r>
      <w:proofErr w:type="spellStart"/>
      <w:r w:rsidRPr="00C00532">
        <w:t>unter</w:t>
      </w:r>
      <w:proofErr w:type="spellEnd"/>
      <w:r w:rsidRPr="00C00532">
        <w:t xml:space="preserve"> den </w:t>
      </w:r>
      <w:proofErr w:type="spellStart"/>
      <w:r w:rsidRPr="00C00532">
        <w:t>gesetzlich</w:t>
      </w:r>
      <w:proofErr w:type="spellEnd"/>
      <w:r w:rsidRPr="00C00532">
        <w:t xml:space="preserve"> </w:t>
      </w:r>
      <w:proofErr w:type="spellStart"/>
      <w:r w:rsidRPr="00C00532">
        <w:t>vorgeschriebenen</w:t>
      </w:r>
      <w:proofErr w:type="spellEnd"/>
      <w:r w:rsidRPr="00C00532">
        <w:t xml:space="preserve"> </w:t>
      </w:r>
      <w:proofErr w:type="spellStart"/>
      <w:r w:rsidRPr="00C00532">
        <w:t>Normen</w:t>
      </w:r>
      <w:proofErr w:type="spellEnd"/>
      <w:r w:rsidRPr="00C00532">
        <w:t xml:space="preserve"> </w:t>
      </w:r>
      <w:proofErr w:type="spellStart"/>
      <w:r w:rsidRPr="00C00532">
        <w:t>liegt</w:t>
      </w:r>
      <w:proofErr w:type="spellEnd"/>
      <w:r w:rsidRPr="00C00532">
        <w:t xml:space="preserve"> und es </w:t>
      </w:r>
      <w:proofErr w:type="spellStart"/>
      <w:r w:rsidRPr="00C00532">
        <w:t>keine</w:t>
      </w:r>
      <w:proofErr w:type="spellEnd"/>
      <w:r w:rsidRPr="00C00532">
        <w:t xml:space="preserve"> </w:t>
      </w:r>
      <w:proofErr w:type="spellStart"/>
      <w:r w:rsidRPr="00C00532">
        <w:t>rechtlichen</w:t>
      </w:r>
      <w:proofErr w:type="spellEnd"/>
      <w:r w:rsidRPr="00C00532">
        <w:t xml:space="preserve"> </w:t>
      </w:r>
      <w:proofErr w:type="spellStart"/>
      <w:r w:rsidRPr="00C00532">
        <w:t>Möglichkeiten</w:t>
      </w:r>
      <w:proofErr w:type="spellEnd"/>
      <w:r w:rsidRPr="00C00532">
        <w:t xml:space="preserve"> </w:t>
      </w:r>
      <w:proofErr w:type="spellStart"/>
      <w:r w:rsidRPr="00C00532">
        <w:t>gibt</w:t>
      </w:r>
      <w:proofErr w:type="spellEnd"/>
      <w:r w:rsidRPr="00C00532">
        <w:t xml:space="preserve">, die </w:t>
      </w:r>
      <w:proofErr w:type="spellStart"/>
      <w:r w:rsidRPr="00C00532">
        <w:t>Konzentration</w:t>
      </w:r>
      <w:proofErr w:type="spellEnd"/>
      <w:r w:rsidRPr="00C00532">
        <w:t xml:space="preserve">  an Bord von </w:t>
      </w:r>
      <w:proofErr w:type="spellStart"/>
      <w:r w:rsidRPr="00C00532">
        <w:t>Schiffen</w:t>
      </w:r>
      <w:proofErr w:type="spellEnd"/>
      <w:r w:rsidRPr="00C00532">
        <w:t xml:space="preserve"> </w:t>
      </w:r>
      <w:proofErr w:type="spellStart"/>
      <w:r w:rsidRPr="00C00532">
        <w:t>zu</w:t>
      </w:r>
      <w:proofErr w:type="spellEnd"/>
      <w:r w:rsidRPr="00C00532">
        <w:t xml:space="preserve"> </w:t>
      </w:r>
      <w:proofErr w:type="spellStart"/>
      <w:r w:rsidRPr="00C00532">
        <w:t>erhöhen</w:t>
      </w:r>
      <w:proofErr w:type="spellEnd"/>
      <w:r w:rsidRPr="00C00532">
        <w:t xml:space="preserve">, </w:t>
      </w:r>
      <w:proofErr w:type="spellStart"/>
      <w:r w:rsidRPr="00C00532">
        <w:t>müssten</w:t>
      </w:r>
      <w:proofErr w:type="spellEnd"/>
      <w:r w:rsidRPr="00C00532">
        <w:t xml:space="preserve"> die </w:t>
      </w:r>
      <w:proofErr w:type="spellStart"/>
      <w:r w:rsidRPr="00C00532">
        <w:t>Schiffe</w:t>
      </w:r>
      <w:proofErr w:type="spellEnd"/>
      <w:r w:rsidRPr="00C00532">
        <w:t xml:space="preserve"> die </w:t>
      </w:r>
      <w:proofErr w:type="spellStart"/>
      <w:r w:rsidRPr="00C00532">
        <w:t>Umschlagsanlage</w:t>
      </w:r>
      <w:proofErr w:type="spellEnd"/>
      <w:r w:rsidRPr="00C00532">
        <w:t xml:space="preserve"> </w:t>
      </w:r>
      <w:proofErr w:type="spellStart"/>
      <w:r w:rsidRPr="00C00532">
        <w:t>verlassen</w:t>
      </w:r>
      <w:proofErr w:type="spellEnd"/>
      <w:r w:rsidRPr="00C00532">
        <w:t xml:space="preserve"> und an </w:t>
      </w:r>
      <w:proofErr w:type="spellStart"/>
      <w:r w:rsidRPr="00C00532">
        <w:t>einer</w:t>
      </w:r>
      <w:proofErr w:type="spellEnd"/>
      <w:r w:rsidRPr="00C00532">
        <w:t xml:space="preserve"> </w:t>
      </w:r>
      <w:proofErr w:type="spellStart"/>
      <w:r w:rsidRPr="00C00532">
        <w:t>anderen</w:t>
      </w:r>
      <w:proofErr w:type="spellEnd"/>
      <w:r w:rsidRPr="00C00532">
        <w:t xml:space="preserve"> </w:t>
      </w:r>
      <w:proofErr w:type="spellStart"/>
      <w:r w:rsidRPr="00C00532">
        <w:t>Umschlagsanlage</w:t>
      </w:r>
      <w:proofErr w:type="spellEnd"/>
      <w:r w:rsidRPr="00C00532">
        <w:t xml:space="preserve"> die </w:t>
      </w:r>
      <w:proofErr w:type="spellStart"/>
      <w:r w:rsidRPr="00C00532">
        <w:t>Ladung</w:t>
      </w:r>
      <w:proofErr w:type="spellEnd"/>
      <w:r w:rsidRPr="00C00532">
        <w:t xml:space="preserve"> </w:t>
      </w:r>
      <w:proofErr w:type="spellStart"/>
      <w:r w:rsidRPr="00C00532">
        <w:t>löschen</w:t>
      </w:r>
      <w:proofErr w:type="spellEnd"/>
      <w:r w:rsidRPr="00C00532">
        <w:t xml:space="preserve"> und </w:t>
      </w:r>
      <w:proofErr w:type="spellStart"/>
      <w:r w:rsidRPr="00C00532">
        <w:t>erneut</w:t>
      </w:r>
      <w:proofErr w:type="spellEnd"/>
      <w:r w:rsidRPr="00C00532">
        <w:t xml:space="preserve"> laden. In der Regel </w:t>
      </w:r>
      <w:proofErr w:type="spellStart"/>
      <w:r w:rsidRPr="00C00532">
        <w:t>können</w:t>
      </w:r>
      <w:proofErr w:type="spellEnd"/>
      <w:r w:rsidRPr="00C00532">
        <w:t xml:space="preserve"> </w:t>
      </w:r>
      <w:proofErr w:type="spellStart"/>
      <w:r w:rsidRPr="00C00532">
        <w:t>Umschlagsanlagenkeine</w:t>
      </w:r>
      <w:proofErr w:type="spellEnd"/>
      <w:r w:rsidRPr="00C00532">
        <w:t xml:space="preserve"> </w:t>
      </w:r>
      <w:proofErr w:type="spellStart"/>
      <w:r w:rsidRPr="00C00532">
        <w:t>Ladung</w:t>
      </w:r>
      <w:proofErr w:type="spellEnd"/>
      <w:r w:rsidRPr="00C00532">
        <w:t xml:space="preserve"> </w:t>
      </w:r>
      <w:proofErr w:type="spellStart"/>
      <w:r w:rsidRPr="00C00532">
        <w:t>zurücknehmen</w:t>
      </w:r>
      <w:proofErr w:type="spellEnd"/>
      <w:r w:rsidRPr="00C00532">
        <w:t xml:space="preserve">, </w:t>
      </w:r>
      <w:proofErr w:type="spellStart"/>
      <w:r w:rsidRPr="00C00532">
        <w:t>wenn</w:t>
      </w:r>
      <w:proofErr w:type="spellEnd"/>
      <w:r w:rsidRPr="00C00532">
        <w:t xml:space="preserve"> </w:t>
      </w:r>
      <w:proofErr w:type="spellStart"/>
      <w:r w:rsidRPr="00C00532">
        <w:t>sie</w:t>
      </w:r>
      <w:proofErr w:type="spellEnd"/>
      <w:r w:rsidRPr="00C00532">
        <w:t xml:space="preserve"> Additive </w:t>
      </w:r>
      <w:proofErr w:type="spellStart"/>
      <w:r w:rsidRPr="00C00532">
        <w:t>enthält</w:t>
      </w:r>
      <w:proofErr w:type="spellEnd"/>
      <w:r w:rsidRPr="00C00532">
        <w:t>.</w:t>
      </w:r>
    </w:p>
    <w:p w14:paraId="1F09B133" w14:textId="10EBD8AF" w:rsidR="0063344C" w:rsidRPr="00C00532" w:rsidRDefault="00C00532" w:rsidP="00C00532">
      <w:pPr>
        <w:pStyle w:val="SingleTxtG"/>
      </w:pPr>
      <w:r>
        <w:t>12.</w:t>
      </w:r>
      <w:r>
        <w:tab/>
      </w:r>
      <w:r w:rsidR="0063344C" w:rsidRPr="00C00532">
        <w:t xml:space="preserve">Dies </w:t>
      </w:r>
      <w:proofErr w:type="spellStart"/>
      <w:r w:rsidR="0063344C" w:rsidRPr="00C00532">
        <w:t>ist</w:t>
      </w:r>
      <w:proofErr w:type="spellEnd"/>
      <w:r w:rsidR="0063344C" w:rsidRPr="00C00532">
        <w:t xml:space="preserve"> </w:t>
      </w:r>
      <w:proofErr w:type="spellStart"/>
      <w:r w:rsidR="0063344C" w:rsidRPr="00C00532">
        <w:t>ein</w:t>
      </w:r>
      <w:proofErr w:type="spellEnd"/>
      <w:r w:rsidR="0063344C" w:rsidRPr="00C00532">
        <w:t xml:space="preserve"> </w:t>
      </w:r>
      <w:proofErr w:type="spellStart"/>
      <w:r w:rsidR="0063344C" w:rsidRPr="00C00532">
        <w:t>zusätzliches</w:t>
      </w:r>
      <w:proofErr w:type="spellEnd"/>
      <w:r w:rsidR="0063344C" w:rsidRPr="00C00532">
        <w:t xml:space="preserve"> Handling von </w:t>
      </w:r>
      <w:proofErr w:type="spellStart"/>
      <w:r w:rsidR="0063344C" w:rsidRPr="00C00532">
        <w:t>Hunderten</w:t>
      </w:r>
      <w:proofErr w:type="spellEnd"/>
      <w:r w:rsidR="0063344C" w:rsidRPr="00C00532">
        <w:t xml:space="preserve"> </w:t>
      </w:r>
      <w:proofErr w:type="spellStart"/>
      <w:r w:rsidR="0063344C" w:rsidRPr="00C00532">
        <w:t>oder</w:t>
      </w:r>
      <w:proofErr w:type="spellEnd"/>
      <w:r w:rsidR="0063344C" w:rsidRPr="00C00532">
        <w:t xml:space="preserve"> </w:t>
      </w:r>
      <w:proofErr w:type="spellStart"/>
      <w:r w:rsidR="0063344C" w:rsidRPr="00C00532">
        <w:t>Tausenden</w:t>
      </w:r>
      <w:proofErr w:type="spellEnd"/>
      <w:r w:rsidR="0063344C" w:rsidRPr="00C00532">
        <w:t xml:space="preserve"> von </w:t>
      </w:r>
      <w:proofErr w:type="spellStart"/>
      <w:r w:rsidR="0063344C" w:rsidRPr="00C00532">
        <w:t>Tonnen</w:t>
      </w:r>
      <w:proofErr w:type="spellEnd"/>
      <w:r w:rsidR="0063344C" w:rsidRPr="00C00532">
        <w:t xml:space="preserve"> </w:t>
      </w:r>
      <w:proofErr w:type="spellStart"/>
      <w:r w:rsidR="0063344C" w:rsidRPr="00C00532">
        <w:t>gefährlicher</w:t>
      </w:r>
      <w:proofErr w:type="spellEnd"/>
      <w:r w:rsidR="0063344C" w:rsidRPr="00C00532">
        <w:t xml:space="preserve"> </w:t>
      </w:r>
      <w:proofErr w:type="spellStart"/>
      <w:r w:rsidR="0063344C" w:rsidRPr="00C00532">
        <w:t>Güter</w:t>
      </w:r>
      <w:proofErr w:type="spellEnd"/>
      <w:r w:rsidR="0063344C" w:rsidRPr="00C00532">
        <w:t xml:space="preserve"> auf </w:t>
      </w:r>
      <w:proofErr w:type="spellStart"/>
      <w:r w:rsidR="0063344C" w:rsidRPr="00C00532">
        <w:t>bereits</w:t>
      </w:r>
      <w:proofErr w:type="spellEnd"/>
      <w:r w:rsidR="0063344C" w:rsidRPr="00C00532">
        <w:t xml:space="preserve"> </w:t>
      </w:r>
      <w:proofErr w:type="spellStart"/>
      <w:r w:rsidR="0063344C" w:rsidRPr="00C00532">
        <w:t>überlasteten</w:t>
      </w:r>
      <w:proofErr w:type="spellEnd"/>
      <w:r w:rsidR="0063344C" w:rsidRPr="00C00532">
        <w:t xml:space="preserve"> </w:t>
      </w:r>
      <w:proofErr w:type="spellStart"/>
      <w:r w:rsidR="0063344C" w:rsidRPr="00C00532">
        <w:t>Wasserstraßen</w:t>
      </w:r>
      <w:proofErr w:type="spellEnd"/>
      <w:r w:rsidR="0063344C" w:rsidRPr="00C00532">
        <w:t xml:space="preserve"> in </w:t>
      </w:r>
      <w:proofErr w:type="spellStart"/>
      <w:r w:rsidR="0063344C" w:rsidRPr="00C00532">
        <w:t>Hafengebieten</w:t>
      </w:r>
      <w:proofErr w:type="spellEnd"/>
      <w:r w:rsidR="0063344C" w:rsidRPr="00C00532">
        <w:t xml:space="preserve"> und </w:t>
      </w:r>
      <w:proofErr w:type="spellStart"/>
      <w:r w:rsidR="0063344C" w:rsidRPr="00C00532">
        <w:t>damit</w:t>
      </w:r>
      <w:proofErr w:type="spellEnd"/>
      <w:r w:rsidR="0063344C" w:rsidRPr="00C00532">
        <w:t xml:space="preserve"> </w:t>
      </w:r>
      <w:proofErr w:type="spellStart"/>
      <w:r w:rsidR="0063344C" w:rsidRPr="00C00532">
        <w:t>ein</w:t>
      </w:r>
      <w:proofErr w:type="spellEnd"/>
      <w:r w:rsidR="0063344C" w:rsidRPr="00C00532">
        <w:t xml:space="preserve"> </w:t>
      </w:r>
      <w:proofErr w:type="spellStart"/>
      <w:r w:rsidR="0063344C" w:rsidRPr="00C00532">
        <w:t>zusätzliches</w:t>
      </w:r>
      <w:proofErr w:type="spellEnd"/>
      <w:r w:rsidR="0063344C" w:rsidRPr="00C00532">
        <w:t xml:space="preserve">, </w:t>
      </w:r>
      <w:proofErr w:type="spellStart"/>
      <w:r w:rsidR="0063344C" w:rsidRPr="00C00532">
        <w:t>vermeidbares</w:t>
      </w:r>
      <w:proofErr w:type="spellEnd"/>
      <w:r w:rsidR="0063344C" w:rsidRPr="00C00532">
        <w:t xml:space="preserve"> </w:t>
      </w:r>
      <w:proofErr w:type="spellStart"/>
      <w:r w:rsidR="0063344C" w:rsidRPr="00C00532">
        <w:t>Risiko</w:t>
      </w:r>
      <w:proofErr w:type="spellEnd"/>
      <w:r w:rsidR="0063344C" w:rsidRPr="00C00532">
        <w:t xml:space="preserve"> </w:t>
      </w:r>
      <w:proofErr w:type="spellStart"/>
      <w:r w:rsidR="0063344C" w:rsidRPr="00C00532">
        <w:t>im</w:t>
      </w:r>
      <w:proofErr w:type="spellEnd"/>
      <w:r w:rsidR="0063344C" w:rsidRPr="00C00532">
        <w:t xml:space="preserve"> </w:t>
      </w:r>
      <w:proofErr w:type="spellStart"/>
      <w:r w:rsidR="0063344C" w:rsidRPr="00C00532">
        <w:t>Vergleich</w:t>
      </w:r>
      <w:proofErr w:type="spellEnd"/>
      <w:r w:rsidR="0063344C" w:rsidRPr="00C00532">
        <w:t xml:space="preserve"> </w:t>
      </w:r>
      <w:proofErr w:type="spellStart"/>
      <w:r w:rsidR="0063344C" w:rsidRPr="00C00532">
        <w:t>zur</w:t>
      </w:r>
      <w:proofErr w:type="spellEnd"/>
      <w:r w:rsidR="0063344C" w:rsidRPr="00C00532">
        <w:t xml:space="preserve"> </w:t>
      </w:r>
      <w:proofErr w:type="spellStart"/>
      <w:r w:rsidR="0063344C" w:rsidRPr="00C00532">
        <w:t>sicheren</w:t>
      </w:r>
      <w:proofErr w:type="spellEnd"/>
      <w:r w:rsidR="0063344C" w:rsidRPr="00C00532">
        <w:t xml:space="preserve"> </w:t>
      </w:r>
      <w:proofErr w:type="spellStart"/>
      <w:r w:rsidR="0063344C" w:rsidRPr="00C00532">
        <w:t>zusätzlichen</w:t>
      </w:r>
      <w:proofErr w:type="spellEnd"/>
      <w:r w:rsidR="0063344C" w:rsidRPr="00C00532">
        <w:t xml:space="preserve"> </w:t>
      </w:r>
      <w:proofErr w:type="spellStart"/>
      <w:r w:rsidR="0063344C" w:rsidRPr="00C00532">
        <w:t>Dosierung</w:t>
      </w:r>
      <w:proofErr w:type="spellEnd"/>
      <w:r w:rsidR="0063344C" w:rsidRPr="00C00532">
        <w:t xml:space="preserve"> </w:t>
      </w:r>
      <w:proofErr w:type="spellStart"/>
      <w:r w:rsidR="0063344C" w:rsidRPr="00C00532">
        <w:t>relativ</w:t>
      </w:r>
      <w:proofErr w:type="spellEnd"/>
      <w:r w:rsidR="0063344C" w:rsidRPr="00C00532">
        <w:t xml:space="preserve"> </w:t>
      </w:r>
      <w:proofErr w:type="spellStart"/>
      <w:r w:rsidR="0063344C" w:rsidRPr="00C00532">
        <w:t>kleiner</w:t>
      </w:r>
      <w:proofErr w:type="spellEnd"/>
      <w:r w:rsidR="0063344C" w:rsidRPr="00C00532">
        <w:t xml:space="preserve"> Mengen </w:t>
      </w:r>
      <w:proofErr w:type="spellStart"/>
      <w:r w:rsidR="0063344C" w:rsidRPr="00C00532">
        <w:t>über</w:t>
      </w:r>
      <w:proofErr w:type="spellEnd"/>
      <w:r w:rsidR="0063344C" w:rsidRPr="00C00532">
        <w:t xml:space="preserve"> </w:t>
      </w:r>
      <w:proofErr w:type="spellStart"/>
      <w:r w:rsidR="0063344C" w:rsidRPr="00C00532">
        <w:t>ein</w:t>
      </w:r>
      <w:proofErr w:type="spellEnd"/>
      <w:r w:rsidR="0063344C" w:rsidRPr="00C00532">
        <w:t xml:space="preserve"> </w:t>
      </w:r>
      <w:proofErr w:type="spellStart"/>
      <w:r w:rsidR="0063344C" w:rsidRPr="00C00532">
        <w:t>Probenahmesystem</w:t>
      </w:r>
      <w:proofErr w:type="spellEnd"/>
      <w:r w:rsidR="0063344C" w:rsidRPr="00C00532">
        <w:t xml:space="preserve"> an Bord von </w:t>
      </w:r>
      <w:proofErr w:type="spellStart"/>
      <w:r w:rsidR="0063344C" w:rsidRPr="00C00532">
        <w:t>Binnenschiffen</w:t>
      </w:r>
      <w:proofErr w:type="spellEnd"/>
      <w:r w:rsidR="0063344C" w:rsidRPr="00C00532">
        <w:t>.</w:t>
      </w:r>
    </w:p>
    <w:p w14:paraId="51DFB4F6" w14:textId="35256434" w:rsidR="0063344C" w:rsidRPr="00C00532" w:rsidRDefault="00C00532" w:rsidP="00C00532">
      <w:pPr>
        <w:pStyle w:val="SingleTxtG"/>
      </w:pPr>
      <w:r>
        <w:t>13.</w:t>
      </w:r>
      <w:r>
        <w:tab/>
      </w:r>
      <w:r w:rsidR="0063344C" w:rsidRPr="00C00532">
        <w:t xml:space="preserve">Die </w:t>
      </w:r>
      <w:proofErr w:type="spellStart"/>
      <w:r w:rsidR="0063344C" w:rsidRPr="00C00532">
        <w:t>Additivierung</w:t>
      </w:r>
      <w:proofErr w:type="spellEnd"/>
      <w:r w:rsidR="0063344C" w:rsidRPr="00C00532">
        <w:t xml:space="preserve"> </w:t>
      </w:r>
      <w:proofErr w:type="spellStart"/>
      <w:r w:rsidR="0063344C" w:rsidRPr="00C00532">
        <w:t>erfolgt</w:t>
      </w:r>
      <w:proofErr w:type="spellEnd"/>
      <w:r w:rsidR="0063344C" w:rsidRPr="00C00532">
        <w:t xml:space="preserve"> von Fall </w:t>
      </w:r>
      <w:proofErr w:type="spellStart"/>
      <w:r w:rsidR="0063344C" w:rsidRPr="00C00532">
        <w:t>zu</w:t>
      </w:r>
      <w:proofErr w:type="spellEnd"/>
      <w:r w:rsidR="0063344C" w:rsidRPr="00C00532">
        <w:t xml:space="preserve"> Fall und </w:t>
      </w:r>
      <w:proofErr w:type="spellStart"/>
      <w:r w:rsidR="0063344C" w:rsidRPr="00C00532">
        <w:t>Landtanks</w:t>
      </w:r>
      <w:proofErr w:type="spellEnd"/>
      <w:r w:rsidR="0063344C" w:rsidRPr="00C00532">
        <w:t xml:space="preserve"> </w:t>
      </w:r>
      <w:proofErr w:type="spellStart"/>
      <w:r w:rsidR="0063344C" w:rsidRPr="00C00532">
        <w:t>enthalten</w:t>
      </w:r>
      <w:proofErr w:type="spellEnd"/>
      <w:r w:rsidR="0063344C" w:rsidRPr="00C00532">
        <w:t xml:space="preserve"> das </w:t>
      </w:r>
      <w:proofErr w:type="spellStart"/>
      <w:r w:rsidR="0063344C" w:rsidRPr="00C00532">
        <w:t>reine</w:t>
      </w:r>
      <w:proofErr w:type="spellEnd"/>
      <w:r w:rsidR="0063344C" w:rsidRPr="00C00532">
        <w:t xml:space="preserve">, </w:t>
      </w:r>
      <w:proofErr w:type="spellStart"/>
      <w:r w:rsidR="0063344C" w:rsidRPr="00C00532">
        <w:t>unadditivierte</w:t>
      </w:r>
      <w:proofErr w:type="spellEnd"/>
      <w:r w:rsidR="0063344C" w:rsidRPr="00C00532">
        <w:t xml:space="preserve"> </w:t>
      </w:r>
      <w:proofErr w:type="spellStart"/>
      <w:r w:rsidR="0063344C" w:rsidRPr="00C00532">
        <w:t>Produkt</w:t>
      </w:r>
      <w:proofErr w:type="spellEnd"/>
      <w:r w:rsidR="0063344C" w:rsidRPr="00C00532">
        <w:t xml:space="preserve">. Die </w:t>
      </w:r>
      <w:proofErr w:type="spellStart"/>
      <w:r w:rsidR="0063344C" w:rsidRPr="00C00532">
        <w:t>Landtanks</w:t>
      </w:r>
      <w:proofErr w:type="spellEnd"/>
      <w:r w:rsidR="0063344C" w:rsidRPr="00C00532">
        <w:t xml:space="preserve"> </w:t>
      </w:r>
      <w:proofErr w:type="spellStart"/>
      <w:r w:rsidR="0063344C" w:rsidRPr="00C00532">
        <w:t>enthalten</w:t>
      </w:r>
      <w:proofErr w:type="spellEnd"/>
      <w:r w:rsidR="0063344C" w:rsidRPr="00C00532">
        <w:t xml:space="preserve"> so gut </w:t>
      </w:r>
      <w:proofErr w:type="spellStart"/>
      <w:r w:rsidR="0063344C" w:rsidRPr="00C00532">
        <w:t>wie</w:t>
      </w:r>
      <w:proofErr w:type="spellEnd"/>
      <w:r w:rsidR="0063344C" w:rsidRPr="00C00532">
        <w:t xml:space="preserve"> </w:t>
      </w:r>
      <w:proofErr w:type="spellStart"/>
      <w:r w:rsidR="0063344C" w:rsidRPr="00C00532">
        <w:t>nie</w:t>
      </w:r>
      <w:proofErr w:type="spellEnd"/>
      <w:r w:rsidR="0063344C" w:rsidRPr="00C00532">
        <w:t xml:space="preserve"> </w:t>
      </w:r>
      <w:proofErr w:type="spellStart"/>
      <w:r w:rsidR="0063344C" w:rsidRPr="00C00532">
        <w:t>additiviertes</w:t>
      </w:r>
      <w:proofErr w:type="spellEnd"/>
      <w:r w:rsidR="0063344C" w:rsidRPr="00C00532">
        <w:t xml:space="preserve"> </w:t>
      </w:r>
      <w:proofErr w:type="spellStart"/>
      <w:r w:rsidR="0063344C" w:rsidRPr="00C00532">
        <w:t>Produkt</w:t>
      </w:r>
      <w:proofErr w:type="spellEnd"/>
      <w:r w:rsidR="0063344C" w:rsidRPr="00C00532">
        <w:t xml:space="preserve">. Die </w:t>
      </w:r>
      <w:proofErr w:type="spellStart"/>
      <w:r w:rsidR="0063344C" w:rsidRPr="00C00532">
        <w:t>Entladung</w:t>
      </w:r>
      <w:proofErr w:type="spellEnd"/>
      <w:r w:rsidR="0063344C" w:rsidRPr="00C00532">
        <w:t xml:space="preserve"> </w:t>
      </w:r>
      <w:proofErr w:type="spellStart"/>
      <w:r w:rsidR="0063344C" w:rsidRPr="00C00532">
        <w:t>einer</w:t>
      </w:r>
      <w:proofErr w:type="spellEnd"/>
      <w:r w:rsidR="0063344C" w:rsidRPr="00C00532">
        <w:t xml:space="preserve"> </w:t>
      </w:r>
      <w:proofErr w:type="spellStart"/>
      <w:r w:rsidR="0063344C" w:rsidRPr="00C00532">
        <w:t>additivierten</w:t>
      </w:r>
      <w:proofErr w:type="spellEnd"/>
      <w:r w:rsidR="0063344C" w:rsidRPr="00C00532">
        <w:t xml:space="preserve"> </w:t>
      </w:r>
      <w:proofErr w:type="spellStart"/>
      <w:r w:rsidR="0063344C" w:rsidRPr="00C00532">
        <w:t>Ladung</w:t>
      </w:r>
      <w:proofErr w:type="spellEnd"/>
      <w:r w:rsidR="0063344C" w:rsidRPr="00C00532">
        <w:t xml:space="preserve"> </w:t>
      </w:r>
      <w:proofErr w:type="spellStart"/>
      <w:r w:rsidR="0063344C" w:rsidRPr="00C00532">
        <w:t>zurück</w:t>
      </w:r>
      <w:proofErr w:type="spellEnd"/>
      <w:r w:rsidR="0063344C" w:rsidRPr="00C00532">
        <w:t xml:space="preserve"> in den </w:t>
      </w:r>
      <w:proofErr w:type="spellStart"/>
      <w:r w:rsidR="0063344C" w:rsidRPr="00C00532">
        <w:t>Landtank</w:t>
      </w:r>
      <w:proofErr w:type="spellEnd"/>
      <w:r w:rsidR="0063344C" w:rsidRPr="00C00532">
        <w:t xml:space="preserve"> </w:t>
      </w:r>
      <w:proofErr w:type="spellStart"/>
      <w:r w:rsidR="0063344C" w:rsidRPr="00C00532">
        <w:t>wurde</w:t>
      </w:r>
      <w:proofErr w:type="spellEnd"/>
      <w:r w:rsidR="0063344C" w:rsidRPr="00C00532">
        <w:t xml:space="preserve"> </w:t>
      </w:r>
      <w:proofErr w:type="spellStart"/>
      <w:r w:rsidR="0063344C" w:rsidRPr="00C00532">
        <w:t>bedeuten</w:t>
      </w:r>
      <w:proofErr w:type="spellEnd"/>
      <w:r w:rsidR="0063344C" w:rsidRPr="00C00532">
        <w:t xml:space="preserve">, </w:t>
      </w:r>
      <w:proofErr w:type="spellStart"/>
      <w:r w:rsidR="0063344C" w:rsidRPr="00C00532">
        <w:t>dass</w:t>
      </w:r>
      <w:proofErr w:type="spellEnd"/>
      <w:r w:rsidR="0063344C" w:rsidRPr="00C00532">
        <w:t xml:space="preserve"> das </w:t>
      </w:r>
      <w:proofErr w:type="spellStart"/>
      <w:r w:rsidR="0063344C" w:rsidRPr="00C00532">
        <w:t>reine</w:t>
      </w:r>
      <w:proofErr w:type="spellEnd"/>
      <w:r w:rsidR="0063344C" w:rsidRPr="00C00532">
        <w:t xml:space="preserve"> </w:t>
      </w:r>
      <w:proofErr w:type="spellStart"/>
      <w:r w:rsidR="0063344C" w:rsidRPr="00C00532">
        <w:t>Produkt</w:t>
      </w:r>
      <w:proofErr w:type="spellEnd"/>
      <w:r w:rsidR="0063344C" w:rsidRPr="00C00532">
        <w:t xml:space="preserve"> </w:t>
      </w:r>
      <w:proofErr w:type="spellStart"/>
      <w:r w:rsidR="0063344C" w:rsidRPr="00C00532">
        <w:t>verloren</w:t>
      </w:r>
      <w:proofErr w:type="spellEnd"/>
      <w:r w:rsidR="0063344C" w:rsidRPr="00C00532">
        <w:t xml:space="preserve"> </w:t>
      </w:r>
      <w:proofErr w:type="spellStart"/>
      <w:r w:rsidR="0063344C" w:rsidRPr="00C00532">
        <w:t>geht</w:t>
      </w:r>
      <w:proofErr w:type="spellEnd"/>
      <w:r w:rsidR="0063344C" w:rsidRPr="00C00532">
        <w:t xml:space="preserve"> und </w:t>
      </w:r>
      <w:proofErr w:type="spellStart"/>
      <w:r w:rsidR="0063344C" w:rsidRPr="00C00532">
        <w:t>dass</w:t>
      </w:r>
      <w:proofErr w:type="spellEnd"/>
      <w:r w:rsidR="0063344C" w:rsidRPr="00C00532">
        <w:t xml:space="preserve"> das </w:t>
      </w:r>
      <w:proofErr w:type="spellStart"/>
      <w:r w:rsidR="0063344C" w:rsidRPr="00C00532">
        <w:t>Rohrleitungssystem</w:t>
      </w:r>
      <w:proofErr w:type="spellEnd"/>
      <w:r w:rsidR="0063344C" w:rsidRPr="00C00532">
        <w:t xml:space="preserve"> (das </w:t>
      </w:r>
      <w:proofErr w:type="spellStart"/>
      <w:r w:rsidR="0063344C" w:rsidRPr="00C00532">
        <w:t>auch</w:t>
      </w:r>
      <w:proofErr w:type="spellEnd"/>
      <w:r w:rsidR="0063344C" w:rsidRPr="00C00532">
        <w:t xml:space="preserve"> für </w:t>
      </w:r>
      <w:proofErr w:type="spellStart"/>
      <w:r w:rsidR="0063344C" w:rsidRPr="00C00532">
        <w:t>andere</w:t>
      </w:r>
      <w:proofErr w:type="spellEnd"/>
      <w:r w:rsidR="0063344C" w:rsidRPr="00C00532">
        <w:t xml:space="preserve"> </w:t>
      </w:r>
      <w:proofErr w:type="spellStart"/>
      <w:r w:rsidR="0063344C" w:rsidRPr="00C00532">
        <w:t>Produkte</w:t>
      </w:r>
      <w:proofErr w:type="spellEnd"/>
      <w:r w:rsidR="0063344C" w:rsidRPr="00C00532">
        <w:t xml:space="preserve"> </w:t>
      </w:r>
      <w:proofErr w:type="spellStart"/>
      <w:r w:rsidR="0063344C" w:rsidRPr="00C00532">
        <w:t>verwendet</w:t>
      </w:r>
      <w:proofErr w:type="spellEnd"/>
      <w:r w:rsidR="0063344C" w:rsidRPr="00C00532">
        <w:t xml:space="preserve"> </w:t>
      </w:r>
      <w:proofErr w:type="spellStart"/>
      <w:r w:rsidR="0063344C" w:rsidRPr="00C00532">
        <w:t>wird</w:t>
      </w:r>
      <w:proofErr w:type="spellEnd"/>
      <w:r w:rsidR="0063344C" w:rsidRPr="00C00532">
        <w:t xml:space="preserve">) </w:t>
      </w:r>
      <w:proofErr w:type="spellStart"/>
      <w:r w:rsidR="0063344C" w:rsidRPr="00C00532">
        <w:t>inakzeptable</w:t>
      </w:r>
      <w:proofErr w:type="spellEnd"/>
      <w:r w:rsidR="0063344C" w:rsidRPr="00C00532">
        <w:t xml:space="preserve"> Mengen an </w:t>
      </w:r>
      <w:proofErr w:type="spellStart"/>
      <w:r w:rsidR="0063344C" w:rsidRPr="00C00532">
        <w:t>Additiven</w:t>
      </w:r>
      <w:proofErr w:type="spellEnd"/>
      <w:r w:rsidR="0063344C" w:rsidRPr="00C00532">
        <w:t xml:space="preserve">  </w:t>
      </w:r>
      <w:proofErr w:type="spellStart"/>
      <w:r w:rsidR="0063344C" w:rsidRPr="00C00532">
        <w:t>enthält</w:t>
      </w:r>
      <w:proofErr w:type="spellEnd"/>
    </w:p>
    <w:p w14:paraId="0E2E2D7E" w14:textId="0DCBFC79" w:rsidR="0063344C" w:rsidRPr="00C00532" w:rsidRDefault="00C756A6" w:rsidP="00C00532">
      <w:pPr>
        <w:pStyle w:val="SingleTxtG"/>
      </w:pPr>
      <w:r>
        <w:t>14.</w:t>
      </w:r>
      <w:r>
        <w:tab/>
      </w:r>
      <w:r w:rsidR="0063344C" w:rsidRPr="00C00532">
        <w:t>Die E</w:t>
      </w:r>
      <w:proofErr w:type="spellStart"/>
      <w:r w:rsidR="0063344C" w:rsidRPr="00C00532">
        <w:t>rmöglichung</w:t>
      </w:r>
      <w:proofErr w:type="spellEnd"/>
      <w:r w:rsidR="0063344C" w:rsidRPr="00C00532">
        <w:t xml:space="preserve"> der </w:t>
      </w:r>
      <w:proofErr w:type="spellStart"/>
      <w:r w:rsidR="0063344C" w:rsidRPr="00C00532">
        <w:t>beschriebenen</w:t>
      </w:r>
      <w:proofErr w:type="spellEnd"/>
      <w:r w:rsidR="0063344C" w:rsidRPr="00C00532">
        <w:t xml:space="preserve"> </w:t>
      </w:r>
      <w:proofErr w:type="spellStart"/>
      <w:r w:rsidR="0063344C" w:rsidRPr="00C00532">
        <w:t>nachträglichen</w:t>
      </w:r>
      <w:proofErr w:type="spellEnd"/>
      <w:r w:rsidR="0063344C" w:rsidRPr="00C00532">
        <w:t xml:space="preserve">, </w:t>
      </w:r>
      <w:proofErr w:type="spellStart"/>
      <w:r w:rsidR="0063344C" w:rsidRPr="00C00532">
        <w:t>zusätzlichen</w:t>
      </w:r>
      <w:proofErr w:type="spellEnd"/>
      <w:r w:rsidR="0063344C" w:rsidRPr="00C00532">
        <w:t xml:space="preserve"> </w:t>
      </w:r>
      <w:proofErr w:type="spellStart"/>
      <w:r w:rsidR="0063344C" w:rsidRPr="00C00532">
        <w:t>Dosierung</w:t>
      </w:r>
      <w:proofErr w:type="spellEnd"/>
      <w:r w:rsidR="0063344C" w:rsidRPr="00C00532">
        <w:t xml:space="preserve"> von  </w:t>
      </w:r>
      <w:proofErr w:type="spellStart"/>
      <w:r w:rsidR="0063344C" w:rsidRPr="00C00532">
        <w:t>Additiven</w:t>
      </w:r>
      <w:proofErr w:type="spellEnd"/>
      <w:r w:rsidR="0063344C" w:rsidRPr="00C00532">
        <w:t xml:space="preserve"> </w:t>
      </w:r>
      <w:proofErr w:type="spellStart"/>
      <w:r w:rsidR="0063344C" w:rsidRPr="00C00532">
        <w:t>über</w:t>
      </w:r>
      <w:proofErr w:type="spellEnd"/>
      <w:r w:rsidR="0063344C" w:rsidRPr="00C00532">
        <w:t xml:space="preserve"> die </w:t>
      </w:r>
      <w:proofErr w:type="spellStart"/>
      <w:r w:rsidR="0063344C" w:rsidRPr="00C00532">
        <w:t>Probenahmeöffnung</w:t>
      </w:r>
      <w:proofErr w:type="spellEnd"/>
      <w:r w:rsidR="0063344C" w:rsidRPr="00C00532">
        <w:t xml:space="preserve"> in </w:t>
      </w:r>
      <w:proofErr w:type="spellStart"/>
      <w:r w:rsidR="0063344C" w:rsidRPr="00C00532">
        <w:t>vorgeschriebenen</w:t>
      </w:r>
      <w:proofErr w:type="spellEnd"/>
      <w:r w:rsidR="0063344C" w:rsidRPr="00C00532">
        <w:t xml:space="preserve"> </w:t>
      </w:r>
      <w:proofErr w:type="spellStart"/>
      <w:r w:rsidR="0063344C" w:rsidRPr="00C00532">
        <w:t>Fällen</w:t>
      </w:r>
      <w:proofErr w:type="spellEnd"/>
      <w:r w:rsidR="0063344C" w:rsidRPr="00C00532">
        <w:t xml:space="preserve"> </w:t>
      </w:r>
      <w:proofErr w:type="spellStart"/>
      <w:r w:rsidR="0063344C" w:rsidRPr="00C00532">
        <w:t>bedeutet</w:t>
      </w:r>
      <w:proofErr w:type="spellEnd"/>
      <w:r w:rsidR="0063344C" w:rsidRPr="00C00532">
        <w:t xml:space="preserve"> </w:t>
      </w:r>
      <w:proofErr w:type="spellStart"/>
      <w:r w:rsidR="0063344C" w:rsidRPr="00C00532">
        <w:t>vergleichsweise</w:t>
      </w:r>
      <w:proofErr w:type="spellEnd"/>
      <w:r w:rsidR="0063344C" w:rsidRPr="00C00532">
        <w:t xml:space="preserve"> </w:t>
      </w:r>
      <w:proofErr w:type="spellStart"/>
      <w:r w:rsidR="0063344C" w:rsidRPr="00C00532">
        <w:t>geringes</w:t>
      </w:r>
      <w:proofErr w:type="spellEnd"/>
      <w:r w:rsidR="0063344C" w:rsidRPr="00C00532">
        <w:t xml:space="preserve"> </w:t>
      </w:r>
      <w:proofErr w:type="spellStart"/>
      <w:r w:rsidR="0063344C" w:rsidRPr="00C00532">
        <w:t>Risiko</w:t>
      </w:r>
      <w:proofErr w:type="spellEnd"/>
      <w:r w:rsidR="0063344C" w:rsidRPr="00C00532">
        <w:t xml:space="preserve">. </w:t>
      </w:r>
    </w:p>
    <w:p w14:paraId="1C93F25F" w14:textId="38D15E44" w:rsidR="0063344C" w:rsidRPr="00C00532" w:rsidRDefault="0063344C" w:rsidP="00C00532">
      <w:pPr>
        <w:pStyle w:val="SingleTxtG"/>
      </w:pPr>
      <w:r w:rsidRPr="00C00532">
        <w:t>1</w:t>
      </w:r>
      <w:r w:rsidR="00C756A6">
        <w:t>5</w:t>
      </w:r>
      <w:r w:rsidRPr="00C00532">
        <w:t>.</w:t>
      </w:r>
      <w:r w:rsidRPr="00C00532">
        <w:tab/>
      </w:r>
      <w:proofErr w:type="spellStart"/>
      <w:r w:rsidRPr="00C00532">
        <w:t>Zur</w:t>
      </w:r>
      <w:proofErr w:type="spellEnd"/>
      <w:r w:rsidRPr="00C00532">
        <w:t xml:space="preserve"> </w:t>
      </w:r>
      <w:proofErr w:type="spellStart"/>
      <w:r w:rsidRPr="00C00532">
        <w:t>weiteren</w:t>
      </w:r>
      <w:proofErr w:type="spellEnd"/>
      <w:r w:rsidRPr="00C00532">
        <w:t xml:space="preserve"> </w:t>
      </w:r>
      <w:proofErr w:type="spellStart"/>
      <w:r w:rsidRPr="00C00532">
        <w:t>Begründung</w:t>
      </w:r>
      <w:proofErr w:type="spellEnd"/>
      <w:r w:rsidRPr="00C00532">
        <w:t xml:space="preserve"> </w:t>
      </w:r>
      <w:proofErr w:type="spellStart"/>
      <w:r w:rsidRPr="00C00532">
        <w:t>verweisen</w:t>
      </w:r>
      <w:proofErr w:type="spellEnd"/>
      <w:r w:rsidRPr="00C00532">
        <w:t xml:space="preserve"> </w:t>
      </w:r>
      <w:proofErr w:type="spellStart"/>
      <w:r w:rsidRPr="00C00532">
        <w:t>wir</w:t>
      </w:r>
      <w:proofErr w:type="spellEnd"/>
      <w:r w:rsidRPr="00C00532">
        <w:t xml:space="preserve"> auf das </w:t>
      </w:r>
      <w:proofErr w:type="spellStart"/>
      <w:r w:rsidRPr="00C00532">
        <w:t>Arbeitsdokument</w:t>
      </w:r>
      <w:proofErr w:type="spellEnd"/>
      <w:r w:rsidRPr="00C00532">
        <w:t xml:space="preserve"> 2024/20.</w:t>
      </w:r>
    </w:p>
    <w:p w14:paraId="72C5F7CE" w14:textId="77777777" w:rsidR="0063344C" w:rsidRPr="007C6628" w:rsidRDefault="0063344C" w:rsidP="0063344C">
      <w:pPr>
        <w:pStyle w:val="HChG"/>
        <w:rPr>
          <w:lang w:val="nl-NL"/>
        </w:rPr>
      </w:pPr>
      <w:r w:rsidRPr="005C4159">
        <w:rPr>
          <w:lang w:val="nl-NL"/>
        </w:rPr>
        <w:tab/>
      </w:r>
      <w:r>
        <w:rPr>
          <w:lang w:val="nl-NL"/>
        </w:rPr>
        <w:tab/>
      </w:r>
      <w:r w:rsidRPr="007C6628">
        <w:rPr>
          <w:lang w:val="nl-NL"/>
        </w:rPr>
        <w:t>III.</w:t>
      </w:r>
      <w:r w:rsidRPr="007C6628">
        <w:rPr>
          <w:lang w:val="nl-NL"/>
        </w:rPr>
        <w:tab/>
      </w:r>
      <w:proofErr w:type="spellStart"/>
      <w:r w:rsidRPr="007C6628">
        <w:rPr>
          <w:bCs/>
          <w:lang w:val="nl-NL"/>
        </w:rPr>
        <w:t>Schlussfolgerung</w:t>
      </w:r>
      <w:proofErr w:type="spellEnd"/>
    </w:p>
    <w:p w14:paraId="2FC09D1D" w14:textId="2819F0D8" w:rsidR="0063344C" w:rsidRPr="00C756A6" w:rsidRDefault="0063344C" w:rsidP="00C756A6">
      <w:pPr>
        <w:pStyle w:val="SingleTxtG"/>
      </w:pPr>
      <w:r w:rsidRPr="00C756A6">
        <w:t>1</w:t>
      </w:r>
      <w:r w:rsidR="00C756A6">
        <w:t>6</w:t>
      </w:r>
      <w:r w:rsidRPr="00C756A6">
        <w:t>.</w:t>
      </w:r>
      <w:r w:rsidRPr="00C756A6">
        <w:tab/>
        <w:t xml:space="preserve">Die </w:t>
      </w:r>
      <w:proofErr w:type="spellStart"/>
      <w:r w:rsidRPr="00C756A6">
        <w:t>Vorschläge</w:t>
      </w:r>
      <w:proofErr w:type="spellEnd"/>
      <w:r w:rsidRPr="00C756A6">
        <w:t xml:space="preserve"> </w:t>
      </w:r>
      <w:proofErr w:type="spellStart"/>
      <w:r w:rsidRPr="00C756A6">
        <w:t>unter</w:t>
      </w:r>
      <w:proofErr w:type="spellEnd"/>
      <w:r w:rsidRPr="00C756A6">
        <w:t xml:space="preserve"> Abs. 8 </w:t>
      </w:r>
      <w:proofErr w:type="spellStart"/>
      <w:r w:rsidRPr="00C756A6">
        <w:t>sind</w:t>
      </w:r>
      <w:proofErr w:type="spellEnd"/>
      <w:r w:rsidRPr="00C756A6">
        <w:t xml:space="preserve"> </w:t>
      </w:r>
      <w:proofErr w:type="spellStart"/>
      <w:r w:rsidRPr="00C756A6">
        <w:t>Wiederholungen</w:t>
      </w:r>
      <w:proofErr w:type="spellEnd"/>
      <w:r w:rsidRPr="00C756A6">
        <w:t xml:space="preserve"> der </w:t>
      </w:r>
      <w:proofErr w:type="spellStart"/>
      <w:r w:rsidRPr="00C756A6">
        <w:t>Vorschläge</w:t>
      </w:r>
      <w:proofErr w:type="spellEnd"/>
      <w:r w:rsidRPr="00C756A6">
        <w:t xml:space="preserve"> des </w:t>
      </w:r>
      <w:proofErr w:type="spellStart"/>
      <w:r w:rsidRPr="00C756A6">
        <w:t>Arbeitsdokuments</w:t>
      </w:r>
      <w:proofErr w:type="spellEnd"/>
      <w:r w:rsidRPr="00C756A6">
        <w:t xml:space="preserve"> 2024/20, </w:t>
      </w:r>
      <w:proofErr w:type="spellStart"/>
      <w:r w:rsidRPr="00C756A6">
        <w:t>folgen</w:t>
      </w:r>
      <w:proofErr w:type="spellEnd"/>
      <w:r w:rsidRPr="00C756A6">
        <w:t xml:space="preserve"> </w:t>
      </w:r>
      <w:proofErr w:type="spellStart"/>
      <w:r w:rsidRPr="00C756A6">
        <w:t>aber</w:t>
      </w:r>
      <w:proofErr w:type="spellEnd"/>
      <w:r w:rsidRPr="00C756A6">
        <w:t xml:space="preserve"> nun der </w:t>
      </w:r>
      <w:proofErr w:type="spellStart"/>
      <w:r w:rsidRPr="00C756A6">
        <w:t>neuen</w:t>
      </w:r>
      <w:proofErr w:type="spellEnd"/>
      <w:r w:rsidRPr="00C756A6">
        <w:t xml:space="preserve"> </w:t>
      </w:r>
      <w:proofErr w:type="spellStart"/>
      <w:r w:rsidRPr="00C756A6">
        <w:t>Nummerierung</w:t>
      </w:r>
      <w:proofErr w:type="spellEnd"/>
      <w:r w:rsidRPr="00C756A6">
        <w:t xml:space="preserve">, die </w:t>
      </w:r>
      <w:proofErr w:type="spellStart"/>
      <w:r w:rsidRPr="00C756A6">
        <w:t>im</w:t>
      </w:r>
      <w:proofErr w:type="spellEnd"/>
      <w:r w:rsidRPr="00C756A6">
        <w:t xml:space="preserve"> </w:t>
      </w:r>
      <w:proofErr w:type="spellStart"/>
      <w:r w:rsidRPr="00C756A6">
        <w:t>Arbeitsdokument</w:t>
      </w:r>
      <w:proofErr w:type="spellEnd"/>
      <w:r w:rsidRPr="00C756A6">
        <w:t xml:space="preserve"> 2024/7 </w:t>
      </w:r>
      <w:proofErr w:type="spellStart"/>
      <w:r w:rsidRPr="00C756A6">
        <w:t>eingeführt</w:t>
      </w:r>
      <w:proofErr w:type="spellEnd"/>
      <w:r w:rsidRPr="00C756A6">
        <w:t xml:space="preserve"> </w:t>
      </w:r>
      <w:proofErr w:type="spellStart"/>
      <w:r w:rsidRPr="00C756A6">
        <w:t>wurden</w:t>
      </w:r>
      <w:proofErr w:type="spellEnd"/>
      <w:r w:rsidRPr="00C756A6">
        <w:t>.</w:t>
      </w:r>
    </w:p>
    <w:p w14:paraId="0B581E01" w14:textId="330EC9DE" w:rsidR="0063344C" w:rsidRPr="00C756A6" w:rsidRDefault="0063344C" w:rsidP="00C756A6">
      <w:pPr>
        <w:pStyle w:val="SingleTxtG"/>
      </w:pPr>
      <w:r w:rsidRPr="00C756A6">
        <w:t>1</w:t>
      </w:r>
      <w:r w:rsidR="00BD7E9A">
        <w:t>7</w:t>
      </w:r>
      <w:r w:rsidRPr="00C756A6">
        <w:t>.</w:t>
      </w:r>
      <w:r w:rsidRPr="00C756A6">
        <w:tab/>
        <w:t xml:space="preserve">Auch die </w:t>
      </w:r>
      <w:proofErr w:type="spellStart"/>
      <w:r w:rsidRPr="00C756A6">
        <w:t>Vorschläge</w:t>
      </w:r>
      <w:proofErr w:type="spellEnd"/>
      <w:r w:rsidRPr="00C756A6">
        <w:t xml:space="preserve"> </w:t>
      </w:r>
      <w:proofErr w:type="spellStart"/>
      <w:r w:rsidRPr="00C756A6">
        <w:t>unter</w:t>
      </w:r>
      <w:proofErr w:type="spellEnd"/>
      <w:r w:rsidRPr="00C756A6">
        <w:t xml:space="preserve"> den Abs. 9 und 10 </w:t>
      </w:r>
      <w:proofErr w:type="spellStart"/>
      <w:r w:rsidRPr="00C756A6">
        <w:t>sind</w:t>
      </w:r>
      <w:proofErr w:type="spellEnd"/>
      <w:r w:rsidRPr="00C756A6">
        <w:t xml:space="preserve"> </w:t>
      </w:r>
      <w:proofErr w:type="spellStart"/>
      <w:r w:rsidRPr="00C756A6">
        <w:t>Wiederholungen</w:t>
      </w:r>
      <w:proofErr w:type="spellEnd"/>
      <w:r w:rsidRPr="00C756A6">
        <w:t xml:space="preserve"> der </w:t>
      </w:r>
      <w:proofErr w:type="spellStart"/>
      <w:r w:rsidRPr="00C756A6">
        <w:t>Vorschläge</w:t>
      </w:r>
      <w:proofErr w:type="spellEnd"/>
      <w:r w:rsidRPr="00C756A6">
        <w:t xml:space="preserve"> </w:t>
      </w:r>
      <w:proofErr w:type="spellStart"/>
      <w:r w:rsidRPr="00C756A6">
        <w:t>im</w:t>
      </w:r>
      <w:proofErr w:type="spellEnd"/>
      <w:r w:rsidRPr="00C756A6">
        <w:t xml:space="preserve"> </w:t>
      </w:r>
      <w:proofErr w:type="spellStart"/>
      <w:r w:rsidRPr="00C756A6">
        <w:t>Arbeitsdokument</w:t>
      </w:r>
      <w:proofErr w:type="spellEnd"/>
      <w:r w:rsidRPr="00C756A6">
        <w:t xml:space="preserve"> 2024/20. Sie </w:t>
      </w:r>
      <w:proofErr w:type="spellStart"/>
      <w:r w:rsidRPr="00C756A6">
        <w:t>werden</w:t>
      </w:r>
      <w:proofErr w:type="spellEnd"/>
      <w:r w:rsidRPr="00C756A6">
        <w:t xml:space="preserve"> in </w:t>
      </w:r>
      <w:proofErr w:type="spellStart"/>
      <w:r w:rsidRPr="00C756A6">
        <w:t>diesem</w:t>
      </w:r>
      <w:proofErr w:type="spellEnd"/>
      <w:r w:rsidRPr="00C756A6">
        <w:t xml:space="preserve"> INF </w:t>
      </w:r>
      <w:proofErr w:type="spellStart"/>
      <w:r w:rsidRPr="00C756A6">
        <w:t>erwähnt</w:t>
      </w:r>
      <w:proofErr w:type="spellEnd"/>
      <w:r w:rsidRPr="00C756A6">
        <w:t xml:space="preserve">, da die </w:t>
      </w:r>
      <w:proofErr w:type="spellStart"/>
      <w:r w:rsidRPr="00C756A6">
        <w:t>Vorschläge</w:t>
      </w:r>
      <w:proofErr w:type="spellEnd"/>
      <w:r w:rsidRPr="00C756A6">
        <w:t xml:space="preserve"> </w:t>
      </w:r>
      <w:proofErr w:type="spellStart"/>
      <w:r w:rsidRPr="00C756A6">
        <w:t>unter</w:t>
      </w:r>
      <w:proofErr w:type="spellEnd"/>
      <w:r w:rsidRPr="00C756A6">
        <w:t xml:space="preserve"> Abs. 8 </w:t>
      </w:r>
      <w:proofErr w:type="spellStart"/>
      <w:r w:rsidRPr="00C756A6">
        <w:t>eine</w:t>
      </w:r>
      <w:proofErr w:type="spellEnd"/>
      <w:r w:rsidRPr="00C756A6">
        <w:t xml:space="preserve"> </w:t>
      </w:r>
      <w:proofErr w:type="spellStart"/>
      <w:r w:rsidRPr="00C756A6">
        <w:t>Änderung</w:t>
      </w:r>
      <w:proofErr w:type="spellEnd"/>
      <w:r w:rsidRPr="00C756A6">
        <w:t xml:space="preserve"> in 7.2.4.16.8 </w:t>
      </w:r>
      <w:proofErr w:type="spellStart"/>
      <w:r w:rsidRPr="00C756A6">
        <w:t>erfordern</w:t>
      </w:r>
      <w:proofErr w:type="spellEnd"/>
      <w:r w:rsidRPr="00C756A6">
        <w:t xml:space="preserve"> und </w:t>
      </w:r>
      <w:proofErr w:type="spellStart"/>
      <w:r w:rsidRPr="00C756A6">
        <w:t>ein</w:t>
      </w:r>
      <w:proofErr w:type="spellEnd"/>
      <w:r w:rsidRPr="00C756A6">
        <w:t xml:space="preserve"> </w:t>
      </w:r>
      <w:proofErr w:type="spellStart"/>
      <w:r w:rsidRPr="00C756A6">
        <w:t>neuer</w:t>
      </w:r>
      <w:proofErr w:type="spellEnd"/>
      <w:r w:rsidRPr="00C756A6">
        <w:t xml:space="preserve"> </w:t>
      </w:r>
      <w:proofErr w:type="spellStart"/>
      <w:r w:rsidRPr="00C756A6">
        <w:t>Artikels</w:t>
      </w:r>
      <w:proofErr w:type="spellEnd"/>
      <w:r w:rsidRPr="00C756A6">
        <w:t xml:space="preserve"> 7.2.4.1.5 </w:t>
      </w:r>
      <w:proofErr w:type="spellStart"/>
      <w:r w:rsidRPr="00C756A6">
        <w:t>eingeführt</w:t>
      </w:r>
      <w:proofErr w:type="spellEnd"/>
      <w:r w:rsidRPr="00C756A6">
        <w:t xml:space="preserve"> </w:t>
      </w:r>
      <w:proofErr w:type="spellStart"/>
      <w:r w:rsidRPr="00C756A6">
        <w:t>werden</w:t>
      </w:r>
      <w:proofErr w:type="spellEnd"/>
      <w:r w:rsidRPr="00C756A6">
        <w:t xml:space="preserve"> </w:t>
      </w:r>
      <w:proofErr w:type="spellStart"/>
      <w:r w:rsidRPr="00C756A6">
        <w:t>müsste</w:t>
      </w:r>
      <w:proofErr w:type="spellEnd"/>
      <w:r w:rsidRPr="00C756A6">
        <w:t>.</w:t>
      </w:r>
    </w:p>
    <w:p w14:paraId="4E83D63E" w14:textId="15CBAC82" w:rsidR="0063344C" w:rsidRPr="00C756A6" w:rsidRDefault="0063344C" w:rsidP="00C756A6">
      <w:pPr>
        <w:pStyle w:val="SingleTxtG"/>
      </w:pPr>
      <w:r w:rsidRPr="00C756A6">
        <w:lastRenderedPageBreak/>
        <w:t>1</w:t>
      </w:r>
      <w:r w:rsidR="00BD7E9A">
        <w:t>8</w:t>
      </w:r>
      <w:r w:rsidRPr="00C756A6">
        <w:t>.</w:t>
      </w:r>
      <w:r w:rsidRPr="00C756A6">
        <w:tab/>
        <w:t xml:space="preserve">Für </w:t>
      </w:r>
      <w:proofErr w:type="spellStart"/>
      <w:r w:rsidRPr="00C756A6">
        <w:t>andere</w:t>
      </w:r>
      <w:proofErr w:type="spellEnd"/>
      <w:r w:rsidRPr="00C756A6">
        <w:t xml:space="preserve"> </w:t>
      </w:r>
      <w:proofErr w:type="spellStart"/>
      <w:r w:rsidRPr="00C756A6">
        <w:t>Schlussfolgerungen</w:t>
      </w:r>
      <w:proofErr w:type="spellEnd"/>
      <w:r w:rsidRPr="00C756A6">
        <w:t xml:space="preserve">, z. B. die </w:t>
      </w:r>
      <w:proofErr w:type="spellStart"/>
      <w:r w:rsidRPr="00C756A6">
        <w:t>Beimischung</w:t>
      </w:r>
      <w:proofErr w:type="spellEnd"/>
      <w:r w:rsidRPr="00C756A6">
        <w:t xml:space="preserve"> an Bord; </w:t>
      </w:r>
      <w:proofErr w:type="spellStart"/>
      <w:r w:rsidRPr="00C756A6">
        <w:t>Versandstücke</w:t>
      </w:r>
      <w:proofErr w:type="spellEnd"/>
      <w:r w:rsidRPr="00C756A6">
        <w:t xml:space="preserve"> </w:t>
      </w:r>
      <w:proofErr w:type="spellStart"/>
      <w:r w:rsidRPr="00C756A6">
        <w:t>im</w:t>
      </w:r>
      <w:proofErr w:type="spellEnd"/>
      <w:r w:rsidRPr="00C756A6">
        <w:t xml:space="preserve"> </w:t>
      </w:r>
      <w:proofErr w:type="spellStart"/>
      <w:r w:rsidRPr="00C756A6">
        <w:t>Ladungsbereich</w:t>
      </w:r>
      <w:proofErr w:type="spellEnd"/>
      <w:r w:rsidRPr="00C756A6">
        <w:t xml:space="preserve"> und die </w:t>
      </w:r>
      <w:proofErr w:type="spellStart"/>
      <w:r w:rsidRPr="00C756A6">
        <w:t>sichere</w:t>
      </w:r>
      <w:proofErr w:type="spellEnd"/>
      <w:r w:rsidRPr="00C756A6">
        <w:t xml:space="preserve"> </w:t>
      </w:r>
      <w:proofErr w:type="spellStart"/>
      <w:r w:rsidRPr="00C756A6">
        <w:t>Nutzung</w:t>
      </w:r>
      <w:proofErr w:type="spellEnd"/>
      <w:r w:rsidRPr="00C756A6">
        <w:t xml:space="preserve"> </w:t>
      </w:r>
      <w:proofErr w:type="spellStart"/>
      <w:r w:rsidRPr="00C756A6">
        <w:t>mobiler</w:t>
      </w:r>
      <w:proofErr w:type="spellEnd"/>
      <w:r w:rsidRPr="00C756A6">
        <w:t xml:space="preserve"> </w:t>
      </w:r>
      <w:proofErr w:type="spellStart"/>
      <w:r w:rsidRPr="00C756A6">
        <w:t>Dosiersysteme</w:t>
      </w:r>
      <w:proofErr w:type="spellEnd"/>
      <w:r w:rsidRPr="00C756A6">
        <w:t xml:space="preserve"> </w:t>
      </w:r>
      <w:proofErr w:type="spellStart"/>
      <w:r w:rsidRPr="00C756A6">
        <w:t>verweisen</w:t>
      </w:r>
      <w:proofErr w:type="spellEnd"/>
      <w:r w:rsidRPr="00C756A6">
        <w:t xml:space="preserve"> </w:t>
      </w:r>
      <w:proofErr w:type="spellStart"/>
      <w:r w:rsidRPr="00C756A6">
        <w:t>wir</w:t>
      </w:r>
      <w:proofErr w:type="spellEnd"/>
      <w:r w:rsidRPr="00C756A6">
        <w:t xml:space="preserve"> auf </w:t>
      </w:r>
      <w:r w:rsidRPr="00C756A6">
        <w:tab/>
        <w:t xml:space="preserve">das </w:t>
      </w:r>
      <w:proofErr w:type="spellStart"/>
      <w:r w:rsidRPr="00C756A6">
        <w:t>Dokument</w:t>
      </w:r>
      <w:proofErr w:type="spellEnd"/>
      <w:r w:rsidRPr="00C756A6">
        <w:t xml:space="preserve"> 2024/20.  </w:t>
      </w:r>
    </w:p>
    <w:p w14:paraId="32BEE61C" w14:textId="77777777" w:rsidR="0063344C" w:rsidRPr="008C4014" w:rsidRDefault="0063344C" w:rsidP="0063344C">
      <w:pPr>
        <w:pStyle w:val="HChG"/>
        <w:rPr>
          <w:lang w:val="nl-NL"/>
        </w:rPr>
      </w:pPr>
      <w:r w:rsidRPr="00EE194E">
        <w:rPr>
          <w:lang w:val="nl-NL"/>
        </w:rPr>
        <w:tab/>
      </w:r>
      <w:r>
        <w:rPr>
          <w:lang w:val="nl-NL"/>
        </w:rPr>
        <w:tab/>
      </w:r>
      <w:r w:rsidRPr="008C4014">
        <w:rPr>
          <w:lang w:val="nl-NL"/>
        </w:rPr>
        <w:t>IV.</w:t>
      </w:r>
      <w:r w:rsidRPr="008C4014">
        <w:rPr>
          <w:lang w:val="nl-NL"/>
        </w:rPr>
        <w:tab/>
      </w:r>
      <w:proofErr w:type="spellStart"/>
      <w:r w:rsidRPr="008C4014">
        <w:rPr>
          <w:lang w:val="nl-NL"/>
        </w:rPr>
        <w:t>Bezug</w:t>
      </w:r>
      <w:proofErr w:type="spellEnd"/>
      <w:r w:rsidRPr="008C4014">
        <w:rPr>
          <w:lang w:val="nl-NL"/>
        </w:rPr>
        <w:t xml:space="preserve"> </w:t>
      </w:r>
      <w:proofErr w:type="spellStart"/>
      <w:r w:rsidRPr="008C4014">
        <w:rPr>
          <w:lang w:val="nl-NL"/>
        </w:rPr>
        <w:t>zu</w:t>
      </w:r>
      <w:proofErr w:type="spellEnd"/>
      <w:r w:rsidRPr="008C4014">
        <w:rPr>
          <w:lang w:val="nl-NL"/>
        </w:rPr>
        <w:t xml:space="preserve"> den Zielen der </w:t>
      </w:r>
      <w:proofErr w:type="spellStart"/>
      <w:r w:rsidRPr="008C4014">
        <w:rPr>
          <w:lang w:val="nl-NL"/>
        </w:rPr>
        <w:t>nachhaltigen</w:t>
      </w:r>
      <w:proofErr w:type="spellEnd"/>
      <w:r w:rsidRPr="008C4014">
        <w:rPr>
          <w:lang w:val="nl-NL"/>
        </w:rPr>
        <w:t xml:space="preserve"> </w:t>
      </w:r>
      <w:proofErr w:type="spellStart"/>
      <w:r w:rsidRPr="008C4014">
        <w:rPr>
          <w:lang w:val="nl-NL"/>
        </w:rPr>
        <w:t>Entwicklung</w:t>
      </w:r>
      <w:proofErr w:type="spellEnd"/>
    </w:p>
    <w:p w14:paraId="608E94FD" w14:textId="0187D4B1" w:rsidR="0063344C" w:rsidRPr="00902812" w:rsidRDefault="0063344C" w:rsidP="00902812">
      <w:pPr>
        <w:pStyle w:val="SingleTxtG"/>
      </w:pPr>
      <w:r w:rsidRPr="00902812">
        <w:t>1</w:t>
      </w:r>
      <w:r w:rsidR="00902812">
        <w:t>9</w:t>
      </w:r>
      <w:r w:rsidRPr="00902812">
        <w:t>.</w:t>
      </w:r>
      <w:r w:rsidRPr="00902812">
        <w:tab/>
        <w:t xml:space="preserve">Neue </w:t>
      </w:r>
      <w:proofErr w:type="spellStart"/>
      <w:r w:rsidRPr="00902812">
        <w:t>Erkenntnisse</w:t>
      </w:r>
      <w:proofErr w:type="spellEnd"/>
      <w:r w:rsidRPr="00902812">
        <w:t xml:space="preserve"> </w:t>
      </w:r>
      <w:proofErr w:type="spellStart"/>
      <w:r w:rsidRPr="00902812">
        <w:t>über</w:t>
      </w:r>
      <w:proofErr w:type="spellEnd"/>
      <w:r w:rsidRPr="00902812">
        <w:t xml:space="preserve"> den </w:t>
      </w:r>
      <w:proofErr w:type="spellStart"/>
      <w:r w:rsidRPr="00902812">
        <w:t>Umgang</w:t>
      </w:r>
      <w:proofErr w:type="spellEnd"/>
      <w:r w:rsidRPr="00902812">
        <w:t xml:space="preserve"> </w:t>
      </w:r>
      <w:proofErr w:type="spellStart"/>
      <w:r w:rsidRPr="00902812">
        <w:t>mit</w:t>
      </w:r>
      <w:proofErr w:type="spellEnd"/>
      <w:r w:rsidRPr="00902812">
        <w:t xml:space="preserve"> (</w:t>
      </w:r>
      <w:proofErr w:type="spellStart"/>
      <w:r w:rsidRPr="00902812">
        <w:t>Gefahr</w:t>
      </w:r>
      <w:proofErr w:type="spellEnd"/>
      <w:r w:rsidRPr="00902812">
        <w:t>)</w:t>
      </w:r>
      <w:proofErr w:type="spellStart"/>
      <w:r w:rsidRPr="00902812">
        <w:t>stoffen</w:t>
      </w:r>
      <w:proofErr w:type="spellEnd"/>
      <w:r w:rsidRPr="00902812">
        <w:t xml:space="preserve"> und die </w:t>
      </w:r>
      <w:proofErr w:type="spellStart"/>
      <w:r w:rsidRPr="00902812">
        <w:t>Berücksichtigung</w:t>
      </w:r>
      <w:proofErr w:type="spellEnd"/>
      <w:r w:rsidRPr="00902812">
        <w:t xml:space="preserve"> </w:t>
      </w:r>
      <w:proofErr w:type="spellStart"/>
      <w:r w:rsidRPr="00902812">
        <w:t>ihrer</w:t>
      </w:r>
      <w:proofErr w:type="spellEnd"/>
      <w:r w:rsidRPr="00902812">
        <w:t xml:space="preserve"> </w:t>
      </w:r>
      <w:proofErr w:type="spellStart"/>
      <w:r w:rsidRPr="00902812">
        <w:t>Folgen</w:t>
      </w:r>
      <w:proofErr w:type="spellEnd"/>
      <w:r w:rsidRPr="00902812">
        <w:t xml:space="preserve"> für die </w:t>
      </w:r>
      <w:proofErr w:type="spellStart"/>
      <w:r w:rsidRPr="00902812">
        <w:t>weitere</w:t>
      </w:r>
      <w:proofErr w:type="spellEnd"/>
      <w:r w:rsidRPr="00902812">
        <w:t xml:space="preserve"> </w:t>
      </w:r>
      <w:proofErr w:type="spellStart"/>
      <w:r w:rsidRPr="00902812">
        <w:t>sichere</w:t>
      </w:r>
      <w:proofErr w:type="spellEnd"/>
      <w:r w:rsidRPr="00902812">
        <w:t xml:space="preserve"> </w:t>
      </w:r>
      <w:proofErr w:type="spellStart"/>
      <w:r w:rsidRPr="00902812">
        <w:t>Handhabung</w:t>
      </w:r>
      <w:proofErr w:type="spellEnd"/>
      <w:r w:rsidRPr="00902812">
        <w:t xml:space="preserve">, </w:t>
      </w:r>
      <w:proofErr w:type="spellStart"/>
      <w:r w:rsidRPr="00902812">
        <w:t>Lagerung</w:t>
      </w:r>
      <w:proofErr w:type="spellEnd"/>
      <w:r w:rsidRPr="00902812">
        <w:t xml:space="preserve"> und </w:t>
      </w:r>
      <w:proofErr w:type="spellStart"/>
      <w:r w:rsidRPr="00902812">
        <w:t>Beförderung</w:t>
      </w:r>
      <w:proofErr w:type="spellEnd"/>
      <w:r w:rsidRPr="00902812">
        <w:t xml:space="preserve"> </w:t>
      </w:r>
      <w:proofErr w:type="spellStart"/>
      <w:r w:rsidRPr="00902812">
        <w:t>dieser</w:t>
      </w:r>
      <w:proofErr w:type="spellEnd"/>
      <w:r w:rsidRPr="00902812">
        <w:t xml:space="preserve"> </w:t>
      </w:r>
      <w:proofErr w:type="spellStart"/>
      <w:r w:rsidRPr="00902812">
        <w:t>gefährlichen</w:t>
      </w:r>
      <w:proofErr w:type="spellEnd"/>
      <w:r w:rsidRPr="00902812">
        <w:t xml:space="preserve"> </w:t>
      </w:r>
      <w:proofErr w:type="spellStart"/>
      <w:r w:rsidRPr="00902812">
        <w:t>Stoffe</w:t>
      </w:r>
      <w:proofErr w:type="spellEnd"/>
      <w:r w:rsidRPr="00902812">
        <w:t xml:space="preserve"> </w:t>
      </w:r>
      <w:proofErr w:type="spellStart"/>
      <w:r w:rsidRPr="00902812">
        <w:t>können</w:t>
      </w:r>
      <w:proofErr w:type="spellEnd"/>
      <w:r w:rsidRPr="00902812">
        <w:t xml:space="preserve"> </w:t>
      </w:r>
      <w:proofErr w:type="spellStart"/>
      <w:r w:rsidRPr="00902812">
        <w:t>mit</w:t>
      </w:r>
      <w:proofErr w:type="spellEnd"/>
      <w:r w:rsidRPr="00902812">
        <w:t xml:space="preserve"> </w:t>
      </w:r>
      <w:proofErr w:type="spellStart"/>
      <w:r w:rsidRPr="00902812">
        <w:t>dem</w:t>
      </w:r>
      <w:proofErr w:type="spellEnd"/>
      <w:r w:rsidRPr="00902812">
        <w:t xml:space="preserve"> </w:t>
      </w:r>
      <w:proofErr w:type="spellStart"/>
      <w:r w:rsidRPr="00902812">
        <w:t>Ziel</w:t>
      </w:r>
      <w:proofErr w:type="spellEnd"/>
      <w:r w:rsidRPr="00902812">
        <w:t xml:space="preserve"> für </w:t>
      </w:r>
      <w:proofErr w:type="spellStart"/>
      <w:r w:rsidRPr="00902812">
        <w:t>nachhaltige</w:t>
      </w:r>
      <w:proofErr w:type="spellEnd"/>
      <w:r w:rsidRPr="00902812">
        <w:t xml:space="preserve"> </w:t>
      </w:r>
      <w:proofErr w:type="spellStart"/>
      <w:r w:rsidRPr="00902812">
        <w:t>Entwicklung</w:t>
      </w:r>
      <w:proofErr w:type="spellEnd"/>
      <w:r w:rsidRPr="00902812">
        <w:t xml:space="preserve"> 3: </w:t>
      </w:r>
      <w:proofErr w:type="spellStart"/>
      <w:r w:rsidRPr="00902812">
        <w:t>Gute</w:t>
      </w:r>
      <w:proofErr w:type="spellEnd"/>
      <w:r w:rsidRPr="00902812">
        <w:t xml:space="preserve"> Gesundheit und </w:t>
      </w:r>
      <w:proofErr w:type="spellStart"/>
      <w:r w:rsidRPr="00902812">
        <w:t>Wohlbefinden</w:t>
      </w:r>
      <w:proofErr w:type="spellEnd"/>
      <w:r w:rsidRPr="00902812">
        <w:t xml:space="preserve"> – </w:t>
      </w:r>
      <w:proofErr w:type="spellStart"/>
      <w:r w:rsidRPr="00902812">
        <w:t>Verringerung</w:t>
      </w:r>
      <w:proofErr w:type="spellEnd"/>
      <w:r w:rsidRPr="00902812">
        <w:t xml:space="preserve"> der </w:t>
      </w:r>
      <w:proofErr w:type="spellStart"/>
      <w:r w:rsidRPr="00902812">
        <w:t>Gesundheitsrisiken</w:t>
      </w:r>
      <w:proofErr w:type="spellEnd"/>
      <w:r w:rsidRPr="00902812">
        <w:t xml:space="preserve"> von </w:t>
      </w:r>
      <w:proofErr w:type="spellStart"/>
      <w:r w:rsidRPr="00902812">
        <w:t>Gefahrstoffen</w:t>
      </w:r>
      <w:proofErr w:type="spellEnd"/>
      <w:r w:rsidRPr="00902812">
        <w:t xml:space="preserve"> </w:t>
      </w:r>
      <w:proofErr w:type="spellStart"/>
      <w:r w:rsidRPr="00902812">
        <w:t>verknüpft</w:t>
      </w:r>
      <w:proofErr w:type="spellEnd"/>
      <w:r w:rsidRPr="00902812">
        <w:t xml:space="preserve"> </w:t>
      </w:r>
      <w:proofErr w:type="spellStart"/>
      <w:r w:rsidRPr="00902812">
        <w:t>werden</w:t>
      </w:r>
      <w:proofErr w:type="spellEnd"/>
      <w:r w:rsidRPr="00902812">
        <w:t>.</w:t>
      </w:r>
    </w:p>
    <w:p w14:paraId="084EF98F" w14:textId="3C634EEC" w:rsidR="0063344C" w:rsidRPr="00C1137E" w:rsidRDefault="00902812" w:rsidP="0063344C">
      <w:pPr>
        <w:pStyle w:val="SingleTxtG"/>
        <w:rPr>
          <w:lang w:val="nl-NL"/>
        </w:rPr>
      </w:pPr>
      <w:r>
        <w:rPr>
          <w:lang w:val="nl-NL"/>
        </w:rPr>
        <w:t>20</w:t>
      </w:r>
      <w:r w:rsidR="0063344C" w:rsidRPr="00C1137E">
        <w:rPr>
          <w:lang w:val="nl-NL"/>
        </w:rPr>
        <w:t>.</w:t>
      </w:r>
      <w:r w:rsidR="0063344C" w:rsidRPr="00C1137E">
        <w:rPr>
          <w:lang w:val="nl-NL"/>
        </w:rPr>
        <w:tab/>
        <w:t xml:space="preserve">Da dies </w:t>
      </w:r>
      <w:proofErr w:type="spellStart"/>
      <w:r w:rsidR="0063344C" w:rsidRPr="00C1137E">
        <w:rPr>
          <w:lang w:val="nl-NL"/>
        </w:rPr>
        <w:t>mit</w:t>
      </w:r>
      <w:proofErr w:type="spellEnd"/>
      <w:r w:rsidR="0063344C" w:rsidRPr="00C1137E">
        <w:rPr>
          <w:lang w:val="nl-NL"/>
        </w:rPr>
        <w:t xml:space="preserve"> </w:t>
      </w:r>
      <w:proofErr w:type="spellStart"/>
      <w:r w:rsidR="0063344C" w:rsidRPr="00C1137E">
        <w:rPr>
          <w:lang w:val="nl-NL"/>
        </w:rPr>
        <w:t>einer</w:t>
      </w:r>
      <w:proofErr w:type="spellEnd"/>
      <w:r w:rsidR="0063344C" w:rsidRPr="00C1137E">
        <w:rPr>
          <w:lang w:val="nl-NL"/>
        </w:rPr>
        <w:t xml:space="preserve"> </w:t>
      </w:r>
      <w:proofErr w:type="spellStart"/>
      <w:r w:rsidR="0063344C" w:rsidRPr="00C1137E">
        <w:rPr>
          <w:lang w:val="nl-NL"/>
        </w:rPr>
        <w:t>nachhaltigen</w:t>
      </w:r>
      <w:proofErr w:type="spellEnd"/>
      <w:r w:rsidR="0063344C" w:rsidRPr="00C1137E">
        <w:rPr>
          <w:lang w:val="nl-NL"/>
        </w:rPr>
        <w:t xml:space="preserve"> </w:t>
      </w:r>
      <w:proofErr w:type="spellStart"/>
      <w:r w:rsidR="0063344C" w:rsidRPr="00C1137E">
        <w:rPr>
          <w:lang w:val="nl-NL"/>
        </w:rPr>
        <w:t>Beförderung</w:t>
      </w:r>
      <w:proofErr w:type="spellEnd"/>
      <w:r w:rsidR="0063344C" w:rsidRPr="00C1137E">
        <w:rPr>
          <w:lang w:val="nl-NL"/>
        </w:rPr>
        <w:t xml:space="preserve"> </w:t>
      </w:r>
      <w:proofErr w:type="spellStart"/>
      <w:r w:rsidR="0063344C" w:rsidRPr="00C1137E">
        <w:rPr>
          <w:lang w:val="nl-NL"/>
        </w:rPr>
        <w:t>verbunden</w:t>
      </w:r>
      <w:proofErr w:type="spellEnd"/>
      <w:r w:rsidR="0063344C" w:rsidRPr="00C1137E">
        <w:rPr>
          <w:lang w:val="nl-NL"/>
        </w:rPr>
        <w:t xml:space="preserve"> </w:t>
      </w:r>
      <w:proofErr w:type="spellStart"/>
      <w:r w:rsidR="0063344C" w:rsidRPr="00C1137E">
        <w:rPr>
          <w:lang w:val="nl-NL"/>
        </w:rPr>
        <w:t>ist</w:t>
      </w:r>
      <w:proofErr w:type="spellEnd"/>
      <w:r w:rsidR="0063344C" w:rsidRPr="00C1137E">
        <w:rPr>
          <w:lang w:val="nl-NL"/>
        </w:rPr>
        <w:t xml:space="preserve">, </w:t>
      </w:r>
      <w:proofErr w:type="spellStart"/>
      <w:r w:rsidR="0063344C" w:rsidRPr="00C1137E">
        <w:rPr>
          <w:lang w:val="nl-NL"/>
        </w:rPr>
        <w:t>kann</w:t>
      </w:r>
      <w:proofErr w:type="spellEnd"/>
      <w:r w:rsidR="0063344C" w:rsidRPr="00C1137E">
        <w:rPr>
          <w:lang w:val="nl-NL"/>
        </w:rPr>
        <w:t xml:space="preserve"> </w:t>
      </w:r>
      <w:proofErr w:type="spellStart"/>
      <w:r w:rsidR="0063344C" w:rsidRPr="00C1137E">
        <w:rPr>
          <w:lang w:val="nl-NL"/>
        </w:rPr>
        <w:t>auch</w:t>
      </w:r>
      <w:proofErr w:type="spellEnd"/>
      <w:r w:rsidR="0063344C" w:rsidRPr="00C1137E">
        <w:rPr>
          <w:lang w:val="nl-NL"/>
        </w:rPr>
        <w:t xml:space="preserve"> </w:t>
      </w:r>
      <w:proofErr w:type="spellStart"/>
      <w:r w:rsidR="0063344C" w:rsidRPr="00C1137E">
        <w:rPr>
          <w:lang w:val="nl-NL"/>
        </w:rPr>
        <w:t>auf</w:t>
      </w:r>
      <w:proofErr w:type="spellEnd"/>
      <w:r w:rsidR="0063344C" w:rsidRPr="00C1137E">
        <w:rPr>
          <w:lang w:val="nl-NL"/>
        </w:rPr>
        <w:t xml:space="preserve"> das Ziel 11 der </w:t>
      </w:r>
      <w:proofErr w:type="spellStart"/>
      <w:r w:rsidR="0063344C" w:rsidRPr="00C1137E">
        <w:rPr>
          <w:lang w:val="nl-NL"/>
        </w:rPr>
        <w:t>nachhaltigen</w:t>
      </w:r>
      <w:proofErr w:type="spellEnd"/>
      <w:r w:rsidR="0063344C" w:rsidRPr="00C1137E">
        <w:rPr>
          <w:lang w:val="nl-NL"/>
        </w:rPr>
        <w:t xml:space="preserve"> </w:t>
      </w:r>
      <w:proofErr w:type="spellStart"/>
      <w:r w:rsidR="0063344C" w:rsidRPr="00C1137E">
        <w:rPr>
          <w:lang w:val="nl-NL"/>
        </w:rPr>
        <w:t>Entwicklung</w:t>
      </w:r>
      <w:proofErr w:type="spellEnd"/>
      <w:r w:rsidR="0063344C" w:rsidRPr="00C1137E">
        <w:rPr>
          <w:lang w:val="nl-NL"/>
        </w:rPr>
        <w:t xml:space="preserve"> verwiesen werden</w:t>
      </w:r>
    </w:p>
    <w:p w14:paraId="58C89812" w14:textId="77777777" w:rsidR="0063344C" w:rsidRPr="00C70893" w:rsidRDefault="0063344C" w:rsidP="0063344C">
      <w:pPr>
        <w:pStyle w:val="HChG"/>
        <w:rPr>
          <w:lang w:val="nl-NL"/>
        </w:rPr>
      </w:pPr>
      <w:r w:rsidRPr="00C1137E">
        <w:rPr>
          <w:lang w:val="nl-NL"/>
        </w:rPr>
        <w:tab/>
      </w:r>
      <w:r>
        <w:rPr>
          <w:lang w:val="nl-NL"/>
        </w:rPr>
        <w:tab/>
      </w:r>
      <w:r w:rsidRPr="00C70893">
        <w:rPr>
          <w:lang w:val="nl-NL"/>
        </w:rPr>
        <w:t>V.</w:t>
      </w:r>
      <w:r w:rsidRPr="00C70893">
        <w:rPr>
          <w:lang w:val="nl-NL"/>
        </w:rPr>
        <w:tab/>
      </w:r>
      <w:proofErr w:type="spellStart"/>
      <w:r w:rsidRPr="00C70893">
        <w:rPr>
          <w:lang w:val="nl-NL"/>
        </w:rPr>
        <w:t>Zu</w:t>
      </w:r>
      <w:proofErr w:type="spellEnd"/>
      <w:r w:rsidRPr="00C70893">
        <w:rPr>
          <w:lang w:val="nl-NL"/>
        </w:rPr>
        <w:t xml:space="preserve"> </w:t>
      </w:r>
      <w:proofErr w:type="spellStart"/>
      <w:r w:rsidRPr="00C70893">
        <w:rPr>
          <w:lang w:val="nl-NL"/>
        </w:rPr>
        <w:t>ergreifende</w:t>
      </w:r>
      <w:proofErr w:type="spellEnd"/>
      <w:r w:rsidRPr="00C70893">
        <w:rPr>
          <w:lang w:val="nl-NL"/>
        </w:rPr>
        <w:t xml:space="preserve"> </w:t>
      </w:r>
      <w:proofErr w:type="spellStart"/>
      <w:r w:rsidRPr="00C70893">
        <w:rPr>
          <w:lang w:val="nl-NL"/>
        </w:rPr>
        <w:t>Maßnahme</w:t>
      </w:r>
      <w:proofErr w:type="spellEnd"/>
    </w:p>
    <w:p w14:paraId="227EE26D" w14:textId="7BFC03FC" w:rsidR="0063344C" w:rsidRPr="00C70893" w:rsidRDefault="00902812" w:rsidP="0063344C">
      <w:pPr>
        <w:pStyle w:val="SingleTxtG"/>
        <w:rPr>
          <w:lang w:val="nl-NL"/>
        </w:rPr>
      </w:pPr>
      <w:r>
        <w:rPr>
          <w:lang w:val="nl-NL"/>
        </w:rPr>
        <w:t>21</w:t>
      </w:r>
      <w:r w:rsidR="0063344C" w:rsidRPr="00C70893">
        <w:rPr>
          <w:lang w:val="nl-NL"/>
        </w:rPr>
        <w:t>.</w:t>
      </w:r>
      <w:r w:rsidR="0063344C" w:rsidRPr="00C70893">
        <w:rPr>
          <w:lang w:val="nl-NL"/>
        </w:rPr>
        <w:tab/>
      </w:r>
      <w:proofErr w:type="spellStart"/>
      <w:r w:rsidR="0063344C" w:rsidRPr="00C70893">
        <w:rPr>
          <w:lang w:val="nl-NL"/>
        </w:rPr>
        <w:t>FuelsEurope</w:t>
      </w:r>
      <w:proofErr w:type="spellEnd"/>
      <w:r w:rsidR="0063344C" w:rsidRPr="00C70893">
        <w:rPr>
          <w:lang w:val="nl-NL"/>
        </w:rPr>
        <w:t xml:space="preserve"> </w:t>
      </w:r>
      <w:proofErr w:type="spellStart"/>
      <w:r w:rsidR="0063344C" w:rsidRPr="00C70893">
        <w:rPr>
          <w:lang w:val="nl-NL"/>
        </w:rPr>
        <w:t>bittet</w:t>
      </w:r>
      <w:proofErr w:type="spellEnd"/>
      <w:r w:rsidR="0063344C" w:rsidRPr="00C70893">
        <w:rPr>
          <w:lang w:val="nl-NL"/>
        </w:rPr>
        <w:t xml:space="preserve"> den ADN-</w:t>
      </w:r>
      <w:proofErr w:type="spellStart"/>
      <w:r w:rsidR="0063344C" w:rsidRPr="00C70893">
        <w:rPr>
          <w:lang w:val="nl-NL"/>
        </w:rPr>
        <w:t>Sicherheitsausschuss</w:t>
      </w:r>
      <w:proofErr w:type="spellEnd"/>
      <w:r w:rsidR="0063344C" w:rsidRPr="00C70893">
        <w:rPr>
          <w:lang w:val="nl-NL"/>
        </w:rPr>
        <w:t xml:space="preserve"> </w:t>
      </w:r>
      <w:proofErr w:type="spellStart"/>
      <w:r w:rsidR="0063344C" w:rsidRPr="00C70893">
        <w:rPr>
          <w:lang w:val="nl-NL"/>
        </w:rPr>
        <w:t>daher</w:t>
      </w:r>
      <w:proofErr w:type="spellEnd"/>
      <w:r w:rsidR="0063344C" w:rsidRPr="00C70893">
        <w:rPr>
          <w:lang w:val="nl-NL"/>
        </w:rPr>
        <w:t xml:space="preserve">, die in den </w:t>
      </w:r>
      <w:proofErr w:type="spellStart"/>
      <w:r w:rsidR="0063344C" w:rsidRPr="00C70893">
        <w:rPr>
          <w:lang w:val="nl-NL"/>
        </w:rPr>
        <w:t>Absätzen</w:t>
      </w:r>
      <w:proofErr w:type="spellEnd"/>
      <w:r w:rsidR="0063344C" w:rsidRPr="00C70893">
        <w:rPr>
          <w:lang w:val="nl-NL"/>
        </w:rPr>
        <w:t xml:space="preserve"> 8, 9 </w:t>
      </w:r>
      <w:proofErr w:type="spellStart"/>
      <w:r w:rsidR="0063344C" w:rsidRPr="00C70893">
        <w:rPr>
          <w:lang w:val="nl-NL"/>
        </w:rPr>
        <w:t>und</w:t>
      </w:r>
      <w:proofErr w:type="spellEnd"/>
      <w:r w:rsidR="0063344C" w:rsidRPr="00C70893">
        <w:rPr>
          <w:lang w:val="nl-NL"/>
        </w:rPr>
        <w:t xml:space="preserve"> 10 </w:t>
      </w:r>
      <w:proofErr w:type="spellStart"/>
      <w:r w:rsidR="0063344C" w:rsidRPr="00C70893">
        <w:rPr>
          <w:lang w:val="nl-NL"/>
        </w:rPr>
        <w:t>aufgeführten</w:t>
      </w:r>
      <w:proofErr w:type="spellEnd"/>
      <w:r w:rsidR="0063344C" w:rsidRPr="00C70893">
        <w:rPr>
          <w:lang w:val="nl-NL"/>
        </w:rPr>
        <w:t xml:space="preserve"> </w:t>
      </w:r>
      <w:proofErr w:type="spellStart"/>
      <w:r w:rsidR="0063344C" w:rsidRPr="00C70893">
        <w:rPr>
          <w:lang w:val="nl-NL"/>
        </w:rPr>
        <w:t>Vorschläge</w:t>
      </w:r>
      <w:proofErr w:type="spellEnd"/>
      <w:r w:rsidR="0063344C" w:rsidRPr="00C70893">
        <w:rPr>
          <w:lang w:val="nl-NL"/>
        </w:rPr>
        <w:t xml:space="preserve"> </w:t>
      </w:r>
      <w:proofErr w:type="spellStart"/>
      <w:r w:rsidR="0063344C" w:rsidRPr="00C70893">
        <w:rPr>
          <w:lang w:val="nl-NL"/>
        </w:rPr>
        <w:t>unter</w:t>
      </w:r>
      <w:proofErr w:type="spellEnd"/>
      <w:r w:rsidR="0063344C" w:rsidRPr="00C70893">
        <w:rPr>
          <w:lang w:val="nl-NL"/>
        </w:rPr>
        <w:t xml:space="preserve"> </w:t>
      </w:r>
      <w:proofErr w:type="spellStart"/>
      <w:r w:rsidR="0063344C" w:rsidRPr="00C70893">
        <w:rPr>
          <w:lang w:val="nl-NL"/>
        </w:rPr>
        <w:t>Berücksichtigung</w:t>
      </w:r>
      <w:proofErr w:type="spellEnd"/>
      <w:r w:rsidR="0063344C" w:rsidRPr="00C70893">
        <w:rPr>
          <w:lang w:val="nl-NL"/>
        </w:rPr>
        <w:t xml:space="preserve"> der </w:t>
      </w:r>
      <w:proofErr w:type="spellStart"/>
      <w:r w:rsidR="0063344C" w:rsidRPr="00C70893">
        <w:rPr>
          <w:lang w:val="nl-NL"/>
        </w:rPr>
        <w:t>Begründung</w:t>
      </w:r>
      <w:proofErr w:type="spellEnd"/>
      <w:r w:rsidR="0063344C" w:rsidRPr="00C70893">
        <w:rPr>
          <w:lang w:val="nl-NL"/>
        </w:rPr>
        <w:t xml:space="preserve"> </w:t>
      </w:r>
      <w:proofErr w:type="spellStart"/>
      <w:r w:rsidR="0063344C">
        <w:rPr>
          <w:lang w:val="nl-NL"/>
        </w:rPr>
        <w:t>laut</w:t>
      </w:r>
      <w:proofErr w:type="spellEnd"/>
      <w:r w:rsidR="0063344C">
        <w:rPr>
          <w:lang w:val="nl-NL"/>
        </w:rPr>
        <w:t xml:space="preserve"> </w:t>
      </w:r>
      <w:proofErr w:type="spellStart"/>
      <w:r w:rsidR="0063344C">
        <w:rPr>
          <w:lang w:val="nl-NL"/>
        </w:rPr>
        <w:t>Absätze</w:t>
      </w:r>
      <w:proofErr w:type="spellEnd"/>
      <w:r w:rsidR="0063344C">
        <w:rPr>
          <w:lang w:val="nl-NL"/>
        </w:rPr>
        <w:t xml:space="preserve"> 11 </w:t>
      </w:r>
      <w:proofErr w:type="spellStart"/>
      <w:r w:rsidR="0063344C">
        <w:rPr>
          <w:lang w:val="nl-NL"/>
        </w:rPr>
        <w:t>und</w:t>
      </w:r>
      <w:proofErr w:type="spellEnd"/>
      <w:r w:rsidR="0063344C">
        <w:rPr>
          <w:lang w:val="nl-NL"/>
        </w:rPr>
        <w:t xml:space="preserve"> 12, </w:t>
      </w:r>
      <w:proofErr w:type="spellStart"/>
      <w:r w:rsidR="0063344C" w:rsidRPr="00C70893">
        <w:rPr>
          <w:lang w:val="nl-NL"/>
        </w:rPr>
        <w:t>zu</w:t>
      </w:r>
      <w:proofErr w:type="spellEnd"/>
      <w:r w:rsidR="0063344C" w:rsidRPr="00C70893">
        <w:rPr>
          <w:lang w:val="nl-NL"/>
        </w:rPr>
        <w:t xml:space="preserve"> </w:t>
      </w:r>
      <w:proofErr w:type="spellStart"/>
      <w:r w:rsidR="0063344C" w:rsidRPr="00C70893">
        <w:rPr>
          <w:lang w:val="nl-NL"/>
        </w:rPr>
        <w:t>prüfen</w:t>
      </w:r>
      <w:proofErr w:type="spellEnd"/>
      <w:r w:rsidR="0063344C" w:rsidRPr="00C70893">
        <w:rPr>
          <w:lang w:val="nl-NL"/>
        </w:rPr>
        <w:t xml:space="preserve"> </w:t>
      </w:r>
      <w:proofErr w:type="spellStart"/>
      <w:r w:rsidR="0063344C" w:rsidRPr="00C70893">
        <w:rPr>
          <w:lang w:val="nl-NL"/>
        </w:rPr>
        <w:t>und</w:t>
      </w:r>
      <w:proofErr w:type="spellEnd"/>
      <w:r w:rsidR="0063344C" w:rsidRPr="00C70893">
        <w:rPr>
          <w:lang w:val="nl-NL"/>
        </w:rPr>
        <w:t xml:space="preserve"> die </w:t>
      </w:r>
      <w:proofErr w:type="spellStart"/>
      <w:r w:rsidR="0063344C" w:rsidRPr="00C70893">
        <w:rPr>
          <w:lang w:val="nl-NL"/>
        </w:rPr>
        <w:t>aus</w:t>
      </w:r>
      <w:proofErr w:type="spellEnd"/>
      <w:r w:rsidR="0063344C" w:rsidRPr="00C70893">
        <w:rPr>
          <w:lang w:val="nl-NL"/>
        </w:rPr>
        <w:t xml:space="preserve"> seiner </w:t>
      </w:r>
      <w:proofErr w:type="spellStart"/>
      <w:r w:rsidR="0063344C" w:rsidRPr="00C70893">
        <w:rPr>
          <w:lang w:val="nl-NL"/>
        </w:rPr>
        <w:t>Sicht</w:t>
      </w:r>
      <w:proofErr w:type="spellEnd"/>
      <w:r w:rsidR="0063344C" w:rsidRPr="00C70893">
        <w:rPr>
          <w:lang w:val="nl-NL"/>
        </w:rPr>
        <w:t xml:space="preserve"> </w:t>
      </w:r>
      <w:proofErr w:type="spellStart"/>
      <w:r w:rsidR="0063344C" w:rsidRPr="00C70893">
        <w:rPr>
          <w:lang w:val="nl-NL"/>
        </w:rPr>
        <w:t>notwendigen</w:t>
      </w:r>
      <w:proofErr w:type="spellEnd"/>
      <w:r w:rsidR="0063344C" w:rsidRPr="00C70893">
        <w:rPr>
          <w:lang w:val="nl-NL"/>
        </w:rPr>
        <w:t xml:space="preserve"> </w:t>
      </w:r>
      <w:proofErr w:type="spellStart"/>
      <w:r w:rsidR="0063344C" w:rsidRPr="00C70893">
        <w:rPr>
          <w:lang w:val="nl-NL"/>
        </w:rPr>
        <w:t>Maßnahmen</w:t>
      </w:r>
      <w:proofErr w:type="spellEnd"/>
      <w:r w:rsidR="0063344C" w:rsidRPr="00C70893">
        <w:rPr>
          <w:lang w:val="nl-NL"/>
        </w:rPr>
        <w:t xml:space="preserve"> </w:t>
      </w:r>
      <w:proofErr w:type="spellStart"/>
      <w:r w:rsidR="0063344C" w:rsidRPr="00C70893">
        <w:rPr>
          <w:lang w:val="nl-NL"/>
        </w:rPr>
        <w:t>mit</w:t>
      </w:r>
      <w:proofErr w:type="spellEnd"/>
      <w:r w:rsidR="0063344C" w:rsidRPr="00C70893">
        <w:rPr>
          <w:lang w:val="nl-NL"/>
        </w:rPr>
        <w:t xml:space="preserve"> </w:t>
      </w:r>
      <w:proofErr w:type="spellStart"/>
      <w:r w:rsidR="0063344C" w:rsidRPr="00C70893">
        <w:rPr>
          <w:lang w:val="nl-NL"/>
        </w:rPr>
        <w:t>Blick</w:t>
      </w:r>
      <w:proofErr w:type="spellEnd"/>
      <w:r w:rsidR="0063344C" w:rsidRPr="00C70893">
        <w:rPr>
          <w:lang w:val="nl-NL"/>
        </w:rPr>
        <w:t xml:space="preserve"> </w:t>
      </w:r>
      <w:proofErr w:type="spellStart"/>
      <w:r w:rsidR="0063344C" w:rsidRPr="00C70893">
        <w:rPr>
          <w:lang w:val="nl-NL"/>
        </w:rPr>
        <w:t>auf</w:t>
      </w:r>
      <w:proofErr w:type="spellEnd"/>
      <w:r w:rsidR="0063344C" w:rsidRPr="00C70893">
        <w:rPr>
          <w:lang w:val="nl-NL"/>
        </w:rPr>
        <w:t xml:space="preserve"> </w:t>
      </w:r>
      <w:proofErr w:type="spellStart"/>
      <w:r w:rsidR="0063344C" w:rsidRPr="00C70893">
        <w:rPr>
          <w:lang w:val="nl-NL"/>
        </w:rPr>
        <w:t>ein</w:t>
      </w:r>
      <w:proofErr w:type="spellEnd"/>
      <w:r w:rsidR="0063344C" w:rsidRPr="00C70893">
        <w:rPr>
          <w:lang w:val="nl-NL"/>
        </w:rPr>
        <w:t xml:space="preserve"> </w:t>
      </w:r>
      <w:proofErr w:type="spellStart"/>
      <w:r w:rsidR="0063344C" w:rsidRPr="00C70893">
        <w:rPr>
          <w:lang w:val="nl-NL"/>
        </w:rPr>
        <w:t>Inkrafttreten</w:t>
      </w:r>
      <w:proofErr w:type="spellEnd"/>
      <w:r w:rsidR="0063344C" w:rsidRPr="00C70893">
        <w:rPr>
          <w:lang w:val="nl-NL"/>
        </w:rPr>
        <w:t xml:space="preserve"> </w:t>
      </w:r>
      <w:proofErr w:type="spellStart"/>
      <w:r w:rsidR="0063344C" w:rsidRPr="00C70893">
        <w:rPr>
          <w:lang w:val="nl-NL"/>
        </w:rPr>
        <w:t>am</w:t>
      </w:r>
      <w:proofErr w:type="spellEnd"/>
      <w:r w:rsidR="0063344C" w:rsidRPr="00C70893">
        <w:rPr>
          <w:lang w:val="nl-NL"/>
        </w:rPr>
        <w:t xml:space="preserve"> 1. </w:t>
      </w:r>
      <w:proofErr w:type="spellStart"/>
      <w:r w:rsidR="0063344C" w:rsidRPr="00C70893">
        <w:rPr>
          <w:lang w:val="nl-NL"/>
        </w:rPr>
        <w:t>Januar</w:t>
      </w:r>
      <w:proofErr w:type="spellEnd"/>
      <w:r w:rsidR="0063344C" w:rsidRPr="00C70893">
        <w:rPr>
          <w:lang w:val="nl-NL"/>
        </w:rPr>
        <w:t xml:space="preserve"> 2025 </w:t>
      </w:r>
      <w:proofErr w:type="spellStart"/>
      <w:r w:rsidR="0063344C" w:rsidRPr="00C70893">
        <w:rPr>
          <w:lang w:val="nl-NL"/>
        </w:rPr>
        <w:t>zu</w:t>
      </w:r>
      <w:proofErr w:type="spellEnd"/>
      <w:r w:rsidR="0063344C" w:rsidRPr="00C70893">
        <w:rPr>
          <w:lang w:val="nl-NL"/>
        </w:rPr>
        <w:t xml:space="preserve"> </w:t>
      </w:r>
      <w:proofErr w:type="spellStart"/>
      <w:r w:rsidR="0063344C" w:rsidRPr="00C70893">
        <w:rPr>
          <w:lang w:val="nl-NL"/>
        </w:rPr>
        <w:t>ergreifen</w:t>
      </w:r>
      <w:proofErr w:type="spellEnd"/>
      <w:r w:rsidR="0063344C">
        <w:rPr>
          <w:lang w:val="nl-NL"/>
        </w:rPr>
        <w:t>.</w:t>
      </w:r>
    </w:p>
    <w:p w14:paraId="78C13B0C" w14:textId="77777777" w:rsidR="0063344C" w:rsidRPr="00C70893" w:rsidRDefault="0063344C" w:rsidP="0063344C">
      <w:pPr>
        <w:spacing w:before="240"/>
        <w:jc w:val="center"/>
        <w:rPr>
          <w:u w:val="single"/>
          <w:lang w:val="nl-NL"/>
        </w:rPr>
      </w:pPr>
      <w:r w:rsidRPr="00C70893">
        <w:rPr>
          <w:u w:val="single"/>
          <w:lang w:val="nl-NL"/>
        </w:rPr>
        <w:tab/>
      </w:r>
      <w:r w:rsidRPr="00C70893">
        <w:rPr>
          <w:u w:val="single"/>
          <w:lang w:val="nl-NL"/>
        </w:rPr>
        <w:tab/>
      </w:r>
      <w:r w:rsidRPr="00C70893">
        <w:rPr>
          <w:u w:val="single"/>
          <w:lang w:val="nl-NL"/>
        </w:rPr>
        <w:tab/>
      </w:r>
    </w:p>
    <w:sectPr w:rsidR="0063344C" w:rsidRPr="00C70893" w:rsidSect="00CD0EC1">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7B89" w14:textId="77777777" w:rsidR="004A6000" w:rsidRDefault="004A6000"/>
  </w:endnote>
  <w:endnote w:type="continuationSeparator" w:id="0">
    <w:p w14:paraId="5858CA8C" w14:textId="77777777" w:rsidR="004A6000" w:rsidRDefault="004A6000"/>
  </w:endnote>
  <w:endnote w:type="continuationNotice" w:id="1">
    <w:p w14:paraId="21263023" w14:textId="77777777" w:rsidR="004A6000" w:rsidRDefault="004A6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A59" w14:textId="77777777" w:rsidR="00335B02" w:rsidRPr="00335B02" w:rsidRDefault="00335B02" w:rsidP="00335B02">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4</w:t>
    </w:r>
    <w:r>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032" w14:textId="77777777" w:rsidR="00335B02" w:rsidRPr="00335B02" w:rsidRDefault="00335B02" w:rsidP="00335B02">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8447" w14:textId="77777777" w:rsidR="004A6000" w:rsidRPr="000B175B" w:rsidRDefault="004A6000" w:rsidP="000B175B">
      <w:pPr>
        <w:tabs>
          <w:tab w:val="right" w:pos="2155"/>
        </w:tabs>
        <w:spacing w:after="80"/>
        <w:ind w:left="680"/>
        <w:rPr>
          <w:u w:val="single"/>
        </w:rPr>
      </w:pPr>
      <w:r>
        <w:rPr>
          <w:u w:val="single"/>
        </w:rPr>
        <w:tab/>
      </w:r>
    </w:p>
  </w:footnote>
  <w:footnote w:type="continuationSeparator" w:id="0">
    <w:p w14:paraId="1A4B48A5" w14:textId="77777777" w:rsidR="004A6000" w:rsidRPr="00FC68B7" w:rsidRDefault="004A6000" w:rsidP="00FC68B7">
      <w:pPr>
        <w:tabs>
          <w:tab w:val="left" w:pos="2155"/>
        </w:tabs>
        <w:spacing w:after="80"/>
        <w:ind w:left="680"/>
        <w:rPr>
          <w:u w:val="single"/>
        </w:rPr>
      </w:pPr>
      <w:r>
        <w:rPr>
          <w:u w:val="single"/>
        </w:rPr>
        <w:tab/>
      </w:r>
    </w:p>
  </w:footnote>
  <w:footnote w:type="continuationNotice" w:id="1">
    <w:p w14:paraId="7B686A86" w14:textId="77777777" w:rsidR="004A6000" w:rsidRDefault="004A6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9462" w14:textId="7505F0F5" w:rsidR="00335B02" w:rsidRPr="00F54205" w:rsidRDefault="00236A03" w:rsidP="00F54205">
    <w:pPr>
      <w:pStyle w:val="Header"/>
    </w:pPr>
    <w:r>
      <w:t>INF.</w:t>
    </w:r>
    <w:r w:rsidR="00710728">
      <w:t>3</w:t>
    </w:r>
    <w:r w:rsidR="000320C2">
      <w:t>2</w:t>
    </w:r>
  </w:p>
  <w:p w14:paraId="374B8C43" w14:textId="77777777" w:rsidR="00D81C7A" w:rsidRDefault="00D81C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360B" w14:textId="15F56970" w:rsidR="00335B02" w:rsidRPr="00EA42C1" w:rsidRDefault="00B5117E" w:rsidP="00EA42C1">
    <w:pPr>
      <w:pStyle w:val="Header"/>
      <w:jc w:val="right"/>
    </w:pPr>
    <w:r>
      <w:t>INF.</w:t>
    </w:r>
    <w:r w:rsidR="00FF4A29">
      <w:t>3</w:t>
    </w:r>
    <w:r w:rsidR="00933D6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16A"/>
    <w:multiLevelType w:val="hybridMultilevel"/>
    <w:tmpl w:val="EDC65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B39A5"/>
    <w:multiLevelType w:val="hybridMultilevel"/>
    <w:tmpl w:val="EA008E7A"/>
    <w:lvl w:ilvl="0" w:tplc="9266E7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DB327C"/>
    <w:multiLevelType w:val="hybridMultilevel"/>
    <w:tmpl w:val="83DC3434"/>
    <w:lvl w:ilvl="0" w:tplc="74EE60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D436A"/>
    <w:multiLevelType w:val="hybridMultilevel"/>
    <w:tmpl w:val="E4EE15F4"/>
    <w:lvl w:ilvl="0" w:tplc="2D9C0F9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46FD0"/>
    <w:multiLevelType w:val="hybridMultilevel"/>
    <w:tmpl w:val="A484C858"/>
    <w:lvl w:ilvl="0" w:tplc="DDF8ED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0387">
    <w:abstractNumId w:val="1"/>
  </w:num>
  <w:num w:numId="2" w16cid:durableId="2139494429">
    <w:abstractNumId w:val="0"/>
  </w:num>
  <w:num w:numId="3" w16cid:durableId="1987196539">
    <w:abstractNumId w:val="2"/>
  </w:num>
  <w:num w:numId="4" w16cid:durableId="1825469310">
    <w:abstractNumId w:val="3"/>
  </w:num>
  <w:num w:numId="5" w16cid:durableId="326252317">
    <w:abstractNumId w:val="8"/>
  </w:num>
  <w:num w:numId="6" w16cid:durableId="1696881043">
    <w:abstractNumId w:val="9"/>
  </w:num>
  <w:num w:numId="7" w16cid:durableId="1414819209">
    <w:abstractNumId w:val="7"/>
  </w:num>
  <w:num w:numId="8" w16cid:durableId="889878504">
    <w:abstractNumId w:val="6"/>
  </w:num>
  <w:num w:numId="9" w16cid:durableId="1065101216">
    <w:abstractNumId w:val="5"/>
  </w:num>
  <w:num w:numId="10" w16cid:durableId="2003897180">
    <w:abstractNumId w:val="4"/>
  </w:num>
  <w:num w:numId="11" w16cid:durableId="176846287">
    <w:abstractNumId w:val="18"/>
  </w:num>
  <w:num w:numId="12" w16cid:durableId="138766385">
    <w:abstractNumId w:val="15"/>
  </w:num>
  <w:num w:numId="13" w16cid:durableId="2105681482">
    <w:abstractNumId w:val="11"/>
  </w:num>
  <w:num w:numId="14" w16cid:durableId="1465004137">
    <w:abstractNumId w:val="13"/>
  </w:num>
  <w:num w:numId="15" w16cid:durableId="411239685">
    <w:abstractNumId w:val="19"/>
  </w:num>
  <w:num w:numId="16" w16cid:durableId="1736125182">
    <w:abstractNumId w:val="14"/>
  </w:num>
  <w:num w:numId="17" w16cid:durableId="711076582">
    <w:abstractNumId w:val="21"/>
  </w:num>
  <w:num w:numId="18" w16cid:durableId="50083596">
    <w:abstractNumId w:val="23"/>
  </w:num>
  <w:num w:numId="19" w16cid:durableId="1413114354">
    <w:abstractNumId w:val="12"/>
  </w:num>
  <w:num w:numId="20" w16cid:durableId="1881743150">
    <w:abstractNumId w:val="12"/>
  </w:num>
  <w:num w:numId="21" w16cid:durableId="1947106276">
    <w:abstractNumId w:val="16"/>
  </w:num>
  <w:num w:numId="22" w16cid:durableId="1861047719">
    <w:abstractNumId w:val="22"/>
  </w:num>
  <w:num w:numId="23" w16cid:durableId="1115830556">
    <w:abstractNumId w:val="10"/>
  </w:num>
  <w:num w:numId="24" w16cid:durableId="1156650093">
    <w:abstractNumId w:val="17"/>
  </w:num>
  <w:num w:numId="25" w16cid:durableId="17502272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681"/>
    <w:rsid w:val="00002A7D"/>
    <w:rsid w:val="00002E96"/>
    <w:rsid w:val="000038A8"/>
    <w:rsid w:val="00004B68"/>
    <w:rsid w:val="00006790"/>
    <w:rsid w:val="000211BF"/>
    <w:rsid w:val="000249BA"/>
    <w:rsid w:val="00025A12"/>
    <w:rsid w:val="00026887"/>
    <w:rsid w:val="000274F8"/>
    <w:rsid w:val="00027624"/>
    <w:rsid w:val="000320C2"/>
    <w:rsid w:val="0003293F"/>
    <w:rsid w:val="00033166"/>
    <w:rsid w:val="00047CD6"/>
    <w:rsid w:val="00047E5C"/>
    <w:rsid w:val="00050F6B"/>
    <w:rsid w:val="00062927"/>
    <w:rsid w:val="000678CD"/>
    <w:rsid w:val="00072C8C"/>
    <w:rsid w:val="00081CE0"/>
    <w:rsid w:val="00084D30"/>
    <w:rsid w:val="00090320"/>
    <w:rsid w:val="000931C0"/>
    <w:rsid w:val="000A2E09"/>
    <w:rsid w:val="000B175B"/>
    <w:rsid w:val="000B3813"/>
    <w:rsid w:val="000B3A0F"/>
    <w:rsid w:val="000B3E8E"/>
    <w:rsid w:val="000B617F"/>
    <w:rsid w:val="000C12CF"/>
    <w:rsid w:val="000E0415"/>
    <w:rsid w:val="000E499D"/>
    <w:rsid w:val="000F4B19"/>
    <w:rsid w:val="000F60D4"/>
    <w:rsid w:val="000F65A3"/>
    <w:rsid w:val="000F7715"/>
    <w:rsid w:val="001127E0"/>
    <w:rsid w:val="00116E26"/>
    <w:rsid w:val="00122FF4"/>
    <w:rsid w:val="0014281B"/>
    <w:rsid w:val="00144D01"/>
    <w:rsid w:val="00144F82"/>
    <w:rsid w:val="00153C15"/>
    <w:rsid w:val="00156B99"/>
    <w:rsid w:val="00157490"/>
    <w:rsid w:val="00157609"/>
    <w:rsid w:val="00160268"/>
    <w:rsid w:val="001602A0"/>
    <w:rsid w:val="0016371C"/>
    <w:rsid w:val="00166124"/>
    <w:rsid w:val="00170046"/>
    <w:rsid w:val="00172B38"/>
    <w:rsid w:val="0017670E"/>
    <w:rsid w:val="00180D1D"/>
    <w:rsid w:val="00180FF3"/>
    <w:rsid w:val="001832E3"/>
    <w:rsid w:val="00184DDA"/>
    <w:rsid w:val="001900CD"/>
    <w:rsid w:val="001936CA"/>
    <w:rsid w:val="00194210"/>
    <w:rsid w:val="00195529"/>
    <w:rsid w:val="001A0452"/>
    <w:rsid w:val="001A3F08"/>
    <w:rsid w:val="001B1F2E"/>
    <w:rsid w:val="001B4B04"/>
    <w:rsid w:val="001B5875"/>
    <w:rsid w:val="001C4B9C"/>
    <w:rsid w:val="001C6663"/>
    <w:rsid w:val="001C7895"/>
    <w:rsid w:val="001D1368"/>
    <w:rsid w:val="001D26DF"/>
    <w:rsid w:val="001D39B7"/>
    <w:rsid w:val="001E04E7"/>
    <w:rsid w:val="001E09C1"/>
    <w:rsid w:val="001E0A73"/>
    <w:rsid w:val="001E6299"/>
    <w:rsid w:val="001E70A8"/>
    <w:rsid w:val="001E7CEE"/>
    <w:rsid w:val="001F1599"/>
    <w:rsid w:val="001F19C4"/>
    <w:rsid w:val="001F5A70"/>
    <w:rsid w:val="001F6555"/>
    <w:rsid w:val="002021E0"/>
    <w:rsid w:val="002043F0"/>
    <w:rsid w:val="00204C1D"/>
    <w:rsid w:val="00206274"/>
    <w:rsid w:val="00211276"/>
    <w:rsid w:val="00211E0B"/>
    <w:rsid w:val="00226596"/>
    <w:rsid w:val="002267FF"/>
    <w:rsid w:val="00232575"/>
    <w:rsid w:val="00236A03"/>
    <w:rsid w:val="002417CF"/>
    <w:rsid w:val="00244196"/>
    <w:rsid w:val="00244787"/>
    <w:rsid w:val="0024654B"/>
    <w:rsid w:val="00247258"/>
    <w:rsid w:val="00256B8A"/>
    <w:rsid w:val="00257CAC"/>
    <w:rsid w:val="0027074D"/>
    <w:rsid w:val="0027162D"/>
    <w:rsid w:val="0027237A"/>
    <w:rsid w:val="00275DB0"/>
    <w:rsid w:val="00280B61"/>
    <w:rsid w:val="002920CD"/>
    <w:rsid w:val="002974E9"/>
    <w:rsid w:val="002A192D"/>
    <w:rsid w:val="002A5DAC"/>
    <w:rsid w:val="002A6386"/>
    <w:rsid w:val="002A7F94"/>
    <w:rsid w:val="002B109A"/>
    <w:rsid w:val="002B1BA0"/>
    <w:rsid w:val="002B2B93"/>
    <w:rsid w:val="002B50FE"/>
    <w:rsid w:val="002B7E70"/>
    <w:rsid w:val="002C1005"/>
    <w:rsid w:val="002C6D45"/>
    <w:rsid w:val="002D1ACD"/>
    <w:rsid w:val="002D2369"/>
    <w:rsid w:val="002D6E53"/>
    <w:rsid w:val="002E6905"/>
    <w:rsid w:val="002F046D"/>
    <w:rsid w:val="002F19D6"/>
    <w:rsid w:val="002F2238"/>
    <w:rsid w:val="002F3023"/>
    <w:rsid w:val="002F7BDD"/>
    <w:rsid w:val="00301764"/>
    <w:rsid w:val="00316FFE"/>
    <w:rsid w:val="00321CB3"/>
    <w:rsid w:val="003229D8"/>
    <w:rsid w:val="00335B02"/>
    <w:rsid w:val="00336C97"/>
    <w:rsid w:val="00337D1B"/>
    <w:rsid w:val="00337F88"/>
    <w:rsid w:val="003422FC"/>
    <w:rsid w:val="00342432"/>
    <w:rsid w:val="00342999"/>
    <w:rsid w:val="0035223F"/>
    <w:rsid w:val="00352D4B"/>
    <w:rsid w:val="0035638C"/>
    <w:rsid w:val="003614A1"/>
    <w:rsid w:val="0036440D"/>
    <w:rsid w:val="00373908"/>
    <w:rsid w:val="00374D51"/>
    <w:rsid w:val="00383FF3"/>
    <w:rsid w:val="00394F2F"/>
    <w:rsid w:val="003958E2"/>
    <w:rsid w:val="00395BAD"/>
    <w:rsid w:val="003A46BB"/>
    <w:rsid w:val="003A4EC7"/>
    <w:rsid w:val="003A7295"/>
    <w:rsid w:val="003B1F60"/>
    <w:rsid w:val="003C2CC4"/>
    <w:rsid w:val="003C74FF"/>
    <w:rsid w:val="003D11AD"/>
    <w:rsid w:val="003D4B23"/>
    <w:rsid w:val="003E0C40"/>
    <w:rsid w:val="003E278A"/>
    <w:rsid w:val="00400FD1"/>
    <w:rsid w:val="00401B28"/>
    <w:rsid w:val="004031CB"/>
    <w:rsid w:val="00413520"/>
    <w:rsid w:val="0041770D"/>
    <w:rsid w:val="00422024"/>
    <w:rsid w:val="00430635"/>
    <w:rsid w:val="004325CB"/>
    <w:rsid w:val="00440A07"/>
    <w:rsid w:val="00454D39"/>
    <w:rsid w:val="00456428"/>
    <w:rsid w:val="00457057"/>
    <w:rsid w:val="0045733B"/>
    <w:rsid w:val="00462880"/>
    <w:rsid w:val="004733D6"/>
    <w:rsid w:val="00476F24"/>
    <w:rsid w:val="0048768E"/>
    <w:rsid w:val="00497194"/>
    <w:rsid w:val="004A575C"/>
    <w:rsid w:val="004A6000"/>
    <w:rsid w:val="004A6C9B"/>
    <w:rsid w:val="004B09B0"/>
    <w:rsid w:val="004B6706"/>
    <w:rsid w:val="004C1217"/>
    <w:rsid w:val="004C55B0"/>
    <w:rsid w:val="004C7379"/>
    <w:rsid w:val="004C75CD"/>
    <w:rsid w:val="004D3E7A"/>
    <w:rsid w:val="004E25B3"/>
    <w:rsid w:val="004E55EF"/>
    <w:rsid w:val="004F6BA0"/>
    <w:rsid w:val="00500315"/>
    <w:rsid w:val="00502435"/>
    <w:rsid w:val="00503BEA"/>
    <w:rsid w:val="00506F46"/>
    <w:rsid w:val="00513E2B"/>
    <w:rsid w:val="00524C4C"/>
    <w:rsid w:val="00527651"/>
    <w:rsid w:val="00533616"/>
    <w:rsid w:val="00535150"/>
    <w:rsid w:val="00535ABA"/>
    <w:rsid w:val="0053768B"/>
    <w:rsid w:val="005420F2"/>
    <w:rsid w:val="0054285C"/>
    <w:rsid w:val="00545601"/>
    <w:rsid w:val="00547E92"/>
    <w:rsid w:val="00560D24"/>
    <w:rsid w:val="005633BD"/>
    <w:rsid w:val="00566C91"/>
    <w:rsid w:val="00566E24"/>
    <w:rsid w:val="00570C67"/>
    <w:rsid w:val="00584173"/>
    <w:rsid w:val="0058591E"/>
    <w:rsid w:val="00595520"/>
    <w:rsid w:val="005A0B96"/>
    <w:rsid w:val="005A1C7B"/>
    <w:rsid w:val="005A44B9"/>
    <w:rsid w:val="005A6053"/>
    <w:rsid w:val="005A67BC"/>
    <w:rsid w:val="005B1BA0"/>
    <w:rsid w:val="005B34D8"/>
    <w:rsid w:val="005B3DB3"/>
    <w:rsid w:val="005B55AF"/>
    <w:rsid w:val="005C01B0"/>
    <w:rsid w:val="005C03A5"/>
    <w:rsid w:val="005C13E8"/>
    <w:rsid w:val="005C3FB0"/>
    <w:rsid w:val="005C566D"/>
    <w:rsid w:val="005D15CA"/>
    <w:rsid w:val="005D6A31"/>
    <w:rsid w:val="005D7583"/>
    <w:rsid w:val="005E016F"/>
    <w:rsid w:val="005F08DF"/>
    <w:rsid w:val="005F3066"/>
    <w:rsid w:val="005F3E61"/>
    <w:rsid w:val="005F4D30"/>
    <w:rsid w:val="00603E67"/>
    <w:rsid w:val="00604DDD"/>
    <w:rsid w:val="00610969"/>
    <w:rsid w:val="006115CC"/>
    <w:rsid w:val="006116E6"/>
    <w:rsid w:val="00611FC4"/>
    <w:rsid w:val="00613B39"/>
    <w:rsid w:val="00614280"/>
    <w:rsid w:val="006169FB"/>
    <w:rsid w:val="006176FB"/>
    <w:rsid w:val="00624904"/>
    <w:rsid w:val="00630FCB"/>
    <w:rsid w:val="0063344C"/>
    <w:rsid w:val="00640B26"/>
    <w:rsid w:val="00643883"/>
    <w:rsid w:val="0065766B"/>
    <w:rsid w:val="00660948"/>
    <w:rsid w:val="00662346"/>
    <w:rsid w:val="006770B2"/>
    <w:rsid w:val="00677B3E"/>
    <w:rsid w:val="00686A48"/>
    <w:rsid w:val="006940E1"/>
    <w:rsid w:val="00694920"/>
    <w:rsid w:val="006A02BA"/>
    <w:rsid w:val="006A3C72"/>
    <w:rsid w:val="006A7392"/>
    <w:rsid w:val="006B03A1"/>
    <w:rsid w:val="006B1351"/>
    <w:rsid w:val="006B13CA"/>
    <w:rsid w:val="006B5FD9"/>
    <w:rsid w:val="006B611E"/>
    <w:rsid w:val="006B67D9"/>
    <w:rsid w:val="006C0216"/>
    <w:rsid w:val="006C5535"/>
    <w:rsid w:val="006D0589"/>
    <w:rsid w:val="006D2C42"/>
    <w:rsid w:val="006D6E7B"/>
    <w:rsid w:val="006E13F9"/>
    <w:rsid w:val="006E564B"/>
    <w:rsid w:val="006E59B4"/>
    <w:rsid w:val="006E7154"/>
    <w:rsid w:val="006F23F0"/>
    <w:rsid w:val="006F38FE"/>
    <w:rsid w:val="006F4047"/>
    <w:rsid w:val="007003CD"/>
    <w:rsid w:val="0070701E"/>
    <w:rsid w:val="00710728"/>
    <w:rsid w:val="007207E5"/>
    <w:rsid w:val="00720B38"/>
    <w:rsid w:val="007228D3"/>
    <w:rsid w:val="0072632A"/>
    <w:rsid w:val="0073010F"/>
    <w:rsid w:val="007358E8"/>
    <w:rsid w:val="00736ECE"/>
    <w:rsid w:val="00737DC9"/>
    <w:rsid w:val="0074533B"/>
    <w:rsid w:val="00751746"/>
    <w:rsid w:val="007643BC"/>
    <w:rsid w:val="0076482B"/>
    <w:rsid w:val="00765F4B"/>
    <w:rsid w:val="007661F5"/>
    <w:rsid w:val="007741F9"/>
    <w:rsid w:val="00774DE3"/>
    <w:rsid w:val="00775F97"/>
    <w:rsid w:val="00780C68"/>
    <w:rsid w:val="00786D5E"/>
    <w:rsid w:val="007959FE"/>
    <w:rsid w:val="007A0CF1"/>
    <w:rsid w:val="007A18C1"/>
    <w:rsid w:val="007A7FA0"/>
    <w:rsid w:val="007B4319"/>
    <w:rsid w:val="007B6BA5"/>
    <w:rsid w:val="007B7140"/>
    <w:rsid w:val="007C1AFA"/>
    <w:rsid w:val="007C3390"/>
    <w:rsid w:val="007C42D8"/>
    <w:rsid w:val="007C4F4B"/>
    <w:rsid w:val="007D7362"/>
    <w:rsid w:val="007E48F3"/>
    <w:rsid w:val="007E6254"/>
    <w:rsid w:val="007F235D"/>
    <w:rsid w:val="007F2B38"/>
    <w:rsid w:val="007F5CE2"/>
    <w:rsid w:val="007F6611"/>
    <w:rsid w:val="00800D33"/>
    <w:rsid w:val="0080216F"/>
    <w:rsid w:val="00805FE3"/>
    <w:rsid w:val="0081067A"/>
    <w:rsid w:val="00810BAC"/>
    <w:rsid w:val="008175E9"/>
    <w:rsid w:val="00821DA8"/>
    <w:rsid w:val="008242D7"/>
    <w:rsid w:val="0082577B"/>
    <w:rsid w:val="0082692B"/>
    <w:rsid w:val="00830CCA"/>
    <w:rsid w:val="008535FF"/>
    <w:rsid w:val="00865A74"/>
    <w:rsid w:val="00866893"/>
    <w:rsid w:val="00866F02"/>
    <w:rsid w:val="00867D18"/>
    <w:rsid w:val="00871F9A"/>
    <w:rsid w:val="00871FD5"/>
    <w:rsid w:val="00877FC0"/>
    <w:rsid w:val="0088172E"/>
    <w:rsid w:val="00881EFA"/>
    <w:rsid w:val="008879CB"/>
    <w:rsid w:val="00891A4B"/>
    <w:rsid w:val="008950ED"/>
    <w:rsid w:val="008951C8"/>
    <w:rsid w:val="008974AA"/>
    <w:rsid w:val="008979B1"/>
    <w:rsid w:val="008A0100"/>
    <w:rsid w:val="008A105B"/>
    <w:rsid w:val="008A1CDC"/>
    <w:rsid w:val="008A310E"/>
    <w:rsid w:val="008A6635"/>
    <w:rsid w:val="008A6B25"/>
    <w:rsid w:val="008A6C4F"/>
    <w:rsid w:val="008A76C4"/>
    <w:rsid w:val="008B389E"/>
    <w:rsid w:val="008B5973"/>
    <w:rsid w:val="008B6E42"/>
    <w:rsid w:val="008C4835"/>
    <w:rsid w:val="008D045E"/>
    <w:rsid w:val="008D3F25"/>
    <w:rsid w:val="008D4D82"/>
    <w:rsid w:val="008E0E46"/>
    <w:rsid w:val="008E4DD5"/>
    <w:rsid w:val="008E7116"/>
    <w:rsid w:val="008F143B"/>
    <w:rsid w:val="008F3882"/>
    <w:rsid w:val="008F4499"/>
    <w:rsid w:val="008F4B7C"/>
    <w:rsid w:val="008F7AD9"/>
    <w:rsid w:val="00902812"/>
    <w:rsid w:val="00906A76"/>
    <w:rsid w:val="009109FD"/>
    <w:rsid w:val="00911006"/>
    <w:rsid w:val="00916A87"/>
    <w:rsid w:val="00920C93"/>
    <w:rsid w:val="00925D29"/>
    <w:rsid w:val="00925DB2"/>
    <w:rsid w:val="009268D2"/>
    <w:rsid w:val="00926E47"/>
    <w:rsid w:val="00933C6E"/>
    <w:rsid w:val="00933D68"/>
    <w:rsid w:val="009368B4"/>
    <w:rsid w:val="00941162"/>
    <w:rsid w:val="00946C28"/>
    <w:rsid w:val="00947162"/>
    <w:rsid w:val="00947777"/>
    <w:rsid w:val="00952E43"/>
    <w:rsid w:val="009603A5"/>
    <w:rsid w:val="009610D0"/>
    <w:rsid w:val="0096375C"/>
    <w:rsid w:val="009662E6"/>
    <w:rsid w:val="0096777C"/>
    <w:rsid w:val="0097095E"/>
    <w:rsid w:val="00970D73"/>
    <w:rsid w:val="00974C03"/>
    <w:rsid w:val="00977484"/>
    <w:rsid w:val="00980239"/>
    <w:rsid w:val="0098141B"/>
    <w:rsid w:val="009822AC"/>
    <w:rsid w:val="0098592B"/>
    <w:rsid w:val="00985FC4"/>
    <w:rsid w:val="00987197"/>
    <w:rsid w:val="00990766"/>
    <w:rsid w:val="00991261"/>
    <w:rsid w:val="00995F45"/>
    <w:rsid w:val="009964C4"/>
    <w:rsid w:val="009A2E32"/>
    <w:rsid w:val="009A7B81"/>
    <w:rsid w:val="009B1F85"/>
    <w:rsid w:val="009B480C"/>
    <w:rsid w:val="009B6F8B"/>
    <w:rsid w:val="009C22D9"/>
    <w:rsid w:val="009C245D"/>
    <w:rsid w:val="009C3B36"/>
    <w:rsid w:val="009D01C0"/>
    <w:rsid w:val="009D42E8"/>
    <w:rsid w:val="009D6A08"/>
    <w:rsid w:val="009D72CA"/>
    <w:rsid w:val="009E0A16"/>
    <w:rsid w:val="009E6CB7"/>
    <w:rsid w:val="009E7970"/>
    <w:rsid w:val="009F2EAC"/>
    <w:rsid w:val="009F57E3"/>
    <w:rsid w:val="00A0000E"/>
    <w:rsid w:val="00A05149"/>
    <w:rsid w:val="00A10F4F"/>
    <w:rsid w:val="00A11067"/>
    <w:rsid w:val="00A1704A"/>
    <w:rsid w:val="00A33F67"/>
    <w:rsid w:val="00A375EC"/>
    <w:rsid w:val="00A37B39"/>
    <w:rsid w:val="00A425EB"/>
    <w:rsid w:val="00A51820"/>
    <w:rsid w:val="00A63F2C"/>
    <w:rsid w:val="00A66932"/>
    <w:rsid w:val="00A66E77"/>
    <w:rsid w:val="00A715B6"/>
    <w:rsid w:val="00A72F22"/>
    <w:rsid w:val="00A733BC"/>
    <w:rsid w:val="00A748A6"/>
    <w:rsid w:val="00A76A69"/>
    <w:rsid w:val="00A879A4"/>
    <w:rsid w:val="00A9769E"/>
    <w:rsid w:val="00AA0FF8"/>
    <w:rsid w:val="00AA63BF"/>
    <w:rsid w:val="00AB134D"/>
    <w:rsid w:val="00AC0F2C"/>
    <w:rsid w:val="00AC502A"/>
    <w:rsid w:val="00AC7516"/>
    <w:rsid w:val="00AC75B7"/>
    <w:rsid w:val="00AC776A"/>
    <w:rsid w:val="00AD1E81"/>
    <w:rsid w:val="00AD22F6"/>
    <w:rsid w:val="00AD5224"/>
    <w:rsid w:val="00AD68E0"/>
    <w:rsid w:val="00AE3044"/>
    <w:rsid w:val="00AE67A8"/>
    <w:rsid w:val="00AF58C1"/>
    <w:rsid w:val="00AF5BD7"/>
    <w:rsid w:val="00B0152A"/>
    <w:rsid w:val="00B04A3F"/>
    <w:rsid w:val="00B06643"/>
    <w:rsid w:val="00B105AE"/>
    <w:rsid w:val="00B15055"/>
    <w:rsid w:val="00B20551"/>
    <w:rsid w:val="00B23A30"/>
    <w:rsid w:val="00B30179"/>
    <w:rsid w:val="00B33898"/>
    <w:rsid w:val="00B33FC7"/>
    <w:rsid w:val="00B37B15"/>
    <w:rsid w:val="00B423E4"/>
    <w:rsid w:val="00B45AC8"/>
    <w:rsid w:val="00B45C02"/>
    <w:rsid w:val="00B4683E"/>
    <w:rsid w:val="00B5117E"/>
    <w:rsid w:val="00B534FB"/>
    <w:rsid w:val="00B6009D"/>
    <w:rsid w:val="00B61CE5"/>
    <w:rsid w:val="00B62F65"/>
    <w:rsid w:val="00B70B63"/>
    <w:rsid w:val="00B72A1E"/>
    <w:rsid w:val="00B7404C"/>
    <w:rsid w:val="00B8105F"/>
    <w:rsid w:val="00B816F7"/>
    <w:rsid w:val="00B81E12"/>
    <w:rsid w:val="00B85F9D"/>
    <w:rsid w:val="00B95A09"/>
    <w:rsid w:val="00BA0C02"/>
    <w:rsid w:val="00BA339B"/>
    <w:rsid w:val="00BB6BEC"/>
    <w:rsid w:val="00BC1E7E"/>
    <w:rsid w:val="00BC3BE9"/>
    <w:rsid w:val="00BC74E9"/>
    <w:rsid w:val="00BD00BA"/>
    <w:rsid w:val="00BD2307"/>
    <w:rsid w:val="00BD7E9A"/>
    <w:rsid w:val="00BE1EA4"/>
    <w:rsid w:val="00BE36A9"/>
    <w:rsid w:val="00BE618E"/>
    <w:rsid w:val="00BE7BEC"/>
    <w:rsid w:val="00BF071A"/>
    <w:rsid w:val="00BF0A5A"/>
    <w:rsid w:val="00BF0E63"/>
    <w:rsid w:val="00BF12A3"/>
    <w:rsid w:val="00BF13B9"/>
    <w:rsid w:val="00BF16D7"/>
    <w:rsid w:val="00BF2373"/>
    <w:rsid w:val="00BF3138"/>
    <w:rsid w:val="00C00532"/>
    <w:rsid w:val="00C01DBD"/>
    <w:rsid w:val="00C044E2"/>
    <w:rsid w:val="00C048CB"/>
    <w:rsid w:val="00C06575"/>
    <w:rsid w:val="00C066F3"/>
    <w:rsid w:val="00C120F2"/>
    <w:rsid w:val="00C14EA4"/>
    <w:rsid w:val="00C172C8"/>
    <w:rsid w:val="00C26233"/>
    <w:rsid w:val="00C31337"/>
    <w:rsid w:val="00C31681"/>
    <w:rsid w:val="00C3268B"/>
    <w:rsid w:val="00C35AD0"/>
    <w:rsid w:val="00C463DD"/>
    <w:rsid w:val="00C5379E"/>
    <w:rsid w:val="00C555B8"/>
    <w:rsid w:val="00C6124E"/>
    <w:rsid w:val="00C63E18"/>
    <w:rsid w:val="00C6530C"/>
    <w:rsid w:val="00C745C3"/>
    <w:rsid w:val="00C756A6"/>
    <w:rsid w:val="00C81E40"/>
    <w:rsid w:val="00C87E24"/>
    <w:rsid w:val="00C9404B"/>
    <w:rsid w:val="00C978F5"/>
    <w:rsid w:val="00CA24A4"/>
    <w:rsid w:val="00CB348D"/>
    <w:rsid w:val="00CB5006"/>
    <w:rsid w:val="00CB6555"/>
    <w:rsid w:val="00CB7004"/>
    <w:rsid w:val="00CC65C9"/>
    <w:rsid w:val="00CD009C"/>
    <w:rsid w:val="00CD090F"/>
    <w:rsid w:val="00CD0EC1"/>
    <w:rsid w:val="00CD13DD"/>
    <w:rsid w:val="00CD46F5"/>
    <w:rsid w:val="00CD479E"/>
    <w:rsid w:val="00CD5449"/>
    <w:rsid w:val="00CD60AC"/>
    <w:rsid w:val="00CE4A8F"/>
    <w:rsid w:val="00CE6712"/>
    <w:rsid w:val="00CF0011"/>
    <w:rsid w:val="00CF071D"/>
    <w:rsid w:val="00D0123D"/>
    <w:rsid w:val="00D017E6"/>
    <w:rsid w:val="00D02B0E"/>
    <w:rsid w:val="00D05049"/>
    <w:rsid w:val="00D15B04"/>
    <w:rsid w:val="00D2031B"/>
    <w:rsid w:val="00D20CE1"/>
    <w:rsid w:val="00D25FE2"/>
    <w:rsid w:val="00D31DE0"/>
    <w:rsid w:val="00D37DA9"/>
    <w:rsid w:val="00D406A7"/>
    <w:rsid w:val="00D43252"/>
    <w:rsid w:val="00D44D86"/>
    <w:rsid w:val="00D45DA0"/>
    <w:rsid w:val="00D50B7D"/>
    <w:rsid w:val="00D52012"/>
    <w:rsid w:val="00D55493"/>
    <w:rsid w:val="00D57D04"/>
    <w:rsid w:val="00D63F62"/>
    <w:rsid w:val="00D704E5"/>
    <w:rsid w:val="00D72727"/>
    <w:rsid w:val="00D72A24"/>
    <w:rsid w:val="00D7486F"/>
    <w:rsid w:val="00D77EE2"/>
    <w:rsid w:val="00D81C7A"/>
    <w:rsid w:val="00D922A3"/>
    <w:rsid w:val="00D978C6"/>
    <w:rsid w:val="00DA06BA"/>
    <w:rsid w:val="00DA0956"/>
    <w:rsid w:val="00DA3272"/>
    <w:rsid w:val="00DA357F"/>
    <w:rsid w:val="00DA3E12"/>
    <w:rsid w:val="00DA5336"/>
    <w:rsid w:val="00DA545A"/>
    <w:rsid w:val="00DA5948"/>
    <w:rsid w:val="00DB74FE"/>
    <w:rsid w:val="00DB7AA6"/>
    <w:rsid w:val="00DC18AD"/>
    <w:rsid w:val="00DD0BFF"/>
    <w:rsid w:val="00DD5550"/>
    <w:rsid w:val="00DE1BCC"/>
    <w:rsid w:val="00DF61DE"/>
    <w:rsid w:val="00DF7CAE"/>
    <w:rsid w:val="00E22D5B"/>
    <w:rsid w:val="00E23EB6"/>
    <w:rsid w:val="00E24586"/>
    <w:rsid w:val="00E277FB"/>
    <w:rsid w:val="00E339C7"/>
    <w:rsid w:val="00E37D87"/>
    <w:rsid w:val="00E41634"/>
    <w:rsid w:val="00E423C0"/>
    <w:rsid w:val="00E43FBE"/>
    <w:rsid w:val="00E4440C"/>
    <w:rsid w:val="00E501F4"/>
    <w:rsid w:val="00E61AF1"/>
    <w:rsid w:val="00E62DF9"/>
    <w:rsid w:val="00E636E2"/>
    <w:rsid w:val="00E637B3"/>
    <w:rsid w:val="00E6414C"/>
    <w:rsid w:val="00E66A41"/>
    <w:rsid w:val="00E71140"/>
    <w:rsid w:val="00E71611"/>
    <w:rsid w:val="00E7260F"/>
    <w:rsid w:val="00E72735"/>
    <w:rsid w:val="00E75AE1"/>
    <w:rsid w:val="00E778EF"/>
    <w:rsid w:val="00E84EE0"/>
    <w:rsid w:val="00E8702D"/>
    <w:rsid w:val="00E905F4"/>
    <w:rsid w:val="00E916A9"/>
    <w:rsid w:val="00E916DE"/>
    <w:rsid w:val="00E925AD"/>
    <w:rsid w:val="00E92C86"/>
    <w:rsid w:val="00E96630"/>
    <w:rsid w:val="00EA42C1"/>
    <w:rsid w:val="00EB2D94"/>
    <w:rsid w:val="00EC00FB"/>
    <w:rsid w:val="00EC2AD5"/>
    <w:rsid w:val="00ED18DC"/>
    <w:rsid w:val="00ED3468"/>
    <w:rsid w:val="00ED6201"/>
    <w:rsid w:val="00ED7A2A"/>
    <w:rsid w:val="00EE2E61"/>
    <w:rsid w:val="00EF1D7F"/>
    <w:rsid w:val="00EF4A03"/>
    <w:rsid w:val="00F0137E"/>
    <w:rsid w:val="00F03E94"/>
    <w:rsid w:val="00F1558F"/>
    <w:rsid w:val="00F21786"/>
    <w:rsid w:val="00F3378A"/>
    <w:rsid w:val="00F338D2"/>
    <w:rsid w:val="00F3742B"/>
    <w:rsid w:val="00F41FDB"/>
    <w:rsid w:val="00F44FCB"/>
    <w:rsid w:val="00F46874"/>
    <w:rsid w:val="00F46F43"/>
    <w:rsid w:val="00F54205"/>
    <w:rsid w:val="00F56D63"/>
    <w:rsid w:val="00F609A9"/>
    <w:rsid w:val="00F61407"/>
    <w:rsid w:val="00F62077"/>
    <w:rsid w:val="00F65C07"/>
    <w:rsid w:val="00F7267B"/>
    <w:rsid w:val="00F80621"/>
    <w:rsid w:val="00F80C99"/>
    <w:rsid w:val="00F850AC"/>
    <w:rsid w:val="00F867EC"/>
    <w:rsid w:val="00F91B2B"/>
    <w:rsid w:val="00F92E19"/>
    <w:rsid w:val="00F976DB"/>
    <w:rsid w:val="00FA2C33"/>
    <w:rsid w:val="00FA63F6"/>
    <w:rsid w:val="00FC0035"/>
    <w:rsid w:val="00FC03CD"/>
    <w:rsid w:val="00FC0646"/>
    <w:rsid w:val="00FC68B7"/>
    <w:rsid w:val="00FC6CA8"/>
    <w:rsid w:val="00FE4AFA"/>
    <w:rsid w:val="00FE6985"/>
    <w:rsid w:val="00FF09E2"/>
    <w:rsid w:val="00FF1A52"/>
    <w:rsid w:val="00FF2A1D"/>
    <w:rsid w:val="00FF3435"/>
    <w:rsid w:val="00FF36AC"/>
    <w:rsid w:val="00FF4A29"/>
    <w:rsid w:val="00FF6F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57C8"/>
  <w15:docId w15:val="{9DF510C6-0B7E-460F-A016-7A4E0C6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468"/>
    <w:pPr>
      <w:suppressAutoHyphens/>
      <w:spacing w:line="240" w:lineRule="atLeast"/>
    </w:pPr>
    <w:rPr>
      <w:lang w:eastAsia="fr-FR"/>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qFormat/>
    <w:rsid w:val="00E925AD"/>
    <w:rPr>
      <w:rFonts w:ascii="Times New Roman" w:hAnsi="Times New Roman"/>
      <w:sz w:val="18"/>
      <w:vertAlign w:val="superscript"/>
    </w:rPr>
  </w:style>
  <w:style w:type="character" w:styleId="FootnoteReference">
    <w:name w:val="footnote reference"/>
    <w:aliases w:val="4_G,Footnote Reference/,4_GR"/>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rsid w:val="00AB134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locked/>
    <w:rsid w:val="00D45DA0"/>
    <w:rPr>
      <w:lang w:val="en-GB"/>
    </w:rPr>
  </w:style>
  <w:style w:type="character" w:styleId="CommentReference">
    <w:name w:val="annotation reference"/>
    <w:semiHidden/>
    <w:unhideWhenUsed/>
    <w:rsid w:val="00AD68E0"/>
    <w:rPr>
      <w:sz w:val="16"/>
      <w:szCs w:val="16"/>
    </w:rPr>
  </w:style>
  <w:style w:type="paragraph" w:styleId="CommentText">
    <w:name w:val="annotation text"/>
    <w:basedOn w:val="Normal"/>
    <w:link w:val="CommentTextChar"/>
    <w:semiHidden/>
    <w:unhideWhenUsed/>
    <w:rsid w:val="00AD68E0"/>
    <w:pPr>
      <w:spacing w:line="240" w:lineRule="auto"/>
    </w:pPr>
  </w:style>
  <w:style w:type="character" w:customStyle="1" w:styleId="CommentTextChar">
    <w:name w:val="Comment Text Char"/>
    <w:link w:val="CommentText"/>
    <w:semiHidden/>
    <w:rsid w:val="00AD68E0"/>
    <w:rPr>
      <w:lang w:val="en-GB"/>
    </w:rPr>
  </w:style>
  <w:style w:type="paragraph" w:styleId="CommentSubject">
    <w:name w:val="annotation subject"/>
    <w:basedOn w:val="CommentText"/>
    <w:next w:val="CommentText"/>
    <w:link w:val="CommentSubjectChar"/>
    <w:semiHidden/>
    <w:unhideWhenUsed/>
    <w:rsid w:val="00AD68E0"/>
    <w:rPr>
      <w:b/>
      <w:bCs/>
    </w:rPr>
  </w:style>
  <w:style w:type="character" w:customStyle="1" w:styleId="CommentSubjectChar">
    <w:name w:val="Comment Subject Char"/>
    <w:link w:val="CommentSubject"/>
    <w:semiHidden/>
    <w:rsid w:val="00AD68E0"/>
    <w:rPr>
      <w:b/>
      <w:bCs/>
      <w:lang w:val="en-GB"/>
    </w:rPr>
  </w:style>
  <w:style w:type="paragraph" w:styleId="ListParagraph">
    <w:name w:val="List Paragraph"/>
    <w:basedOn w:val="Normal"/>
    <w:uiPriority w:val="34"/>
    <w:qFormat/>
    <w:rsid w:val="00E24586"/>
    <w:pPr>
      <w:suppressAutoHyphens w:val="0"/>
      <w:spacing w:after="160" w:line="259" w:lineRule="auto"/>
      <w:ind w:left="720"/>
      <w:contextualSpacing/>
    </w:pPr>
    <w:rPr>
      <w:rFonts w:ascii="Calibri" w:eastAsia="Calibri" w:hAnsi="Calibri" w:cs="Arial"/>
      <w:sz w:val="22"/>
      <w:szCs w:val="22"/>
      <w:lang w:val="nl-NL" w:eastAsia="en-US"/>
    </w:rPr>
  </w:style>
  <w:style w:type="character" w:customStyle="1" w:styleId="HChGChar">
    <w:name w:val="_ H _Ch_G Char"/>
    <w:link w:val="HChG"/>
    <w:rsid w:val="007661F5"/>
    <w:rPr>
      <w:b/>
      <w:sz w:val="28"/>
      <w:lang w:val="en-GB"/>
    </w:rPr>
  </w:style>
  <w:style w:type="character" w:customStyle="1" w:styleId="H1GChar">
    <w:name w:val="_ H_1_G Char"/>
    <w:link w:val="H1G"/>
    <w:rsid w:val="000B3813"/>
    <w:rPr>
      <w:b/>
      <w:sz w:val="24"/>
      <w:lang w:eastAsia="fr-FR"/>
    </w:rPr>
  </w:style>
  <w:style w:type="character" w:customStyle="1" w:styleId="FootnoteTextChar">
    <w:name w:val="Footnote Text Char"/>
    <w:aliases w:val="5_G Char"/>
    <w:link w:val="FootnoteText"/>
    <w:rsid w:val="0063344C"/>
    <w:rPr>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3-09/ECE_TRANS_WP.15_AC.2_86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Props1.xml><?xml version="1.0" encoding="utf-8"?>
<ds:datastoreItem xmlns:ds="http://schemas.openxmlformats.org/officeDocument/2006/customXml" ds:itemID="{C63EF4F8-90BC-4013-80C3-91323735FC74}"/>
</file>

<file path=customXml/itemProps2.xml><?xml version="1.0" encoding="utf-8"?>
<ds:datastoreItem xmlns:ds="http://schemas.openxmlformats.org/officeDocument/2006/customXml" ds:itemID="{F964A546-7717-4229-A12A-9B96A6B307ED}">
  <ds:schemaRefs>
    <ds:schemaRef ds:uri="http://schemas.openxmlformats.org/officeDocument/2006/bibliography"/>
  </ds:schemaRefs>
</ds:datastoreItem>
</file>

<file path=customXml/itemProps3.xml><?xml version="1.0" encoding="utf-8"?>
<ds:datastoreItem xmlns:ds="http://schemas.openxmlformats.org/officeDocument/2006/customXml" ds:itemID="{BD40BC76-6A38-4B93-ACF4-3C294CDC5F30}">
  <ds:schemaRefs>
    <ds:schemaRef ds:uri="http://schemas.microsoft.com/sharepoint/v3/contenttype/forms"/>
  </ds:schemaRefs>
</ds:datastoreItem>
</file>

<file path=customXml/itemProps4.xml><?xml version="1.0" encoding="utf-8"?>
<ds:datastoreItem xmlns:ds="http://schemas.openxmlformats.org/officeDocument/2006/customXml" ds:itemID="{9A95FA13-7F5E-47CB-9673-7B081CC0ADFC}">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1361</Words>
  <Characters>7758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ECE/TRANS/WP.15/AC.2/2023/8</vt:lpstr>
      <vt:lpstr>United Nations</vt:lpstr>
    </vt:vector>
  </TitlesOfParts>
  <Company>CSD</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ECE/TRANS/WP.15/AC.2/2023/8</dc:title>
  <dc:subject>2225507</dc:subject>
  <dc:creator>ND</dc:creator>
  <cp:keywords/>
  <dc:description/>
  <cp:lastModifiedBy>Secretariat</cp:lastModifiedBy>
  <cp:revision>35</cp:revision>
  <cp:lastPrinted>2023-01-25T20:50:00Z</cp:lastPrinted>
  <dcterms:created xsi:type="dcterms:W3CDTF">2024-01-22T16:54:00Z</dcterms:created>
  <dcterms:modified xsi:type="dcterms:W3CDTF">2024-01-22T17:24:00Z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SharedWithUsers">
    <vt:lpwstr>46;#Alibech Mireles Diaz</vt:lpwstr>
  </property>
</Properties>
</file>