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498" w:type="dxa"/>
        <w:tblLayout w:type="fixed"/>
        <w:tblCellMar>
          <w:left w:w="0" w:type="dxa"/>
          <w:right w:w="0" w:type="dxa"/>
        </w:tblCellMar>
        <w:tblLook w:val="01E0" w:firstRow="1" w:lastRow="1" w:firstColumn="1" w:lastColumn="1" w:noHBand="0" w:noVBand="0"/>
      </w:tblPr>
      <w:tblGrid>
        <w:gridCol w:w="2268"/>
        <w:gridCol w:w="5529"/>
        <w:gridCol w:w="1701"/>
      </w:tblGrid>
      <w:tr w:rsidR="00157609" w14:paraId="63312D02" w14:textId="77777777" w:rsidTr="00DA5948">
        <w:trPr>
          <w:cantSplit/>
          <w:trHeight w:hRule="exact" w:val="851"/>
        </w:trPr>
        <w:tc>
          <w:tcPr>
            <w:tcW w:w="2268" w:type="dxa"/>
            <w:tcBorders>
              <w:bottom w:val="single" w:sz="4" w:space="0" w:color="auto"/>
            </w:tcBorders>
            <w:vAlign w:val="bottom"/>
          </w:tcPr>
          <w:p w14:paraId="6F3E9B0E" w14:textId="77777777" w:rsidR="00157609" w:rsidRPr="00B97172" w:rsidRDefault="00157609" w:rsidP="00B20551">
            <w:pPr>
              <w:spacing w:after="80" w:line="300" w:lineRule="exact"/>
              <w:rPr>
                <w:b/>
                <w:sz w:val="24"/>
                <w:szCs w:val="24"/>
              </w:rPr>
            </w:pPr>
          </w:p>
        </w:tc>
        <w:tc>
          <w:tcPr>
            <w:tcW w:w="7230" w:type="dxa"/>
            <w:gridSpan w:val="2"/>
            <w:tcBorders>
              <w:bottom w:val="single" w:sz="4" w:space="0" w:color="auto"/>
            </w:tcBorders>
            <w:vAlign w:val="bottom"/>
          </w:tcPr>
          <w:p w14:paraId="4FCF6A63" w14:textId="4B462CE4" w:rsidR="00157609" w:rsidRPr="00170046" w:rsidRDefault="00157609" w:rsidP="00C31681">
            <w:pPr>
              <w:jc w:val="right"/>
              <w:rPr>
                <w:b/>
                <w:bCs/>
                <w:lang w:val="en-US"/>
              </w:rPr>
            </w:pPr>
            <w:r w:rsidRPr="00DA5948">
              <w:rPr>
                <w:b/>
                <w:bCs/>
                <w:sz w:val="40"/>
              </w:rPr>
              <w:t>INF.</w:t>
            </w:r>
            <w:r w:rsidR="00F12CEC">
              <w:rPr>
                <w:b/>
                <w:bCs/>
                <w:sz w:val="40"/>
              </w:rPr>
              <w:t>17</w:t>
            </w:r>
          </w:p>
        </w:tc>
      </w:tr>
      <w:tr w:rsidR="00157609" w14:paraId="24ABEA35" w14:textId="77777777" w:rsidTr="00EF3D6A">
        <w:trPr>
          <w:cantSplit/>
          <w:trHeight w:hRule="exact" w:val="3693"/>
        </w:trPr>
        <w:tc>
          <w:tcPr>
            <w:tcW w:w="7797" w:type="dxa"/>
            <w:gridSpan w:val="2"/>
            <w:tcBorders>
              <w:top w:val="single" w:sz="4" w:space="0" w:color="auto"/>
              <w:bottom w:val="single" w:sz="12" w:space="0" w:color="auto"/>
            </w:tcBorders>
          </w:tcPr>
          <w:p w14:paraId="709885C8" w14:textId="77777777" w:rsidR="00157609" w:rsidRDefault="00157609" w:rsidP="00B20551">
            <w:pPr>
              <w:spacing w:before="120" w:line="420" w:lineRule="exact"/>
              <w:rPr>
                <w:b/>
                <w:sz w:val="40"/>
                <w:szCs w:val="40"/>
              </w:rPr>
            </w:pPr>
            <w:r>
              <w:rPr>
                <w:b/>
                <w:sz w:val="40"/>
                <w:szCs w:val="40"/>
              </w:rPr>
              <w:t>Economic and Social Council</w:t>
            </w:r>
          </w:p>
          <w:p w14:paraId="2651449E" w14:textId="77777777" w:rsidR="00157609" w:rsidRDefault="00157609" w:rsidP="00157609">
            <w:pPr>
              <w:spacing w:before="120"/>
              <w:rPr>
                <w:sz w:val="28"/>
                <w:szCs w:val="28"/>
              </w:rPr>
            </w:pPr>
            <w:r w:rsidRPr="006852FE">
              <w:rPr>
                <w:sz w:val="28"/>
                <w:szCs w:val="28"/>
              </w:rPr>
              <w:t>Inland Transport Committee</w:t>
            </w:r>
          </w:p>
          <w:p w14:paraId="16C217B9" w14:textId="77777777" w:rsidR="00157609" w:rsidRPr="006852FE" w:rsidRDefault="00157609" w:rsidP="00157609">
            <w:pPr>
              <w:spacing w:before="120"/>
              <w:rPr>
                <w:sz w:val="28"/>
                <w:szCs w:val="28"/>
              </w:rPr>
            </w:pPr>
            <w:r>
              <w:rPr>
                <w:b/>
                <w:sz w:val="24"/>
                <w:szCs w:val="24"/>
              </w:rPr>
              <w:t>Working Party on the Transport of Dangerous Goods</w:t>
            </w:r>
          </w:p>
          <w:p w14:paraId="2F14E222" w14:textId="77777777" w:rsidR="00157609" w:rsidRPr="006852FE" w:rsidRDefault="00157609" w:rsidP="00157609">
            <w:pPr>
              <w:spacing w:before="120" w:after="120"/>
              <w:rPr>
                <w:b/>
              </w:rPr>
            </w:pPr>
            <w:r w:rsidRPr="006852FE">
              <w:rPr>
                <w:b/>
              </w:rPr>
              <w:t xml:space="preserve">Joint Meeting of Experts on the Regulations annexed to the </w:t>
            </w:r>
            <w:r w:rsidRPr="006852FE">
              <w:rPr>
                <w:b/>
              </w:rPr>
              <w:br/>
              <w:t xml:space="preserve">European Agreement concerning the International Carriage </w:t>
            </w:r>
            <w:r w:rsidRPr="006852FE">
              <w:rPr>
                <w:b/>
              </w:rPr>
              <w:br/>
              <w:t>of Dangerous Goods by Inland Waterways (ADN)</w:t>
            </w:r>
            <w:r w:rsidRPr="006852FE">
              <w:rPr>
                <w:b/>
              </w:rPr>
              <w:br/>
              <w:t>(ADN Safety Committee)</w:t>
            </w:r>
          </w:p>
          <w:p w14:paraId="1D1A5D82" w14:textId="1E5174ED" w:rsidR="007228D3" w:rsidRPr="003134DF" w:rsidRDefault="007228D3" w:rsidP="007228D3">
            <w:pPr>
              <w:spacing w:before="120"/>
              <w:rPr>
                <w:b/>
              </w:rPr>
            </w:pPr>
            <w:r>
              <w:rPr>
                <w:b/>
              </w:rPr>
              <w:t>Forty-</w:t>
            </w:r>
            <w:r w:rsidR="00877FC0">
              <w:rPr>
                <w:b/>
              </w:rPr>
              <w:t>thir</w:t>
            </w:r>
            <w:r>
              <w:rPr>
                <w:b/>
              </w:rPr>
              <w:t xml:space="preserve">d </w:t>
            </w:r>
            <w:r w:rsidRPr="003134DF">
              <w:rPr>
                <w:b/>
              </w:rPr>
              <w:t>session</w:t>
            </w:r>
          </w:p>
          <w:p w14:paraId="1781F4EF" w14:textId="5E2C5FAA" w:rsidR="007228D3" w:rsidRDefault="007228D3" w:rsidP="007228D3">
            <w:r w:rsidRPr="003134DF">
              <w:t xml:space="preserve">Geneva, </w:t>
            </w:r>
            <w:r>
              <w:t>2</w:t>
            </w:r>
            <w:r w:rsidR="00877FC0">
              <w:t>2</w:t>
            </w:r>
            <w:r>
              <w:t>-2</w:t>
            </w:r>
            <w:r w:rsidR="00877FC0">
              <w:t>6</w:t>
            </w:r>
            <w:r>
              <w:t xml:space="preserve"> </w:t>
            </w:r>
            <w:r w:rsidR="00877FC0">
              <w:t>January</w:t>
            </w:r>
            <w:r>
              <w:t xml:space="preserve"> 202</w:t>
            </w:r>
            <w:r w:rsidR="00877FC0">
              <w:t>4</w:t>
            </w:r>
          </w:p>
          <w:p w14:paraId="6F9E2AD8" w14:textId="3E4838B1" w:rsidR="007228D3" w:rsidRPr="003134DF" w:rsidRDefault="007228D3" w:rsidP="007228D3">
            <w:r>
              <w:t xml:space="preserve">Item </w:t>
            </w:r>
            <w:r w:rsidR="008A4325">
              <w:t>6</w:t>
            </w:r>
            <w:r>
              <w:t xml:space="preserve"> </w:t>
            </w:r>
            <w:r w:rsidRPr="003134DF">
              <w:t>of the provisional agenda</w:t>
            </w:r>
          </w:p>
          <w:p w14:paraId="74901A9C" w14:textId="5FCF570F" w:rsidR="007228D3" w:rsidRPr="00EF3D6A" w:rsidRDefault="00EF3D6A" w:rsidP="007228D3">
            <w:pPr>
              <w:rPr>
                <w:b/>
                <w:bCs/>
              </w:rPr>
            </w:pPr>
            <w:r w:rsidRPr="00EF3D6A">
              <w:rPr>
                <w:b/>
                <w:bCs/>
              </w:rPr>
              <w:t>Reports of informal working groups</w:t>
            </w:r>
          </w:p>
          <w:p w14:paraId="333197FE" w14:textId="5BCE86E8" w:rsidR="00E277FB" w:rsidRPr="008A105B" w:rsidRDefault="00E277FB" w:rsidP="00570C67">
            <w:pPr>
              <w:rPr>
                <w:b/>
                <w:bCs/>
                <w:sz w:val="40"/>
                <w:szCs w:val="40"/>
              </w:rPr>
            </w:pPr>
          </w:p>
        </w:tc>
        <w:tc>
          <w:tcPr>
            <w:tcW w:w="1701" w:type="dxa"/>
            <w:tcBorders>
              <w:top w:val="single" w:sz="4" w:space="0" w:color="auto"/>
              <w:bottom w:val="single" w:sz="12" w:space="0" w:color="auto"/>
            </w:tcBorders>
          </w:tcPr>
          <w:p w14:paraId="10A0AEDD" w14:textId="77777777" w:rsidR="00DB74FE" w:rsidRDefault="00DB74FE" w:rsidP="00C31681">
            <w:pPr>
              <w:spacing w:line="240" w:lineRule="exact"/>
            </w:pPr>
          </w:p>
          <w:p w14:paraId="7F61019D" w14:textId="77777777" w:rsidR="00DB74FE" w:rsidRDefault="00DB74FE" w:rsidP="00C31681">
            <w:pPr>
              <w:spacing w:line="240" w:lineRule="exact"/>
            </w:pPr>
          </w:p>
          <w:p w14:paraId="4787E01E" w14:textId="77777777" w:rsidR="00DB74FE" w:rsidRDefault="00DB74FE" w:rsidP="00C31681">
            <w:pPr>
              <w:spacing w:line="240" w:lineRule="exact"/>
            </w:pPr>
          </w:p>
          <w:p w14:paraId="42ADB0F2" w14:textId="2BB8BAC6" w:rsidR="00157609" w:rsidRDefault="00F12CEC" w:rsidP="00C31681">
            <w:pPr>
              <w:spacing w:line="240" w:lineRule="exact"/>
            </w:pPr>
            <w:r>
              <w:t>15</w:t>
            </w:r>
            <w:r w:rsidR="00157609">
              <w:t xml:space="preserve"> </w:t>
            </w:r>
            <w:r>
              <w:t>January</w:t>
            </w:r>
            <w:r w:rsidR="00157609">
              <w:t xml:space="preserve"> 202</w:t>
            </w:r>
            <w:r>
              <w:t>4</w:t>
            </w:r>
          </w:p>
          <w:p w14:paraId="1C6A09C9" w14:textId="77777777" w:rsidR="00157609" w:rsidRDefault="00157609" w:rsidP="00C31681">
            <w:pPr>
              <w:spacing w:line="240" w:lineRule="exact"/>
            </w:pPr>
          </w:p>
          <w:p w14:paraId="2B061DA4" w14:textId="77777777" w:rsidR="00157609" w:rsidRDefault="00157609" w:rsidP="00C31681">
            <w:pPr>
              <w:spacing w:line="240" w:lineRule="exact"/>
            </w:pPr>
            <w:r>
              <w:t>Original: English</w:t>
            </w:r>
          </w:p>
        </w:tc>
      </w:tr>
    </w:tbl>
    <w:p w14:paraId="666150E7" w14:textId="77777777" w:rsidR="00DF0F31" w:rsidRDefault="00DF0F31" w:rsidP="00022248">
      <w:pPr>
        <w:pStyle w:val="HChG"/>
      </w:pPr>
      <w:r>
        <w:tab/>
      </w:r>
      <w:r>
        <w:tab/>
        <w:t>Correspondence group on fumigated cargo</w:t>
      </w:r>
    </w:p>
    <w:p w14:paraId="735E7A11" w14:textId="77777777" w:rsidR="00DF0F31" w:rsidRDefault="00DF0F31" w:rsidP="00022248">
      <w:pPr>
        <w:pStyle w:val="HChG"/>
      </w:pPr>
      <w:r>
        <w:tab/>
      </w:r>
      <w:r>
        <w:tab/>
        <w:t>Report on a face-to-face meeting</w:t>
      </w:r>
    </w:p>
    <w:p w14:paraId="4BC4533A" w14:textId="5577FDE6" w:rsidR="00DF0F31" w:rsidRDefault="00DF0F31" w:rsidP="009C0A15">
      <w:pPr>
        <w:pStyle w:val="H1G"/>
      </w:pPr>
      <w:r>
        <w:tab/>
      </w:r>
      <w:r>
        <w:tab/>
        <w:t>Submitted by the Government of Germany on behalf of the Chair of the correspondence group</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37"/>
      </w:tblGrid>
      <w:tr w:rsidR="009C0A15" w14:paraId="719EC1B3" w14:textId="77777777" w:rsidTr="009C0A15">
        <w:trPr>
          <w:jc w:val="center"/>
        </w:trPr>
        <w:tc>
          <w:tcPr>
            <w:tcW w:w="9637" w:type="dxa"/>
            <w:shd w:val="clear" w:color="auto" w:fill="auto"/>
          </w:tcPr>
          <w:p w14:paraId="52ED3889" w14:textId="6DDD4186" w:rsidR="009C0A15" w:rsidRPr="00266E76" w:rsidRDefault="00266E76" w:rsidP="008F7C57">
            <w:pPr>
              <w:keepNext/>
              <w:keepLines/>
              <w:tabs>
                <w:tab w:val="right" w:pos="851"/>
              </w:tabs>
              <w:spacing w:before="240" w:after="120"/>
              <w:ind w:left="284" w:right="1134"/>
              <w:rPr>
                <w:bCs/>
                <w:i/>
                <w:sz w:val="24"/>
              </w:rPr>
            </w:pPr>
            <w:r>
              <w:rPr>
                <w:bCs/>
                <w:i/>
                <w:sz w:val="24"/>
              </w:rPr>
              <w:tab/>
            </w:r>
            <w:r w:rsidRPr="00266E76">
              <w:rPr>
                <w:bCs/>
                <w:i/>
                <w:sz w:val="24"/>
              </w:rPr>
              <w:t>Summary</w:t>
            </w:r>
          </w:p>
        </w:tc>
      </w:tr>
      <w:tr w:rsidR="009C0A15" w14:paraId="479520B3" w14:textId="77777777" w:rsidTr="008F7C57">
        <w:trPr>
          <w:trHeight w:val="966"/>
          <w:jc w:val="center"/>
        </w:trPr>
        <w:tc>
          <w:tcPr>
            <w:tcW w:w="9637" w:type="dxa"/>
            <w:shd w:val="clear" w:color="auto" w:fill="auto"/>
          </w:tcPr>
          <w:p w14:paraId="26852B45" w14:textId="3BCBDC34" w:rsidR="00391241" w:rsidRPr="008B236A" w:rsidRDefault="00391241" w:rsidP="00391241">
            <w:pPr>
              <w:ind w:left="1134"/>
            </w:pPr>
            <w:r w:rsidRPr="00C44408">
              <w:t>Related documents:</w:t>
            </w:r>
            <w:r>
              <w:rPr>
                <w:sz w:val="22"/>
                <w:szCs w:val="22"/>
              </w:rPr>
              <w:tab/>
            </w:r>
            <w:r w:rsidR="007F3546">
              <w:rPr>
                <w:sz w:val="22"/>
                <w:szCs w:val="22"/>
              </w:rPr>
              <w:tab/>
            </w:r>
            <w:r>
              <w:t>ECE/TRANS/WP.15/AC.2/2023/39</w:t>
            </w:r>
          </w:p>
          <w:p w14:paraId="5DD9CF01" w14:textId="7FE897FC" w:rsidR="00391241" w:rsidRPr="008B236A" w:rsidRDefault="00C0409A" w:rsidP="00C0409A">
            <w:pPr>
              <w:ind w:left="3402" w:hanging="2268"/>
            </w:pPr>
            <w:r>
              <w:tab/>
            </w:r>
            <w:r>
              <w:tab/>
            </w:r>
            <w:r w:rsidR="00391241">
              <w:t>CCNR-ZKR/ADN/WP.15/AC.2/2023/39</w:t>
            </w:r>
          </w:p>
          <w:p w14:paraId="7279D960" w14:textId="2D13A10D" w:rsidR="009C0A15" w:rsidRPr="00391241" w:rsidRDefault="00391241" w:rsidP="00C0409A">
            <w:pPr>
              <w:ind w:left="3402"/>
              <w:rPr>
                <w:b/>
                <w:sz w:val="22"/>
                <w:szCs w:val="22"/>
              </w:rPr>
            </w:pPr>
            <w:r>
              <w:t>ECE/TRANS/WP.15/AC.2/86, para. 73</w:t>
            </w:r>
          </w:p>
        </w:tc>
      </w:tr>
    </w:tbl>
    <w:p w14:paraId="37AA57D7" w14:textId="26740265" w:rsidR="00DF0F31" w:rsidRPr="005D0E91" w:rsidRDefault="00DF0F31" w:rsidP="00684391">
      <w:pPr>
        <w:pStyle w:val="HChG"/>
        <w:rPr>
          <w:bCs/>
          <w:szCs w:val="28"/>
        </w:rPr>
      </w:pPr>
      <w:r>
        <w:tab/>
      </w:r>
      <w:r>
        <w:tab/>
      </w:r>
      <w:r w:rsidRPr="00684391">
        <w:t>Introduction</w:t>
      </w:r>
    </w:p>
    <w:p w14:paraId="07BF97BE" w14:textId="4EE1052D" w:rsidR="00DF0F31" w:rsidRPr="009C4D00" w:rsidRDefault="00DF0F31" w:rsidP="00684391">
      <w:pPr>
        <w:pStyle w:val="SingleTxtG"/>
      </w:pPr>
      <w:r>
        <w:t>1.</w:t>
      </w:r>
      <w:r>
        <w:tab/>
        <w:t xml:space="preserve">Based on the mandate given by the ADN Safety Committee at its </w:t>
      </w:r>
      <w:r w:rsidR="0008675E">
        <w:t>forty-second</w:t>
      </w:r>
      <w:r>
        <w:t xml:space="preserve"> session, the group continued its work, also taking into account the comments made at that session.</w:t>
      </w:r>
    </w:p>
    <w:p w14:paraId="44AB4083" w14:textId="77777777" w:rsidR="00DF0F31" w:rsidRPr="009C4D00" w:rsidRDefault="00DF0F31" w:rsidP="00684391">
      <w:pPr>
        <w:pStyle w:val="SingleTxtG"/>
      </w:pPr>
      <w:r>
        <w:t>2.</w:t>
      </w:r>
      <w:r>
        <w:tab/>
        <w:t>The group initially corresponded by email, based on proposals for amendments that had been considered immediately after the session of the ADN Safety Committee in informal discussions between the delegates present and supplemented by additional written comments from some delegates.</w:t>
      </w:r>
    </w:p>
    <w:p w14:paraId="69711E63" w14:textId="30289D87" w:rsidR="00DF0F31" w:rsidRDefault="00DF0F31" w:rsidP="00684391">
      <w:pPr>
        <w:pStyle w:val="SingleTxtG"/>
      </w:pPr>
      <w:r>
        <w:t>3.</w:t>
      </w:r>
      <w:r>
        <w:tab/>
        <w:t>The outcome of these consultations was discussed at a face-to-face meeting of the working group held at the Federal Ministry for Digital and Transport in Bonn, Germany, on 5 and 6 December</w:t>
      </w:r>
      <w:r w:rsidR="00350BE3">
        <w:t xml:space="preserve"> 2023</w:t>
      </w:r>
      <w:r>
        <w:t xml:space="preserve">. Individual participants joined the meeting by video. The meeting was attended by delegates from Belgium, Germany, the Netherlands, EBU/ESU and GAFTA/UNISTOCK/COCERAL. </w:t>
      </w:r>
    </w:p>
    <w:p w14:paraId="312426CC" w14:textId="710F27F4" w:rsidR="00DF0F31" w:rsidRPr="00B1785E" w:rsidRDefault="00684391" w:rsidP="00684391">
      <w:pPr>
        <w:pStyle w:val="HChG"/>
      </w:pPr>
      <w:r>
        <w:tab/>
      </w:r>
      <w:r w:rsidR="00DF0F31" w:rsidRPr="00B1785E">
        <w:t>I.</w:t>
      </w:r>
      <w:r w:rsidR="00DF0F31" w:rsidRPr="00B1785E">
        <w:tab/>
        <w:t>Preliminary deliberations</w:t>
      </w:r>
    </w:p>
    <w:p w14:paraId="0ACA76A5" w14:textId="77777777" w:rsidR="00DF0F31" w:rsidRPr="000B1A1E" w:rsidRDefault="00DF0F31" w:rsidP="00684391">
      <w:pPr>
        <w:pStyle w:val="SingleTxtG"/>
      </w:pPr>
      <w:r>
        <w:t>4.</w:t>
      </w:r>
      <w:r>
        <w:tab/>
        <w:t>The Chair began the meeting by summarizing the work of the working group to date and recalled the incidents known so far involving inland navigation vessels carrying grain products in a fumigated state. Another incident occurred at the end of November during transhipment of a freight train to two inland navigation vessels in a German Rhine port.</w:t>
      </w:r>
    </w:p>
    <w:p w14:paraId="00546C6E" w14:textId="77777777" w:rsidR="00DF0F31" w:rsidRDefault="00DF0F31" w:rsidP="00684391">
      <w:pPr>
        <w:pStyle w:val="SingleTxtG"/>
      </w:pPr>
      <w:r>
        <w:t>5.</w:t>
      </w:r>
      <w:r>
        <w:tab/>
        <w:t>Experts from the relevant agricultural sector provided the working group with some additional information on the handling and carriage of grain.</w:t>
      </w:r>
    </w:p>
    <w:p w14:paraId="71D38F16" w14:textId="77777777" w:rsidR="00DF0F31" w:rsidRDefault="00DF0F31" w:rsidP="00A45D89">
      <w:pPr>
        <w:pStyle w:val="SingleTxtG"/>
      </w:pPr>
      <w:r>
        <w:lastRenderedPageBreak/>
        <w:t>6.</w:t>
      </w:r>
      <w:r>
        <w:tab/>
        <w:t>Based on this information, the working group came to the conclusion that</w:t>
      </w:r>
    </w:p>
    <w:p w14:paraId="189219F8" w14:textId="2FA40708" w:rsidR="00DF0F31" w:rsidRDefault="006906F4" w:rsidP="00A45D89">
      <w:pPr>
        <w:pStyle w:val="SingleTxtG"/>
      </w:pPr>
      <w:r>
        <w:tab/>
        <w:t>(a)</w:t>
      </w:r>
      <w:r w:rsidR="00DF0F31">
        <w:tab/>
        <w:t>the following scenarios should be considered in more detail:</w:t>
      </w:r>
    </w:p>
    <w:p w14:paraId="34BC543C" w14:textId="30D9727D" w:rsidR="00DF0F31" w:rsidRPr="005162BB" w:rsidRDefault="001C5E3B" w:rsidP="005227B1">
      <w:pPr>
        <w:pStyle w:val="SingleTxtG"/>
        <w:ind w:left="1701" w:firstLine="567"/>
      </w:pPr>
      <w:r>
        <w:t>(</w:t>
      </w:r>
      <w:r w:rsidR="00DF0F31">
        <w:t>i)</w:t>
      </w:r>
      <w:r>
        <w:tab/>
      </w:r>
      <w:r w:rsidR="00DF0F31">
        <w:t>loading or unloading of a vessel at a shore-side silo</w:t>
      </w:r>
      <w:r w:rsidR="001849EC">
        <w:t>;</w:t>
      </w:r>
    </w:p>
    <w:p w14:paraId="37F84349" w14:textId="210A0159" w:rsidR="00DF0F31" w:rsidRPr="005F116E" w:rsidRDefault="001C5E3B" w:rsidP="00C363DD">
      <w:pPr>
        <w:pStyle w:val="SingleTxtG"/>
        <w:ind w:left="1701" w:firstLine="567"/>
      </w:pPr>
      <w:r>
        <w:t>(</w:t>
      </w:r>
      <w:r w:rsidR="00DF0F31">
        <w:t>ii)</w:t>
      </w:r>
      <w:r>
        <w:tab/>
      </w:r>
      <w:r w:rsidR="00DF0F31">
        <w:t>loading of an inland navigation vessel directly from a seagoing vessel</w:t>
      </w:r>
      <w:r w:rsidR="001849EC">
        <w:t>;</w:t>
      </w:r>
    </w:p>
    <w:p w14:paraId="4A3A17EB" w14:textId="3986A110" w:rsidR="00DF0F31" w:rsidRPr="005922DF" w:rsidRDefault="001849EC" w:rsidP="00C363DD">
      <w:pPr>
        <w:pStyle w:val="SingleTxtG"/>
        <w:ind w:left="2835" w:hanging="567"/>
      </w:pPr>
      <w:r>
        <w:t>(</w:t>
      </w:r>
      <w:r w:rsidR="00DF0F31" w:rsidRPr="005922DF">
        <w:t>ii</w:t>
      </w:r>
      <w:r w:rsidR="00DF52E6">
        <w:t>i</w:t>
      </w:r>
      <w:r w:rsidR="00DF0F31" w:rsidRPr="005922DF">
        <w:t>)</w:t>
      </w:r>
      <w:r>
        <w:tab/>
      </w:r>
      <w:r w:rsidR="00DF0F31" w:rsidRPr="005922DF">
        <w:t>loading of an inland navigation vessel from a floating storage unit that was loaded from a seagoing vessel</w:t>
      </w:r>
      <w:r w:rsidR="00232C65">
        <w:t>;</w:t>
      </w:r>
    </w:p>
    <w:p w14:paraId="31B46864" w14:textId="4A91040B" w:rsidR="00DF0F31" w:rsidRPr="005F116E" w:rsidRDefault="00232C65" w:rsidP="00C363DD">
      <w:pPr>
        <w:pStyle w:val="SingleTxtG"/>
        <w:ind w:left="2835" w:hanging="567"/>
      </w:pPr>
      <w:r>
        <w:t>(</w:t>
      </w:r>
      <w:r w:rsidR="00DF0F31" w:rsidRPr="005922DF">
        <w:t>iv)</w:t>
      </w:r>
      <w:r>
        <w:tab/>
      </w:r>
      <w:r w:rsidR="00DF0F31" w:rsidRPr="005922DF">
        <w:t>transhipment from one inland navigation vessel to another inland navigation vessel</w:t>
      </w:r>
      <w:r>
        <w:t>;</w:t>
      </w:r>
    </w:p>
    <w:p w14:paraId="71158BE2" w14:textId="2E831556" w:rsidR="00DF0F31" w:rsidRPr="00A811D3" w:rsidRDefault="00232C65" w:rsidP="00C363DD">
      <w:pPr>
        <w:pStyle w:val="SingleTxtG"/>
        <w:ind w:left="1701" w:firstLine="567"/>
      </w:pPr>
      <w:r>
        <w:t>(</w:t>
      </w:r>
      <w:r w:rsidR="00DF0F31">
        <w:t>v)</w:t>
      </w:r>
      <w:r>
        <w:tab/>
      </w:r>
      <w:r w:rsidR="00DF0F31">
        <w:t>loading of an inland navigation vessel from a freight train</w:t>
      </w:r>
      <w:r>
        <w:t>;</w:t>
      </w:r>
    </w:p>
    <w:p w14:paraId="62A448D9" w14:textId="15BD7BFD" w:rsidR="00DF0F31" w:rsidRPr="00A811D3" w:rsidRDefault="00232C65" w:rsidP="00C363DD">
      <w:pPr>
        <w:pStyle w:val="SingleTxtG"/>
        <w:ind w:left="1701" w:firstLine="567"/>
      </w:pPr>
      <w:r>
        <w:t>(</w:t>
      </w:r>
      <w:r w:rsidR="00DF0F31">
        <w:t>vi)</w:t>
      </w:r>
      <w:r>
        <w:tab/>
      </w:r>
      <w:r w:rsidR="00DF0F31">
        <w:t>unloading of an inland navigation vessel to a road vehicle</w:t>
      </w:r>
      <w:r w:rsidR="00092D3C">
        <w:t>;</w:t>
      </w:r>
    </w:p>
    <w:p w14:paraId="2BE538B5" w14:textId="3BABD4C4" w:rsidR="00DF0F31" w:rsidRPr="00A811D3" w:rsidRDefault="00DF0F31" w:rsidP="005227B1">
      <w:pPr>
        <w:pStyle w:val="SingleTxtG"/>
        <w:ind w:left="2268"/>
      </w:pPr>
      <w:r>
        <w:t xml:space="preserve">Serious incidents have so far been reported in transhipment operations according to </w:t>
      </w:r>
      <w:r w:rsidR="00092D3C">
        <w:t>(</w:t>
      </w:r>
      <w:r>
        <w:t xml:space="preserve">ii) and </w:t>
      </w:r>
      <w:r w:rsidR="00092D3C">
        <w:t>(</w:t>
      </w:r>
      <w:r>
        <w:t>v) as well as prior to the unloading of an inland navigation vessel in a Danube port;</w:t>
      </w:r>
    </w:p>
    <w:p w14:paraId="5FE1D20C" w14:textId="45FE43B0" w:rsidR="00DF0F31" w:rsidRDefault="00092D3C" w:rsidP="00092D3C">
      <w:pPr>
        <w:pStyle w:val="SingleTxtG"/>
        <w:ind w:firstLine="567"/>
      </w:pPr>
      <w:r>
        <w:t>(</w:t>
      </w:r>
      <w:r w:rsidR="00DF0F31">
        <w:t>b</w:t>
      </w:r>
      <w:r>
        <w:t>)</w:t>
      </w:r>
      <w:r w:rsidR="00DF0F31">
        <w:tab/>
      </w:r>
      <w:r w:rsidR="00DF0F31" w:rsidRPr="005922DF">
        <w:t xml:space="preserve">it should be assumed that fumigants are used </w:t>
      </w:r>
      <w:r w:rsidR="00DF0F31">
        <w:t>at most stages of the supply chain for</w:t>
      </w:r>
      <w:r w:rsidR="00DF0F31" w:rsidRPr="005922DF">
        <w:t xml:space="preserve"> grain, whether for food production or feedstuffs,</w:t>
      </w:r>
      <w:r w:rsidR="00DF0F31">
        <w:t xml:space="preserve"> in order to deliver the goods to the consignee free of pest in accordance with the contract;</w:t>
      </w:r>
    </w:p>
    <w:p w14:paraId="4AE12082" w14:textId="126FB671" w:rsidR="00DF0F31" w:rsidRDefault="00092D3C" w:rsidP="00092D3C">
      <w:pPr>
        <w:pStyle w:val="SingleTxtG"/>
        <w:ind w:firstLine="567"/>
      </w:pPr>
      <w:r>
        <w:t>(</w:t>
      </w:r>
      <w:r w:rsidR="00DF0F31">
        <w:t>c</w:t>
      </w:r>
      <w:r>
        <w:t>)</w:t>
      </w:r>
      <w:r w:rsidR="00DF0F31">
        <w:tab/>
        <w:t xml:space="preserve">the described cases can be considered the </w:t>
      </w:r>
      <w:r w:rsidR="00442F38">
        <w:t>'</w:t>
      </w:r>
      <w:r w:rsidR="00DF0F31">
        <w:t>tip of the iceberg</w:t>
      </w:r>
      <w:r w:rsidR="00442F38">
        <w:t>'</w:t>
      </w:r>
      <w:r w:rsidR="00DF0F31">
        <w:t>;</w:t>
      </w:r>
    </w:p>
    <w:p w14:paraId="23554D43" w14:textId="590C7975" w:rsidR="00DF0F31" w:rsidRDefault="00092D3C" w:rsidP="00092D3C">
      <w:pPr>
        <w:pStyle w:val="SingleTxtG"/>
        <w:ind w:firstLine="567"/>
      </w:pPr>
      <w:r>
        <w:t>(</w:t>
      </w:r>
      <w:r w:rsidR="00DF0F31">
        <w:t>d</w:t>
      </w:r>
      <w:r w:rsidR="00EB0A8E">
        <w:t>)</w:t>
      </w:r>
      <w:r w:rsidR="00DF0F31">
        <w:tab/>
        <w:t>due to the improper application of fumigants and, in particular on the Danube, loaded vessels being berthed for a long time, it is often to be expected that a fumigant is still active during the voyage;</w:t>
      </w:r>
    </w:p>
    <w:p w14:paraId="7F7CE881" w14:textId="25080DD8" w:rsidR="00DF0F31" w:rsidRDefault="00EB0A8E" w:rsidP="00EB0A8E">
      <w:pPr>
        <w:pStyle w:val="SingleTxtG"/>
        <w:ind w:firstLine="567"/>
      </w:pPr>
      <w:r>
        <w:t>(</w:t>
      </w:r>
      <w:r w:rsidR="00DF0F31">
        <w:t>e</w:t>
      </w:r>
      <w:r>
        <w:t>)</w:t>
      </w:r>
      <w:r w:rsidR="00DF0F31">
        <w:tab/>
        <w:t>in comparison with carriage by rail or road, a basic difference in the risk situation consists in the fact that on inland navigation vessels several persons are in the immediate vicinity of a fumigated cargo for a longer period of time (24 hours a day) and that, unlike drivers of a train or a road vehicle, the crew of an inland navigation vessel is exposed to the spread of gas clouds during the voyage, as the cargo holds are located in front of the wheelhouse and the living quarters;</w:t>
      </w:r>
    </w:p>
    <w:p w14:paraId="2BA0DD18" w14:textId="501674BA" w:rsidR="00DF0F31" w:rsidRDefault="00EB0A8E" w:rsidP="00EB0A8E">
      <w:pPr>
        <w:pStyle w:val="SingleTxtG"/>
        <w:ind w:firstLine="567"/>
      </w:pPr>
      <w:r>
        <w:t>(f)</w:t>
      </w:r>
      <w:r w:rsidR="00DF0F31">
        <w:tab/>
        <w:t>there is currently no other international code that offers adequate protection of the vessel’s crew or provides for obligations to provide information on the fumigated state of a cargo.</w:t>
      </w:r>
    </w:p>
    <w:p w14:paraId="64E90AB6" w14:textId="77777777" w:rsidR="00DF0F31" w:rsidRDefault="00DF0F31" w:rsidP="00A45D89">
      <w:pPr>
        <w:pStyle w:val="SingleTxtG"/>
      </w:pPr>
      <w:r>
        <w:t>7.</w:t>
      </w:r>
      <w:r>
        <w:tab/>
        <w:t>Experts of the German delegation informed the group on reliable protocols and modes of operation in land-based silos, in particular initial inspections of the delivered grain or measures to protect the stored products without the use of fumigants with which it can be ensured that only cargo cleared by ways of a clearance measurement is loaded onto inland navigation vessels. However, it was also noted that these high-quality modes of operation cannot be expected as standard in all Contracting Parties to ADN, so that international regulations seem sensible in this context.</w:t>
      </w:r>
    </w:p>
    <w:p w14:paraId="2EF554EC" w14:textId="77777777" w:rsidR="00DF0F31" w:rsidRDefault="00DF0F31" w:rsidP="00A45D89">
      <w:pPr>
        <w:pStyle w:val="SingleTxtG"/>
      </w:pPr>
      <w:r>
        <w:t>8.</w:t>
      </w:r>
      <w:r>
        <w:tab/>
        <w:t>The German delegation also pointed out that in Germany many smaller agricultural trade businesses would be affected by new provisions.</w:t>
      </w:r>
    </w:p>
    <w:p w14:paraId="14C7A805" w14:textId="1BE84910" w:rsidR="00DF0F31" w:rsidRDefault="00A45D89" w:rsidP="00A45D89">
      <w:pPr>
        <w:pStyle w:val="HChG"/>
      </w:pPr>
      <w:r>
        <w:tab/>
      </w:r>
      <w:r w:rsidR="00DF0F31">
        <w:t>II.</w:t>
      </w:r>
      <w:r w:rsidR="00DF0F31">
        <w:tab/>
        <w:t xml:space="preserve">Discussion </w:t>
      </w:r>
      <w:r w:rsidR="00DF0F31" w:rsidRPr="00A45D89">
        <w:t>of</w:t>
      </w:r>
      <w:r w:rsidR="00DF0F31">
        <w:t xml:space="preserve"> proposed amendments for ADN 2027</w:t>
      </w:r>
    </w:p>
    <w:p w14:paraId="000564D5" w14:textId="77777777" w:rsidR="00DF0F31" w:rsidRDefault="00DF0F31" w:rsidP="00433B06">
      <w:pPr>
        <w:pStyle w:val="SingleTxtG"/>
      </w:pPr>
      <w:r>
        <w:t>9.</w:t>
      </w:r>
      <w:r>
        <w:tab/>
        <w:t>The group could not conceive of another possibility outside of ADN to achieve the desired protection of the vessel’s crew in an appropriate way. There was agreement that a new entry in Table A must be created, i.e. a new dangerous good has to be defined to allow for the formulation of conditions of carriage in the Regulations annexed to ADN. The allocation of responsibilities within the transport chain then has to be based on the existing distribution of roles among the parties involved in the carriage of dangerous goods.</w:t>
      </w:r>
    </w:p>
    <w:p w14:paraId="35C10367" w14:textId="29907913" w:rsidR="00DF0F31" w:rsidRPr="00E44513" w:rsidRDefault="00DF0F31" w:rsidP="00E71598">
      <w:pPr>
        <w:pStyle w:val="SingleTxtG"/>
        <w:pageBreakBefore/>
      </w:pPr>
      <w:r>
        <w:lastRenderedPageBreak/>
        <w:t>10.</w:t>
      </w:r>
      <w:r>
        <w:tab/>
        <w:t>The working group discussed the following proposed amendments in detail</w:t>
      </w:r>
      <w:r w:rsidR="003A5FAA">
        <w:t>:</w:t>
      </w:r>
    </w:p>
    <w:p w14:paraId="1906A95D" w14:textId="3C2BE182" w:rsidR="00DF0F31" w:rsidRPr="003A5FAA" w:rsidRDefault="00DF0F31" w:rsidP="00433B06">
      <w:pPr>
        <w:pStyle w:val="SingleTxtG"/>
        <w:rPr>
          <w:b/>
          <w:bCs/>
        </w:rPr>
      </w:pPr>
      <w:r>
        <w:tab/>
      </w:r>
      <w:r w:rsidRPr="003A5FAA">
        <w:rPr>
          <w:b/>
          <w:bCs/>
        </w:rPr>
        <w:t>(a)</w:t>
      </w:r>
      <w:r w:rsidRPr="003A5FAA">
        <w:rPr>
          <w:b/>
          <w:bCs/>
        </w:rPr>
        <w:tab/>
        <w:t>Section 1.2.1 – Definitions</w:t>
      </w:r>
    </w:p>
    <w:p w14:paraId="14767028" w14:textId="77777777" w:rsidR="00DF0F31" w:rsidRPr="005D0E91" w:rsidRDefault="00DF0F31" w:rsidP="006E5ED0">
      <w:pPr>
        <w:pStyle w:val="SingleTxtG"/>
        <w:rPr>
          <w:u w:val="single"/>
        </w:rPr>
      </w:pPr>
      <w:r>
        <w:rPr>
          <w:u w:val="single"/>
        </w:rPr>
        <w:t>Current proposal</w:t>
      </w:r>
    </w:p>
    <w:p w14:paraId="48705E38" w14:textId="77777777" w:rsidR="00DF0F31" w:rsidRPr="00AF55BE" w:rsidRDefault="00DF0F31" w:rsidP="00B050B4">
      <w:pPr>
        <w:pStyle w:val="Bullet1G"/>
        <w:rPr>
          <w:b/>
          <w:bCs/>
        </w:rPr>
      </w:pPr>
      <w:r>
        <w:t>In section 1.2.1, insert the following new definition:</w:t>
      </w:r>
    </w:p>
    <w:p w14:paraId="0F999C85" w14:textId="052F2A4A" w:rsidR="00DF0F31" w:rsidRPr="00D01E82" w:rsidRDefault="00E71598" w:rsidP="006E5ED0">
      <w:pPr>
        <w:pStyle w:val="SingleTxtG"/>
        <w:ind w:left="1701"/>
        <w:rPr>
          <w:sz w:val="16"/>
        </w:rPr>
      </w:pPr>
      <w:r>
        <w:t>"</w:t>
      </w:r>
      <w:r w:rsidR="00DF0F31">
        <w:rPr>
          <w:i/>
          <w:iCs/>
        </w:rPr>
        <w:t>Fumigated cargo</w:t>
      </w:r>
      <w:r w:rsidR="00DF0F31">
        <w:t xml:space="preserve"> means a cargo carried in bulk (such as grain, feed, wood) which prior to carriage on inland waterways was treated specifically by the application of biocidal products and/or plant protection products to control target insect pests in the product and its enclosure.</w:t>
      </w:r>
      <w:r>
        <w:t>"</w:t>
      </w:r>
    </w:p>
    <w:p w14:paraId="58576611" w14:textId="77777777" w:rsidR="00DF0F31" w:rsidRPr="00007D4E" w:rsidRDefault="00DF0F31" w:rsidP="00433B06">
      <w:pPr>
        <w:pStyle w:val="SingleTxtG"/>
        <w:rPr>
          <w:iCs/>
          <w:u w:val="single"/>
        </w:rPr>
      </w:pPr>
      <w:r>
        <w:rPr>
          <w:u w:val="single"/>
        </w:rPr>
        <w:t>Considerations</w:t>
      </w:r>
    </w:p>
    <w:p w14:paraId="35A27008" w14:textId="2D39CF19" w:rsidR="00DF0F31" w:rsidRPr="003F72EA" w:rsidRDefault="00DF0F31" w:rsidP="005F2C18">
      <w:pPr>
        <w:pStyle w:val="Bullet1G"/>
      </w:pPr>
      <w:r>
        <w:t xml:space="preserve">The addition of </w:t>
      </w:r>
      <w:r w:rsidR="00007A9E">
        <w:t>"</w:t>
      </w:r>
      <w:r>
        <w:t>non-dangerous goods cargo</w:t>
      </w:r>
      <w:r w:rsidR="00007A9E">
        <w:t>"</w:t>
      </w:r>
      <w:r>
        <w:t xml:space="preserve"> was confirmed to clarify that fumigated goods that are classified as dangerous goods themselves are fully subject to the provisions of ADN.</w:t>
      </w:r>
    </w:p>
    <w:p w14:paraId="33B0B2C8" w14:textId="77777777" w:rsidR="00DF0F31" w:rsidRPr="003F72EA" w:rsidRDefault="00DF0F31" w:rsidP="005F2C18">
      <w:pPr>
        <w:pStyle w:val="Bullet1G"/>
      </w:pPr>
      <w:r>
        <w:t>It cannot be reliably stated that fumigated goods are completely free of fumigant residues after a defined period of time. In particular changing weather conditions (temperature, humidity) can have an impact on the activity of fumigant residues.</w:t>
      </w:r>
    </w:p>
    <w:p w14:paraId="1CC76E43" w14:textId="77777777" w:rsidR="00DF0F31" w:rsidRDefault="00DF0F31" w:rsidP="005F2C18">
      <w:pPr>
        <w:pStyle w:val="Bullet1G"/>
      </w:pPr>
      <w:r w:rsidRPr="00120A4D">
        <w:t>The term "and/or plant protection products" should be deleted. It was pointed out that all products are summarised under the umbrella term "biocides".</w:t>
      </w:r>
      <w:r>
        <w:t xml:space="preserve"> </w:t>
      </w:r>
      <w:r w:rsidRPr="00CE531E">
        <w:t>(</w:t>
      </w:r>
      <w:proofErr w:type="spellStart"/>
      <w:r>
        <w:t>f.e</w:t>
      </w:r>
      <w:proofErr w:type="spellEnd"/>
      <w:r w:rsidRPr="00CE531E">
        <w:t>. MSC.1/Circ.1264 - RECOMMENDATIONS ON THE SAFE USE OF PESTICIDES IN SHIPS APPLICABLE TO THE FUMIGATION OF CARGO HOLDS)</w:t>
      </w:r>
    </w:p>
    <w:p w14:paraId="29DDBE62" w14:textId="0EA66A5F" w:rsidR="00DF0F31" w:rsidRPr="003F72EA" w:rsidRDefault="00DF0F31" w:rsidP="005F2C18">
      <w:pPr>
        <w:pStyle w:val="Bullet1G"/>
      </w:pPr>
      <w:r>
        <w:t xml:space="preserve">The GAFTA representative offered to submit a definition of </w:t>
      </w:r>
      <w:r w:rsidR="005F2C18">
        <w:t>"</w:t>
      </w:r>
      <w:r>
        <w:t>fumigant</w:t>
      </w:r>
      <w:r w:rsidR="005F2C18">
        <w:t>"</w:t>
      </w:r>
      <w:r>
        <w:t xml:space="preserve"> common in the agricultural sector.</w:t>
      </w:r>
    </w:p>
    <w:p w14:paraId="5D5F5B8E" w14:textId="77777777" w:rsidR="00DF0F31" w:rsidRPr="00232740" w:rsidRDefault="00DF0F31" w:rsidP="00433B06">
      <w:pPr>
        <w:pStyle w:val="SingleTxtG"/>
        <w:rPr>
          <w:iCs/>
          <w:u w:val="single"/>
        </w:rPr>
      </w:pPr>
      <w:r w:rsidRPr="00232740">
        <w:rPr>
          <w:u w:val="single"/>
        </w:rPr>
        <w:t>Revised proposal</w:t>
      </w:r>
    </w:p>
    <w:p w14:paraId="1909C34E" w14:textId="77777777" w:rsidR="00DF0F31" w:rsidRPr="005D0E91" w:rsidRDefault="00DF0F31" w:rsidP="00B050B4">
      <w:pPr>
        <w:pStyle w:val="Bullet1G"/>
        <w:rPr>
          <w:bCs/>
        </w:rPr>
      </w:pPr>
      <w:r>
        <w:t>In section 1.2.1, insert the following new definition:</w:t>
      </w:r>
    </w:p>
    <w:p w14:paraId="6CBFAAB5" w14:textId="68B63B86" w:rsidR="00DF0F31" w:rsidRPr="005D0E91" w:rsidRDefault="00DF0F31" w:rsidP="005F2C18">
      <w:pPr>
        <w:pStyle w:val="SingleTxtG"/>
        <w:ind w:left="1701"/>
      </w:pPr>
      <w:r>
        <w:t>"</w:t>
      </w:r>
      <w:r>
        <w:rPr>
          <w:i/>
        </w:rPr>
        <w:t>Fumigated cargo</w:t>
      </w:r>
      <w:r>
        <w:t xml:space="preserve"> means a non-dangerous goods cargo carried in bulk (such as grain, feed, wood) which prior to carriage on inland waterways was treated specifically by the application of fumigants to control target insect pests in the product and its enclosure. [A fumigant is ….]</w:t>
      </w:r>
      <w:r w:rsidR="005F2C18">
        <w:t>"</w:t>
      </w:r>
      <w:r>
        <w:t>.</w:t>
      </w:r>
    </w:p>
    <w:p w14:paraId="21EDD8C3" w14:textId="52FF4462" w:rsidR="00DF0F31" w:rsidRPr="00307BAF" w:rsidRDefault="00E57200" w:rsidP="005F2C18">
      <w:pPr>
        <w:pStyle w:val="SingleTxtG"/>
        <w:ind w:firstLine="567"/>
        <w:rPr>
          <w:b/>
        </w:rPr>
      </w:pPr>
      <w:r>
        <w:rPr>
          <w:b/>
        </w:rPr>
        <w:t>(b)</w:t>
      </w:r>
      <w:r w:rsidR="005F2C18">
        <w:rPr>
          <w:b/>
        </w:rPr>
        <w:tab/>
      </w:r>
      <w:r w:rsidR="00DF0F31">
        <w:rPr>
          <w:b/>
        </w:rPr>
        <w:t>Section 3.2.1 –Table A</w:t>
      </w:r>
    </w:p>
    <w:p w14:paraId="18FC4D4C" w14:textId="77777777" w:rsidR="00DF0F31" w:rsidRPr="005D0E91" w:rsidRDefault="00DF0F31" w:rsidP="00433B06">
      <w:pPr>
        <w:pStyle w:val="SingleTxtG"/>
        <w:rPr>
          <w:u w:val="single"/>
        </w:rPr>
      </w:pPr>
      <w:r>
        <w:rPr>
          <w:u w:val="single"/>
        </w:rPr>
        <w:t>Current proposal</w:t>
      </w:r>
    </w:p>
    <w:p w14:paraId="5B8DD4C7" w14:textId="77777777" w:rsidR="00DF0F31" w:rsidRDefault="00DF0F31" w:rsidP="00B050B4">
      <w:pPr>
        <w:pStyle w:val="Bullet1G"/>
      </w:pPr>
      <w:r>
        <w:t>In Table A, insert a new entry after ID No. 9006 as included in the annex to this document.</w:t>
      </w:r>
    </w:p>
    <w:p w14:paraId="126180E1" w14:textId="77777777" w:rsidR="00DF0F31" w:rsidRPr="001228E7" w:rsidRDefault="00DF0F31" w:rsidP="00433B06">
      <w:pPr>
        <w:pStyle w:val="SingleTxtG"/>
        <w:rPr>
          <w:iCs/>
          <w:u w:val="single"/>
        </w:rPr>
      </w:pPr>
      <w:r>
        <w:rPr>
          <w:u w:val="single"/>
        </w:rPr>
        <w:t>Considerations</w:t>
      </w:r>
    </w:p>
    <w:p w14:paraId="4CCF8163" w14:textId="77777777" w:rsidR="00DF0F31" w:rsidRPr="00C74E7E" w:rsidRDefault="00DF0F31" w:rsidP="003E789F">
      <w:pPr>
        <w:pStyle w:val="Bullet1G"/>
      </w:pPr>
      <w:r>
        <w:t>The present proposal was examined and confirmed.</w:t>
      </w:r>
    </w:p>
    <w:p w14:paraId="529C72A4" w14:textId="77777777" w:rsidR="00DF0F31" w:rsidRPr="005D0E91" w:rsidRDefault="00DF0F31" w:rsidP="00433B06">
      <w:pPr>
        <w:pStyle w:val="SingleTxtG"/>
        <w:rPr>
          <w:iCs/>
          <w:u w:val="single"/>
        </w:rPr>
      </w:pPr>
      <w:r>
        <w:rPr>
          <w:u w:val="single"/>
        </w:rPr>
        <w:t>Revised proposal</w:t>
      </w:r>
    </w:p>
    <w:p w14:paraId="73C8942D" w14:textId="77777777" w:rsidR="00DF0F31" w:rsidRDefault="00DF0F31" w:rsidP="00B050B4">
      <w:pPr>
        <w:pStyle w:val="Bullet1G"/>
        <w:rPr>
          <w:iCs/>
        </w:rPr>
      </w:pPr>
      <w:r>
        <w:t>Unchanged.</w:t>
      </w:r>
    </w:p>
    <w:p w14:paraId="70E966AD" w14:textId="25EF3487" w:rsidR="00DF0F31" w:rsidRPr="00307BAF" w:rsidRDefault="008D4B04" w:rsidP="0033290D">
      <w:pPr>
        <w:pStyle w:val="SingleTxtG"/>
        <w:ind w:firstLine="567"/>
        <w:rPr>
          <w:b/>
        </w:rPr>
      </w:pPr>
      <w:r>
        <w:rPr>
          <w:b/>
        </w:rPr>
        <w:t>(c)</w:t>
      </w:r>
      <w:r w:rsidR="00F93D93">
        <w:rPr>
          <w:b/>
        </w:rPr>
        <w:tab/>
      </w:r>
      <w:r w:rsidR="00DF0F31">
        <w:rPr>
          <w:b/>
        </w:rPr>
        <w:t>Section 3.2.2 –Table B</w:t>
      </w:r>
    </w:p>
    <w:p w14:paraId="4C722733" w14:textId="77777777" w:rsidR="00DF0F31" w:rsidRPr="005D0E91" w:rsidRDefault="00DF0F31" w:rsidP="00CE120F">
      <w:pPr>
        <w:pStyle w:val="SingleTxtG"/>
        <w:rPr>
          <w:u w:val="single"/>
        </w:rPr>
      </w:pPr>
      <w:r>
        <w:rPr>
          <w:u w:val="single"/>
        </w:rPr>
        <w:t>Current proposal</w:t>
      </w:r>
    </w:p>
    <w:p w14:paraId="627863A3" w14:textId="77777777" w:rsidR="00DF0F31" w:rsidRPr="00351972" w:rsidRDefault="00DF0F31" w:rsidP="00DF0F31">
      <w:pPr>
        <w:tabs>
          <w:tab w:val="left" w:pos="1701"/>
        </w:tabs>
        <w:ind w:left="1701" w:right="566"/>
        <w:jc w:val="both"/>
      </w:pPr>
      <w:r>
        <w:t>In 3.2.2 – Table B, insert the following entry in alphabetical order:</w:t>
      </w:r>
    </w:p>
    <w:p w14:paraId="3F934BEA" w14:textId="77777777" w:rsidR="00DF0F31" w:rsidRDefault="00DF0F31" w:rsidP="00DF0F31">
      <w:pPr>
        <w:tabs>
          <w:tab w:val="left" w:pos="1701"/>
        </w:tabs>
        <w:ind w:left="1701" w:right="566"/>
        <w:jc w:val="both"/>
      </w:pPr>
    </w:p>
    <w:tbl>
      <w:tblPr>
        <w:tblW w:w="8188" w:type="dxa"/>
        <w:tblInd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93"/>
        <w:gridCol w:w="1984"/>
        <w:gridCol w:w="1276"/>
        <w:gridCol w:w="2835"/>
      </w:tblGrid>
      <w:tr w:rsidR="00DF0F31" w14:paraId="5AE45430" w14:textId="77777777">
        <w:tc>
          <w:tcPr>
            <w:tcW w:w="2093" w:type="dxa"/>
            <w:shd w:val="clear" w:color="auto" w:fill="auto"/>
          </w:tcPr>
          <w:p w14:paraId="10D438D6" w14:textId="77777777" w:rsidR="00DF0F31" w:rsidRDefault="00DF0F31">
            <w:pPr>
              <w:tabs>
                <w:tab w:val="left" w:pos="1701"/>
              </w:tabs>
              <w:ind w:left="111" w:right="566"/>
            </w:pPr>
            <w:r>
              <w:t>Name and description</w:t>
            </w:r>
          </w:p>
        </w:tc>
        <w:tc>
          <w:tcPr>
            <w:tcW w:w="1984" w:type="dxa"/>
            <w:shd w:val="clear" w:color="auto" w:fill="auto"/>
          </w:tcPr>
          <w:p w14:paraId="389521A4" w14:textId="77777777" w:rsidR="00DF0F31" w:rsidRDefault="00DF0F31">
            <w:pPr>
              <w:tabs>
                <w:tab w:val="left" w:pos="1701"/>
              </w:tabs>
              <w:ind w:left="139" w:right="566"/>
              <w:jc w:val="both"/>
            </w:pPr>
            <w:r>
              <w:t>ID No.</w:t>
            </w:r>
          </w:p>
          <w:p w14:paraId="4C385763" w14:textId="77777777" w:rsidR="00DF0F31" w:rsidRDefault="00DF0F31">
            <w:pPr>
              <w:tabs>
                <w:tab w:val="left" w:pos="1701"/>
              </w:tabs>
              <w:ind w:left="139" w:right="566"/>
              <w:jc w:val="both"/>
            </w:pPr>
            <w:r>
              <w:t>UN No.</w:t>
            </w:r>
          </w:p>
        </w:tc>
        <w:tc>
          <w:tcPr>
            <w:tcW w:w="1276" w:type="dxa"/>
            <w:shd w:val="clear" w:color="auto" w:fill="auto"/>
          </w:tcPr>
          <w:p w14:paraId="287D3D65" w14:textId="77777777" w:rsidR="00DF0F31" w:rsidRDefault="00DF0F31">
            <w:pPr>
              <w:tabs>
                <w:tab w:val="left" w:pos="1701"/>
              </w:tabs>
              <w:ind w:left="139" w:right="316"/>
              <w:jc w:val="both"/>
            </w:pPr>
            <w:r>
              <w:t>Class</w:t>
            </w:r>
          </w:p>
        </w:tc>
        <w:tc>
          <w:tcPr>
            <w:tcW w:w="2835" w:type="dxa"/>
            <w:shd w:val="clear" w:color="auto" w:fill="auto"/>
          </w:tcPr>
          <w:p w14:paraId="67A909A8" w14:textId="77777777" w:rsidR="00DF0F31" w:rsidRDefault="00DF0F31">
            <w:pPr>
              <w:tabs>
                <w:tab w:val="left" w:pos="1701"/>
              </w:tabs>
              <w:ind w:left="143" w:right="566"/>
              <w:jc w:val="both"/>
            </w:pPr>
            <w:r>
              <w:t>Remarks</w:t>
            </w:r>
          </w:p>
        </w:tc>
      </w:tr>
      <w:tr w:rsidR="00DF0F31" w14:paraId="3F56F912" w14:textId="77777777">
        <w:tc>
          <w:tcPr>
            <w:tcW w:w="2093" w:type="dxa"/>
            <w:shd w:val="clear" w:color="auto" w:fill="auto"/>
          </w:tcPr>
          <w:p w14:paraId="047E8D55" w14:textId="77777777" w:rsidR="00DF0F31" w:rsidRDefault="00DF0F31">
            <w:pPr>
              <w:tabs>
                <w:tab w:val="left" w:pos="1701"/>
              </w:tabs>
              <w:ind w:left="111" w:right="41"/>
            </w:pPr>
            <w:r>
              <w:t>FUMIGATED CARGO</w:t>
            </w:r>
          </w:p>
        </w:tc>
        <w:tc>
          <w:tcPr>
            <w:tcW w:w="1984" w:type="dxa"/>
            <w:shd w:val="clear" w:color="auto" w:fill="auto"/>
          </w:tcPr>
          <w:p w14:paraId="0600ABD5" w14:textId="77777777" w:rsidR="00DF0F31" w:rsidRDefault="00DF0F31">
            <w:pPr>
              <w:tabs>
                <w:tab w:val="left" w:pos="1701"/>
              </w:tabs>
              <w:ind w:left="139" w:right="566"/>
              <w:jc w:val="both"/>
            </w:pPr>
            <w:r>
              <w:t>9007</w:t>
            </w:r>
          </w:p>
        </w:tc>
        <w:tc>
          <w:tcPr>
            <w:tcW w:w="1276" w:type="dxa"/>
            <w:shd w:val="clear" w:color="auto" w:fill="auto"/>
          </w:tcPr>
          <w:p w14:paraId="62CCB576" w14:textId="77777777" w:rsidR="00DF0F31" w:rsidRDefault="00DF0F31">
            <w:pPr>
              <w:tabs>
                <w:tab w:val="left" w:pos="1701"/>
              </w:tabs>
              <w:ind w:left="139" w:right="566"/>
              <w:jc w:val="both"/>
            </w:pPr>
            <w:r>
              <w:t>9</w:t>
            </w:r>
          </w:p>
        </w:tc>
        <w:tc>
          <w:tcPr>
            <w:tcW w:w="2835" w:type="dxa"/>
            <w:shd w:val="clear" w:color="auto" w:fill="auto"/>
          </w:tcPr>
          <w:p w14:paraId="625A5AB7" w14:textId="77777777" w:rsidR="00DF0F31" w:rsidRDefault="00DF0F31">
            <w:pPr>
              <w:tabs>
                <w:tab w:val="left" w:pos="1701"/>
              </w:tabs>
              <w:ind w:left="143" w:right="566"/>
            </w:pPr>
            <w:r>
              <w:t>Only accepted for carriage in accordance with SP 804</w:t>
            </w:r>
          </w:p>
        </w:tc>
      </w:tr>
    </w:tbl>
    <w:p w14:paraId="5805EEAE" w14:textId="77777777" w:rsidR="00727CC1" w:rsidRPr="00160883" w:rsidRDefault="00727CC1" w:rsidP="00DF0F31">
      <w:pPr>
        <w:pStyle w:val="SingleTxtG"/>
        <w:spacing w:after="0" w:line="240" w:lineRule="auto"/>
        <w:rPr>
          <w:iCs/>
          <w:u w:val="single"/>
        </w:rPr>
      </w:pPr>
    </w:p>
    <w:p w14:paraId="74603229" w14:textId="77777777" w:rsidR="00DF0F31" w:rsidRPr="001228E7" w:rsidRDefault="00DF0F31" w:rsidP="00654823">
      <w:pPr>
        <w:pStyle w:val="SingleTxtG"/>
        <w:pageBreakBefore/>
        <w:rPr>
          <w:iCs/>
          <w:u w:val="single"/>
        </w:rPr>
      </w:pPr>
      <w:r>
        <w:rPr>
          <w:u w:val="single"/>
        </w:rPr>
        <w:lastRenderedPageBreak/>
        <w:t>Considerations</w:t>
      </w:r>
    </w:p>
    <w:p w14:paraId="79C6717B" w14:textId="77777777" w:rsidR="00DF0F31" w:rsidRPr="00C74E7E" w:rsidRDefault="00DF0F31" w:rsidP="00CE120F">
      <w:pPr>
        <w:pStyle w:val="Bullet1G"/>
      </w:pPr>
      <w:r>
        <w:t>The present proposal was examined and confirmed.</w:t>
      </w:r>
    </w:p>
    <w:p w14:paraId="0B0A3DBC" w14:textId="77777777" w:rsidR="00DF0F31" w:rsidRPr="005D0E91" w:rsidRDefault="00DF0F31" w:rsidP="00654823">
      <w:pPr>
        <w:pStyle w:val="SingleTxtG"/>
        <w:rPr>
          <w:iCs/>
          <w:u w:val="single"/>
        </w:rPr>
      </w:pPr>
      <w:r>
        <w:rPr>
          <w:u w:val="single"/>
        </w:rPr>
        <w:t>Revised proposal</w:t>
      </w:r>
    </w:p>
    <w:p w14:paraId="45339C7E" w14:textId="77777777" w:rsidR="00DF0F31" w:rsidRPr="00160883" w:rsidRDefault="00DF0F31" w:rsidP="00654823">
      <w:pPr>
        <w:pStyle w:val="Bullet1G"/>
      </w:pPr>
      <w:r>
        <w:t>Unchanged.</w:t>
      </w:r>
    </w:p>
    <w:p w14:paraId="488D3A09" w14:textId="64BED91C" w:rsidR="00DF0F31" w:rsidRPr="00307BAF" w:rsidRDefault="002E5D48" w:rsidP="00D93390">
      <w:pPr>
        <w:pStyle w:val="SingleTxtG"/>
        <w:ind w:firstLine="567"/>
        <w:rPr>
          <w:b/>
        </w:rPr>
      </w:pPr>
      <w:r>
        <w:rPr>
          <w:b/>
          <w:bCs/>
        </w:rPr>
        <w:t>(d)</w:t>
      </w:r>
      <w:r w:rsidR="009D2E14">
        <w:tab/>
      </w:r>
      <w:r w:rsidR="00DF0F31">
        <w:rPr>
          <w:b/>
        </w:rPr>
        <w:t>Sub-section 2.2.9.2 Class 9 – Substances and articles not accepted for carriage</w:t>
      </w:r>
    </w:p>
    <w:p w14:paraId="09D6A7FD" w14:textId="77777777" w:rsidR="00DF0F31" w:rsidRPr="005D0E91" w:rsidRDefault="00DF0F31" w:rsidP="002E5D48">
      <w:pPr>
        <w:pStyle w:val="SingleTxtG"/>
        <w:rPr>
          <w:u w:val="single"/>
        </w:rPr>
      </w:pPr>
      <w:r>
        <w:rPr>
          <w:u w:val="single"/>
        </w:rPr>
        <w:t>Current proposal</w:t>
      </w:r>
    </w:p>
    <w:p w14:paraId="4AFFD6E1" w14:textId="77777777" w:rsidR="00DF0F31" w:rsidRPr="000B531A" w:rsidRDefault="00DF0F31" w:rsidP="002E5D48">
      <w:pPr>
        <w:pStyle w:val="Bullet1G"/>
      </w:pPr>
      <w:r>
        <w:t>In 2.2.9.2, add the following indent:</w:t>
      </w:r>
    </w:p>
    <w:p w14:paraId="5276722E" w14:textId="49F46FF9" w:rsidR="00DF0F31" w:rsidRPr="00382CDD" w:rsidRDefault="002E5D48" w:rsidP="00DF0F31">
      <w:pPr>
        <w:tabs>
          <w:tab w:val="left" w:pos="-285"/>
          <w:tab w:val="left" w:pos="-2"/>
          <w:tab w:val="left" w:pos="1418"/>
          <w:tab w:val="left" w:pos="2552"/>
          <w:tab w:val="left" w:pos="3119"/>
          <w:tab w:val="left" w:pos="3686"/>
          <w:tab w:val="left" w:pos="4253"/>
          <w:tab w:val="left" w:pos="5101"/>
          <w:tab w:val="left" w:pos="5668"/>
          <w:tab w:val="left" w:pos="6321"/>
          <w:tab w:val="left" w:pos="6984"/>
          <w:tab w:val="left" w:pos="7729"/>
          <w:tab w:val="left" w:pos="8557"/>
          <w:tab w:val="left" w:pos="9302"/>
          <w:tab w:val="left" w:pos="10147"/>
          <w:tab w:val="left" w:pos="10771"/>
          <w:tab w:val="left" w:pos="11041"/>
        </w:tabs>
        <w:spacing w:line="40" w:lineRule="atLeast"/>
        <w:ind w:left="1985" w:hanging="284"/>
        <w:jc w:val="both"/>
        <w:rPr>
          <w:rFonts w:cs="Arial"/>
        </w:rPr>
      </w:pPr>
      <w:r>
        <w:t>"</w:t>
      </w:r>
      <w:r w:rsidR="00DF0F31">
        <w:t>-</w:t>
      </w:r>
      <w:r w:rsidR="00DF0F31">
        <w:tab/>
        <w:t>Fumigated cargo, as defined in 1.2.1, assigned to Identification No. 9007 which does not meet the conditions of special provision 804.</w:t>
      </w:r>
      <w:r>
        <w:t>"</w:t>
      </w:r>
    </w:p>
    <w:p w14:paraId="1D5E09E6" w14:textId="77777777" w:rsidR="00DF0F31" w:rsidRPr="001228E7" w:rsidRDefault="00DF0F31" w:rsidP="002E5D48">
      <w:pPr>
        <w:pStyle w:val="SingleTxtG"/>
        <w:rPr>
          <w:iCs/>
          <w:u w:val="single"/>
        </w:rPr>
      </w:pPr>
      <w:r>
        <w:rPr>
          <w:u w:val="single"/>
        </w:rPr>
        <w:t>Considerations</w:t>
      </w:r>
    </w:p>
    <w:p w14:paraId="30A1D6D6" w14:textId="77777777" w:rsidR="00DF0F31" w:rsidRPr="00C74E7E" w:rsidRDefault="00DF0F31" w:rsidP="002E5D48">
      <w:pPr>
        <w:pStyle w:val="Bullet1G"/>
      </w:pPr>
      <w:r>
        <w:t>The present proposal was examined and confirmed.</w:t>
      </w:r>
    </w:p>
    <w:p w14:paraId="7543BA64" w14:textId="77777777" w:rsidR="00DF0F31" w:rsidRPr="005D0E91" w:rsidRDefault="00DF0F31" w:rsidP="002E5D48">
      <w:pPr>
        <w:pStyle w:val="SingleTxtG"/>
        <w:rPr>
          <w:iCs/>
          <w:u w:val="single"/>
        </w:rPr>
      </w:pPr>
      <w:r>
        <w:rPr>
          <w:u w:val="single"/>
        </w:rPr>
        <w:t>Revised proposal</w:t>
      </w:r>
    </w:p>
    <w:p w14:paraId="716FA8F7" w14:textId="77777777" w:rsidR="00DF0F31" w:rsidRDefault="00DF0F31" w:rsidP="002E5D48">
      <w:pPr>
        <w:pStyle w:val="Bullet1G"/>
      </w:pPr>
      <w:r>
        <w:t>Unchanged.</w:t>
      </w:r>
    </w:p>
    <w:p w14:paraId="3E2D9C44" w14:textId="089BFE9C" w:rsidR="00DF0F31" w:rsidRPr="00307BAF" w:rsidRDefault="00196A05" w:rsidP="002E5D48">
      <w:pPr>
        <w:pStyle w:val="SingleTxtG"/>
        <w:ind w:firstLine="567"/>
        <w:rPr>
          <w:b/>
        </w:rPr>
      </w:pPr>
      <w:r>
        <w:rPr>
          <w:b/>
        </w:rPr>
        <w:t>(e)</w:t>
      </w:r>
      <w:r>
        <w:rPr>
          <w:b/>
        </w:rPr>
        <w:tab/>
      </w:r>
      <w:r w:rsidR="00DF0F31">
        <w:rPr>
          <w:b/>
        </w:rPr>
        <w:t>Chapter 3.3 – Special provisions applicable to certain articles or substances</w:t>
      </w:r>
    </w:p>
    <w:p w14:paraId="4142554C" w14:textId="77777777" w:rsidR="00DF0F31" w:rsidRPr="005D0E91" w:rsidRDefault="00DF0F31" w:rsidP="00196A05">
      <w:pPr>
        <w:pStyle w:val="SingleTxtG"/>
        <w:rPr>
          <w:u w:val="single"/>
        </w:rPr>
      </w:pPr>
      <w:r>
        <w:rPr>
          <w:u w:val="single"/>
        </w:rPr>
        <w:t>Current proposal</w:t>
      </w:r>
    </w:p>
    <w:p w14:paraId="2AB94B81" w14:textId="77777777" w:rsidR="00DF0F31" w:rsidRPr="004F0733" w:rsidRDefault="00DF0F31" w:rsidP="00196A05">
      <w:pPr>
        <w:pStyle w:val="Bullet1G"/>
        <w:rPr>
          <w:iCs/>
          <w:u w:val="single"/>
        </w:rPr>
      </w:pPr>
      <w:r>
        <w:t>In Chapter 3.3, add the following new special provision at the end:</w:t>
      </w:r>
    </w:p>
    <w:p w14:paraId="09596623" w14:textId="4A645E37" w:rsidR="00DF0F31" w:rsidRDefault="00CB722B" w:rsidP="00CB722B">
      <w:pPr>
        <w:pStyle w:val="SingleTxtG"/>
        <w:ind w:left="1701"/>
      </w:pPr>
      <w:r>
        <w:t>"</w:t>
      </w:r>
      <w:r w:rsidR="00DF0F31">
        <w:t>804</w:t>
      </w:r>
      <w:r w:rsidR="00DF0F31">
        <w:tab/>
        <w:t>FUMIGATED CARGO, as defined in 1.2.1, is not subject to other provisions of ADN than the following. The carriage of FUMIGATED CARGO is forbidden if the below mentioned provisions are not met.</w:t>
      </w:r>
      <w:r>
        <w:t>"</w:t>
      </w:r>
    </w:p>
    <w:p w14:paraId="0A54FCE0" w14:textId="77777777" w:rsidR="00DF0F31" w:rsidRPr="001228E7" w:rsidRDefault="00DF0F31" w:rsidP="00CB722B">
      <w:pPr>
        <w:pStyle w:val="SingleTxtG"/>
        <w:rPr>
          <w:iCs/>
          <w:u w:val="single"/>
        </w:rPr>
      </w:pPr>
      <w:r>
        <w:rPr>
          <w:u w:val="single"/>
        </w:rPr>
        <w:t>Considerations</w:t>
      </w:r>
    </w:p>
    <w:p w14:paraId="386F8625" w14:textId="77777777" w:rsidR="00DF0F31" w:rsidRDefault="00DF0F31" w:rsidP="00CB722B">
      <w:pPr>
        <w:pStyle w:val="Bullet1G"/>
      </w:pPr>
      <w:r>
        <w:t>The present proposal was examined and confirmed.</w:t>
      </w:r>
    </w:p>
    <w:p w14:paraId="2979FC81" w14:textId="4A428722" w:rsidR="00DF0F31" w:rsidRPr="009445DC" w:rsidRDefault="00DF0F31" w:rsidP="00CB722B">
      <w:pPr>
        <w:pStyle w:val="Bullet1G"/>
        <w:rPr>
          <w:iCs/>
        </w:rPr>
      </w:pPr>
      <w:r>
        <w:t xml:space="preserve">The group agreed that the assignment of a cargo to the entry of the new identification number 9007 must be the responsibility of the consignor within the meaning of the definition in 1.2.1 of ADN. In future, partners named differently in commercial law contracts would also have to be identified as </w:t>
      </w:r>
      <w:r w:rsidR="00A40594">
        <w:t>"</w:t>
      </w:r>
      <w:r>
        <w:t>consignors</w:t>
      </w:r>
      <w:r w:rsidR="00A40594">
        <w:t>"</w:t>
      </w:r>
      <w:r>
        <w:t xml:space="preserve"> within the meaning of ADN.</w:t>
      </w:r>
    </w:p>
    <w:p w14:paraId="5E0419A4" w14:textId="77777777" w:rsidR="00DF0F31" w:rsidRPr="00232740" w:rsidRDefault="00DF0F31" w:rsidP="00A51229">
      <w:pPr>
        <w:pStyle w:val="SingleTxtG"/>
        <w:rPr>
          <w:iCs/>
          <w:u w:val="single"/>
        </w:rPr>
      </w:pPr>
      <w:r w:rsidRPr="00232740">
        <w:rPr>
          <w:u w:val="single"/>
        </w:rPr>
        <w:t>Revised proposal</w:t>
      </w:r>
    </w:p>
    <w:p w14:paraId="08C0444F" w14:textId="77777777" w:rsidR="00DF0F31" w:rsidRPr="00232740" w:rsidRDefault="00DF0F31" w:rsidP="00A51229">
      <w:pPr>
        <w:pStyle w:val="Bullet1G"/>
        <w:rPr>
          <w:iCs/>
        </w:rPr>
      </w:pPr>
      <w:r w:rsidRPr="00232740">
        <w:t>Unchanged.</w:t>
      </w:r>
    </w:p>
    <w:p w14:paraId="53093B1A" w14:textId="77777777" w:rsidR="00DF0F31" w:rsidRPr="00232740" w:rsidRDefault="00DF0F31" w:rsidP="00A51229">
      <w:pPr>
        <w:pStyle w:val="SingleTxtG"/>
        <w:rPr>
          <w:u w:val="single"/>
        </w:rPr>
      </w:pPr>
      <w:r w:rsidRPr="00232740">
        <w:rPr>
          <w:u w:val="single"/>
        </w:rPr>
        <w:t>Current proposal</w:t>
      </w:r>
    </w:p>
    <w:p w14:paraId="7649A1B0" w14:textId="77777777" w:rsidR="00DF0F31" w:rsidRPr="00312AD5" w:rsidRDefault="00DF0F31" w:rsidP="00B169BD">
      <w:pPr>
        <w:pStyle w:val="SingleTxtG"/>
        <w:ind w:left="1701" w:hanging="567"/>
      </w:pPr>
      <w:r w:rsidRPr="00312AD5">
        <w:t>(a)</w:t>
      </w:r>
      <w:r w:rsidRPr="00312AD5">
        <w:tab/>
        <w:t>The consignor according with 1.2.1 ADN must ensure that residues of [tablets or sachets], if used for fumigation, are removed from lots intended for loading and disposed of properly.</w:t>
      </w:r>
    </w:p>
    <w:p w14:paraId="2741AE62" w14:textId="77777777" w:rsidR="00DF0F31" w:rsidRPr="001228E7" w:rsidRDefault="00DF0F31" w:rsidP="00B169BD">
      <w:pPr>
        <w:pStyle w:val="SingleTxtG"/>
        <w:rPr>
          <w:iCs/>
          <w:u w:val="single"/>
        </w:rPr>
      </w:pPr>
      <w:r>
        <w:rPr>
          <w:u w:val="single"/>
        </w:rPr>
        <w:t>Considerations</w:t>
      </w:r>
    </w:p>
    <w:p w14:paraId="2B936534" w14:textId="77777777" w:rsidR="00DF0F31" w:rsidRPr="00725291" w:rsidRDefault="00DF0F31" w:rsidP="00A20C62">
      <w:pPr>
        <w:pStyle w:val="Bullet1G"/>
      </w:pPr>
      <w:r>
        <w:t>On the one hand, the group recognized that it might prove difficult to remove incompletely dissolved tablets and that the disposal of sachets as waste also posed a challenge.</w:t>
      </w:r>
    </w:p>
    <w:p w14:paraId="509E40C0" w14:textId="77777777" w:rsidR="00DF0F31" w:rsidRPr="00725291" w:rsidRDefault="00DF0F31" w:rsidP="00A20C62">
      <w:pPr>
        <w:pStyle w:val="Bullet1G"/>
      </w:pPr>
      <w:r>
        <w:t>On the other hand, the group considered the removal of residues to be the first essential measure to prevent incidents on an inland navigation vessel. The requirement of removing residues might preclude the use of certain forms of application where removal is not possible.</w:t>
      </w:r>
    </w:p>
    <w:p w14:paraId="6226DCD1" w14:textId="77777777" w:rsidR="00DF0F31" w:rsidRPr="00725291" w:rsidRDefault="00DF0F31" w:rsidP="00A20C62">
      <w:pPr>
        <w:pStyle w:val="Bullet1G"/>
      </w:pPr>
      <w:r>
        <w:t>An editorial amendment of the list of forms of applications was supported.</w:t>
      </w:r>
    </w:p>
    <w:p w14:paraId="07F21A51" w14:textId="77777777" w:rsidR="00DF0F31" w:rsidRPr="00725291" w:rsidRDefault="00DF0F31" w:rsidP="00A20C62">
      <w:pPr>
        <w:pStyle w:val="Bullet1G"/>
      </w:pPr>
      <w:r>
        <w:t xml:space="preserve">The group was of the opinion that the consignor did not necessarily have to fulfil this task with its own personnel but could commission a third party at the place </w:t>
      </w:r>
      <w:r>
        <w:lastRenderedPageBreak/>
        <w:t>where the vessel is loaded with this task, for example the filler. In this case, the provision in paragraph 1.4.2.1.3 of ADN is to be applicable.</w:t>
      </w:r>
    </w:p>
    <w:p w14:paraId="030AFA0D" w14:textId="77777777" w:rsidR="00DF0F31" w:rsidRPr="00232740" w:rsidRDefault="00DF0F31" w:rsidP="0038694F">
      <w:pPr>
        <w:pStyle w:val="SingleTxtG"/>
        <w:rPr>
          <w:iCs/>
          <w:u w:val="single"/>
        </w:rPr>
      </w:pPr>
      <w:r w:rsidRPr="00232740">
        <w:rPr>
          <w:u w:val="single"/>
        </w:rPr>
        <w:t>Revised proposal</w:t>
      </w:r>
    </w:p>
    <w:p w14:paraId="20690C22" w14:textId="3403E5E6" w:rsidR="00DF0F31" w:rsidRPr="005D0E91" w:rsidRDefault="00DF0F31" w:rsidP="00AF41D0">
      <w:pPr>
        <w:pStyle w:val="SingleTxtG"/>
        <w:ind w:left="1701" w:hanging="567"/>
      </w:pPr>
      <w:r>
        <w:t>(</w:t>
      </w:r>
      <w:r w:rsidR="00B01498">
        <w:t>i</w:t>
      </w:r>
      <w:r>
        <w:t>)</w:t>
      </w:r>
      <w:r>
        <w:tab/>
        <w:t xml:space="preserve">The consignor according with 1.2.1 ADN must ensure that all residues of </w:t>
      </w:r>
      <w:bookmarkStart w:id="0" w:name="_Hlk149556974"/>
      <w:r>
        <w:t xml:space="preserve">fumigants, i.e. tablets, sleeves or sachets, </w:t>
      </w:r>
      <w:bookmarkEnd w:id="0"/>
      <w:r>
        <w:t>if used, are removed from lots intended for loading into the vessel and disposed of properly.</w:t>
      </w:r>
    </w:p>
    <w:p w14:paraId="7903492B" w14:textId="77777777" w:rsidR="00DF0F31" w:rsidRPr="0019465D" w:rsidRDefault="00DF0F31" w:rsidP="00D378B6">
      <w:pPr>
        <w:pStyle w:val="SingleTxtG"/>
        <w:rPr>
          <w:u w:val="single"/>
        </w:rPr>
      </w:pPr>
      <w:r>
        <w:rPr>
          <w:u w:val="single"/>
        </w:rPr>
        <w:t>Current proposal</w:t>
      </w:r>
    </w:p>
    <w:p w14:paraId="394867BF" w14:textId="2DEFB504" w:rsidR="00DF0F31" w:rsidRDefault="00D378B6" w:rsidP="00D378B6">
      <w:pPr>
        <w:pStyle w:val="SingleTxtG"/>
        <w:ind w:left="1701" w:hanging="567"/>
      </w:pPr>
      <w:r>
        <w:t>(</w:t>
      </w:r>
      <w:r w:rsidR="00DF0F31" w:rsidRPr="008A680D">
        <w:t>b)</w:t>
      </w:r>
      <w:r w:rsidR="00DF0F31" w:rsidRPr="008A680D">
        <w:tab/>
        <w:t>Immediately [before] [after] filling the fumigated cargo into the cargo holds of the vessel, the remaining concentration of the following</w:t>
      </w:r>
      <w:r w:rsidR="00DF0F31">
        <w:t xml:space="preserve"> toxic gases and vapours resulting from fumigants [in the surrounding air] shall be below the following values:</w:t>
      </w:r>
    </w:p>
    <w:p w14:paraId="7D6251C3" w14:textId="77777777" w:rsidR="00DF0F31" w:rsidRPr="0019465D" w:rsidRDefault="00DF0F31" w:rsidP="00D378B6">
      <w:pPr>
        <w:pStyle w:val="SingleTxtG"/>
        <w:ind w:left="1701" w:hanging="567"/>
      </w:pPr>
    </w:p>
    <w:tbl>
      <w:tblPr>
        <w:tblW w:w="0" w:type="auto"/>
        <w:tblInd w:w="2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69"/>
        <w:gridCol w:w="3040"/>
      </w:tblGrid>
      <w:tr w:rsidR="00A553AB" w:rsidRPr="007A37A9" w14:paraId="2855080E" w14:textId="77777777" w:rsidTr="00D378B6">
        <w:tc>
          <w:tcPr>
            <w:tcW w:w="3469" w:type="dxa"/>
            <w:shd w:val="clear" w:color="auto" w:fill="auto"/>
          </w:tcPr>
          <w:p w14:paraId="694AE7DE" w14:textId="77777777" w:rsidR="00DF0F31" w:rsidRPr="007A37A9" w:rsidRDefault="00DF0F31">
            <w:pPr>
              <w:tabs>
                <w:tab w:val="left" w:pos="1418"/>
                <w:tab w:val="left" w:pos="2552"/>
              </w:tabs>
              <w:spacing w:before="20" w:after="40"/>
            </w:pPr>
            <w:r>
              <w:t>Phosphine</w:t>
            </w:r>
          </w:p>
        </w:tc>
        <w:tc>
          <w:tcPr>
            <w:tcW w:w="3040" w:type="dxa"/>
            <w:shd w:val="clear" w:color="auto" w:fill="auto"/>
          </w:tcPr>
          <w:p w14:paraId="79AE21D6" w14:textId="77777777" w:rsidR="00DF0F31" w:rsidRPr="007A37A9" w:rsidRDefault="00DF0F31">
            <w:pPr>
              <w:tabs>
                <w:tab w:val="left" w:pos="1418"/>
                <w:tab w:val="left" w:pos="2552"/>
              </w:tabs>
              <w:spacing w:before="20" w:after="40"/>
            </w:pPr>
            <w:r>
              <w:t>[0.1 ppm]</w:t>
            </w:r>
          </w:p>
        </w:tc>
      </w:tr>
      <w:tr w:rsidR="00A553AB" w:rsidRPr="007A37A9" w14:paraId="7BD32D8F" w14:textId="77777777" w:rsidTr="00D378B6">
        <w:tc>
          <w:tcPr>
            <w:tcW w:w="3469" w:type="dxa"/>
            <w:shd w:val="clear" w:color="auto" w:fill="auto"/>
          </w:tcPr>
          <w:p w14:paraId="6122B78F" w14:textId="77777777" w:rsidR="00DF0F31" w:rsidRPr="007A37A9" w:rsidRDefault="00DF0F31">
            <w:pPr>
              <w:tabs>
                <w:tab w:val="left" w:pos="1418"/>
                <w:tab w:val="left" w:pos="2552"/>
              </w:tabs>
              <w:spacing w:before="20" w:after="40"/>
            </w:pPr>
            <w:r>
              <w:t>Sulfuryl Fluoride</w:t>
            </w:r>
          </w:p>
        </w:tc>
        <w:tc>
          <w:tcPr>
            <w:tcW w:w="3040" w:type="dxa"/>
            <w:shd w:val="clear" w:color="auto" w:fill="auto"/>
          </w:tcPr>
          <w:p w14:paraId="0BE8C4D1" w14:textId="77777777" w:rsidR="00DF0F31" w:rsidRPr="007A37A9" w:rsidRDefault="00DF0F31">
            <w:pPr>
              <w:tabs>
                <w:tab w:val="left" w:pos="1418"/>
                <w:tab w:val="left" w:pos="2552"/>
              </w:tabs>
              <w:spacing w:before="20" w:after="40"/>
            </w:pPr>
            <w:r>
              <w:t>[10.0 mg/m³]</w:t>
            </w:r>
          </w:p>
        </w:tc>
      </w:tr>
      <w:tr w:rsidR="00A553AB" w:rsidRPr="007A37A9" w14:paraId="60F152A6" w14:textId="77777777" w:rsidTr="00D378B6">
        <w:tc>
          <w:tcPr>
            <w:tcW w:w="3469" w:type="dxa"/>
            <w:shd w:val="clear" w:color="auto" w:fill="auto"/>
          </w:tcPr>
          <w:p w14:paraId="6F87CA85" w14:textId="77777777" w:rsidR="00DF0F31" w:rsidRPr="007A37A9" w:rsidRDefault="00DF0F31">
            <w:pPr>
              <w:tabs>
                <w:tab w:val="left" w:pos="1418"/>
                <w:tab w:val="left" w:pos="2552"/>
              </w:tabs>
              <w:spacing w:before="20" w:after="40"/>
            </w:pPr>
            <w:r>
              <w:t>Methyl Bromide</w:t>
            </w:r>
            <w:r>
              <w:rPr>
                <w:vertAlign w:val="superscript"/>
              </w:rPr>
              <w:t>*</w:t>
            </w:r>
          </w:p>
        </w:tc>
        <w:tc>
          <w:tcPr>
            <w:tcW w:w="3040" w:type="dxa"/>
            <w:shd w:val="clear" w:color="auto" w:fill="auto"/>
          </w:tcPr>
          <w:p w14:paraId="47714F05" w14:textId="77777777" w:rsidR="00DF0F31" w:rsidRPr="007A37A9" w:rsidRDefault="00DF0F31">
            <w:pPr>
              <w:tabs>
                <w:tab w:val="left" w:pos="1418"/>
                <w:tab w:val="left" w:pos="2552"/>
              </w:tabs>
              <w:spacing w:before="20" w:after="40"/>
            </w:pPr>
            <w:r>
              <w:t>[1 ppm]</w:t>
            </w:r>
          </w:p>
        </w:tc>
      </w:tr>
    </w:tbl>
    <w:p w14:paraId="083ADC09" w14:textId="6D8975C6" w:rsidR="00DF0F31" w:rsidRPr="00911D58" w:rsidRDefault="00DF0F31" w:rsidP="00183160">
      <w:pPr>
        <w:tabs>
          <w:tab w:val="left" w:pos="1418"/>
          <w:tab w:val="left" w:pos="2552"/>
        </w:tabs>
        <w:spacing w:before="120" w:after="240" w:line="220" w:lineRule="exact"/>
        <w:ind w:left="2126" w:firstLine="170"/>
        <w:rPr>
          <w:sz w:val="18"/>
          <w:szCs w:val="18"/>
        </w:rPr>
      </w:pPr>
      <w:r w:rsidRPr="0061025D">
        <w:rPr>
          <w:vertAlign w:val="superscript"/>
        </w:rPr>
        <w:t>*</w:t>
      </w:r>
      <w:r>
        <w:rPr>
          <w:sz w:val="18"/>
        </w:rPr>
        <w:t xml:space="preserve"> </w:t>
      </w:r>
      <w:r w:rsidRPr="00911D58">
        <w:rPr>
          <w:i/>
          <w:sz w:val="18"/>
          <w:szCs w:val="18"/>
        </w:rPr>
        <w:t xml:space="preserve">banned by European Union (EU) law for use in those Contracting Parties that </w:t>
      </w:r>
      <w:r w:rsidR="00826D4A" w:rsidRPr="00911D58">
        <w:rPr>
          <w:i/>
          <w:sz w:val="18"/>
          <w:szCs w:val="18"/>
        </w:rPr>
        <w:br/>
      </w:r>
      <w:r w:rsidRPr="00911D58">
        <w:rPr>
          <w:i/>
          <w:sz w:val="18"/>
          <w:szCs w:val="18"/>
        </w:rPr>
        <w:t>are Members of the European Union.</w:t>
      </w:r>
    </w:p>
    <w:p w14:paraId="166EC960" w14:textId="77777777" w:rsidR="00DF0F31" w:rsidRPr="001228E7" w:rsidRDefault="00DF0F31" w:rsidP="007258F8">
      <w:pPr>
        <w:pStyle w:val="SingleTxtG"/>
        <w:rPr>
          <w:iCs/>
          <w:u w:val="single"/>
        </w:rPr>
      </w:pPr>
      <w:r>
        <w:rPr>
          <w:u w:val="single"/>
        </w:rPr>
        <w:t>Considerations</w:t>
      </w:r>
    </w:p>
    <w:p w14:paraId="5B701102" w14:textId="77777777" w:rsidR="00DF0F31" w:rsidRDefault="00DF0F31" w:rsidP="00E678E5">
      <w:pPr>
        <w:pStyle w:val="Bullet1G"/>
      </w:pPr>
      <w:r>
        <w:t>It was confirmed that the three agents mentioned are the only ones reasonably used for pest control in agricultural bulk cargoes.</w:t>
      </w:r>
    </w:p>
    <w:p w14:paraId="75495908" w14:textId="77777777" w:rsidR="00DF0F31" w:rsidRDefault="00DF0F31" w:rsidP="00E678E5">
      <w:pPr>
        <w:pStyle w:val="Bullet1G"/>
      </w:pPr>
      <w:bookmarkStart w:id="1" w:name="_Hlk155962453"/>
      <w:r>
        <w:t>No agreement was found, if t</w:t>
      </w:r>
      <w:r w:rsidRPr="004338EE">
        <w:t xml:space="preserve">he fumigant Hydrogen Cyanide </w:t>
      </w:r>
      <w:r>
        <w:t>is allowed for fumigation of food and feed ore only for use in empty rooms, holds, silos for example</w:t>
      </w:r>
      <w:r w:rsidRPr="004338EE">
        <w:t>.</w:t>
      </w:r>
    </w:p>
    <w:p w14:paraId="19E989E9" w14:textId="24C7CB08" w:rsidR="00DF0F31" w:rsidRDefault="00DF0F31" w:rsidP="00E678E5">
      <w:pPr>
        <w:pStyle w:val="Bullet1G"/>
      </w:pPr>
      <w:r>
        <w:t xml:space="preserve">With regard to Phosphine it was explained that the TLV of 0.1ppm is thought for 8h/day, 40h/week. For 24h the value was calculated to 0.03ppm (0.1/3). Due the low LOD of 0.01ppm for phosphine the </w:t>
      </w:r>
      <w:r w:rsidR="00797A22">
        <w:t>"</w:t>
      </w:r>
      <w:r>
        <w:t>TLV</w:t>
      </w:r>
      <w:r w:rsidR="00797A22">
        <w:t>"</w:t>
      </w:r>
      <w:r>
        <w:t xml:space="preserve"> for bystanders and unexpected areas (outside the danger zone) was set to 0.01ppm. This value is legitimized by EU biocide/plant</w:t>
      </w:r>
      <w:r w:rsidR="00397953">
        <w:t xml:space="preserve"> </w:t>
      </w:r>
      <w:r>
        <w:t>protection law.</w:t>
      </w:r>
    </w:p>
    <w:p w14:paraId="2F5C68D1" w14:textId="5AD2FCAC" w:rsidR="00DF0F31" w:rsidRPr="004338EE" w:rsidRDefault="00DF0F31" w:rsidP="00E678E5">
      <w:pPr>
        <w:pStyle w:val="Bullet1G"/>
      </w:pPr>
      <w:bookmarkStart w:id="2" w:name="_Hlk155962882"/>
      <w:r>
        <w:t xml:space="preserve">Due EU law for Sulfuryl Fluoride value is set to 3ppm. The correspondence group considered to choose the lowest national value among ADN Contracting parties. </w:t>
      </w:r>
      <w:r w:rsidR="0050249A">
        <w:br/>
      </w:r>
      <w:r>
        <w:t xml:space="preserve">A low value was brought forward by the representative of the Netherlands </w:t>
      </w:r>
    </w:p>
    <w:bookmarkEnd w:id="1"/>
    <w:bookmarkEnd w:id="2"/>
    <w:p w14:paraId="072DE41C" w14:textId="77777777" w:rsidR="00DF0F31" w:rsidRPr="0047608B" w:rsidRDefault="00DF0F31" w:rsidP="00E678E5">
      <w:pPr>
        <w:pStyle w:val="Bullet1G"/>
      </w:pPr>
      <w:r>
        <w:t>The carriage of goods treated with other fumigants not contained in the table is not to be permitted under any circumstances.</w:t>
      </w:r>
    </w:p>
    <w:p w14:paraId="0694B2E8" w14:textId="77777777" w:rsidR="00DF0F31" w:rsidRPr="0047608B" w:rsidRDefault="00DF0F31" w:rsidP="00E678E5">
      <w:pPr>
        <w:pStyle w:val="Bullet1G"/>
      </w:pPr>
      <w:r>
        <w:t>The threshold values should be based on the maximum exposure over 24 hours, as the vessel’s crew is in the vicinity of the cargo around the clock.</w:t>
      </w:r>
    </w:p>
    <w:p w14:paraId="11A0329E" w14:textId="77777777" w:rsidR="00DF0F31" w:rsidRDefault="00DF0F31" w:rsidP="00E678E5">
      <w:pPr>
        <w:pStyle w:val="Bullet1G"/>
      </w:pPr>
      <w:r>
        <w:t>For methyl bromide, which might still be used in Contracting Parties to ADN that are not members of the European Union, the threshold value last used before the ban in the Netherlands is to be adopted.</w:t>
      </w:r>
    </w:p>
    <w:p w14:paraId="49C2A40D" w14:textId="77777777" w:rsidR="00DF0F31" w:rsidRPr="008A680D" w:rsidRDefault="00DF0F31" w:rsidP="00E678E5">
      <w:pPr>
        <w:pStyle w:val="Bullet1G"/>
      </w:pPr>
      <w:r w:rsidRPr="008A680D">
        <w:t>The threshold values are to apply to the surrounding air and not to the bulk cargo itself, as the objective is to protect persons exposed to the surrounding air.</w:t>
      </w:r>
    </w:p>
    <w:p w14:paraId="446BE4E0" w14:textId="77777777" w:rsidR="006409EC" w:rsidRPr="00F164A8" w:rsidRDefault="006409EC" w:rsidP="00E678E5">
      <w:pPr>
        <w:pStyle w:val="SingleTxtG"/>
        <w:rPr>
          <w:iCs/>
          <w:u w:val="single"/>
        </w:rPr>
      </w:pPr>
      <w:r>
        <w:rPr>
          <w:u w:val="single"/>
        </w:rPr>
        <w:t>Revised proposal</w:t>
      </w:r>
    </w:p>
    <w:p w14:paraId="5AA4753D" w14:textId="7F4584DA" w:rsidR="006409EC" w:rsidRDefault="006409EC" w:rsidP="00911D58">
      <w:pPr>
        <w:pStyle w:val="SingleTxtG"/>
        <w:ind w:left="1701" w:hanging="567"/>
      </w:pPr>
      <w:r>
        <w:t>(</w:t>
      </w:r>
      <w:r w:rsidR="00911D58">
        <w:t>ii</w:t>
      </w:r>
      <w:r>
        <w:t>)</w:t>
      </w:r>
      <w:r>
        <w:tab/>
        <w:t>Immediately before or during filling as well as immediately after filling the fumigated cargo into the cargo holds of the vessel, the remaining concentration of the following toxic gases and vapours resulting from fumigants [in the surrounding air] shall be below the following values:</w:t>
      </w:r>
    </w:p>
    <w:p w14:paraId="2FF11A50" w14:textId="77777777" w:rsidR="00617898" w:rsidRDefault="00617898" w:rsidP="00911D58">
      <w:pPr>
        <w:pStyle w:val="SingleTxtG"/>
        <w:ind w:left="1701" w:hanging="567"/>
      </w:pPr>
    </w:p>
    <w:p w14:paraId="2ABB3726" w14:textId="77777777" w:rsidR="00617898" w:rsidRDefault="00617898" w:rsidP="00911D58">
      <w:pPr>
        <w:pStyle w:val="SingleTxtG"/>
        <w:ind w:left="1701" w:hanging="567"/>
      </w:pPr>
    </w:p>
    <w:p w14:paraId="7A82AEA2" w14:textId="77777777" w:rsidR="006409EC" w:rsidRPr="0019465D" w:rsidRDefault="006409EC" w:rsidP="00911D58">
      <w:pPr>
        <w:pStyle w:val="SingleTxtG"/>
        <w:ind w:left="1701" w:hanging="567"/>
      </w:pPr>
    </w:p>
    <w:tbl>
      <w:tblPr>
        <w:tblW w:w="0" w:type="auto"/>
        <w:tblInd w:w="2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69"/>
        <w:gridCol w:w="3040"/>
      </w:tblGrid>
      <w:tr w:rsidR="00A553AB" w:rsidRPr="007A37A9" w14:paraId="1EDE04F1" w14:textId="77777777" w:rsidTr="00911D58">
        <w:tc>
          <w:tcPr>
            <w:tcW w:w="3469" w:type="dxa"/>
            <w:shd w:val="clear" w:color="auto" w:fill="auto"/>
          </w:tcPr>
          <w:p w14:paraId="170DEB5D" w14:textId="77777777" w:rsidR="006409EC" w:rsidRPr="004C508C" w:rsidRDefault="006409EC">
            <w:pPr>
              <w:tabs>
                <w:tab w:val="left" w:pos="1418"/>
                <w:tab w:val="left" w:pos="2552"/>
              </w:tabs>
              <w:spacing w:before="20" w:after="40"/>
            </w:pPr>
            <w:r w:rsidRPr="004C508C">
              <w:t>Phosphine</w:t>
            </w:r>
          </w:p>
        </w:tc>
        <w:tc>
          <w:tcPr>
            <w:tcW w:w="3040" w:type="dxa"/>
            <w:shd w:val="clear" w:color="auto" w:fill="auto"/>
          </w:tcPr>
          <w:p w14:paraId="0C0B0C28" w14:textId="77777777" w:rsidR="006409EC" w:rsidRDefault="006409EC">
            <w:pPr>
              <w:tabs>
                <w:tab w:val="left" w:pos="1418"/>
                <w:tab w:val="left" w:pos="2552"/>
              </w:tabs>
              <w:spacing w:before="20" w:after="40"/>
              <w:ind w:left="222"/>
              <w:rPr>
                <w:highlight w:val="cyan"/>
              </w:rPr>
            </w:pPr>
            <w:r w:rsidRPr="004C508C">
              <w:t>0.01 ppm</w:t>
            </w:r>
          </w:p>
        </w:tc>
      </w:tr>
      <w:tr w:rsidR="00A553AB" w:rsidRPr="007A37A9" w14:paraId="0009291C" w14:textId="77777777" w:rsidTr="00911D58">
        <w:tc>
          <w:tcPr>
            <w:tcW w:w="3469" w:type="dxa"/>
            <w:shd w:val="clear" w:color="auto" w:fill="auto"/>
          </w:tcPr>
          <w:p w14:paraId="4670640C" w14:textId="77777777" w:rsidR="006409EC" w:rsidRPr="004C508C" w:rsidRDefault="006409EC">
            <w:pPr>
              <w:tabs>
                <w:tab w:val="left" w:pos="1418"/>
                <w:tab w:val="left" w:pos="2552"/>
              </w:tabs>
              <w:spacing w:before="20" w:after="40"/>
            </w:pPr>
            <w:r w:rsidRPr="004C508C">
              <w:t>Sulfuryl fluoride</w:t>
            </w:r>
          </w:p>
        </w:tc>
        <w:tc>
          <w:tcPr>
            <w:tcW w:w="3040" w:type="dxa"/>
            <w:shd w:val="clear" w:color="auto" w:fill="auto"/>
          </w:tcPr>
          <w:p w14:paraId="60BAF9AC" w14:textId="77777777" w:rsidR="006409EC" w:rsidRPr="007A37A9" w:rsidRDefault="006409EC">
            <w:pPr>
              <w:tabs>
                <w:tab w:val="left" w:pos="1418"/>
                <w:tab w:val="left" w:pos="2552"/>
              </w:tabs>
              <w:spacing w:before="20" w:after="40"/>
              <w:ind w:left="222"/>
            </w:pPr>
            <w:r>
              <w:t>0.1 ppm</w:t>
            </w:r>
          </w:p>
        </w:tc>
      </w:tr>
      <w:tr w:rsidR="00A553AB" w:rsidRPr="007A37A9" w14:paraId="4D1F4177" w14:textId="77777777" w:rsidTr="00911D58">
        <w:tc>
          <w:tcPr>
            <w:tcW w:w="3469" w:type="dxa"/>
            <w:shd w:val="clear" w:color="auto" w:fill="auto"/>
          </w:tcPr>
          <w:p w14:paraId="7A7AC0AE" w14:textId="77777777" w:rsidR="006409EC" w:rsidRPr="004C508C" w:rsidRDefault="006409EC">
            <w:pPr>
              <w:tabs>
                <w:tab w:val="left" w:pos="1418"/>
                <w:tab w:val="left" w:pos="2552"/>
              </w:tabs>
              <w:spacing w:before="20" w:after="40"/>
            </w:pPr>
            <w:r w:rsidRPr="004C508C">
              <w:t>Methyl bromide</w:t>
            </w:r>
            <w:r>
              <w:rPr>
                <w:vertAlign w:val="superscript"/>
              </w:rPr>
              <w:t>*</w:t>
            </w:r>
          </w:p>
        </w:tc>
        <w:tc>
          <w:tcPr>
            <w:tcW w:w="3040" w:type="dxa"/>
            <w:shd w:val="clear" w:color="auto" w:fill="auto"/>
          </w:tcPr>
          <w:p w14:paraId="523EC52D" w14:textId="77777777" w:rsidR="006409EC" w:rsidRPr="007A37A9" w:rsidRDefault="006409EC">
            <w:pPr>
              <w:tabs>
                <w:tab w:val="left" w:pos="1418"/>
                <w:tab w:val="left" w:pos="2552"/>
              </w:tabs>
              <w:spacing w:before="20" w:after="40"/>
              <w:ind w:left="222"/>
            </w:pPr>
            <w:r>
              <w:t>0.25 ppm</w:t>
            </w:r>
          </w:p>
        </w:tc>
      </w:tr>
    </w:tbl>
    <w:p w14:paraId="20A25823" w14:textId="49F7087D" w:rsidR="006409EC" w:rsidRPr="00694998" w:rsidRDefault="006409EC" w:rsidP="00694998">
      <w:pPr>
        <w:tabs>
          <w:tab w:val="left" w:pos="2552"/>
        </w:tabs>
        <w:spacing w:before="120" w:after="240" w:line="220" w:lineRule="exact"/>
        <w:ind w:left="2126" w:firstLine="170"/>
        <w:rPr>
          <w:i/>
          <w:sz w:val="18"/>
          <w:szCs w:val="18"/>
        </w:rPr>
      </w:pPr>
      <w:r w:rsidRPr="00C55538">
        <w:rPr>
          <w:vertAlign w:val="superscript"/>
        </w:rPr>
        <w:t>*</w:t>
      </w:r>
      <w:r w:rsidRPr="00617898">
        <w:rPr>
          <w:sz w:val="18"/>
          <w:szCs w:val="18"/>
        </w:rPr>
        <w:t xml:space="preserve"> </w:t>
      </w:r>
      <w:r w:rsidRPr="00617898">
        <w:rPr>
          <w:i/>
          <w:sz w:val="18"/>
          <w:szCs w:val="18"/>
        </w:rPr>
        <w:t xml:space="preserve">banned by European Union (EU) law for use in those Contracting Parties that are </w:t>
      </w:r>
      <w:r w:rsidR="00617898">
        <w:rPr>
          <w:i/>
          <w:sz w:val="18"/>
          <w:szCs w:val="18"/>
        </w:rPr>
        <w:br/>
      </w:r>
      <w:r w:rsidRPr="00617898">
        <w:rPr>
          <w:i/>
          <w:sz w:val="18"/>
          <w:szCs w:val="18"/>
        </w:rPr>
        <w:t>Members of the European Union.</w:t>
      </w:r>
    </w:p>
    <w:p w14:paraId="75810420" w14:textId="77777777" w:rsidR="006409EC" w:rsidRPr="00232740" w:rsidRDefault="006409EC" w:rsidP="00617898">
      <w:pPr>
        <w:pStyle w:val="SingleTxtG"/>
        <w:rPr>
          <w:u w:val="single"/>
        </w:rPr>
      </w:pPr>
      <w:r w:rsidRPr="00232740">
        <w:rPr>
          <w:u w:val="single"/>
        </w:rPr>
        <w:t>Current proposal</w:t>
      </w:r>
    </w:p>
    <w:p w14:paraId="130B3982" w14:textId="2B621615" w:rsidR="006409EC" w:rsidRPr="005D0E91" w:rsidRDefault="006409EC" w:rsidP="00617898">
      <w:pPr>
        <w:pStyle w:val="SingleTxtG"/>
        <w:ind w:left="1701" w:hanging="567"/>
      </w:pPr>
      <w:r>
        <w:t>(c)</w:t>
      </w:r>
      <w:r>
        <w:tab/>
        <w:t xml:space="preserve">The filler according 1.2.1 </w:t>
      </w:r>
      <w:r w:rsidR="000D01DC">
        <w:t xml:space="preserve">of </w:t>
      </w:r>
      <w:r>
        <w:t>ADN has to ensure that a clearance measurement has be done and that the abovementioned thresholds are complied. [The information shall be kept on board during the journey.]</w:t>
      </w:r>
    </w:p>
    <w:p w14:paraId="005204E9" w14:textId="77777777" w:rsidR="006409EC" w:rsidRPr="001228E7" w:rsidRDefault="006409EC" w:rsidP="00617898">
      <w:pPr>
        <w:pStyle w:val="SingleTxtG"/>
        <w:rPr>
          <w:iCs/>
          <w:u w:val="single"/>
        </w:rPr>
      </w:pPr>
      <w:r>
        <w:rPr>
          <w:u w:val="single"/>
        </w:rPr>
        <w:t>Considerations</w:t>
      </w:r>
    </w:p>
    <w:p w14:paraId="583069A8" w14:textId="77777777" w:rsidR="006409EC" w:rsidRPr="0082340F" w:rsidRDefault="006409EC" w:rsidP="00617898">
      <w:pPr>
        <w:pStyle w:val="Bullet1G"/>
      </w:pPr>
      <w:r>
        <w:t>The obligation to perform measurements is retained. It is assumed that transhipment or silo operations employ suitably qualified expert personnel simply for reasons of general occupational safety.</w:t>
      </w:r>
    </w:p>
    <w:p w14:paraId="54522CEB" w14:textId="77777777" w:rsidR="006409EC" w:rsidRPr="0082340F" w:rsidRDefault="006409EC" w:rsidP="00617898">
      <w:pPr>
        <w:pStyle w:val="Bullet1G"/>
      </w:pPr>
      <w:r>
        <w:t>It is regarded as a very important element that the master be informed of the measurement results. This information is to be carried on board in text form.</w:t>
      </w:r>
    </w:p>
    <w:p w14:paraId="6F9219DF" w14:textId="77777777" w:rsidR="006409EC" w:rsidRDefault="006409EC" w:rsidP="00617898">
      <w:pPr>
        <w:pStyle w:val="Bullet1G"/>
      </w:pPr>
      <w:r>
        <w:t>Naming specific measurement standards is not considered necessary as there is an international state of the art for this.</w:t>
      </w:r>
    </w:p>
    <w:p w14:paraId="52F76C6F" w14:textId="77777777" w:rsidR="006409EC" w:rsidRPr="0082340F" w:rsidRDefault="006409EC" w:rsidP="00617898">
      <w:pPr>
        <w:pStyle w:val="Bullet1G"/>
      </w:pPr>
      <w:r>
        <w:t>Where the measurements yield values above the aforementioned threshold values, the inland navigation vessel is not to commence its journey.</w:t>
      </w:r>
    </w:p>
    <w:p w14:paraId="373F7FCB" w14:textId="77777777" w:rsidR="006409EC" w:rsidRPr="00232740" w:rsidRDefault="006409EC" w:rsidP="00617898">
      <w:pPr>
        <w:pStyle w:val="SingleTxtG"/>
        <w:rPr>
          <w:iCs/>
          <w:u w:val="single"/>
        </w:rPr>
      </w:pPr>
      <w:r w:rsidRPr="00232740">
        <w:rPr>
          <w:u w:val="single"/>
        </w:rPr>
        <w:t>Revised proposal</w:t>
      </w:r>
    </w:p>
    <w:p w14:paraId="44C0B7C6" w14:textId="465FFDC5" w:rsidR="006409EC" w:rsidRPr="005D0E91" w:rsidRDefault="006409EC" w:rsidP="00BA7D97">
      <w:pPr>
        <w:pStyle w:val="SingleTxtG"/>
        <w:ind w:left="1701" w:hanging="567"/>
      </w:pPr>
      <w:r>
        <w:t>(</w:t>
      </w:r>
      <w:r w:rsidR="00FB1C84">
        <w:t>iii</w:t>
      </w:r>
      <w:r>
        <w:t>)</w:t>
      </w:r>
      <w:r>
        <w:tab/>
        <w:t xml:space="preserve">The filler according with 1.2.1 </w:t>
      </w:r>
      <w:r w:rsidR="000D01DC">
        <w:t xml:space="preserve">of </w:t>
      </w:r>
      <w:r>
        <w:t xml:space="preserve">ADN has to ensure that a clearance measurement has been performed and that the abovementioned thresholds are complied with. </w:t>
      </w:r>
      <w:r w:rsidR="008930C7">
        <w:br/>
      </w:r>
      <w:r>
        <w:t>The information shall be kept on board in text form during the journey.</w:t>
      </w:r>
    </w:p>
    <w:p w14:paraId="680F071F" w14:textId="77777777" w:rsidR="006409EC" w:rsidRPr="00265FC1" w:rsidRDefault="006409EC" w:rsidP="003B5D8E">
      <w:pPr>
        <w:pStyle w:val="SingleTxtG"/>
        <w:rPr>
          <w:u w:val="single"/>
        </w:rPr>
      </w:pPr>
      <w:r>
        <w:rPr>
          <w:u w:val="single"/>
        </w:rPr>
        <w:t>Current proposal</w:t>
      </w:r>
    </w:p>
    <w:p w14:paraId="118A7319" w14:textId="366CF4DE" w:rsidR="006409EC" w:rsidRPr="006D4191" w:rsidRDefault="006409EC" w:rsidP="003B5D8E">
      <w:pPr>
        <w:pStyle w:val="SingleTxtG"/>
        <w:ind w:left="1701" w:hanging="567"/>
      </w:pPr>
      <w:r>
        <w:t>[(x)</w:t>
      </w:r>
      <w:r>
        <w:tab/>
        <w:t xml:space="preserve">For the carriage of previously </w:t>
      </w:r>
      <w:r w:rsidR="008930C7">
        <w:t>"</w:t>
      </w:r>
      <w:r>
        <w:t xml:space="preserve">Fumigated cargo, </w:t>
      </w:r>
      <w:r w:rsidR="008930C7">
        <w:t>"</w:t>
      </w:r>
      <w:r>
        <w:t xml:space="preserve">UN </w:t>
      </w:r>
      <w:r w:rsidR="00047B17">
        <w:t xml:space="preserve">No </w:t>
      </w:r>
      <w:r>
        <w:t>9007</w:t>
      </w:r>
      <w:r w:rsidR="008930C7">
        <w:t>"</w:t>
      </w:r>
      <w:r>
        <w:t xml:space="preserve">, a fumigation measuring device of the previously used fumigant is prescribed/recommended for the crew. This may also be provided in the form of a </w:t>
      </w:r>
      <w:proofErr w:type="spellStart"/>
      <w:r>
        <w:t>toximeter</w:t>
      </w:r>
      <w:proofErr w:type="spellEnd"/>
      <w:r>
        <w:t>.]</w:t>
      </w:r>
    </w:p>
    <w:p w14:paraId="2CF8D9B9" w14:textId="77777777" w:rsidR="006409EC" w:rsidRPr="001228E7" w:rsidRDefault="006409EC" w:rsidP="003B5D8E">
      <w:pPr>
        <w:pStyle w:val="SingleTxtG"/>
        <w:rPr>
          <w:iCs/>
          <w:u w:val="single"/>
        </w:rPr>
      </w:pPr>
      <w:r>
        <w:rPr>
          <w:u w:val="single"/>
        </w:rPr>
        <w:t>Considerations</w:t>
      </w:r>
    </w:p>
    <w:p w14:paraId="6B2A3D91" w14:textId="77777777" w:rsidR="006409EC" w:rsidRPr="0006653A" w:rsidRDefault="006409EC" w:rsidP="003B5D8E">
      <w:pPr>
        <w:pStyle w:val="Bullet1G"/>
      </w:pPr>
      <w:r>
        <w:t>The group did not want to lay down an explicit obligation to use such warning devices, as this can already be required based on occupational health and safety regulations for the crew members.</w:t>
      </w:r>
    </w:p>
    <w:p w14:paraId="4E88D232" w14:textId="7484563D" w:rsidR="006409EC" w:rsidRPr="0006653A" w:rsidRDefault="006409EC" w:rsidP="003B5D8E">
      <w:pPr>
        <w:pStyle w:val="Bullet1G"/>
      </w:pPr>
      <w:r>
        <w:t xml:space="preserve">The inclusion of a </w:t>
      </w:r>
      <w:r w:rsidR="00047B17">
        <w:t>'</w:t>
      </w:r>
      <w:r>
        <w:t>recommendation</w:t>
      </w:r>
      <w:r w:rsidR="00047B17">
        <w:t>'</w:t>
      </w:r>
      <w:r>
        <w:t xml:space="preserve"> in the Regulations annexed to ADN is unprecedented; the intention is not to set a precedent for this variant.</w:t>
      </w:r>
    </w:p>
    <w:p w14:paraId="5084D735" w14:textId="77777777" w:rsidR="006409EC" w:rsidRPr="006D4191" w:rsidRDefault="006409EC" w:rsidP="003B5D8E">
      <w:pPr>
        <w:pStyle w:val="SingleTxtG"/>
        <w:rPr>
          <w:iCs/>
          <w:u w:val="single"/>
        </w:rPr>
      </w:pPr>
      <w:r>
        <w:rPr>
          <w:u w:val="single"/>
        </w:rPr>
        <w:t>Revised proposal</w:t>
      </w:r>
    </w:p>
    <w:p w14:paraId="3D716540" w14:textId="77777777" w:rsidR="006409EC" w:rsidRDefault="006409EC" w:rsidP="006043F7">
      <w:pPr>
        <w:pStyle w:val="Bullet1G"/>
      </w:pPr>
      <w:r>
        <w:t>No provision on the use of personal warning devices is proposed.</w:t>
      </w:r>
    </w:p>
    <w:p w14:paraId="58E052E7" w14:textId="77777777" w:rsidR="006409EC" w:rsidRDefault="006409EC" w:rsidP="006043F7">
      <w:pPr>
        <w:pStyle w:val="SingleTxtG"/>
        <w:rPr>
          <w:iCs/>
        </w:rPr>
      </w:pPr>
      <w:r>
        <w:t>11.</w:t>
      </w:r>
      <w:r>
        <w:tab/>
        <w:t>Due to a lack of time, it was not possible to address the other elements.</w:t>
      </w:r>
    </w:p>
    <w:p w14:paraId="3E546DFF" w14:textId="77777777" w:rsidR="006409EC" w:rsidRPr="00AF55BE" w:rsidRDefault="006409EC" w:rsidP="006043F7">
      <w:pPr>
        <w:pStyle w:val="HChG"/>
        <w:rPr>
          <w:bCs/>
          <w:szCs w:val="28"/>
        </w:rPr>
      </w:pPr>
      <w:r>
        <w:tab/>
        <w:t>III.</w:t>
      </w:r>
      <w:r>
        <w:tab/>
        <w:t>Next steps</w:t>
      </w:r>
    </w:p>
    <w:p w14:paraId="258724C2" w14:textId="2A82021D" w:rsidR="006409EC" w:rsidRDefault="006409EC" w:rsidP="006043F7">
      <w:pPr>
        <w:pStyle w:val="SingleTxtG"/>
      </w:pPr>
      <w:r>
        <w:t>12.</w:t>
      </w:r>
      <w:r>
        <w:tab/>
        <w:t xml:space="preserve">The working group considers the provisions above to be appropriate and necessary to prevent serious incidents in the future and achieve a good protection of vessels’ crews, i.e. </w:t>
      </w:r>
      <w:r w:rsidR="00353243">
        <w:t>'</w:t>
      </w:r>
      <w:r w:rsidRPr="006043F7">
        <w:t>safe carriage</w:t>
      </w:r>
      <w:r w:rsidR="00353243">
        <w:t>'</w:t>
      </w:r>
      <w:r w:rsidRPr="006043F7">
        <w:t>.</w:t>
      </w:r>
      <w:r>
        <w:t xml:space="preserve"> In a second step, these proposals (if they are approved by the Safety Committee) are to be reviewed to determine whether they are proportionate to not excessively hinder international transport operations and maintain international trade in agricultural products. (cf. preamble to the ADN Agreement)</w:t>
      </w:r>
    </w:p>
    <w:p w14:paraId="47565FC6" w14:textId="77777777" w:rsidR="006409EC" w:rsidRDefault="006409EC" w:rsidP="006043F7">
      <w:pPr>
        <w:pStyle w:val="SingleTxtG"/>
      </w:pPr>
      <w:r>
        <w:lastRenderedPageBreak/>
        <w:t>13.</w:t>
      </w:r>
      <w:r>
        <w:tab/>
        <w:t>The working group asks the Safety Committee to examine the above interim results and confirm them or provide the group with guidance on revising them.</w:t>
      </w:r>
    </w:p>
    <w:p w14:paraId="73D22244" w14:textId="032B85E8" w:rsidR="006409EC" w:rsidRDefault="006409EC" w:rsidP="006043F7">
      <w:pPr>
        <w:pStyle w:val="SingleTxtG"/>
      </w:pPr>
      <w:r>
        <w:t>14.</w:t>
      </w:r>
      <w:r>
        <w:tab/>
        <w:t>The work is to be continued in the form of an informal working group with face-to-face meetings or hybrid meetings. A further meeting has been agreed for Tuesday, 12</w:t>
      </w:r>
      <w:r w:rsidR="00D71A5C">
        <w:t>,</w:t>
      </w:r>
      <w:r>
        <w:t xml:space="preserve"> and Wednesday</w:t>
      </w:r>
      <w:r w:rsidR="00F72715">
        <w:t>,</w:t>
      </w:r>
      <w:r>
        <w:t xml:space="preserve"> 13 March 2024. It is to be held in Bonn, Germany, again.</w:t>
      </w:r>
    </w:p>
    <w:p w14:paraId="54657CF1" w14:textId="77777777" w:rsidR="006409EC" w:rsidRDefault="006409EC" w:rsidP="006043F7">
      <w:pPr>
        <w:pStyle w:val="SingleTxtG"/>
      </w:pPr>
      <w:r>
        <w:t>15.</w:t>
      </w:r>
      <w:r>
        <w:tab/>
        <w:t>The working group would like to invite further delegations to participate. In particular, the group asks all delegations of the Contracting Parties to communicate to it in good time before the next meeting the threshold values applicable in the territories of the Contracting Parties for a 24-hour-exposure of the three mentioned fumigants.</w:t>
      </w:r>
    </w:p>
    <w:p w14:paraId="763CB450" w14:textId="77777777" w:rsidR="006409EC" w:rsidRDefault="006409EC" w:rsidP="006043F7">
      <w:pPr>
        <w:pStyle w:val="SingleTxtG"/>
      </w:pPr>
      <w:r>
        <w:t>16.</w:t>
      </w:r>
      <w:r>
        <w:tab/>
        <w:t>The Chair offered to try to arrange a visit to a transhipment site for agricultural products near Bonn.</w:t>
      </w:r>
    </w:p>
    <w:p w14:paraId="0014134D" w14:textId="77777777" w:rsidR="006409EC" w:rsidRDefault="006409EC" w:rsidP="006409EC">
      <w:pPr>
        <w:pStyle w:val="SingleTxtG"/>
        <w:spacing w:after="0" w:line="240" w:lineRule="auto"/>
      </w:pPr>
    </w:p>
    <w:p w14:paraId="1D351158" w14:textId="77777777" w:rsidR="006409EC" w:rsidRDefault="006409EC" w:rsidP="006409EC">
      <w:pPr>
        <w:pStyle w:val="SingleTxtG"/>
        <w:spacing w:after="0" w:line="240" w:lineRule="auto"/>
      </w:pPr>
    </w:p>
    <w:p w14:paraId="17E7226E" w14:textId="5D77AE4B" w:rsidR="006409EC" w:rsidRDefault="006409EC" w:rsidP="006409EC">
      <w:pPr>
        <w:pStyle w:val="SingleTxtG"/>
        <w:spacing w:after="0" w:line="240" w:lineRule="auto"/>
        <w:rPr>
          <w:b/>
        </w:rPr>
      </w:pPr>
    </w:p>
    <w:p w14:paraId="169507E2" w14:textId="77777777" w:rsidR="00BF5928" w:rsidRDefault="00BF5928" w:rsidP="00933D68">
      <w:pPr>
        <w:spacing w:before="240"/>
        <w:jc w:val="center"/>
        <w:rPr>
          <w:u w:val="single"/>
          <w:lang w:val="de-CH"/>
        </w:rPr>
        <w:sectPr w:rsidR="00BF5928" w:rsidSect="00CD0EC1">
          <w:headerReference w:type="even" r:id="rId11"/>
          <w:headerReference w:type="default" r:id="rId12"/>
          <w:footerReference w:type="even" r:id="rId13"/>
          <w:footerReference w:type="default" r:id="rId14"/>
          <w:endnotePr>
            <w:numFmt w:val="decimal"/>
          </w:endnotePr>
          <w:pgSz w:w="11907" w:h="16840" w:code="9"/>
          <w:pgMar w:top="1418" w:right="1134" w:bottom="1134" w:left="1134" w:header="851" w:footer="567" w:gutter="0"/>
          <w:cols w:space="720"/>
          <w:titlePg/>
          <w:docGrid w:linePitch="272"/>
        </w:sectPr>
      </w:pPr>
    </w:p>
    <w:p w14:paraId="2FAFD906" w14:textId="5BCE5FF1" w:rsidR="007228D3" w:rsidRDefault="00BF5928" w:rsidP="00BF5928">
      <w:pPr>
        <w:pStyle w:val="HChG"/>
        <w:rPr>
          <w:lang w:val="de-CH"/>
        </w:rPr>
      </w:pPr>
      <w:r>
        <w:rPr>
          <w:lang w:val="de-CH"/>
        </w:rPr>
        <w:lastRenderedPageBreak/>
        <w:t>Annex</w:t>
      </w:r>
    </w:p>
    <w:p w14:paraId="2A9E3BF1" w14:textId="0C08D965" w:rsidR="00BF5928" w:rsidRDefault="00B13198" w:rsidP="00B13198">
      <w:pPr>
        <w:pStyle w:val="HChG"/>
      </w:pPr>
      <w:r>
        <w:tab/>
      </w:r>
      <w:r>
        <w:tab/>
        <w:t>Draft new entry in Table A:</w:t>
      </w:r>
    </w:p>
    <w:tbl>
      <w:tblPr>
        <w:tblpPr w:leftFromText="141" w:rightFromText="141" w:vertAnchor="text" w:tblpY="1"/>
        <w:tblOverlap w:val="never"/>
        <w:tblW w:w="14454" w:type="dxa"/>
        <w:tblCellMar>
          <w:left w:w="70" w:type="dxa"/>
          <w:right w:w="70" w:type="dxa"/>
        </w:tblCellMar>
        <w:tblLook w:val="04A0" w:firstRow="1" w:lastRow="0" w:firstColumn="1" w:lastColumn="0" w:noHBand="0" w:noVBand="1"/>
      </w:tblPr>
      <w:tblGrid>
        <w:gridCol w:w="851"/>
        <w:gridCol w:w="1709"/>
        <w:gridCol w:w="567"/>
        <w:gridCol w:w="857"/>
        <w:gridCol w:w="709"/>
        <w:gridCol w:w="567"/>
        <w:gridCol w:w="857"/>
        <w:gridCol w:w="709"/>
        <w:gridCol w:w="690"/>
        <w:gridCol w:w="799"/>
        <w:gridCol w:w="709"/>
        <w:gridCol w:w="620"/>
        <w:gridCol w:w="2410"/>
        <w:gridCol w:w="857"/>
        <w:gridCol w:w="1543"/>
      </w:tblGrid>
      <w:tr w:rsidR="00022248" w:rsidRPr="00406418" w14:paraId="0AFCAED8" w14:textId="77777777" w:rsidTr="00A80956">
        <w:trPr>
          <w:trHeight w:val="1362"/>
        </w:trPr>
        <w:tc>
          <w:tcPr>
            <w:tcW w:w="851" w:type="dxa"/>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7FF4DEBE" w14:textId="77777777" w:rsidR="00022248" w:rsidRDefault="00022248" w:rsidP="00A80956">
            <w:pPr>
              <w:suppressAutoHyphens w:val="0"/>
              <w:spacing w:line="240" w:lineRule="auto"/>
              <w:jc w:val="center"/>
            </w:pPr>
            <w:r>
              <w:t>UN No. or</w:t>
            </w:r>
            <w:r>
              <w:br/>
              <w:t>ID No.</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70121555" w14:textId="77777777" w:rsidR="00022248" w:rsidRDefault="00022248" w:rsidP="00A80956">
            <w:pPr>
              <w:suppressAutoHyphens w:val="0"/>
              <w:spacing w:line="240" w:lineRule="auto"/>
              <w:jc w:val="center"/>
            </w:pPr>
            <w:r>
              <w:t>Name and description</w:t>
            </w:r>
          </w:p>
        </w:tc>
        <w:tc>
          <w:tcPr>
            <w:tcW w:w="567"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00C956E4" w14:textId="77777777" w:rsidR="00022248" w:rsidRDefault="00022248" w:rsidP="00A80956">
            <w:pPr>
              <w:suppressAutoHyphens w:val="0"/>
              <w:spacing w:line="240" w:lineRule="auto"/>
              <w:jc w:val="center"/>
            </w:pPr>
            <w:r>
              <w:t>Class</w:t>
            </w:r>
          </w:p>
        </w:tc>
        <w:tc>
          <w:tcPr>
            <w:tcW w:w="708" w:type="dxa"/>
            <w:tcBorders>
              <w:top w:val="single" w:sz="4" w:space="0" w:color="auto"/>
              <w:left w:val="nil"/>
              <w:bottom w:val="single" w:sz="4" w:space="0" w:color="auto"/>
              <w:right w:val="single" w:sz="4" w:space="0" w:color="auto"/>
            </w:tcBorders>
            <w:shd w:val="clear" w:color="auto" w:fill="auto"/>
            <w:textDirection w:val="tbRl"/>
            <w:vAlign w:val="center"/>
            <w:hideMark/>
          </w:tcPr>
          <w:p w14:paraId="471729CA" w14:textId="77777777" w:rsidR="00022248" w:rsidRDefault="00022248" w:rsidP="00A80956">
            <w:pPr>
              <w:suppressAutoHyphens w:val="0"/>
              <w:spacing w:line="240" w:lineRule="auto"/>
              <w:jc w:val="center"/>
            </w:pPr>
            <w:proofErr w:type="spellStart"/>
            <w:r>
              <w:t>Classi</w:t>
            </w:r>
            <w:proofErr w:type="spellEnd"/>
            <w:r>
              <w:t>-</w:t>
            </w:r>
            <w:r>
              <w:br/>
            </w:r>
            <w:proofErr w:type="spellStart"/>
            <w:r>
              <w:t>fication</w:t>
            </w:r>
            <w:proofErr w:type="spellEnd"/>
            <w:r>
              <w:br/>
              <w:t>Code</w:t>
            </w:r>
          </w:p>
        </w:tc>
        <w:tc>
          <w:tcPr>
            <w:tcW w:w="709" w:type="dxa"/>
            <w:tcBorders>
              <w:top w:val="single" w:sz="4" w:space="0" w:color="auto"/>
              <w:left w:val="nil"/>
              <w:bottom w:val="single" w:sz="4" w:space="0" w:color="auto"/>
              <w:right w:val="single" w:sz="4" w:space="0" w:color="auto"/>
            </w:tcBorders>
            <w:shd w:val="clear" w:color="auto" w:fill="auto"/>
            <w:textDirection w:val="tbRl"/>
            <w:vAlign w:val="center"/>
            <w:hideMark/>
          </w:tcPr>
          <w:p w14:paraId="5EAB16BB" w14:textId="77777777" w:rsidR="00022248" w:rsidRDefault="00022248" w:rsidP="00A80956">
            <w:pPr>
              <w:suppressAutoHyphens w:val="0"/>
              <w:spacing w:line="240" w:lineRule="auto"/>
              <w:jc w:val="center"/>
            </w:pPr>
            <w:r>
              <w:t>Packing</w:t>
            </w:r>
            <w:r>
              <w:br/>
              <w:t>group</w:t>
            </w:r>
          </w:p>
        </w:tc>
        <w:tc>
          <w:tcPr>
            <w:tcW w:w="567" w:type="dxa"/>
            <w:tcBorders>
              <w:top w:val="single" w:sz="4" w:space="0" w:color="auto"/>
              <w:left w:val="nil"/>
              <w:bottom w:val="single" w:sz="4" w:space="0" w:color="auto"/>
              <w:right w:val="single" w:sz="4" w:space="0" w:color="auto"/>
            </w:tcBorders>
            <w:shd w:val="clear" w:color="auto" w:fill="auto"/>
            <w:textDirection w:val="tbRl"/>
            <w:vAlign w:val="center"/>
            <w:hideMark/>
          </w:tcPr>
          <w:p w14:paraId="6493DBE6" w14:textId="77777777" w:rsidR="00022248" w:rsidRDefault="00022248" w:rsidP="00A80956">
            <w:pPr>
              <w:suppressAutoHyphens w:val="0"/>
              <w:spacing w:line="240" w:lineRule="auto"/>
              <w:jc w:val="center"/>
            </w:pPr>
            <w:r>
              <w:t>Labels</w:t>
            </w:r>
          </w:p>
        </w:tc>
        <w:tc>
          <w:tcPr>
            <w:tcW w:w="709" w:type="dxa"/>
            <w:tcBorders>
              <w:top w:val="single" w:sz="4" w:space="0" w:color="auto"/>
              <w:left w:val="nil"/>
              <w:bottom w:val="single" w:sz="4" w:space="0" w:color="auto"/>
              <w:right w:val="single" w:sz="4" w:space="0" w:color="auto"/>
            </w:tcBorders>
            <w:shd w:val="clear" w:color="auto" w:fill="auto"/>
            <w:textDirection w:val="tbRl"/>
            <w:vAlign w:val="center"/>
            <w:hideMark/>
          </w:tcPr>
          <w:p w14:paraId="1767E9D6" w14:textId="77777777" w:rsidR="00022248" w:rsidRDefault="00022248" w:rsidP="00A80956">
            <w:pPr>
              <w:suppressAutoHyphens w:val="0"/>
              <w:spacing w:line="240" w:lineRule="auto"/>
              <w:jc w:val="center"/>
            </w:pPr>
            <w:r>
              <w:t>Special</w:t>
            </w:r>
            <w:r>
              <w:br/>
            </w:r>
            <w:proofErr w:type="spellStart"/>
            <w:r>
              <w:t>provis</w:t>
            </w:r>
            <w:proofErr w:type="spellEnd"/>
            <w:r>
              <w:t>-</w:t>
            </w:r>
            <w:r>
              <w:br/>
              <w:t>ions</w:t>
            </w:r>
          </w:p>
        </w:tc>
        <w:tc>
          <w:tcPr>
            <w:tcW w:w="1339" w:type="dxa"/>
            <w:gridSpan w:val="2"/>
            <w:tcBorders>
              <w:top w:val="single" w:sz="4" w:space="0" w:color="auto"/>
              <w:left w:val="nil"/>
              <w:bottom w:val="single" w:sz="4" w:space="0" w:color="auto"/>
              <w:right w:val="single" w:sz="4" w:space="0" w:color="auto"/>
            </w:tcBorders>
            <w:shd w:val="clear" w:color="auto" w:fill="auto"/>
            <w:vAlign w:val="center"/>
            <w:hideMark/>
          </w:tcPr>
          <w:p w14:paraId="08828412" w14:textId="77777777" w:rsidR="00022248" w:rsidRDefault="00022248" w:rsidP="00A80956">
            <w:pPr>
              <w:suppressAutoHyphens w:val="0"/>
              <w:spacing w:line="240" w:lineRule="auto"/>
              <w:jc w:val="center"/>
            </w:pPr>
            <w:r>
              <w:t>Limited and excepted quantities</w:t>
            </w:r>
          </w:p>
        </w:tc>
        <w:tc>
          <w:tcPr>
            <w:tcW w:w="799" w:type="dxa"/>
            <w:tcBorders>
              <w:top w:val="single" w:sz="4" w:space="0" w:color="auto"/>
              <w:left w:val="nil"/>
              <w:bottom w:val="single" w:sz="4" w:space="0" w:color="auto"/>
              <w:right w:val="single" w:sz="4" w:space="0" w:color="auto"/>
            </w:tcBorders>
            <w:shd w:val="clear" w:color="auto" w:fill="auto"/>
            <w:textDirection w:val="tbRl"/>
            <w:vAlign w:val="center"/>
            <w:hideMark/>
          </w:tcPr>
          <w:p w14:paraId="12116B67" w14:textId="77777777" w:rsidR="00022248" w:rsidRDefault="00022248" w:rsidP="00A80956">
            <w:pPr>
              <w:suppressAutoHyphens w:val="0"/>
              <w:spacing w:line="240" w:lineRule="auto"/>
              <w:jc w:val="center"/>
            </w:pPr>
            <w:r>
              <w:t>Carriage</w:t>
            </w:r>
            <w:r>
              <w:br/>
              <w:t>permitted</w:t>
            </w:r>
          </w:p>
        </w:tc>
        <w:tc>
          <w:tcPr>
            <w:tcW w:w="709" w:type="dxa"/>
            <w:tcBorders>
              <w:top w:val="single" w:sz="4" w:space="0" w:color="auto"/>
              <w:left w:val="nil"/>
              <w:bottom w:val="single" w:sz="4" w:space="0" w:color="auto"/>
              <w:right w:val="single" w:sz="4" w:space="0" w:color="auto"/>
            </w:tcBorders>
            <w:shd w:val="clear" w:color="auto" w:fill="auto"/>
            <w:textDirection w:val="tbRl"/>
            <w:vAlign w:val="center"/>
            <w:hideMark/>
          </w:tcPr>
          <w:p w14:paraId="4151FF1F" w14:textId="77777777" w:rsidR="00022248" w:rsidRDefault="00022248" w:rsidP="00A80956">
            <w:pPr>
              <w:suppressAutoHyphens w:val="0"/>
              <w:spacing w:line="240" w:lineRule="auto"/>
              <w:jc w:val="center"/>
            </w:pPr>
            <w:r>
              <w:t>Equipment</w:t>
            </w:r>
            <w:r>
              <w:br/>
              <w:t>required</w:t>
            </w:r>
          </w:p>
        </w:tc>
        <w:tc>
          <w:tcPr>
            <w:tcW w:w="567" w:type="dxa"/>
            <w:tcBorders>
              <w:top w:val="single" w:sz="4" w:space="0" w:color="auto"/>
              <w:left w:val="nil"/>
              <w:bottom w:val="single" w:sz="4" w:space="0" w:color="auto"/>
              <w:right w:val="single" w:sz="4" w:space="0" w:color="auto"/>
            </w:tcBorders>
            <w:shd w:val="clear" w:color="auto" w:fill="auto"/>
            <w:textDirection w:val="tbRl"/>
            <w:vAlign w:val="center"/>
            <w:hideMark/>
          </w:tcPr>
          <w:p w14:paraId="01B524A7" w14:textId="77777777" w:rsidR="00022248" w:rsidRDefault="00022248" w:rsidP="00A80956">
            <w:pPr>
              <w:suppressAutoHyphens w:val="0"/>
              <w:spacing w:line="240" w:lineRule="auto"/>
              <w:jc w:val="center"/>
            </w:pPr>
            <w:proofErr w:type="spellStart"/>
            <w:r>
              <w:t>Venti</w:t>
            </w:r>
            <w:proofErr w:type="spellEnd"/>
            <w:r>
              <w:t>-</w:t>
            </w:r>
            <w:r>
              <w:br/>
            </w:r>
            <w:proofErr w:type="spellStart"/>
            <w:r>
              <w:t>lation</w:t>
            </w:r>
            <w:proofErr w:type="spellEnd"/>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D4BCCB9" w14:textId="77777777" w:rsidR="00022248" w:rsidRDefault="00022248" w:rsidP="00A80956">
            <w:pPr>
              <w:suppressAutoHyphens w:val="0"/>
              <w:spacing w:line="240" w:lineRule="auto"/>
              <w:jc w:val="center"/>
            </w:pPr>
            <w:r>
              <w:t>Provisions concerning</w:t>
            </w:r>
            <w:r>
              <w:br/>
              <w:t>loading, unloading and</w:t>
            </w:r>
            <w:r>
              <w:br/>
              <w:t>carriage</w:t>
            </w:r>
          </w:p>
        </w:tc>
        <w:tc>
          <w:tcPr>
            <w:tcW w:w="720" w:type="dxa"/>
            <w:tcBorders>
              <w:top w:val="single" w:sz="4" w:space="0" w:color="auto"/>
              <w:left w:val="nil"/>
              <w:bottom w:val="single" w:sz="4" w:space="0" w:color="auto"/>
              <w:right w:val="single" w:sz="4" w:space="0" w:color="auto"/>
            </w:tcBorders>
            <w:shd w:val="clear" w:color="auto" w:fill="auto"/>
            <w:textDirection w:val="tbRl"/>
            <w:vAlign w:val="center"/>
            <w:hideMark/>
          </w:tcPr>
          <w:p w14:paraId="7FF99592" w14:textId="77777777" w:rsidR="00022248" w:rsidRDefault="00022248" w:rsidP="00A80956">
            <w:pPr>
              <w:suppressAutoHyphens w:val="0"/>
              <w:spacing w:line="240" w:lineRule="auto"/>
              <w:jc w:val="center"/>
            </w:pPr>
            <w:r>
              <w:t>Number of blue</w:t>
            </w:r>
            <w:r>
              <w:br/>
              <w:t>cones/</w:t>
            </w:r>
            <w:r>
              <w:br/>
              <w:t>lights</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14:paraId="24EBF402" w14:textId="77777777" w:rsidR="00022248" w:rsidRDefault="00022248" w:rsidP="00A80956">
            <w:pPr>
              <w:suppressAutoHyphens w:val="0"/>
              <w:spacing w:line="240" w:lineRule="auto"/>
              <w:jc w:val="center"/>
            </w:pPr>
            <w:r>
              <w:t>Remarks</w:t>
            </w:r>
          </w:p>
        </w:tc>
      </w:tr>
      <w:tr w:rsidR="00022248" w:rsidRPr="00406418" w14:paraId="3129FC48" w14:textId="77777777" w:rsidTr="00A80956">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ACC5E33" w14:textId="77777777" w:rsidR="00022248" w:rsidRDefault="00022248" w:rsidP="00A80956">
            <w:pPr>
              <w:suppressAutoHyphens w:val="0"/>
              <w:spacing w:line="240" w:lineRule="auto"/>
              <w:jc w:val="center"/>
            </w:pPr>
            <w:r>
              <w:t> </w:t>
            </w:r>
          </w:p>
        </w:tc>
        <w:tc>
          <w:tcPr>
            <w:tcW w:w="2256" w:type="dxa"/>
            <w:tcBorders>
              <w:top w:val="nil"/>
              <w:left w:val="nil"/>
              <w:bottom w:val="single" w:sz="4" w:space="0" w:color="auto"/>
              <w:right w:val="single" w:sz="4" w:space="0" w:color="auto"/>
            </w:tcBorders>
            <w:shd w:val="clear" w:color="auto" w:fill="auto"/>
            <w:vAlign w:val="bottom"/>
            <w:hideMark/>
          </w:tcPr>
          <w:p w14:paraId="2D469A2D" w14:textId="77777777" w:rsidR="00022248" w:rsidRDefault="00022248" w:rsidP="00A80956">
            <w:pPr>
              <w:suppressAutoHyphens w:val="0"/>
              <w:spacing w:line="240" w:lineRule="auto"/>
              <w:jc w:val="center"/>
            </w:pPr>
            <w:r>
              <w:t>3.1.2</w:t>
            </w:r>
          </w:p>
        </w:tc>
        <w:tc>
          <w:tcPr>
            <w:tcW w:w="567" w:type="dxa"/>
            <w:tcBorders>
              <w:top w:val="nil"/>
              <w:left w:val="nil"/>
              <w:bottom w:val="single" w:sz="4" w:space="0" w:color="auto"/>
              <w:right w:val="single" w:sz="4" w:space="0" w:color="auto"/>
            </w:tcBorders>
            <w:shd w:val="clear" w:color="auto" w:fill="auto"/>
            <w:vAlign w:val="center"/>
            <w:hideMark/>
          </w:tcPr>
          <w:p w14:paraId="08958D6A" w14:textId="77777777" w:rsidR="00022248" w:rsidRDefault="00022248" w:rsidP="00A80956">
            <w:pPr>
              <w:suppressAutoHyphens w:val="0"/>
              <w:spacing w:line="240" w:lineRule="auto"/>
              <w:jc w:val="center"/>
            </w:pPr>
            <w:r>
              <w:t>2.2</w:t>
            </w:r>
          </w:p>
        </w:tc>
        <w:tc>
          <w:tcPr>
            <w:tcW w:w="708" w:type="dxa"/>
            <w:tcBorders>
              <w:top w:val="nil"/>
              <w:left w:val="nil"/>
              <w:bottom w:val="single" w:sz="4" w:space="0" w:color="auto"/>
              <w:right w:val="single" w:sz="4" w:space="0" w:color="auto"/>
            </w:tcBorders>
            <w:shd w:val="clear" w:color="auto" w:fill="auto"/>
            <w:vAlign w:val="center"/>
            <w:hideMark/>
          </w:tcPr>
          <w:p w14:paraId="6C5EBF8C" w14:textId="77777777" w:rsidR="00022248" w:rsidRDefault="00022248" w:rsidP="00A80956">
            <w:pPr>
              <w:suppressAutoHyphens w:val="0"/>
              <w:spacing w:line="240" w:lineRule="auto"/>
              <w:jc w:val="center"/>
            </w:pPr>
            <w:r>
              <w:t>2.2</w:t>
            </w:r>
          </w:p>
        </w:tc>
        <w:tc>
          <w:tcPr>
            <w:tcW w:w="709" w:type="dxa"/>
            <w:tcBorders>
              <w:top w:val="nil"/>
              <w:left w:val="nil"/>
              <w:bottom w:val="single" w:sz="4" w:space="0" w:color="auto"/>
              <w:right w:val="single" w:sz="4" w:space="0" w:color="auto"/>
            </w:tcBorders>
            <w:shd w:val="clear" w:color="auto" w:fill="auto"/>
            <w:vAlign w:val="center"/>
            <w:hideMark/>
          </w:tcPr>
          <w:p w14:paraId="09E745DD" w14:textId="77777777" w:rsidR="00022248" w:rsidRDefault="00022248" w:rsidP="00A80956">
            <w:pPr>
              <w:suppressAutoHyphens w:val="0"/>
              <w:spacing w:line="240" w:lineRule="auto"/>
              <w:jc w:val="center"/>
            </w:pPr>
            <w:r>
              <w:t>2.1.1.3</w:t>
            </w:r>
          </w:p>
        </w:tc>
        <w:tc>
          <w:tcPr>
            <w:tcW w:w="567" w:type="dxa"/>
            <w:tcBorders>
              <w:top w:val="nil"/>
              <w:left w:val="nil"/>
              <w:bottom w:val="single" w:sz="4" w:space="0" w:color="auto"/>
              <w:right w:val="single" w:sz="4" w:space="0" w:color="auto"/>
            </w:tcBorders>
            <w:shd w:val="clear" w:color="auto" w:fill="auto"/>
            <w:vAlign w:val="center"/>
            <w:hideMark/>
          </w:tcPr>
          <w:p w14:paraId="086FE743" w14:textId="77777777" w:rsidR="00022248" w:rsidRDefault="00022248" w:rsidP="00A80956">
            <w:pPr>
              <w:suppressAutoHyphens w:val="0"/>
              <w:spacing w:line="240" w:lineRule="auto"/>
              <w:jc w:val="center"/>
            </w:pPr>
            <w:r>
              <w:t>5.2.2</w:t>
            </w:r>
          </w:p>
        </w:tc>
        <w:tc>
          <w:tcPr>
            <w:tcW w:w="709" w:type="dxa"/>
            <w:tcBorders>
              <w:top w:val="nil"/>
              <w:left w:val="nil"/>
              <w:bottom w:val="single" w:sz="4" w:space="0" w:color="auto"/>
              <w:right w:val="single" w:sz="4" w:space="0" w:color="auto"/>
            </w:tcBorders>
            <w:shd w:val="clear" w:color="auto" w:fill="auto"/>
            <w:vAlign w:val="center"/>
            <w:hideMark/>
          </w:tcPr>
          <w:p w14:paraId="48079CC1" w14:textId="77777777" w:rsidR="00022248" w:rsidRDefault="00022248" w:rsidP="00A80956">
            <w:pPr>
              <w:suppressAutoHyphens w:val="0"/>
              <w:spacing w:line="240" w:lineRule="auto"/>
              <w:jc w:val="center"/>
            </w:pPr>
            <w:r>
              <w:t>3.3</w:t>
            </w:r>
          </w:p>
        </w:tc>
        <w:tc>
          <w:tcPr>
            <w:tcW w:w="709" w:type="dxa"/>
            <w:tcBorders>
              <w:top w:val="nil"/>
              <w:left w:val="nil"/>
              <w:bottom w:val="single" w:sz="4" w:space="0" w:color="auto"/>
              <w:right w:val="single" w:sz="4" w:space="0" w:color="auto"/>
            </w:tcBorders>
            <w:shd w:val="clear" w:color="auto" w:fill="auto"/>
            <w:vAlign w:val="center"/>
            <w:hideMark/>
          </w:tcPr>
          <w:p w14:paraId="6715606B" w14:textId="77777777" w:rsidR="00022248" w:rsidRDefault="00022248" w:rsidP="00A80956">
            <w:pPr>
              <w:suppressAutoHyphens w:val="0"/>
              <w:spacing w:line="240" w:lineRule="auto"/>
              <w:jc w:val="center"/>
            </w:pPr>
            <w:r>
              <w:t>3.4</w:t>
            </w:r>
          </w:p>
        </w:tc>
        <w:tc>
          <w:tcPr>
            <w:tcW w:w="630" w:type="dxa"/>
            <w:tcBorders>
              <w:top w:val="nil"/>
              <w:left w:val="nil"/>
              <w:bottom w:val="single" w:sz="4" w:space="0" w:color="auto"/>
              <w:right w:val="single" w:sz="4" w:space="0" w:color="auto"/>
            </w:tcBorders>
            <w:shd w:val="clear" w:color="auto" w:fill="auto"/>
            <w:vAlign w:val="center"/>
            <w:hideMark/>
          </w:tcPr>
          <w:p w14:paraId="3A20CD93" w14:textId="77777777" w:rsidR="00022248" w:rsidRDefault="00022248" w:rsidP="00A80956">
            <w:pPr>
              <w:suppressAutoHyphens w:val="0"/>
              <w:spacing w:line="240" w:lineRule="auto"/>
              <w:jc w:val="center"/>
            </w:pPr>
            <w:r>
              <w:t>3.5.1.2</w:t>
            </w:r>
          </w:p>
        </w:tc>
        <w:tc>
          <w:tcPr>
            <w:tcW w:w="799" w:type="dxa"/>
            <w:tcBorders>
              <w:top w:val="nil"/>
              <w:left w:val="nil"/>
              <w:bottom w:val="single" w:sz="4" w:space="0" w:color="auto"/>
              <w:right w:val="single" w:sz="4" w:space="0" w:color="auto"/>
            </w:tcBorders>
            <w:shd w:val="clear" w:color="auto" w:fill="auto"/>
            <w:hideMark/>
          </w:tcPr>
          <w:p w14:paraId="177B5F0A" w14:textId="77777777" w:rsidR="00022248" w:rsidRDefault="00022248" w:rsidP="00A80956">
            <w:pPr>
              <w:suppressAutoHyphens w:val="0"/>
              <w:spacing w:line="240" w:lineRule="auto"/>
              <w:jc w:val="center"/>
            </w:pPr>
            <w:r>
              <w:t>3.2.1</w:t>
            </w:r>
          </w:p>
        </w:tc>
        <w:tc>
          <w:tcPr>
            <w:tcW w:w="709" w:type="dxa"/>
            <w:tcBorders>
              <w:top w:val="nil"/>
              <w:left w:val="nil"/>
              <w:bottom w:val="single" w:sz="4" w:space="0" w:color="auto"/>
              <w:right w:val="single" w:sz="4" w:space="0" w:color="auto"/>
            </w:tcBorders>
            <w:shd w:val="clear" w:color="auto" w:fill="auto"/>
            <w:vAlign w:val="center"/>
            <w:hideMark/>
          </w:tcPr>
          <w:p w14:paraId="72F9C5EA" w14:textId="77777777" w:rsidR="00022248" w:rsidRDefault="00022248" w:rsidP="00A80956">
            <w:pPr>
              <w:suppressAutoHyphens w:val="0"/>
              <w:spacing w:line="240" w:lineRule="auto"/>
              <w:jc w:val="center"/>
            </w:pPr>
            <w:r>
              <w:t>8.1.5</w:t>
            </w:r>
          </w:p>
        </w:tc>
        <w:tc>
          <w:tcPr>
            <w:tcW w:w="567" w:type="dxa"/>
            <w:tcBorders>
              <w:top w:val="nil"/>
              <w:left w:val="nil"/>
              <w:bottom w:val="single" w:sz="4" w:space="0" w:color="auto"/>
              <w:right w:val="single" w:sz="4" w:space="0" w:color="auto"/>
            </w:tcBorders>
            <w:shd w:val="clear" w:color="auto" w:fill="auto"/>
            <w:vAlign w:val="center"/>
            <w:hideMark/>
          </w:tcPr>
          <w:p w14:paraId="732AA68E" w14:textId="77777777" w:rsidR="00022248" w:rsidRDefault="00022248" w:rsidP="00A80956">
            <w:pPr>
              <w:suppressAutoHyphens w:val="0"/>
              <w:spacing w:line="240" w:lineRule="auto"/>
              <w:jc w:val="center"/>
            </w:pPr>
            <w:r>
              <w:t>7.1.6</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46447BDD" w14:textId="77777777" w:rsidR="00022248" w:rsidRDefault="00022248" w:rsidP="00A80956">
            <w:pPr>
              <w:suppressAutoHyphens w:val="0"/>
              <w:spacing w:line="240" w:lineRule="auto"/>
              <w:jc w:val="center"/>
            </w:pPr>
            <w:r>
              <w:t>7.1.6</w:t>
            </w:r>
          </w:p>
        </w:tc>
        <w:tc>
          <w:tcPr>
            <w:tcW w:w="720" w:type="dxa"/>
            <w:tcBorders>
              <w:top w:val="nil"/>
              <w:left w:val="nil"/>
              <w:bottom w:val="single" w:sz="4" w:space="0" w:color="auto"/>
              <w:right w:val="single" w:sz="4" w:space="0" w:color="auto"/>
            </w:tcBorders>
            <w:shd w:val="clear" w:color="auto" w:fill="auto"/>
            <w:noWrap/>
            <w:vAlign w:val="bottom"/>
            <w:hideMark/>
          </w:tcPr>
          <w:p w14:paraId="4C50A4E0" w14:textId="77777777" w:rsidR="00022248" w:rsidRDefault="00022248" w:rsidP="00A80956">
            <w:pPr>
              <w:suppressAutoHyphens w:val="0"/>
              <w:spacing w:line="240" w:lineRule="auto"/>
              <w:jc w:val="center"/>
            </w:pPr>
            <w:r>
              <w:t>7.1.5</w:t>
            </w:r>
          </w:p>
        </w:tc>
        <w:tc>
          <w:tcPr>
            <w:tcW w:w="1543" w:type="dxa"/>
            <w:tcBorders>
              <w:top w:val="nil"/>
              <w:left w:val="nil"/>
              <w:bottom w:val="single" w:sz="4" w:space="0" w:color="auto"/>
              <w:right w:val="single" w:sz="4" w:space="0" w:color="auto"/>
            </w:tcBorders>
            <w:shd w:val="clear" w:color="auto" w:fill="auto"/>
            <w:vAlign w:val="center"/>
            <w:hideMark/>
          </w:tcPr>
          <w:p w14:paraId="4CD20C2D" w14:textId="77777777" w:rsidR="00022248" w:rsidRDefault="00022248" w:rsidP="00A80956">
            <w:pPr>
              <w:suppressAutoHyphens w:val="0"/>
              <w:spacing w:line="240" w:lineRule="auto"/>
              <w:jc w:val="center"/>
            </w:pPr>
            <w:r>
              <w:t>3.2.1</w:t>
            </w:r>
          </w:p>
        </w:tc>
      </w:tr>
      <w:tr w:rsidR="00022248" w:rsidRPr="00406418" w14:paraId="14D3E694" w14:textId="77777777" w:rsidTr="00A80956">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14:paraId="32C01925" w14:textId="77777777" w:rsidR="00022248" w:rsidRDefault="00022248" w:rsidP="00A80956">
            <w:pPr>
              <w:suppressAutoHyphens w:val="0"/>
              <w:spacing w:line="240" w:lineRule="auto"/>
              <w:jc w:val="center"/>
            </w:pPr>
            <w:r>
              <w:t>(1)</w:t>
            </w:r>
          </w:p>
        </w:tc>
        <w:tc>
          <w:tcPr>
            <w:tcW w:w="2256" w:type="dxa"/>
            <w:tcBorders>
              <w:top w:val="nil"/>
              <w:left w:val="nil"/>
              <w:bottom w:val="single" w:sz="4" w:space="0" w:color="auto"/>
              <w:right w:val="single" w:sz="4" w:space="0" w:color="auto"/>
            </w:tcBorders>
            <w:shd w:val="clear" w:color="auto" w:fill="auto"/>
            <w:vAlign w:val="bottom"/>
            <w:hideMark/>
          </w:tcPr>
          <w:p w14:paraId="0E9162C2" w14:textId="77777777" w:rsidR="00022248" w:rsidRDefault="00022248" w:rsidP="00A80956">
            <w:pPr>
              <w:suppressAutoHyphens w:val="0"/>
              <w:spacing w:line="240" w:lineRule="auto"/>
              <w:jc w:val="center"/>
            </w:pPr>
            <w:r>
              <w:t>(2)</w:t>
            </w:r>
          </w:p>
        </w:tc>
        <w:tc>
          <w:tcPr>
            <w:tcW w:w="567" w:type="dxa"/>
            <w:tcBorders>
              <w:top w:val="nil"/>
              <w:left w:val="nil"/>
              <w:bottom w:val="single" w:sz="4" w:space="0" w:color="auto"/>
              <w:right w:val="single" w:sz="4" w:space="0" w:color="auto"/>
            </w:tcBorders>
            <w:shd w:val="clear" w:color="auto" w:fill="auto"/>
            <w:hideMark/>
          </w:tcPr>
          <w:p w14:paraId="7A86566F" w14:textId="77777777" w:rsidR="00022248" w:rsidRDefault="00022248" w:rsidP="00A80956">
            <w:pPr>
              <w:suppressAutoHyphens w:val="0"/>
              <w:spacing w:line="240" w:lineRule="auto"/>
              <w:jc w:val="center"/>
            </w:pPr>
            <w:r>
              <w:t>(3a)</w:t>
            </w:r>
          </w:p>
        </w:tc>
        <w:tc>
          <w:tcPr>
            <w:tcW w:w="708" w:type="dxa"/>
            <w:tcBorders>
              <w:top w:val="nil"/>
              <w:left w:val="nil"/>
              <w:bottom w:val="single" w:sz="4" w:space="0" w:color="auto"/>
              <w:right w:val="single" w:sz="4" w:space="0" w:color="auto"/>
            </w:tcBorders>
            <w:shd w:val="clear" w:color="auto" w:fill="auto"/>
            <w:hideMark/>
          </w:tcPr>
          <w:p w14:paraId="0EAED5BD" w14:textId="77777777" w:rsidR="00022248" w:rsidRDefault="00022248" w:rsidP="00A80956">
            <w:pPr>
              <w:suppressAutoHyphens w:val="0"/>
              <w:spacing w:line="240" w:lineRule="auto"/>
              <w:jc w:val="center"/>
            </w:pPr>
            <w:r>
              <w:t>(3b)</w:t>
            </w:r>
          </w:p>
        </w:tc>
        <w:tc>
          <w:tcPr>
            <w:tcW w:w="709" w:type="dxa"/>
            <w:tcBorders>
              <w:top w:val="nil"/>
              <w:left w:val="nil"/>
              <w:bottom w:val="single" w:sz="4" w:space="0" w:color="auto"/>
              <w:right w:val="single" w:sz="4" w:space="0" w:color="auto"/>
            </w:tcBorders>
            <w:shd w:val="clear" w:color="auto" w:fill="auto"/>
            <w:hideMark/>
          </w:tcPr>
          <w:p w14:paraId="644A7F69" w14:textId="77777777" w:rsidR="00022248" w:rsidRDefault="00022248" w:rsidP="00A80956">
            <w:pPr>
              <w:suppressAutoHyphens w:val="0"/>
              <w:spacing w:line="240" w:lineRule="auto"/>
              <w:jc w:val="center"/>
            </w:pPr>
            <w:r>
              <w:t>(4)</w:t>
            </w:r>
          </w:p>
        </w:tc>
        <w:tc>
          <w:tcPr>
            <w:tcW w:w="567" w:type="dxa"/>
            <w:tcBorders>
              <w:top w:val="nil"/>
              <w:left w:val="nil"/>
              <w:bottom w:val="single" w:sz="4" w:space="0" w:color="auto"/>
              <w:right w:val="single" w:sz="4" w:space="0" w:color="auto"/>
            </w:tcBorders>
            <w:shd w:val="clear" w:color="auto" w:fill="auto"/>
            <w:hideMark/>
          </w:tcPr>
          <w:p w14:paraId="1906D17D" w14:textId="77777777" w:rsidR="00022248" w:rsidRDefault="00022248" w:rsidP="00A80956">
            <w:pPr>
              <w:suppressAutoHyphens w:val="0"/>
              <w:spacing w:line="240" w:lineRule="auto"/>
              <w:jc w:val="center"/>
            </w:pPr>
            <w:r>
              <w:t>(5)</w:t>
            </w:r>
          </w:p>
        </w:tc>
        <w:tc>
          <w:tcPr>
            <w:tcW w:w="709" w:type="dxa"/>
            <w:tcBorders>
              <w:top w:val="nil"/>
              <w:left w:val="nil"/>
              <w:bottom w:val="single" w:sz="4" w:space="0" w:color="auto"/>
              <w:right w:val="single" w:sz="4" w:space="0" w:color="auto"/>
            </w:tcBorders>
            <w:shd w:val="clear" w:color="auto" w:fill="auto"/>
            <w:hideMark/>
          </w:tcPr>
          <w:p w14:paraId="359F62EE" w14:textId="77777777" w:rsidR="00022248" w:rsidRDefault="00022248" w:rsidP="00A80956">
            <w:pPr>
              <w:suppressAutoHyphens w:val="0"/>
              <w:spacing w:line="240" w:lineRule="auto"/>
              <w:jc w:val="center"/>
            </w:pPr>
            <w:r>
              <w:t>(6)</w:t>
            </w:r>
          </w:p>
        </w:tc>
        <w:tc>
          <w:tcPr>
            <w:tcW w:w="709" w:type="dxa"/>
            <w:tcBorders>
              <w:top w:val="nil"/>
              <w:left w:val="nil"/>
              <w:bottom w:val="single" w:sz="4" w:space="0" w:color="auto"/>
              <w:right w:val="single" w:sz="4" w:space="0" w:color="auto"/>
            </w:tcBorders>
            <w:shd w:val="clear" w:color="auto" w:fill="auto"/>
            <w:hideMark/>
          </w:tcPr>
          <w:p w14:paraId="3EA318FB" w14:textId="77777777" w:rsidR="00022248" w:rsidRDefault="00022248" w:rsidP="00A80956">
            <w:pPr>
              <w:suppressAutoHyphens w:val="0"/>
              <w:spacing w:line="240" w:lineRule="auto"/>
              <w:jc w:val="center"/>
            </w:pPr>
            <w:r>
              <w:t>(7a)</w:t>
            </w:r>
          </w:p>
        </w:tc>
        <w:tc>
          <w:tcPr>
            <w:tcW w:w="630" w:type="dxa"/>
            <w:tcBorders>
              <w:top w:val="nil"/>
              <w:left w:val="nil"/>
              <w:bottom w:val="single" w:sz="4" w:space="0" w:color="auto"/>
              <w:right w:val="single" w:sz="4" w:space="0" w:color="auto"/>
            </w:tcBorders>
            <w:shd w:val="clear" w:color="auto" w:fill="auto"/>
            <w:hideMark/>
          </w:tcPr>
          <w:p w14:paraId="12022AD4" w14:textId="77777777" w:rsidR="00022248" w:rsidRDefault="00022248" w:rsidP="00A80956">
            <w:pPr>
              <w:suppressAutoHyphens w:val="0"/>
              <w:spacing w:line="240" w:lineRule="auto"/>
              <w:jc w:val="center"/>
            </w:pPr>
            <w:r>
              <w:t>(7b)</w:t>
            </w:r>
          </w:p>
        </w:tc>
        <w:tc>
          <w:tcPr>
            <w:tcW w:w="799" w:type="dxa"/>
            <w:tcBorders>
              <w:top w:val="nil"/>
              <w:left w:val="nil"/>
              <w:bottom w:val="single" w:sz="4" w:space="0" w:color="auto"/>
              <w:right w:val="single" w:sz="4" w:space="0" w:color="auto"/>
            </w:tcBorders>
            <w:shd w:val="clear" w:color="auto" w:fill="auto"/>
            <w:hideMark/>
          </w:tcPr>
          <w:p w14:paraId="7831D217" w14:textId="77777777" w:rsidR="00022248" w:rsidRDefault="00022248" w:rsidP="00A80956">
            <w:pPr>
              <w:suppressAutoHyphens w:val="0"/>
              <w:spacing w:line="240" w:lineRule="auto"/>
              <w:jc w:val="center"/>
            </w:pPr>
            <w:r>
              <w:t>(8)</w:t>
            </w:r>
          </w:p>
        </w:tc>
        <w:tc>
          <w:tcPr>
            <w:tcW w:w="709" w:type="dxa"/>
            <w:tcBorders>
              <w:top w:val="nil"/>
              <w:left w:val="nil"/>
              <w:bottom w:val="single" w:sz="4" w:space="0" w:color="auto"/>
              <w:right w:val="single" w:sz="4" w:space="0" w:color="auto"/>
            </w:tcBorders>
            <w:shd w:val="clear" w:color="auto" w:fill="auto"/>
            <w:hideMark/>
          </w:tcPr>
          <w:p w14:paraId="2A55BCB6" w14:textId="77777777" w:rsidR="00022248" w:rsidRDefault="00022248" w:rsidP="00A80956">
            <w:pPr>
              <w:suppressAutoHyphens w:val="0"/>
              <w:spacing w:line="240" w:lineRule="auto"/>
              <w:jc w:val="center"/>
            </w:pPr>
            <w:r>
              <w:t>(9)</w:t>
            </w:r>
          </w:p>
        </w:tc>
        <w:tc>
          <w:tcPr>
            <w:tcW w:w="567" w:type="dxa"/>
            <w:tcBorders>
              <w:top w:val="nil"/>
              <w:left w:val="nil"/>
              <w:bottom w:val="single" w:sz="4" w:space="0" w:color="auto"/>
              <w:right w:val="single" w:sz="4" w:space="0" w:color="auto"/>
            </w:tcBorders>
            <w:shd w:val="clear" w:color="auto" w:fill="auto"/>
            <w:hideMark/>
          </w:tcPr>
          <w:p w14:paraId="36354B70" w14:textId="77777777" w:rsidR="00022248" w:rsidRDefault="00022248" w:rsidP="00A80956">
            <w:pPr>
              <w:suppressAutoHyphens w:val="0"/>
              <w:spacing w:line="240" w:lineRule="auto"/>
              <w:jc w:val="center"/>
            </w:pPr>
            <w:r>
              <w:t>(10)</w:t>
            </w:r>
          </w:p>
        </w:tc>
        <w:tc>
          <w:tcPr>
            <w:tcW w:w="2410" w:type="dxa"/>
            <w:tcBorders>
              <w:top w:val="single" w:sz="4" w:space="0" w:color="auto"/>
              <w:left w:val="nil"/>
              <w:bottom w:val="single" w:sz="4" w:space="0" w:color="auto"/>
              <w:right w:val="single" w:sz="4" w:space="0" w:color="auto"/>
            </w:tcBorders>
            <w:shd w:val="clear" w:color="auto" w:fill="auto"/>
            <w:hideMark/>
          </w:tcPr>
          <w:p w14:paraId="359BDFCE" w14:textId="77777777" w:rsidR="00022248" w:rsidRDefault="00022248" w:rsidP="00A80956">
            <w:pPr>
              <w:suppressAutoHyphens w:val="0"/>
              <w:spacing w:line="240" w:lineRule="auto"/>
              <w:jc w:val="center"/>
            </w:pPr>
            <w:r>
              <w:t>(11)</w:t>
            </w:r>
          </w:p>
        </w:tc>
        <w:tc>
          <w:tcPr>
            <w:tcW w:w="720" w:type="dxa"/>
            <w:tcBorders>
              <w:top w:val="nil"/>
              <w:left w:val="nil"/>
              <w:bottom w:val="single" w:sz="4" w:space="0" w:color="auto"/>
              <w:right w:val="single" w:sz="4" w:space="0" w:color="auto"/>
            </w:tcBorders>
            <w:shd w:val="clear" w:color="auto" w:fill="auto"/>
            <w:hideMark/>
          </w:tcPr>
          <w:p w14:paraId="37E5ACB1" w14:textId="77777777" w:rsidR="00022248" w:rsidRDefault="00022248" w:rsidP="00A80956">
            <w:pPr>
              <w:suppressAutoHyphens w:val="0"/>
              <w:spacing w:line="240" w:lineRule="auto"/>
              <w:jc w:val="center"/>
            </w:pPr>
            <w:r>
              <w:t>(12)</w:t>
            </w:r>
          </w:p>
        </w:tc>
        <w:tc>
          <w:tcPr>
            <w:tcW w:w="1543" w:type="dxa"/>
            <w:tcBorders>
              <w:top w:val="nil"/>
              <w:left w:val="nil"/>
              <w:bottom w:val="single" w:sz="4" w:space="0" w:color="auto"/>
              <w:right w:val="single" w:sz="4" w:space="0" w:color="auto"/>
            </w:tcBorders>
            <w:shd w:val="clear" w:color="auto" w:fill="auto"/>
            <w:hideMark/>
          </w:tcPr>
          <w:p w14:paraId="011EC764" w14:textId="77777777" w:rsidR="00022248" w:rsidRDefault="00022248" w:rsidP="00A80956">
            <w:pPr>
              <w:suppressAutoHyphens w:val="0"/>
              <w:spacing w:line="240" w:lineRule="auto"/>
              <w:jc w:val="center"/>
            </w:pPr>
            <w:r>
              <w:t>(13)</w:t>
            </w:r>
          </w:p>
        </w:tc>
      </w:tr>
      <w:tr w:rsidR="00022248" w:rsidRPr="00406418" w14:paraId="718B3920" w14:textId="77777777" w:rsidTr="00A80956">
        <w:trPr>
          <w:trHeight w:val="732"/>
        </w:trPr>
        <w:tc>
          <w:tcPr>
            <w:tcW w:w="851" w:type="dxa"/>
            <w:tcBorders>
              <w:top w:val="nil"/>
              <w:left w:val="single" w:sz="4" w:space="0" w:color="auto"/>
              <w:bottom w:val="single" w:sz="4" w:space="0" w:color="auto"/>
              <w:right w:val="single" w:sz="4" w:space="0" w:color="auto"/>
            </w:tcBorders>
            <w:shd w:val="clear" w:color="auto" w:fill="auto"/>
            <w:noWrap/>
            <w:hideMark/>
          </w:tcPr>
          <w:p w14:paraId="2041656E" w14:textId="77777777" w:rsidR="00022248" w:rsidRDefault="00022248" w:rsidP="00A80956">
            <w:pPr>
              <w:suppressAutoHyphens w:val="0"/>
              <w:spacing w:line="240" w:lineRule="auto"/>
              <w:jc w:val="center"/>
            </w:pPr>
            <w:r>
              <w:t>9007</w:t>
            </w:r>
          </w:p>
        </w:tc>
        <w:tc>
          <w:tcPr>
            <w:tcW w:w="2256" w:type="dxa"/>
            <w:tcBorders>
              <w:top w:val="nil"/>
              <w:left w:val="nil"/>
              <w:bottom w:val="single" w:sz="4" w:space="0" w:color="auto"/>
              <w:right w:val="single" w:sz="4" w:space="0" w:color="auto"/>
            </w:tcBorders>
            <w:shd w:val="clear" w:color="auto" w:fill="auto"/>
            <w:hideMark/>
          </w:tcPr>
          <w:p w14:paraId="07DCEBA4" w14:textId="77777777" w:rsidR="00022248" w:rsidRDefault="00022248" w:rsidP="00A80956">
            <w:pPr>
              <w:suppressAutoHyphens w:val="0"/>
              <w:spacing w:line="240" w:lineRule="auto"/>
              <w:jc w:val="center"/>
            </w:pPr>
            <w:r>
              <w:t>FUMIGATED CARGO</w:t>
            </w:r>
          </w:p>
        </w:tc>
        <w:tc>
          <w:tcPr>
            <w:tcW w:w="567" w:type="dxa"/>
            <w:tcBorders>
              <w:top w:val="nil"/>
              <w:left w:val="nil"/>
              <w:bottom w:val="single" w:sz="4" w:space="0" w:color="auto"/>
              <w:right w:val="single" w:sz="4" w:space="0" w:color="auto"/>
            </w:tcBorders>
            <w:shd w:val="clear" w:color="auto" w:fill="auto"/>
            <w:noWrap/>
            <w:hideMark/>
          </w:tcPr>
          <w:p w14:paraId="4148B706" w14:textId="77777777" w:rsidR="00022248" w:rsidRDefault="00022248" w:rsidP="00A80956">
            <w:pPr>
              <w:suppressAutoHyphens w:val="0"/>
              <w:spacing w:line="240" w:lineRule="auto"/>
              <w:jc w:val="center"/>
            </w:pPr>
            <w:r>
              <w:t>9</w:t>
            </w:r>
          </w:p>
        </w:tc>
        <w:tc>
          <w:tcPr>
            <w:tcW w:w="708" w:type="dxa"/>
            <w:tcBorders>
              <w:top w:val="nil"/>
              <w:left w:val="nil"/>
              <w:bottom w:val="single" w:sz="4" w:space="0" w:color="auto"/>
              <w:right w:val="single" w:sz="4" w:space="0" w:color="auto"/>
            </w:tcBorders>
            <w:shd w:val="clear" w:color="auto" w:fill="auto"/>
            <w:noWrap/>
            <w:hideMark/>
          </w:tcPr>
          <w:p w14:paraId="1DA24B78" w14:textId="77777777" w:rsidR="00022248" w:rsidRDefault="00022248" w:rsidP="00A80956">
            <w:pPr>
              <w:suppressAutoHyphens w:val="0"/>
              <w:spacing w:line="240" w:lineRule="auto"/>
              <w:jc w:val="center"/>
            </w:pPr>
            <w:r>
              <w:t>M11</w:t>
            </w:r>
          </w:p>
        </w:tc>
        <w:tc>
          <w:tcPr>
            <w:tcW w:w="709" w:type="dxa"/>
            <w:tcBorders>
              <w:top w:val="nil"/>
              <w:left w:val="nil"/>
              <w:bottom w:val="single" w:sz="4" w:space="0" w:color="auto"/>
              <w:right w:val="single" w:sz="4" w:space="0" w:color="auto"/>
            </w:tcBorders>
            <w:shd w:val="clear" w:color="auto" w:fill="auto"/>
            <w:noWrap/>
            <w:hideMark/>
          </w:tcPr>
          <w:p w14:paraId="7635F423" w14:textId="77777777" w:rsidR="00022248" w:rsidRDefault="00022248" w:rsidP="00A80956">
            <w:pPr>
              <w:suppressAutoHyphens w:val="0"/>
              <w:spacing w:line="240" w:lineRule="auto"/>
              <w:jc w:val="center"/>
              <w:rPr>
                <w:lang w:eastAsia="de-DE"/>
              </w:rPr>
            </w:pPr>
          </w:p>
        </w:tc>
        <w:tc>
          <w:tcPr>
            <w:tcW w:w="567" w:type="dxa"/>
            <w:tcBorders>
              <w:top w:val="nil"/>
              <w:left w:val="nil"/>
              <w:bottom w:val="single" w:sz="4" w:space="0" w:color="auto"/>
              <w:right w:val="single" w:sz="4" w:space="0" w:color="auto"/>
            </w:tcBorders>
            <w:shd w:val="clear" w:color="auto" w:fill="auto"/>
            <w:noWrap/>
            <w:hideMark/>
          </w:tcPr>
          <w:p w14:paraId="0EE3CFBD" w14:textId="77777777" w:rsidR="00022248" w:rsidRDefault="00022248" w:rsidP="00A80956">
            <w:pPr>
              <w:suppressAutoHyphens w:val="0"/>
              <w:spacing w:line="240" w:lineRule="auto"/>
              <w:jc w:val="center"/>
              <w:rPr>
                <w:lang w:eastAsia="de-DE"/>
              </w:rPr>
            </w:pPr>
          </w:p>
        </w:tc>
        <w:tc>
          <w:tcPr>
            <w:tcW w:w="709" w:type="dxa"/>
            <w:tcBorders>
              <w:top w:val="nil"/>
              <w:left w:val="nil"/>
              <w:bottom w:val="single" w:sz="4" w:space="0" w:color="auto"/>
              <w:right w:val="single" w:sz="4" w:space="0" w:color="auto"/>
            </w:tcBorders>
            <w:shd w:val="clear" w:color="auto" w:fill="auto"/>
            <w:noWrap/>
            <w:hideMark/>
          </w:tcPr>
          <w:p w14:paraId="54A54439" w14:textId="77777777" w:rsidR="00022248" w:rsidRDefault="00022248" w:rsidP="00A80956">
            <w:pPr>
              <w:suppressAutoHyphens w:val="0"/>
              <w:spacing w:line="240" w:lineRule="auto"/>
              <w:jc w:val="center"/>
            </w:pPr>
            <w:r>
              <w:t>804</w:t>
            </w:r>
          </w:p>
        </w:tc>
        <w:tc>
          <w:tcPr>
            <w:tcW w:w="709" w:type="dxa"/>
            <w:tcBorders>
              <w:top w:val="nil"/>
              <w:left w:val="nil"/>
              <w:bottom w:val="single" w:sz="4" w:space="0" w:color="auto"/>
              <w:right w:val="single" w:sz="4" w:space="0" w:color="auto"/>
            </w:tcBorders>
            <w:shd w:val="clear" w:color="auto" w:fill="auto"/>
            <w:noWrap/>
            <w:hideMark/>
          </w:tcPr>
          <w:p w14:paraId="6337323F" w14:textId="77777777" w:rsidR="00022248" w:rsidRDefault="00022248" w:rsidP="00A80956">
            <w:pPr>
              <w:suppressAutoHyphens w:val="0"/>
              <w:spacing w:line="240" w:lineRule="auto"/>
              <w:jc w:val="center"/>
              <w:rPr>
                <w:lang w:eastAsia="de-DE"/>
              </w:rPr>
            </w:pPr>
          </w:p>
        </w:tc>
        <w:tc>
          <w:tcPr>
            <w:tcW w:w="630" w:type="dxa"/>
            <w:tcBorders>
              <w:top w:val="nil"/>
              <w:left w:val="nil"/>
              <w:bottom w:val="single" w:sz="4" w:space="0" w:color="auto"/>
              <w:right w:val="single" w:sz="4" w:space="0" w:color="auto"/>
            </w:tcBorders>
            <w:shd w:val="clear" w:color="auto" w:fill="auto"/>
            <w:noWrap/>
            <w:hideMark/>
          </w:tcPr>
          <w:p w14:paraId="578F782C" w14:textId="77777777" w:rsidR="00022248" w:rsidRDefault="00022248" w:rsidP="00A80956">
            <w:pPr>
              <w:suppressAutoHyphens w:val="0"/>
              <w:spacing w:line="240" w:lineRule="auto"/>
              <w:jc w:val="center"/>
            </w:pPr>
            <w:r>
              <w:t>E0</w:t>
            </w:r>
          </w:p>
        </w:tc>
        <w:tc>
          <w:tcPr>
            <w:tcW w:w="799" w:type="dxa"/>
            <w:tcBorders>
              <w:top w:val="nil"/>
              <w:left w:val="nil"/>
              <w:bottom w:val="single" w:sz="4" w:space="0" w:color="auto"/>
              <w:right w:val="single" w:sz="4" w:space="0" w:color="auto"/>
            </w:tcBorders>
            <w:shd w:val="clear" w:color="auto" w:fill="auto"/>
            <w:noWrap/>
            <w:hideMark/>
          </w:tcPr>
          <w:p w14:paraId="36020F4B" w14:textId="77777777" w:rsidR="00022248" w:rsidRDefault="00022248" w:rsidP="00A80956">
            <w:pPr>
              <w:suppressAutoHyphens w:val="0"/>
              <w:spacing w:line="240" w:lineRule="auto"/>
              <w:jc w:val="center"/>
            </w:pPr>
            <w:r>
              <w:t>B</w:t>
            </w:r>
          </w:p>
        </w:tc>
        <w:tc>
          <w:tcPr>
            <w:tcW w:w="709" w:type="dxa"/>
            <w:tcBorders>
              <w:top w:val="nil"/>
              <w:left w:val="nil"/>
              <w:bottom w:val="single" w:sz="4" w:space="0" w:color="auto"/>
              <w:right w:val="single" w:sz="4" w:space="0" w:color="auto"/>
            </w:tcBorders>
            <w:shd w:val="clear" w:color="auto" w:fill="auto"/>
            <w:noWrap/>
            <w:hideMark/>
          </w:tcPr>
          <w:p w14:paraId="08118BE3" w14:textId="77777777" w:rsidR="00022248" w:rsidRDefault="00022248" w:rsidP="00A80956">
            <w:pPr>
              <w:suppressAutoHyphens w:val="0"/>
              <w:spacing w:line="240" w:lineRule="auto"/>
              <w:jc w:val="center"/>
              <w:rPr>
                <w:lang w:eastAsia="de-DE"/>
              </w:rPr>
            </w:pPr>
          </w:p>
        </w:tc>
        <w:tc>
          <w:tcPr>
            <w:tcW w:w="567" w:type="dxa"/>
            <w:tcBorders>
              <w:top w:val="nil"/>
              <w:left w:val="nil"/>
              <w:bottom w:val="single" w:sz="4" w:space="0" w:color="auto"/>
              <w:right w:val="single" w:sz="4" w:space="0" w:color="auto"/>
            </w:tcBorders>
            <w:shd w:val="clear" w:color="auto" w:fill="auto"/>
            <w:noWrap/>
            <w:hideMark/>
          </w:tcPr>
          <w:p w14:paraId="24303C90" w14:textId="77777777" w:rsidR="00022248" w:rsidRDefault="00022248" w:rsidP="00A80956">
            <w:pPr>
              <w:suppressAutoHyphens w:val="0"/>
              <w:spacing w:line="240" w:lineRule="auto"/>
              <w:jc w:val="center"/>
              <w:rPr>
                <w:lang w:eastAsia="de-DE"/>
              </w:rPr>
            </w:pPr>
          </w:p>
        </w:tc>
        <w:tc>
          <w:tcPr>
            <w:tcW w:w="2410" w:type="dxa"/>
            <w:tcBorders>
              <w:top w:val="nil"/>
              <w:left w:val="nil"/>
              <w:bottom w:val="single" w:sz="4" w:space="0" w:color="auto"/>
              <w:right w:val="single" w:sz="4" w:space="0" w:color="auto"/>
            </w:tcBorders>
            <w:shd w:val="clear" w:color="auto" w:fill="auto"/>
            <w:noWrap/>
            <w:hideMark/>
          </w:tcPr>
          <w:p w14:paraId="69902385" w14:textId="77777777" w:rsidR="00022248" w:rsidRDefault="00022248" w:rsidP="00A80956">
            <w:pPr>
              <w:suppressAutoHyphens w:val="0"/>
              <w:spacing w:line="240" w:lineRule="auto"/>
              <w:jc w:val="center"/>
              <w:rPr>
                <w:lang w:eastAsia="de-DE"/>
              </w:rPr>
            </w:pPr>
          </w:p>
        </w:tc>
        <w:tc>
          <w:tcPr>
            <w:tcW w:w="720" w:type="dxa"/>
            <w:tcBorders>
              <w:top w:val="nil"/>
              <w:left w:val="nil"/>
              <w:bottom w:val="single" w:sz="4" w:space="0" w:color="auto"/>
              <w:right w:val="single" w:sz="4" w:space="0" w:color="auto"/>
            </w:tcBorders>
            <w:shd w:val="clear" w:color="auto" w:fill="auto"/>
            <w:noWrap/>
            <w:hideMark/>
          </w:tcPr>
          <w:p w14:paraId="59AFA2E5" w14:textId="77777777" w:rsidR="00022248" w:rsidRDefault="00022248" w:rsidP="00A80956">
            <w:pPr>
              <w:suppressAutoHyphens w:val="0"/>
              <w:spacing w:line="240" w:lineRule="auto"/>
              <w:jc w:val="center"/>
              <w:rPr>
                <w:lang w:eastAsia="de-DE"/>
              </w:rPr>
            </w:pPr>
          </w:p>
        </w:tc>
        <w:tc>
          <w:tcPr>
            <w:tcW w:w="1543" w:type="dxa"/>
            <w:tcBorders>
              <w:top w:val="nil"/>
              <w:left w:val="nil"/>
              <w:bottom w:val="single" w:sz="4" w:space="0" w:color="auto"/>
              <w:right w:val="single" w:sz="4" w:space="0" w:color="auto"/>
            </w:tcBorders>
            <w:shd w:val="clear" w:color="auto" w:fill="auto"/>
            <w:noWrap/>
            <w:hideMark/>
          </w:tcPr>
          <w:p w14:paraId="42091584" w14:textId="77777777" w:rsidR="00022248" w:rsidRDefault="00022248" w:rsidP="00A80956">
            <w:pPr>
              <w:suppressAutoHyphens w:val="0"/>
              <w:spacing w:line="240" w:lineRule="auto"/>
              <w:jc w:val="center"/>
              <w:rPr>
                <w:lang w:eastAsia="de-DE"/>
              </w:rPr>
            </w:pPr>
          </w:p>
        </w:tc>
      </w:tr>
    </w:tbl>
    <w:p w14:paraId="42412258" w14:textId="5A9598F5" w:rsidR="00B13198" w:rsidRPr="00022248" w:rsidRDefault="00022248" w:rsidP="00022248">
      <w:pPr>
        <w:spacing w:before="240"/>
        <w:jc w:val="center"/>
        <w:rPr>
          <w:u w:val="single"/>
        </w:rPr>
      </w:pPr>
      <w:r>
        <w:rPr>
          <w:u w:val="single"/>
        </w:rPr>
        <w:tab/>
      </w:r>
      <w:r>
        <w:rPr>
          <w:u w:val="single"/>
        </w:rPr>
        <w:tab/>
      </w:r>
      <w:r>
        <w:rPr>
          <w:u w:val="single"/>
        </w:rPr>
        <w:tab/>
      </w:r>
    </w:p>
    <w:sectPr w:rsidR="00B13198" w:rsidRPr="00022248" w:rsidSect="00BF5928">
      <w:headerReference w:type="even" r:id="rId15"/>
      <w:headerReference w:type="default" r:id="rId16"/>
      <w:footerReference w:type="even" r:id="rId17"/>
      <w:footerReference w:type="default" r:id="rId18"/>
      <w:endnotePr>
        <w:numFmt w:val="decimal"/>
      </w:endnotePr>
      <w:pgSz w:w="16840" w:h="11907" w:orient="landscape" w:code="9"/>
      <w:pgMar w:top="1134" w:right="1417" w:bottom="1134"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394C1" w14:textId="77777777" w:rsidR="00731C20" w:rsidRDefault="00731C20"/>
  </w:endnote>
  <w:endnote w:type="continuationSeparator" w:id="0">
    <w:p w14:paraId="57D4BBB1" w14:textId="77777777" w:rsidR="00731C20" w:rsidRDefault="00731C20"/>
  </w:endnote>
  <w:endnote w:type="continuationNotice" w:id="1">
    <w:p w14:paraId="5D05E399" w14:textId="77777777" w:rsidR="00731C20" w:rsidRDefault="00731C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4A59" w14:textId="77777777" w:rsidR="00335B02" w:rsidRPr="00335B02" w:rsidRDefault="00335B02" w:rsidP="00335B02">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noProof/>
        <w:sz w:val="18"/>
      </w:rPr>
      <w:t>4</w:t>
    </w:r>
    <w:r>
      <w:rPr>
        <w:b/>
        <w:sz w:val="18"/>
      </w:rPr>
      <w:fldChar w:fldCharType="end"/>
    </w:r>
    <w:r>
      <w:rPr>
        <w:b/>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2032" w14:textId="77777777" w:rsidR="00335B02" w:rsidRPr="00335B02" w:rsidRDefault="00335B02" w:rsidP="00335B02">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noProof/>
        <w:sz w:val="18"/>
      </w:rPr>
      <w:t>5</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C741" w14:textId="164AFDD1" w:rsidR="00BF5928" w:rsidRPr="00BF5928" w:rsidRDefault="00BF5928" w:rsidP="00BF59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BD0DC" w14:textId="0826B498" w:rsidR="00BF5928" w:rsidRPr="00BF5928" w:rsidRDefault="00BF5928" w:rsidP="00BF5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4692B" w14:textId="77777777" w:rsidR="00731C20" w:rsidRPr="000B175B" w:rsidRDefault="00731C20" w:rsidP="000B175B">
      <w:pPr>
        <w:tabs>
          <w:tab w:val="right" w:pos="2155"/>
        </w:tabs>
        <w:spacing w:after="80"/>
        <w:ind w:left="680"/>
        <w:rPr>
          <w:u w:val="single"/>
        </w:rPr>
      </w:pPr>
      <w:r>
        <w:rPr>
          <w:u w:val="single"/>
        </w:rPr>
        <w:tab/>
      </w:r>
    </w:p>
  </w:footnote>
  <w:footnote w:type="continuationSeparator" w:id="0">
    <w:p w14:paraId="548CA072" w14:textId="77777777" w:rsidR="00731C20" w:rsidRPr="00FC68B7" w:rsidRDefault="00731C20" w:rsidP="00FC68B7">
      <w:pPr>
        <w:tabs>
          <w:tab w:val="left" w:pos="2155"/>
        </w:tabs>
        <w:spacing w:after="80"/>
        <w:ind w:left="680"/>
        <w:rPr>
          <w:u w:val="single"/>
        </w:rPr>
      </w:pPr>
      <w:r>
        <w:rPr>
          <w:u w:val="single"/>
        </w:rPr>
        <w:tab/>
      </w:r>
    </w:p>
  </w:footnote>
  <w:footnote w:type="continuationNotice" w:id="1">
    <w:p w14:paraId="7C2214F6" w14:textId="77777777" w:rsidR="00731C20" w:rsidRDefault="00731C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9462" w14:textId="7AABF646" w:rsidR="00335B02" w:rsidRPr="00F54205" w:rsidRDefault="00236A03" w:rsidP="00F54205">
    <w:pPr>
      <w:pStyle w:val="Header"/>
    </w:pPr>
    <w:r>
      <w:t>INF.</w:t>
    </w:r>
    <w:r w:rsidR="00F176A4">
      <w:t>17</w:t>
    </w:r>
  </w:p>
  <w:p w14:paraId="374B8C43" w14:textId="77777777" w:rsidR="00D81C7A" w:rsidRDefault="00D81C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F360B" w14:textId="08874217" w:rsidR="00335B02" w:rsidRPr="00EA42C1" w:rsidRDefault="00B5117E" w:rsidP="00EA42C1">
    <w:pPr>
      <w:pStyle w:val="Header"/>
      <w:jc w:val="right"/>
    </w:pPr>
    <w:r>
      <w:t>INF.</w:t>
    </w:r>
    <w:r w:rsidR="00F176A4">
      <w:t>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D3769" w14:textId="55F8063A" w:rsidR="00BF5928" w:rsidRPr="00BF5928" w:rsidRDefault="00000000" w:rsidP="00BF5928">
    <w:r>
      <w:rPr>
        <w:noProof/>
      </w:rPr>
      <w:pict w14:anchorId="2713CDF7">
        <v:shapetype id="_x0000_t202" coordsize="21600,21600" o:spt="202" path="m,l,21600r21600,l21600,xe">
          <v:stroke joinstyle="miter"/>
          <v:path gradientshapeok="t" o:connecttype="rect"/>
        </v:shapetype>
        <v:shape id="_x0000_s1026" type="#_x0000_t202" style="position:absolute;margin-left:-34pt;margin-top:0;width:17pt;height:481.9pt;z-index:2;mso-position-horizontal-relative:margin;mso-position-vertical-relative:margin" stroked="f">
          <v:fill opacity="0"/>
          <v:textbox style="layout-flow:vertical" inset="0,0,0,0">
            <w:txbxContent>
              <w:p w14:paraId="74D4E920" w14:textId="77777777" w:rsidR="00BF5928" w:rsidRPr="00335B02" w:rsidRDefault="00BF5928" w:rsidP="00BF5928">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sz w:val="18"/>
                  </w:rPr>
                  <w:t>8</w:t>
                </w:r>
                <w:r>
                  <w:rPr>
                    <w:b/>
                    <w:sz w:val="18"/>
                  </w:rPr>
                  <w:fldChar w:fldCharType="end"/>
                </w:r>
                <w:r>
                  <w:rPr>
                    <w:b/>
                    <w:sz w:val="18"/>
                  </w:rPr>
                  <w:tab/>
                </w:r>
              </w:p>
              <w:p w14:paraId="21F5FC18" w14:textId="77777777" w:rsidR="00BF5928" w:rsidRDefault="00BF5928"/>
            </w:txbxContent>
          </v:textbox>
          <w10:wrap anchorx="margin" anchory="margin"/>
        </v:shape>
      </w:pict>
    </w:r>
    <w:r>
      <w:rPr>
        <w:noProof/>
      </w:rPr>
      <w:pict w14:anchorId="61557A66">
        <v:shape id="_x0000_s1025" type="#_x0000_t202" style="position:absolute;margin-left:782.35pt;margin-top:0;width:17pt;height:481.9pt;z-index:1;mso-position-horizontal-relative:page;mso-position-vertical-relative:margin" stroked="f">
          <v:fill opacity="0"/>
          <v:textbox style="layout-flow:vertical" inset="0,0,0,0">
            <w:txbxContent>
              <w:p w14:paraId="2E41D64E" w14:textId="77777777" w:rsidR="00BF5928" w:rsidRPr="00F54205" w:rsidRDefault="00BF5928" w:rsidP="00BF5928">
                <w:pPr>
                  <w:pStyle w:val="Header"/>
                </w:pPr>
                <w:r>
                  <w:t>INF.17</w:t>
                </w:r>
              </w:p>
              <w:p w14:paraId="2EC73FDC" w14:textId="77777777" w:rsidR="00BF5928" w:rsidRDefault="00BF5928" w:rsidP="00BF5928"/>
              <w:p w14:paraId="52EB7705" w14:textId="77777777" w:rsidR="00BF5928" w:rsidRDefault="00BF5928"/>
            </w:txbxContent>
          </v:textbox>
          <w10:wrap anchorx="page"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189B" w14:textId="4FEAD87A" w:rsidR="00BF5928" w:rsidRPr="00BF5928" w:rsidRDefault="00000000" w:rsidP="00BF5928">
    <w:r>
      <w:rPr>
        <w:noProof/>
      </w:rPr>
      <w:pict w14:anchorId="7F7F8F11">
        <v:shapetype id="_x0000_t202" coordsize="21600,21600" o:spt="202" path="m,l,21600r21600,l21600,xe">
          <v:stroke joinstyle="miter"/>
          <v:path gradientshapeok="t" o:connecttype="rect"/>
        </v:shapetype>
        <v:shape id="_x0000_s1028" type="#_x0000_t202" style="position:absolute;margin-left:-34pt;margin-top:0;width:17pt;height:481.9pt;z-index:4;mso-position-horizontal-relative:margin;mso-position-vertical-relative:margin" stroked="f">
          <v:fill opacity="0"/>
          <v:textbox style="layout-flow:vertical" inset="0,0,0,0">
            <w:txbxContent>
              <w:p w14:paraId="17CDA823" w14:textId="77777777" w:rsidR="00BF5928" w:rsidRPr="00335B02" w:rsidRDefault="00BF5928" w:rsidP="00BF5928">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sz w:val="18"/>
                  </w:rPr>
                  <w:t>9</w:t>
                </w:r>
                <w:r>
                  <w:rPr>
                    <w:b/>
                    <w:sz w:val="18"/>
                  </w:rPr>
                  <w:fldChar w:fldCharType="end"/>
                </w:r>
              </w:p>
              <w:p w14:paraId="36B6A466" w14:textId="77777777" w:rsidR="00BF5928" w:rsidRDefault="00BF5928"/>
            </w:txbxContent>
          </v:textbox>
          <w10:wrap anchorx="margin" anchory="margin"/>
        </v:shape>
      </w:pict>
    </w:r>
    <w:r>
      <w:rPr>
        <w:noProof/>
      </w:rPr>
      <w:pict w14:anchorId="05692C05">
        <v:shape id="_x0000_s1027" type="#_x0000_t202" style="position:absolute;margin-left:782.35pt;margin-top:0;width:17pt;height:481.9pt;z-index:3;mso-position-horizontal-relative:page;mso-position-vertical-relative:margin" stroked="f">
          <v:fill opacity="0"/>
          <v:textbox style="layout-flow:vertical" inset="0,0,0,0">
            <w:txbxContent>
              <w:p w14:paraId="42624DD1" w14:textId="77777777" w:rsidR="00BF5928" w:rsidRPr="00EA42C1" w:rsidRDefault="00BF5928" w:rsidP="00BF5928">
                <w:pPr>
                  <w:pStyle w:val="Header"/>
                  <w:jc w:val="right"/>
                </w:pPr>
                <w:r>
                  <w:t>INF.17</w:t>
                </w:r>
              </w:p>
              <w:p w14:paraId="24A3FE5F" w14:textId="77777777" w:rsidR="00BF5928" w:rsidRDefault="00BF5928"/>
            </w:txbxContent>
          </v:textbox>
          <w10:wrap anchorx="page"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9416A"/>
    <w:multiLevelType w:val="hybridMultilevel"/>
    <w:tmpl w:val="EDC658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2192F0C"/>
    <w:multiLevelType w:val="hybridMultilevel"/>
    <w:tmpl w:val="D17E5C08"/>
    <w:lvl w:ilvl="0" w:tplc="840E7764">
      <w:start w:val="1"/>
      <w:numFmt w:val="lowerLetter"/>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3" w15:restartNumberingAfterBreak="0">
    <w:nsid w:val="0A7966AF"/>
    <w:multiLevelType w:val="hybridMultilevel"/>
    <w:tmpl w:val="22E4E528"/>
    <w:lvl w:ilvl="0" w:tplc="04070005">
      <w:start w:val="1"/>
      <w:numFmt w:val="bullet"/>
      <w:lvlText w:val=""/>
      <w:lvlJc w:val="left"/>
      <w:pPr>
        <w:ind w:left="1854" w:hanging="360"/>
      </w:pPr>
      <w:rPr>
        <w:rFonts w:ascii="Wingdings" w:hAnsi="Wingdings"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5B39A5"/>
    <w:multiLevelType w:val="hybridMultilevel"/>
    <w:tmpl w:val="EA008E7A"/>
    <w:lvl w:ilvl="0" w:tplc="9266E73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BDB327C"/>
    <w:multiLevelType w:val="hybridMultilevel"/>
    <w:tmpl w:val="83DC3434"/>
    <w:lvl w:ilvl="0" w:tplc="74EE60D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72D436A"/>
    <w:multiLevelType w:val="hybridMultilevel"/>
    <w:tmpl w:val="E4EE15F4"/>
    <w:lvl w:ilvl="0" w:tplc="2D9C0F94">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3"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446FD0"/>
    <w:multiLevelType w:val="hybridMultilevel"/>
    <w:tmpl w:val="A484C858"/>
    <w:lvl w:ilvl="0" w:tplc="DDF8ED3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980387">
    <w:abstractNumId w:val="1"/>
  </w:num>
  <w:num w:numId="2" w16cid:durableId="2139494429">
    <w:abstractNumId w:val="0"/>
  </w:num>
  <w:num w:numId="3" w16cid:durableId="1987196539">
    <w:abstractNumId w:val="2"/>
  </w:num>
  <w:num w:numId="4" w16cid:durableId="1825469310">
    <w:abstractNumId w:val="3"/>
  </w:num>
  <w:num w:numId="5" w16cid:durableId="326252317">
    <w:abstractNumId w:val="8"/>
  </w:num>
  <w:num w:numId="6" w16cid:durableId="1696881043">
    <w:abstractNumId w:val="9"/>
  </w:num>
  <w:num w:numId="7" w16cid:durableId="1414819209">
    <w:abstractNumId w:val="7"/>
  </w:num>
  <w:num w:numId="8" w16cid:durableId="889878504">
    <w:abstractNumId w:val="6"/>
  </w:num>
  <w:num w:numId="9" w16cid:durableId="1065101216">
    <w:abstractNumId w:val="5"/>
  </w:num>
  <w:num w:numId="10" w16cid:durableId="2003897180">
    <w:abstractNumId w:val="4"/>
  </w:num>
  <w:num w:numId="11" w16cid:durableId="176846287">
    <w:abstractNumId w:val="20"/>
  </w:num>
  <w:num w:numId="12" w16cid:durableId="138766385">
    <w:abstractNumId w:val="17"/>
  </w:num>
  <w:num w:numId="13" w16cid:durableId="2105681482">
    <w:abstractNumId w:val="11"/>
  </w:num>
  <w:num w:numId="14" w16cid:durableId="1465004137">
    <w:abstractNumId w:val="15"/>
  </w:num>
  <w:num w:numId="15" w16cid:durableId="411239685">
    <w:abstractNumId w:val="21"/>
  </w:num>
  <w:num w:numId="16" w16cid:durableId="1736125182">
    <w:abstractNumId w:val="16"/>
  </w:num>
  <w:num w:numId="17" w16cid:durableId="711076582">
    <w:abstractNumId w:val="23"/>
  </w:num>
  <w:num w:numId="18" w16cid:durableId="50083596">
    <w:abstractNumId w:val="25"/>
  </w:num>
  <w:num w:numId="19" w16cid:durableId="1413114354">
    <w:abstractNumId w:val="14"/>
  </w:num>
  <w:num w:numId="20" w16cid:durableId="1881743150">
    <w:abstractNumId w:val="14"/>
  </w:num>
  <w:num w:numId="21" w16cid:durableId="1947106276">
    <w:abstractNumId w:val="18"/>
  </w:num>
  <w:num w:numId="22" w16cid:durableId="1861047719">
    <w:abstractNumId w:val="24"/>
  </w:num>
  <w:num w:numId="23" w16cid:durableId="1115830556">
    <w:abstractNumId w:val="10"/>
  </w:num>
  <w:num w:numId="24" w16cid:durableId="1156650093">
    <w:abstractNumId w:val="19"/>
  </w:num>
  <w:num w:numId="25" w16cid:durableId="1750227226">
    <w:abstractNumId w:val="22"/>
  </w:num>
  <w:num w:numId="26" w16cid:durableId="234634536">
    <w:abstractNumId w:val="13"/>
  </w:num>
  <w:num w:numId="27" w16cid:durableId="1672216824">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s-ES" w:vendorID="64" w:dllVersion="0" w:nlCheck="1" w:checkStyle="0"/>
  <w:activeWritingStyle w:appName="MSWord" w:lang="nl-BE" w:vendorID="64" w:dllVersion="0" w:nlCheck="1" w:checkStyle="0"/>
  <w:activeWritingStyle w:appName="MSWord" w:lang="fr-BE" w:vendorID="64" w:dllVersion="0"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1681"/>
    <w:rsid w:val="00002A7D"/>
    <w:rsid w:val="00002E96"/>
    <w:rsid w:val="000038A8"/>
    <w:rsid w:val="00004B68"/>
    <w:rsid w:val="00006790"/>
    <w:rsid w:val="00007A9E"/>
    <w:rsid w:val="000211BF"/>
    <w:rsid w:val="00022248"/>
    <w:rsid w:val="000249BA"/>
    <w:rsid w:val="00025A12"/>
    <w:rsid w:val="00026887"/>
    <w:rsid w:val="000274F8"/>
    <w:rsid w:val="00027624"/>
    <w:rsid w:val="000320C2"/>
    <w:rsid w:val="0003293F"/>
    <w:rsid w:val="00033166"/>
    <w:rsid w:val="00047B17"/>
    <w:rsid w:val="00047CD6"/>
    <w:rsid w:val="00047E5C"/>
    <w:rsid w:val="00050F6B"/>
    <w:rsid w:val="00062927"/>
    <w:rsid w:val="000678CD"/>
    <w:rsid w:val="00072C8C"/>
    <w:rsid w:val="00081CE0"/>
    <w:rsid w:val="00084D30"/>
    <w:rsid w:val="0008675E"/>
    <w:rsid w:val="00090320"/>
    <w:rsid w:val="00092D3C"/>
    <w:rsid w:val="000931C0"/>
    <w:rsid w:val="000A2E09"/>
    <w:rsid w:val="000B175B"/>
    <w:rsid w:val="000B21FA"/>
    <w:rsid w:val="000B3813"/>
    <w:rsid w:val="000B3A0F"/>
    <w:rsid w:val="000B3E8E"/>
    <w:rsid w:val="000B617F"/>
    <w:rsid w:val="000C12CF"/>
    <w:rsid w:val="000D01DC"/>
    <w:rsid w:val="000E0415"/>
    <w:rsid w:val="000E499D"/>
    <w:rsid w:val="000F4B19"/>
    <w:rsid w:val="000F60D4"/>
    <w:rsid w:val="000F65A3"/>
    <w:rsid w:val="000F7715"/>
    <w:rsid w:val="001066DE"/>
    <w:rsid w:val="001127E0"/>
    <w:rsid w:val="00116E26"/>
    <w:rsid w:val="00122FF4"/>
    <w:rsid w:val="0014281B"/>
    <w:rsid w:val="00144D01"/>
    <w:rsid w:val="00144F82"/>
    <w:rsid w:val="00153C15"/>
    <w:rsid w:val="00156B99"/>
    <w:rsid w:val="00157490"/>
    <w:rsid w:val="00157609"/>
    <w:rsid w:val="00160268"/>
    <w:rsid w:val="001602A0"/>
    <w:rsid w:val="0016371C"/>
    <w:rsid w:val="00166124"/>
    <w:rsid w:val="00170046"/>
    <w:rsid w:val="00172B38"/>
    <w:rsid w:val="0017670E"/>
    <w:rsid w:val="00180D1D"/>
    <w:rsid w:val="00180FF3"/>
    <w:rsid w:val="00183160"/>
    <w:rsid w:val="001832E3"/>
    <w:rsid w:val="001849EC"/>
    <w:rsid w:val="00184DDA"/>
    <w:rsid w:val="001900CD"/>
    <w:rsid w:val="001936CA"/>
    <w:rsid w:val="00195529"/>
    <w:rsid w:val="00196A05"/>
    <w:rsid w:val="001A0452"/>
    <w:rsid w:val="001A3F08"/>
    <w:rsid w:val="001B1F2E"/>
    <w:rsid w:val="001B4B04"/>
    <w:rsid w:val="001B4FF3"/>
    <w:rsid w:val="001B5875"/>
    <w:rsid w:val="001C4B9C"/>
    <w:rsid w:val="001C5E3B"/>
    <w:rsid w:val="001C6663"/>
    <w:rsid w:val="001C7895"/>
    <w:rsid w:val="001D1368"/>
    <w:rsid w:val="001D26DF"/>
    <w:rsid w:val="001D39B7"/>
    <w:rsid w:val="001E04E7"/>
    <w:rsid w:val="001E09C1"/>
    <w:rsid w:val="001E0A73"/>
    <w:rsid w:val="001E6299"/>
    <w:rsid w:val="001E70A8"/>
    <w:rsid w:val="001E7CEE"/>
    <w:rsid w:val="001F1599"/>
    <w:rsid w:val="001F19C4"/>
    <w:rsid w:val="001F5A70"/>
    <w:rsid w:val="001F6555"/>
    <w:rsid w:val="002021E0"/>
    <w:rsid w:val="002043F0"/>
    <w:rsid w:val="00204C1D"/>
    <w:rsid w:val="00206274"/>
    <w:rsid w:val="00211E0B"/>
    <w:rsid w:val="00226596"/>
    <w:rsid w:val="002267FF"/>
    <w:rsid w:val="00232575"/>
    <w:rsid w:val="00232C65"/>
    <w:rsid w:val="00236A03"/>
    <w:rsid w:val="00244196"/>
    <w:rsid w:val="00244787"/>
    <w:rsid w:val="0024654B"/>
    <w:rsid w:val="00247258"/>
    <w:rsid w:val="00256B8A"/>
    <w:rsid w:val="00257CAC"/>
    <w:rsid w:val="00266E76"/>
    <w:rsid w:val="0027074D"/>
    <w:rsid w:val="0027162D"/>
    <w:rsid w:val="0027237A"/>
    <w:rsid w:val="00275DB0"/>
    <w:rsid w:val="00280B61"/>
    <w:rsid w:val="002920CD"/>
    <w:rsid w:val="002974E9"/>
    <w:rsid w:val="002A192D"/>
    <w:rsid w:val="002A6386"/>
    <w:rsid w:val="002A7F94"/>
    <w:rsid w:val="002B109A"/>
    <w:rsid w:val="002B1BA0"/>
    <w:rsid w:val="002B2B93"/>
    <w:rsid w:val="002B50FE"/>
    <w:rsid w:val="002B7E70"/>
    <w:rsid w:val="002C1005"/>
    <w:rsid w:val="002C6D45"/>
    <w:rsid w:val="002D1ACD"/>
    <w:rsid w:val="002D2369"/>
    <w:rsid w:val="002D6E53"/>
    <w:rsid w:val="002E5D48"/>
    <w:rsid w:val="002E6905"/>
    <w:rsid w:val="002F046D"/>
    <w:rsid w:val="002F19D6"/>
    <w:rsid w:val="002F2238"/>
    <w:rsid w:val="002F3023"/>
    <w:rsid w:val="002F7BDD"/>
    <w:rsid w:val="00301764"/>
    <w:rsid w:val="00312AD5"/>
    <w:rsid w:val="00316FFE"/>
    <w:rsid w:val="00321CB3"/>
    <w:rsid w:val="003229D8"/>
    <w:rsid w:val="0033043C"/>
    <w:rsid w:val="0033290D"/>
    <w:rsid w:val="00335B02"/>
    <w:rsid w:val="00336C97"/>
    <w:rsid w:val="00337D1B"/>
    <w:rsid w:val="00337F88"/>
    <w:rsid w:val="003422FC"/>
    <w:rsid w:val="00342432"/>
    <w:rsid w:val="00350BE3"/>
    <w:rsid w:val="0035223F"/>
    <w:rsid w:val="00352D4B"/>
    <w:rsid w:val="00353243"/>
    <w:rsid w:val="0035638C"/>
    <w:rsid w:val="003614A1"/>
    <w:rsid w:val="0036440D"/>
    <w:rsid w:val="00374D51"/>
    <w:rsid w:val="00383FF3"/>
    <w:rsid w:val="0038694F"/>
    <w:rsid w:val="00391241"/>
    <w:rsid w:val="00394F2F"/>
    <w:rsid w:val="003958E2"/>
    <w:rsid w:val="00395BAD"/>
    <w:rsid w:val="00397953"/>
    <w:rsid w:val="003A46BB"/>
    <w:rsid w:val="003A4EC7"/>
    <w:rsid w:val="003A5FAA"/>
    <w:rsid w:val="003A7295"/>
    <w:rsid w:val="003B1C2C"/>
    <w:rsid w:val="003B1F60"/>
    <w:rsid w:val="003B5D8E"/>
    <w:rsid w:val="003C2CC4"/>
    <w:rsid w:val="003C696B"/>
    <w:rsid w:val="003C74FF"/>
    <w:rsid w:val="003D11AD"/>
    <w:rsid w:val="003D4B23"/>
    <w:rsid w:val="003E0C40"/>
    <w:rsid w:val="003E278A"/>
    <w:rsid w:val="003E3CF6"/>
    <w:rsid w:val="003E789F"/>
    <w:rsid w:val="00400FD1"/>
    <w:rsid w:val="00401B28"/>
    <w:rsid w:val="004031CB"/>
    <w:rsid w:val="00413520"/>
    <w:rsid w:val="0041770D"/>
    <w:rsid w:val="004212CA"/>
    <w:rsid w:val="00422024"/>
    <w:rsid w:val="00430635"/>
    <w:rsid w:val="004325CB"/>
    <w:rsid w:val="00433B06"/>
    <w:rsid w:val="00440A07"/>
    <w:rsid w:val="00442F38"/>
    <w:rsid w:val="00454D39"/>
    <w:rsid w:val="00456428"/>
    <w:rsid w:val="00457057"/>
    <w:rsid w:val="0045733B"/>
    <w:rsid w:val="00462880"/>
    <w:rsid w:val="00476F24"/>
    <w:rsid w:val="0048768E"/>
    <w:rsid w:val="00497194"/>
    <w:rsid w:val="004A575C"/>
    <w:rsid w:val="004A6C9B"/>
    <w:rsid w:val="004B09B0"/>
    <w:rsid w:val="004B6706"/>
    <w:rsid w:val="004C1217"/>
    <w:rsid w:val="004C55B0"/>
    <w:rsid w:val="004C7379"/>
    <w:rsid w:val="004C75CD"/>
    <w:rsid w:val="004E25B3"/>
    <w:rsid w:val="004E55EF"/>
    <w:rsid w:val="004F6BA0"/>
    <w:rsid w:val="00500315"/>
    <w:rsid w:val="00502435"/>
    <w:rsid w:val="0050249A"/>
    <w:rsid w:val="00503BEA"/>
    <w:rsid w:val="00506F46"/>
    <w:rsid w:val="00513E2B"/>
    <w:rsid w:val="005227B1"/>
    <w:rsid w:val="00524C4C"/>
    <w:rsid w:val="00527651"/>
    <w:rsid w:val="00533616"/>
    <w:rsid w:val="00535150"/>
    <w:rsid w:val="0053527C"/>
    <w:rsid w:val="00535ABA"/>
    <w:rsid w:val="0053768B"/>
    <w:rsid w:val="005420F2"/>
    <w:rsid w:val="0054285C"/>
    <w:rsid w:val="00545601"/>
    <w:rsid w:val="00547E92"/>
    <w:rsid w:val="00560D24"/>
    <w:rsid w:val="005633BD"/>
    <w:rsid w:val="00566C91"/>
    <w:rsid w:val="00566E24"/>
    <w:rsid w:val="00570C67"/>
    <w:rsid w:val="00584173"/>
    <w:rsid w:val="0058591E"/>
    <w:rsid w:val="00595520"/>
    <w:rsid w:val="005A0B96"/>
    <w:rsid w:val="005A1C7B"/>
    <w:rsid w:val="005A44B9"/>
    <w:rsid w:val="005A67BC"/>
    <w:rsid w:val="005B1BA0"/>
    <w:rsid w:val="005B34D8"/>
    <w:rsid w:val="005B3DB3"/>
    <w:rsid w:val="005B55AF"/>
    <w:rsid w:val="005C01B0"/>
    <w:rsid w:val="005C13E8"/>
    <w:rsid w:val="005C3FB0"/>
    <w:rsid w:val="005C566D"/>
    <w:rsid w:val="005D15CA"/>
    <w:rsid w:val="005D6A31"/>
    <w:rsid w:val="005D7583"/>
    <w:rsid w:val="005E016F"/>
    <w:rsid w:val="005F08DF"/>
    <w:rsid w:val="005F2C18"/>
    <w:rsid w:val="005F3066"/>
    <w:rsid w:val="005F3E61"/>
    <w:rsid w:val="005F4D30"/>
    <w:rsid w:val="00603E67"/>
    <w:rsid w:val="006043F7"/>
    <w:rsid w:val="00604DDD"/>
    <w:rsid w:val="0061025D"/>
    <w:rsid w:val="00610969"/>
    <w:rsid w:val="006115CC"/>
    <w:rsid w:val="006116E6"/>
    <w:rsid w:val="00611FC4"/>
    <w:rsid w:val="00613B39"/>
    <w:rsid w:val="006169FB"/>
    <w:rsid w:val="006176FB"/>
    <w:rsid w:val="00617898"/>
    <w:rsid w:val="00624904"/>
    <w:rsid w:val="00630FCB"/>
    <w:rsid w:val="006409EC"/>
    <w:rsid w:val="00640B26"/>
    <w:rsid w:val="00643883"/>
    <w:rsid w:val="00654823"/>
    <w:rsid w:val="0065766B"/>
    <w:rsid w:val="00660948"/>
    <w:rsid w:val="00662346"/>
    <w:rsid w:val="006770B2"/>
    <w:rsid w:val="00677B3E"/>
    <w:rsid w:val="00684391"/>
    <w:rsid w:val="00686A48"/>
    <w:rsid w:val="006906F4"/>
    <w:rsid w:val="006940E1"/>
    <w:rsid w:val="00694920"/>
    <w:rsid w:val="00694998"/>
    <w:rsid w:val="00696357"/>
    <w:rsid w:val="00697C5C"/>
    <w:rsid w:val="006A02BA"/>
    <w:rsid w:val="006A3C72"/>
    <w:rsid w:val="006A7392"/>
    <w:rsid w:val="006B03A1"/>
    <w:rsid w:val="006B1351"/>
    <w:rsid w:val="006B13CA"/>
    <w:rsid w:val="006B5FD9"/>
    <w:rsid w:val="006B611E"/>
    <w:rsid w:val="006B67D9"/>
    <w:rsid w:val="006C0216"/>
    <w:rsid w:val="006C5535"/>
    <w:rsid w:val="006D0589"/>
    <w:rsid w:val="006D2C42"/>
    <w:rsid w:val="006D6E7B"/>
    <w:rsid w:val="006E13F9"/>
    <w:rsid w:val="006E564B"/>
    <w:rsid w:val="006E59B4"/>
    <w:rsid w:val="006E5ED0"/>
    <w:rsid w:val="006E7154"/>
    <w:rsid w:val="006F23F0"/>
    <w:rsid w:val="006F38FE"/>
    <w:rsid w:val="006F4047"/>
    <w:rsid w:val="007003CD"/>
    <w:rsid w:val="0070701E"/>
    <w:rsid w:val="007207E5"/>
    <w:rsid w:val="00720B38"/>
    <w:rsid w:val="007228D3"/>
    <w:rsid w:val="007258F8"/>
    <w:rsid w:val="0072632A"/>
    <w:rsid w:val="00727CC1"/>
    <w:rsid w:val="0073010F"/>
    <w:rsid w:val="00731C20"/>
    <w:rsid w:val="007358E8"/>
    <w:rsid w:val="00736ECE"/>
    <w:rsid w:val="00737DC9"/>
    <w:rsid w:val="0074533B"/>
    <w:rsid w:val="00751746"/>
    <w:rsid w:val="00762AC8"/>
    <w:rsid w:val="007643BC"/>
    <w:rsid w:val="00765F4B"/>
    <w:rsid w:val="007661F5"/>
    <w:rsid w:val="007741F9"/>
    <w:rsid w:val="00774DE3"/>
    <w:rsid w:val="00775F97"/>
    <w:rsid w:val="00780C68"/>
    <w:rsid w:val="00786D5E"/>
    <w:rsid w:val="007952A8"/>
    <w:rsid w:val="007959FE"/>
    <w:rsid w:val="00797A22"/>
    <w:rsid w:val="007A0CF1"/>
    <w:rsid w:val="007A18C1"/>
    <w:rsid w:val="007A7FA0"/>
    <w:rsid w:val="007B1D40"/>
    <w:rsid w:val="007B4319"/>
    <w:rsid w:val="007B6BA5"/>
    <w:rsid w:val="007B7140"/>
    <w:rsid w:val="007B7D14"/>
    <w:rsid w:val="007C1AFA"/>
    <w:rsid w:val="007C3390"/>
    <w:rsid w:val="007C3F37"/>
    <w:rsid w:val="007C42D8"/>
    <w:rsid w:val="007C4F4B"/>
    <w:rsid w:val="007D7362"/>
    <w:rsid w:val="007E48F3"/>
    <w:rsid w:val="007E6254"/>
    <w:rsid w:val="007F235D"/>
    <w:rsid w:val="007F2B38"/>
    <w:rsid w:val="007F3546"/>
    <w:rsid w:val="007F5CE2"/>
    <w:rsid w:val="007F6611"/>
    <w:rsid w:val="00800D33"/>
    <w:rsid w:val="0080216F"/>
    <w:rsid w:val="00805FE3"/>
    <w:rsid w:val="0081067A"/>
    <w:rsid w:val="00810BAC"/>
    <w:rsid w:val="008175E9"/>
    <w:rsid w:val="00821DA8"/>
    <w:rsid w:val="008242D7"/>
    <w:rsid w:val="0082577B"/>
    <w:rsid w:val="0082692B"/>
    <w:rsid w:val="00826D4A"/>
    <w:rsid w:val="00830CCA"/>
    <w:rsid w:val="008535FF"/>
    <w:rsid w:val="00865A74"/>
    <w:rsid w:val="00866893"/>
    <w:rsid w:val="00866F02"/>
    <w:rsid w:val="00867D18"/>
    <w:rsid w:val="00871F9A"/>
    <w:rsid w:val="00871FD5"/>
    <w:rsid w:val="00877FC0"/>
    <w:rsid w:val="0088172E"/>
    <w:rsid w:val="00881EFA"/>
    <w:rsid w:val="008879CB"/>
    <w:rsid w:val="00891A4B"/>
    <w:rsid w:val="008930C7"/>
    <w:rsid w:val="008950ED"/>
    <w:rsid w:val="008951C8"/>
    <w:rsid w:val="008974AA"/>
    <w:rsid w:val="008979B1"/>
    <w:rsid w:val="008A0100"/>
    <w:rsid w:val="008A105B"/>
    <w:rsid w:val="008A1CDC"/>
    <w:rsid w:val="008A310E"/>
    <w:rsid w:val="008A4325"/>
    <w:rsid w:val="008A5037"/>
    <w:rsid w:val="008A6635"/>
    <w:rsid w:val="008A6B25"/>
    <w:rsid w:val="008A6C4F"/>
    <w:rsid w:val="008A76C4"/>
    <w:rsid w:val="008B389E"/>
    <w:rsid w:val="008B5973"/>
    <w:rsid w:val="008B6E42"/>
    <w:rsid w:val="008C4835"/>
    <w:rsid w:val="008D045E"/>
    <w:rsid w:val="008D3F25"/>
    <w:rsid w:val="008D4B04"/>
    <w:rsid w:val="008D4D82"/>
    <w:rsid w:val="008E0E46"/>
    <w:rsid w:val="008E4DD5"/>
    <w:rsid w:val="008E7116"/>
    <w:rsid w:val="008F143B"/>
    <w:rsid w:val="008F3882"/>
    <w:rsid w:val="008F4499"/>
    <w:rsid w:val="008F4B7C"/>
    <w:rsid w:val="008F7AD9"/>
    <w:rsid w:val="008F7C57"/>
    <w:rsid w:val="00906A76"/>
    <w:rsid w:val="009109FD"/>
    <w:rsid w:val="00911006"/>
    <w:rsid w:val="00911D58"/>
    <w:rsid w:val="00916A87"/>
    <w:rsid w:val="00920C93"/>
    <w:rsid w:val="00925D29"/>
    <w:rsid w:val="00925DB2"/>
    <w:rsid w:val="009268D2"/>
    <w:rsid w:val="00926E47"/>
    <w:rsid w:val="00933C6E"/>
    <w:rsid w:val="00933D68"/>
    <w:rsid w:val="009368B4"/>
    <w:rsid w:val="00941162"/>
    <w:rsid w:val="009461B9"/>
    <w:rsid w:val="00946C28"/>
    <w:rsid w:val="00947162"/>
    <w:rsid w:val="00947777"/>
    <w:rsid w:val="00952E43"/>
    <w:rsid w:val="009603A5"/>
    <w:rsid w:val="009610D0"/>
    <w:rsid w:val="0096375C"/>
    <w:rsid w:val="009662E6"/>
    <w:rsid w:val="0096777C"/>
    <w:rsid w:val="0097095E"/>
    <w:rsid w:val="00970D73"/>
    <w:rsid w:val="00974C03"/>
    <w:rsid w:val="00977484"/>
    <w:rsid w:val="00980239"/>
    <w:rsid w:val="0098141B"/>
    <w:rsid w:val="009822AC"/>
    <w:rsid w:val="0098592B"/>
    <w:rsid w:val="00985FC4"/>
    <w:rsid w:val="00987197"/>
    <w:rsid w:val="00987A2E"/>
    <w:rsid w:val="00990766"/>
    <w:rsid w:val="00991261"/>
    <w:rsid w:val="00995F45"/>
    <w:rsid w:val="009964C4"/>
    <w:rsid w:val="009A2E32"/>
    <w:rsid w:val="009A7B81"/>
    <w:rsid w:val="009B1F85"/>
    <w:rsid w:val="009B480C"/>
    <w:rsid w:val="009B6F8B"/>
    <w:rsid w:val="009C0A15"/>
    <w:rsid w:val="009C22D9"/>
    <w:rsid w:val="009C245D"/>
    <w:rsid w:val="009C3B36"/>
    <w:rsid w:val="009D01C0"/>
    <w:rsid w:val="009D2E14"/>
    <w:rsid w:val="009D377A"/>
    <w:rsid w:val="009D42E8"/>
    <w:rsid w:val="009D6A08"/>
    <w:rsid w:val="009D72CA"/>
    <w:rsid w:val="009E0A16"/>
    <w:rsid w:val="009E6CB7"/>
    <w:rsid w:val="009E7970"/>
    <w:rsid w:val="009F2EAC"/>
    <w:rsid w:val="009F57E3"/>
    <w:rsid w:val="00A05149"/>
    <w:rsid w:val="00A10F4F"/>
    <w:rsid w:val="00A11067"/>
    <w:rsid w:val="00A1704A"/>
    <w:rsid w:val="00A20C62"/>
    <w:rsid w:val="00A33F67"/>
    <w:rsid w:val="00A375EC"/>
    <w:rsid w:val="00A37B39"/>
    <w:rsid w:val="00A40594"/>
    <w:rsid w:val="00A425EB"/>
    <w:rsid w:val="00A45D89"/>
    <w:rsid w:val="00A51229"/>
    <w:rsid w:val="00A51820"/>
    <w:rsid w:val="00A553AB"/>
    <w:rsid w:val="00A66932"/>
    <w:rsid w:val="00A66E77"/>
    <w:rsid w:val="00A715B6"/>
    <w:rsid w:val="00A72F22"/>
    <w:rsid w:val="00A733BC"/>
    <w:rsid w:val="00A748A6"/>
    <w:rsid w:val="00A76A69"/>
    <w:rsid w:val="00A80956"/>
    <w:rsid w:val="00A879A4"/>
    <w:rsid w:val="00A9769E"/>
    <w:rsid w:val="00AA0FF8"/>
    <w:rsid w:val="00AA63BF"/>
    <w:rsid w:val="00AB134D"/>
    <w:rsid w:val="00AC0F2C"/>
    <w:rsid w:val="00AC502A"/>
    <w:rsid w:val="00AC7516"/>
    <w:rsid w:val="00AC75B7"/>
    <w:rsid w:val="00AC776A"/>
    <w:rsid w:val="00AD1E81"/>
    <w:rsid w:val="00AD5224"/>
    <w:rsid w:val="00AD68E0"/>
    <w:rsid w:val="00AE3044"/>
    <w:rsid w:val="00AE67A8"/>
    <w:rsid w:val="00AF41D0"/>
    <w:rsid w:val="00AF58C1"/>
    <w:rsid w:val="00B01498"/>
    <w:rsid w:val="00B0152A"/>
    <w:rsid w:val="00B04A3F"/>
    <w:rsid w:val="00B050B4"/>
    <w:rsid w:val="00B06643"/>
    <w:rsid w:val="00B105AE"/>
    <w:rsid w:val="00B13198"/>
    <w:rsid w:val="00B15055"/>
    <w:rsid w:val="00B169BD"/>
    <w:rsid w:val="00B20551"/>
    <w:rsid w:val="00B23A30"/>
    <w:rsid w:val="00B30179"/>
    <w:rsid w:val="00B33898"/>
    <w:rsid w:val="00B33FC7"/>
    <w:rsid w:val="00B37B15"/>
    <w:rsid w:val="00B423E4"/>
    <w:rsid w:val="00B45AC8"/>
    <w:rsid w:val="00B45C02"/>
    <w:rsid w:val="00B4683E"/>
    <w:rsid w:val="00B5117E"/>
    <w:rsid w:val="00B534FB"/>
    <w:rsid w:val="00B6009D"/>
    <w:rsid w:val="00B61CE5"/>
    <w:rsid w:val="00B62F65"/>
    <w:rsid w:val="00B70B63"/>
    <w:rsid w:val="00B72A1E"/>
    <w:rsid w:val="00B7404C"/>
    <w:rsid w:val="00B8105F"/>
    <w:rsid w:val="00B816F7"/>
    <w:rsid w:val="00B81E12"/>
    <w:rsid w:val="00B95A09"/>
    <w:rsid w:val="00BA0C02"/>
    <w:rsid w:val="00BA339B"/>
    <w:rsid w:val="00BA54CA"/>
    <w:rsid w:val="00BA7D97"/>
    <w:rsid w:val="00BB6BEC"/>
    <w:rsid w:val="00BC1E7E"/>
    <w:rsid w:val="00BC3BE9"/>
    <w:rsid w:val="00BC74E9"/>
    <w:rsid w:val="00BD00BA"/>
    <w:rsid w:val="00BD2307"/>
    <w:rsid w:val="00BE1EA4"/>
    <w:rsid w:val="00BE36A9"/>
    <w:rsid w:val="00BE618E"/>
    <w:rsid w:val="00BE7BEC"/>
    <w:rsid w:val="00BF071A"/>
    <w:rsid w:val="00BF0A5A"/>
    <w:rsid w:val="00BF0E63"/>
    <w:rsid w:val="00BF12A3"/>
    <w:rsid w:val="00BF13B9"/>
    <w:rsid w:val="00BF16D7"/>
    <w:rsid w:val="00BF2373"/>
    <w:rsid w:val="00BF5928"/>
    <w:rsid w:val="00C01DBD"/>
    <w:rsid w:val="00C0409A"/>
    <w:rsid w:val="00C044E2"/>
    <w:rsid w:val="00C048CB"/>
    <w:rsid w:val="00C06575"/>
    <w:rsid w:val="00C066F3"/>
    <w:rsid w:val="00C07EE9"/>
    <w:rsid w:val="00C120F2"/>
    <w:rsid w:val="00C14EA4"/>
    <w:rsid w:val="00C172C8"/>
    <w:rsid w:val="00C26233"/>
    <w:rsid w:val="00C31337"/>
    <w:rsid w:val="00C31681"/>
    <w:rsid w:val="00C3268B"/>
    <w:rsid w:val="00C35AD0"/>
    <w:rsid w:val="00C363DD"/>
    <w:rsid w:val="00C44408"/>
    <w:rsid w:val="00C463DD"/>
    <w:rsid w:val="00C5379E"/>
    <w:rsid w:val="00C55538"/>
    <w:rsid w:val="00C555B8"/>
    <w:rsid w:val="00C6124E"/>
    <w:rsid w:val="00C63E18"/>
    <w:rsid w:val="00C6530C"/>
    <w:rsid w:val="00C745C3"/>
    <w:rsid w:val="00C763AC"/>
    <w:rsid w:val="00C81E40"/>
    <w:rsid w:val="00C87E24"/>
    <w:rsid w:val="00C9404B"/>
    <w:rsid w:val="00C978F5"/>
    <w:rsid w:val="00CA24A4"/>
    <w:rsid w:val="00CB348D"/>
    <w:rsid w:val="00CB5006"/>
    <w:rsid w:val="00CB6555"/>
    <w:rsid w:val="00CB722B"/>
    <w:rsid w:val="00CC65C9"/>
    <w:rsid w:val="00CD009C"/>
    <w:rsid w:val="00CD090F"/>
    <w:rsid w:val="00CD0EC1"/>
    <w:rsid w:val="00CD13DD"/>
    <w:rsid w:val="00CD46F5"/>
    <w:rsid w:val="00CD479E"/>
    <w:rsid w:val="00CD5449"/>
    <w:rsid w:val="00CD60AC"/>
    <w:rsid w:val="00CE120F"/>
    <w:rsid w:val="00CE4A8F"/>
    <w:rsid w:val="00CE6712"/>
    <w:rsid w:val="00CF0011"/>
    <w:rsid w:val="00CF071D"/>
    <w:rsid w:val="00D0123D"/>
    <w:rsid w:val="00D02B0E"/>
    <w:rsid w:val="00D05049"/>
    <w:rsid w:val="00D15B04"/>
    <w:rsid w:val="00D2031B"/>
    <w:rsid w:val="00D20CE1"/>
    <w:rsid w:val="00D25FE2"/>
    <w:rsid w:val="00D31DE0"/>
    <w:rsid w:val="00D378B6"/>
    <w:rsid w:val="00D37DA9"/>
    <w:rsid w:val="00D37ED9"/>
    <w:rsid w:val="00D406A7"/>
    <w:rsid w:val="00D43252"/>
    <w:rsid w:val="00D44D86"/>
    <w:rsid w:val="00D45DA0"/>
    <w:rsid w:val="00D50B7D"/>
    <w:rsid w:val="00D52012"/>
    <w:rsid w:val="00D55493"/>
    <w:rsid w:val="00D57D04"/>
    <w:rsid w:val="00D63F62"/>
    <w:rsid w:val="00D704E5"/>
    <w:rsid w:val="00D71A5C"/>
    <w:rsid w:val="00D72727"/>
    <w:rsid w:val="00D7486F"/>
    <w:rsid w:val="00D77EE2"/>
    <w:rsid w:val="00D81C7A"/>
    <w:rsid w:val="00D922A3"/>
    <w:rsid w:val="00D93390"/>
    <w:rsid w:val="00D978C6"/>
    <w:rsid w:val="00DA06BA"/>
    <w:rsid w:val="00DA0956"/>
    <w:rsid w:val="00DA3272"/>
    <w:rsid w:val="00DA357F"/>
    <w:rsid w:val="00DA3E12"/>
    <w:rsid w:val="00DA5336"/>
    <w:rsid w:val="00DA545A"/>
    <w:rsid w:val="00DA5948"/>
    <w:rsid w:val="00DB74FE"/>
    <w:rsid w:val="00DB7AA6"/>
    <w:rsid w:val="00DC18AD"/>
    <w:rsid w:val="00DD0BFF"/>
    <w:rsid w:val="00DD5550"/>
    <w:rsid w:val="00DE1BCC"/>
    <w:rsid w:val="00DF0F31"/>
    <w:rsid w:val="00DF52E6"/>
    <w:rsid w:val="00DF61DE"/>
    <w:rsid w:val="00DF7CAE"/>
    <w:rsid w:val="00E22D5B"/>
    <w:rsid w:val="00E23EB6"/>
    <w:rsid w:val="00E24586"/>
    <w:rsid w:val="00E277FB"/>
    <w:rsid w:val="00E339C7"/>
    <w:rsid w:val="00E37D87"/>
    <w:rsid w:val="00E41634"/>
    <w:rsid w:val="00E423C0"/>
    <w:rsid w:val="00E4440C"/>
    <w:rsid w:val="00E57200"/>
    <w:rsid w:val="00E61AF1"/>
    <w:rsid w:val="00E62DF9"/>
    <w:rsid w:val="00E637B3"/>
    <w:rsid w:val="00E6414C"/>
    <w:rsid w:val="00E66A41"/>
    <w:rsid w:val="00E678E5"/>
    <w:rsid w:val="00E71140"/>
    <w:rsid w:val="00E71598"/>
    <w:rsid w:val="00E71611"/>
    <w:rsid w:val="00E7260F"/>
    <w:rsid w:val="00E72735"/>
    <w:rsid w:val="00E75AE1"/>
    <w:rsid w:val="00E778EF"/>
    <w:rsid w:val="00E8702D"/>
    <w:rsid w:val="00E87E6C"/>
    <w:rsid w:val="00E905F4"/>
    <w:rsid w:val="00E916A9"/>
    <w:rsid w:val="00E916DE"/>
    <w:rsid w:val="00E925AD"/>
    <w:rsid w:val="00E92C86"/>
    <w:rsid w:val="00E96630"/>
    <w:rsid w:val="00EA42C1"/>
    <w:rsid w:val="00EB0A8E"/>
    <w:rsid w:val="00EB2D94"/>
    <w:rsid w:val="00EC00FB"/>
    <w:rsid w:val="00EC2AD5"/>
    <w:rsid w:val="00ED18DC"/>
    <w:rsid w:val="00ED3468"/>
    <w:rsid w:val="00ED6201"/>
    <w:rsid w:val="00ED7A2A"/>
    <w:rsid w:val="00EE2E61"/>
    <w:rsid w:val="00EF1D7F"/>
    <w:rsid w:val="00EF3D6A"/>
    <w:rsid w:val="00EF4A03"/>
    <w:rsid w:val="00F0137E"/>
    <w:rsid w:val="00F03E94"/>
    <w:rsid w:val="00F12CEC"/>
    <w:rsid w:val="00F1558F"/>
    <w:rsid w:val="00F176A4"/>
    <w:rsid w:val="00F21786"/>
    <w:rsid w:val="00F3378A"/>
    <w:rsid w:val="00F3742B"/>
    <w:rsid w:val="00F41FDB"/>
    <w:rsid w:val="00F44FCB"/>
    <w:rsid w:val="00F46874"/>
    <w:rsid w:val="00F46F43"/>
    <w:rsid w:val="00F54205"/>
    <w:rsid w:val="00F56D63"/>
    <w:rsid w:val="00F609A9"/>
    <w:rsid w:val="00F61407"/>
    <w:rsid w:val="00F62077"/>
    <w:rsid w:val="00F65C07"/>
    <w:rsid w:val="00F7267B"/>
    <w:rsid w:val="00F72715"/>
    <w:rsid w:val="00F80C99"/>
    <w:rsid w:val="00F850AC"/>
    <w:rsid w:val="00F867EC"/>
    <w:rsid w:val="00F91B2B"/>
    <w:rsid w:val="00F92E19"/>
    <w:rsid w:val="00F93D93"/>
    <w:rsid w:val="00F947D5"/>
    <w:rsid w:val="00F976DB"/>
    <w:rsid w:val="00FA2C33"/>
    <w:rsid w:val="00FA534B"/>
    <w:rsid w:val="00FA63F6"/>
    <w:rsid w:val="00FB1C84"/>
    <w:rsid w:val="00FC0035"/>
    <w:rsid w:val="00FC03CD"/>
    <w:rsid w:val="00FC0646"/>
    <w:rsid w:val="00FC68B7"/>
    <w:rsid w:val="00FC6CA8"/>
    <w:rsid w:val="00FE4AFA"/>
    <w:rsid w:val="00FE6985"/>
    <w:rsid w:val="00FF09E2"/>
    <w:rsid w:val="00FF1A52"/>
    <w:rsid w:val="00FF2A1D"/>
    <w:rsid w:val="00FF3435"/>
    <w:rsid w:val="00FF36AC"/>
    <w:rsid w:val="00FF6F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957C8"/>
  <w15:docId w15:val="{7558BF22-F125-4A1E-9D01-DEF9DB0A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3468"/>
    <w:pPr>
      <w:suppressAutoHyphens/>
      <w:spacing w:line="240" w:lineRule="atLeast"/>
    </w:pPr>
    <w:rPr>
      <w:lang w:eastAsia="fr-FR"/>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qFormat/>
    <w:rsid w:val="00E925AD"/>
    <w:rPr>
      <w:rFonts w:ascii="Times New Roman" w:hAnsi="Times New Roman"/>
      <w:sz w:val="18"/>
      <w:vertAlign w:val="superscript"/>
    </w:rPr>
  </w:style>
  <w:style w:type="character" w:styleId="FootnoteReference">
    <w:name w:val="footnote reference"/>
    <w:aliases w:val="4_G,Footnote Reference/"/>
    <w:qFormat/>
    <w:rsid w:val="00E925AD"/>
    <w:rPr>
      <w:rFonts w:ascii="Times New Roman" w:hAnsi="Times New Roman"/>
      <w:sz w:val="18"/>
      <w:vertAlign w:val="superscript"/>
    </w:rPr>
  </w:style>
  <w:style w:type="paragraph" w:styleId="FootnoteText">
    <w:name w:val="footnote text"/>
    <w:aliases w:val="5_G"/>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rsid w:val="00AB134D"/>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rsid w:val="00AB134D"/>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C31337"/>
    <w:pPr>
      <w:numPr>
        <w:numId w:val="20"/>
      </w:numPr>
      <w:suppressAutoHyphens w:val="0"/>
    </w:pPr>
  </w:style>
  <w:style w:type="character" w:customStyle="1" w:styleId="SingleTxtGChar">
    <w:name w:val="_ Single Txt_G Char"/>
    <w:link w:val="SingleTxtG"/>
    <w:qFormat/>
    <w:locked/>
    <w:rsid w:val="00D45DA0"/>
    <w:rPr>
      <w:lang w:val="en-GB"/>
    </w:rPr>
  </w:style>
  <w:style w:type="character" w:styleId="CommentReference">
    <w:name w:val="annotation reference"/>
    <w:semiHidden/>
    <w:unhideWhenUsed/>
    <w:rsid w:val="00AD68E0"/>
    <w:rPr>
      <w:sz w:val="16"/>
      <w:szCs w:val="16"/>
    </w:rPr>
  </w:style>
  <w:style w:type="paragraph" w:styleId="CommentText">
    <w:name w:val="annotation text"/>
    <w:basedOn w:val="Normal"/>
    <w:link w:val="CommentTextChar"/>
    <w:semiHidden/>
    <w:unhideWhenUsed/>
    <w:rsid w:val="00AD68E0"/>
    <w:pPr>
      <w:spacing w:line="240" w:lineRule="auto"/>
    </w:pPr>
  </w:style>
  <w:style w:type="character" w:customStyle="1" w:styleId="CommentTextChar">
    <w:name w:val="Comment Text Char"/>
    <w:link w:val="CommentText"/>
    <w:semiHidden/>
    <w:rsid w:val="00AD68E0"/>
    <w:rPr>
      <w:lang w:val="en-GB"/>
    </w:rPr>
  </w:style>
  <w:style w:type="paragraph" w:styleId="CommentSubject">
    <w:name w:val="annotation subject"/>
    <w:basedOn w:val="CommentText"/>
    <w:next w:val="CommentText"/>
    <w:link w:val="CommentSubjectChar"/>
    <w:semiHidden/>
    <w:unhideWhenUsed/>
    <w:rsid w:val="00AD68E0"/>
    <w:rPr>
      <w:b/>
      <w:bCs/>
    </w:rPr>
  </w:style>
  <w:style w:type="character" w:customStyle="1" w:styleId="CommentSubjectChar">
    <w:name w:val="Comment Subject Char"/>
    <w:link w:val="CommentSubject"/>
    <w:semiHidden/>
    <w:rsid w:val="00AD68E0"/>
    <w:rPr>
      <w:b/>
      <w:bCs/>
      <w:lang w:val="en-GB"/>
    </w:rPr>
  </w:style>
  <w:style w:type="paragraph" w:styleId="ListParagraph">
    <w:name w:val="List Paragraph"/>
    <w:basedOn w:val="Normal"/>
    <w:uiPriority w:val="34"/>
    <w:qFormat/>
    <w:rsid w:val="00E24586"/>
    <w:pPr>
      <w:suppressAutoHyphens w:val="0"/>
      <w:spacing w:after="160" w:line="259" w:lineRule="auto"/>
      <w:ind w:left="720"/>
      <w:contextualSpacing/>
    </w:pPr>
    <w:rPr>
      <w:rFonts w:ascii="Calibri" w:eastAsia="Calibri" w:hAnsi="Calibri" w:cs="Arial"/>
      <w:sz w:val="22"/>
      <w:szCs w:val="22"/>
      <w:lang w:val="nl-NL" w:eastAsia="en-US"/>
    </w:rPr>
  </w:style>
  <w:style w:type="character" w:customStyle="1" w:styleId="HChGChar">
    <w:name w:val="_ H _Ch_G Char"/>
    <w:link w:val="HChG"/>
    <w:rsid w:val="007661F5"/>
    <w:rPr>
      <w:b/>
      <w:sz w:val="28"/>
      <w:lang w:val="en-GB"/>
    </w:rPr>
  </w:style>
  <w:style w:type="character" w:customStyle="1" w:styleId="H1GChar">
    <w:name w:val="_ H_1_G Char"/>
    <w:link w:val="H1G"/>
    <w:rsid w:val="000B3813"/>
    <w:rPr>
      <w:b/>
      <w:sz w:val="24"/>
      <w:lang w:eastAsia="fr-FR"/>
    </w:rPr>
  </w:style>
  <w:style w:type="character" w:customStyle="1" w:styleId="FootnoteTextChar">
    <w:name w:val="Footnote Text Char"/>
    <w:aliases w:val="5_G Char"/>
    <w:link w:val="FootnoteText"/>
    <w:rsid w:val="00DF0F31"/>
    <w:rPr>
      <w:sz w:val="18"/>
      <w:lang w:eastAsia="fr-FR"/>
    </w:rPr>
  </w:style>
  <w:style w:type="paragraph" w:styleId="Revision">
    <w:name w:val="Revision"/>
    <w:hidden/>
    <w:uiPriority w:val="99"/>
    <w:semiHidden/>
    <w:rsid w:val="003A5FAA"/>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Alibech Mireles Diaz</DisplayName>
        <AccountId>46</AccountId>
        <AccountType/>
      </UserInfo>
    </SharedWithUsers>
  </documentManagement>
</p:properties>
</file>

<file path=customXml/itemProps1.xml><?xml version="1.0" encoding="utf-8"?>
<ds:datastoreItem xmlns:ds="http://schemas.openxmlformats.org/officeDocument/2006/customXml" ds:itemID="{FE736907-6B74-4368-BB6F-F1D40868F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40BC76-6A38-4B93-ACF4-3C294CDC5F30}">
  <ds:schemaRefs>
    <ds:schemaRef ds:uri="http://schemas.microsoft.com/sharepoint/v3/contenttype/forms"/>
  </ds:schemaRefs>
</ds:datastoreItem>
</file>

<file path=customXml/itemProps3.xml><?xml version="1.0" encoding="utf-8"?>
<ds:datastoreItem xmlns:ds="http://schemas.openxmlformats.org/officeDocument/2006/customXml" ds:itemID="{F964A546-7717-4229-A12A-9B96A6B307ED}">
  <ds:schemaRefs>
    <ds:schemaRef ds:uri="http://schemas.openxmlformats.org/officeDocument/2006/bibliography"/>
  </ds:schemaRefs>
</ds:datastoreItem>
</file>

<file path=customXml/itemProps4.xml><?xml version="1.0" encoding="utf-8"?>
<ds:datastoreItem xmlns:ds="http://schemas.openxmlformats.org/officeDocument/2006/customXml" ds:itemID="{9A95FA13-7F5E-47CB-9673-7B081CC0ADFC}">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8</Pages>
  <Words>2433</Words>
  <Characters>13870</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ECE/TRANS/WP.15/AC.2/2023/8</vt:lpstr>
      <vt:lpstr>United Nations</vt:lpstr>
    </vt:vector>
  </TitlesOfParts>
  <Company>CSD</Company>
  <LinksUpToDate>false</LinksUpToDate>
  <CharactersWithSpaces>16271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ECE/TRANS/WP.15/AC.2/2023/8</dc:title>
  <dc:subject>2225507</dc:subject>
  <dc:creator>ND</dc:creator>
  <cp:keywords/>
  <dc:description/>
  <cp:lastModifiedBy>Secretariat</cp:lastModifiedBy>
  <cp:revision>64</cp:revision>
  <cp:lastPrinted>2023-01-25T11:50:00Z</cp:lastPrinted>
  <dcterms:created xsi:type="dcterms:W3CDTF">2024-01-15T06:31:00Z</dcterms:created>
  <dcterms:modified xsi:type="dcterms:W3CDTF">2024-01-17T16:42:00Z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y fmtid="{D5CDD505-2E9C-101B-9397-08002B2CF9AE}" pid="7" name="SharedWithUsers">
    <vt:lpwstr>46;#Alibech Mireles Diaz</vt:lpwstr>
  </property>
</Properties>
</file>