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DC779C" w14:paraId="11986318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56D0393" w14:textId="77777777" w:rsidR="002D5AAC" w:rsidRPr="008C1A9B" w:rsidRDefault="002D5AAC" w:rsidP="00DC77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22F00C8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703DE573" w14:textId="3E03DD6C" w:rsidR="002D5AAC" w:rsidRPr="00DC779C" w:rsidRDefault="00DC779C" w:rsidP="00DC779C">
            <w:pPr>
              <w:jc w:val="right"/>
              <w:rPr>
                <w:lang w:val="en-US"/>
              </w:rPr>
            </w:pPr>
            <w:r w:rsidRPr="00DC779C">
              <w:rPr>
                <w:sz w:val="40"/>
                <w:lang w:val="en-US"/>
              </w:rPr>
              <w:t>E</w:t>
            </w:r>
            <w:r w:rsidRPr="00DC779C">
              <w:rPr>
                <w:lang w:val="en-US"/>
              </w:rPr>
              <w:t>/ECE/TRANS/505/Rev.3/Add.160/Amend.3</w:t>
            </w:r>
          </w:p>
        </w:tc>
      </w:tr>
      <w:tr w:rsidR="002D5AAC" w:rsidRPr="009D084C" w14:paraId="0EDB881D" w14:textId="77777777" w:rsidTr="00DC779C">
        <w:trPr>
          <w:trHeight w:hRule="exact" w:val="255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E1E3C01" w14:textId="77777777" w:rsidR="002D5AAC" w:rsidRPr="00DC779C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08F0B341" w14:textId="77777777" w:rsidR="002D5AAC" w:rsidRPr="00DC779C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3794030D" w14:textId="77777777" w:rsidR="00DC779C" w:rsidRDefault="00DC779C" w:rsidP="00DC779C">
            <w:pPr>
              <w:spacing w:before="120"/>
              <w:rPr>
                <w:szCs w:val="20"/>
                <w:lang w:val="en-US"/>
              </w:rPr>
            </w:pPr>
          </w:p>
          <w:p w14:paraId="4751E755" w14:textId="77777777" w:rsidR="00DC779C" w:rsidRDefault="00DC779C" w:rsidP="00DC779C">
            <w:pPr>
              <w:spacing w:before="120"/>
              <w:rPr>
                <w:szCs w:val="20"/>
                <w:lang w:val="en-US"/>
              </w:rPr>
            </w:pPr>
          </w:p>
          <w:p w14:paraId="151983A2" w14:textId="4445DD91" w:rsidR="00DC779C" w:rsidRPr="009D084C" w:rsidRDefault="00DC779C" w:rsidP="00DC779C">
            <w:pPr>
              <w:spacing w:before="1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16 June 2023</w:t>
            </w:r>
          </w:p>
        </w:tc>
      </w:tr>
    </w:tbl>
    <w:p w14:paraId="12AC9195" w14:textId="77777777" w:rsidR="00DC779C" w:rsidRPr="00252507" w:rsidRDefault="00DC779C" w:rsidP="00DC779C">
      <w:pPr>
        <w:pStyle w:val="HChG"/>
        <w:spacing w:before="240" w:after="200" w:line="260" w:lineRule="exact"/>
      </w:pPr>
      <w:r>
        <w:tab/>
      </w:r>
      <w:r>
        <w:tab/>
        <w:t>Соглашение</w:t>
      </w:r>
      <w:bookmarkStart w:id="0" w:name="_Toc340666199"/>
      <w:bookmarkStart w:id="1" w:name="_Toc340745062"/>
      <w:bookmarkEnd w:id="0"/>
      <w:bookmarkEnd w:id="1"/>
    </w:p>
    <w:p w14:paraId="0159CBE9" w14:textId="77777777" w:rsidR="00DC779C" w:rsidRPr="00C01B9E" w:rsidRDefault="00DC779C" w:rsidP="00DC779C">
      <w:pPr>
        <w:pStyle w:val="H1G"/>
        <w:spacing w:before="200" w:line="250" w:lineRule="exact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DC779C">
        <w:rPr>
          <w:b w:val="0"/>
          <w:bCs/>
          <w:sz w:val="20"/>
        </w:rPr>
        <w:footnoteReference w:customMarkFollows="1" w:id="1"/>
        <w:t>*</w:t>
      </w:r>
    </w:p>
    <w:p w14:paraId="6CF067C2" w14:textId="77777777" w:rsidR="00DC779C" w:rsidRPr="00EF552B" w:rsidRDefault="00DC779C" w:rsidP="00DC779C">
      <w:pPr>
        <w:keepNext/>
        <w:keepLines/>
        <w:tabs>
          <w:tab w:val="right" w:pos="851"/>
        </w:tabs>
        <w:spacing w:before="300" w:line="260" w:lineRule="exact"/>
        <w:ind w:left="1134" w:right="1134" w:hanging="1134"/>
      </w:pPr>
      <w:r>
        <w:tab/>
      </w:r>
      <w:r>
        <w:tab/>
        <w:t>(Пересмотр 3, включающий поправки, вступившие в силу 14 сентября 2017 года)</w:t>
      </w:r>
    </w:p>
    <w:p w14:paraId="5973A8B4" w14:textId="77777777" w:rsidR="00DC779C" w:rsidRPr="00252507" w:rsidRDefault="00DC779C" w:rsidP="00DC779C">
      <w:pPr>
        <w:keepNext/>
        <w:keepLines/>
        <w:tabs>
          <w:tab w:val="right" w:pos="851"/>
        </w:tabs>
        <w:spacing w:line="260" w:lineRule="exact"/>
        <w:jc w:val="center"/>
        <w:rPr>
          <w:b/>
          <w:sz w:val="24"/>
          <w:lang w:val="en-GB"/>
        </w:rPr>
      </w:pPr>
      <w:r w:rsidRPr="00252507">
        <w:rPr>
          <w:b/>
          <w:sz w:val="24"/>
          <w:lang w:val="en-GB"/>
        </w:rPr>
        <w:t>_________</w:t>
      </w:r>
    </w:p>
    <w:p w14:paraId="137D553B" w14:textId="77777777" w:rsidR="00DC779C" w:rsidRPr="007B1264" w:rsidRDefault="00DC779C" w:rsidP="00DC779C">
      <w:pPr>
        <w:pStyle w:val="H1G"/>
        <w:spacing w:before="300" w:line="260" w:lineRule="exact"/>
      </w:pPr>
      <w:r>
        <w:tab/>
      </w:r>
      <w:r>
        <w:tab/>
        <w:t xml:space="preserve">Добавление 160 </w:t>
      </w:r>
      <w:r w:rsidRPr="007B1264">
        <w:t>—</w:t>
      </w:r>
      <w:r>
        <w:t xml:space="preserve"> Правила № 161 ООН</w:t>
      </w:r>
    </w:p>
    <w:p w14:paraId="4A3B6E15" w14:textId="77777777" w:rsidR="00DC779C" w:rsidRPr="00EF552B" w:rsidRDefault="00DC779C" w:rsidP="00DC779C">
      <w:pPr>
        <w:pStyle w:val="H1G"/>
        <w:spacing w:before="300" w:line="260" w:lineRule="exact"/>
      </w:pPr>
      <w:r>
        <w:tab/>
      </w:r>
      <w:r>
        <w:tab/>
        <w:t xml:space="preserve">Поправка 3 </w:t>
      </w:r>
    </w:p>
    <w:p w14:paraId="64FAF790" w14:textId="55A8BC6F" w:rsidR="00DC779C" w:rsidRPr="00EF552B" w:rsidRDefault="00DC779C" w:rsidP="00DC779C">
      <w:pPr>
        <w:spacing w:after="360" w:line="220" w:lineRule="atLeast"/>
        <w:ind w:left="1134" w:right="1134"/>
        <w:jc w:val="both"/>
        <w:rPr>
          <w:spacing w:val="-2"/>
        </w:rPr>
      </w:pPr>
      <w:r>
        <w:t>Дополнение 3 к первоначальному варианту Правил — Дата вступления в силу:</w:t>
      </w:r>
      <w:r>
        <w:br/>
      </w:r>
      <w:r>
        <w:t>5</w:t>
      </w:r>
      <w:r>
        <w:t xml:space="preserve"> </w:t>
      </w:r>
      <w:r>
        <w:t>июня 2023 года</w:t>
      </w:r>
    </w:p>
    <w:p w14:paraId="0AF84AA6" w14:textId="77777777" w:rsidR="00DC779C" w:rsidRPr="00EF552B" w:rsidRDefault="00DC779C" w:rsidP="00DC779C">
      <w:pPr>
        <w:pStyle w:val="HChG"/>
        <w:spacing w:before="240" w:line="260" w:lineRule="exact"/>
      </w:pPr>
      <w:r>
        <w:tab/>
      </w:r>
      <w:r>
        <w:tab/>
      </w:r>
      <w:r>
        <w:rPr>
          <w:bCs/>
        </w:rPr>
        <w:t>Единообразные предписания, касающиеся защиты автотранспортных средств от несанкционированного использования и официального утверждения устройства для предотвращения несанкционированного использования (при помощи блокирующей системы)</w:t>
      </w:r>
    </w:p>
    <w:p w14:paraId="72547507" w14:textId="77777777" w:rsidR="00DC779C" w:rsidRPr="00EF552B" w:rsidRDefault="00DC779C" w:rsidP="00DC779C">
      <w:pPr>
        <w:spacing w:after="40" w:line="220" w:lineRule="atLeast"/>
        <w:ind w:left="1134" w:right="1134"/>
        <w:jc w:val="both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ECE/TRANS/WP.29/2022/146.</w:t>
      </w:r>
    </w:p>
    <w:p w14:paraId="2D1A8C9F" w14:textId="78F4B1DD" w:rsidR="00DC779C" w:rsidRPr="00EF552B" w:rsidRDefault="00DC779C" w:rsidP="00DC779C">
      <w:pPr>
        <w:suppressAutoHyphens w:val="0"/>
        <w:spacing w:line="240" w:lineRule="auto"/>
        <w:jc w:val="center"/>
        <w:rPr>
          <w:b/>
          <w:sz w:val="24"/>
        </w:rPr>
      </w:pPr>
      <w:r w:rsidRPr="00252507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6E371DE9" wp14:editId="538363BD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507">
        <w:rPr>
          <w:b/>
          <w:sz w:val="24"/>
          <w:lang w:val="en-GB"/>
        </w:rPr>
        <w:t>_________</w:t>
      </w:r>
    </w:p>
    <w:p w14:paraId="6E918BFF" w14:textId="77777777" w:rsidR="00DC779C" w:rsidRPr="00EF552B" w:rsidRDefault="00DC779C" w:rsidP="00DC779C">
      <w:pPr>
        <w:suppressAutoHyphens w:val="0"/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  <w:r>
        <w:t xml:space="preserve"> </w:t>
      </w:r>
    </w:p>
    <w:p w14:paraId="0D638571" w14:textId="77777777" w:rsidR="00DC779C" w:rsidRPr="00EF552B" w:rsidRDefault="00DC779C" w:rsidP="00DC779C">
      <w:pPr>
        <w:pStyle w:val="SingleTxtG"/>
        <w:rPr>
          <w:i/>
        </w:rPr>
      </w:pPr>
      <w:bookmarkStart w:id="2" w:name="_Hlk92106570"/>
      <w:r>
        <w:rPr>
          <w:i/>
          <w:iCs/>
        </w:rPr>
        <w:lastRenderedPageBreak/>
        <w:t>Пункт 5.3</w:t>
      </w:r>
      <w:r>
        <w:t xml:space="preserve"> изменить следующим образом:</w:t>
      </w:r>
      <w:bookmarkEnd w:id="2"/>
    </w:p>
    <w:p w14:paraId="3E0301D7" w14:textId="519BBBDC" w:rsidR="00DC779C" w:rsidRPr="00EF552B" w:rsidRDefault="00DC779C" w:rsidP="00DC779C">
      <w:pPr>
        <w:pStyle w:val="para"/>
        <w:rPr>
          <w:lang w:val="ru-RU"/>
        </w:rPr>
      </w:pPr>
      <w:r>
        <w:rPr>
          <w:lang w:val="ru-RU"/>
        </w:rPr>
        <w:t>«</w:t>
      </w:r>
      <w:r>
        <w:rPr>
          <w:lang w:val="ru-RU"/>
        </w:rPr>
        <w:t>5.3</w:t>
      </w:r>
      <w:r>
        <w:rPr>
          <w:lang w:val="ru-RU"/>
        </w:rPr>
        <w:tab/>
        <w:t>Электромеханические и электронные устройства для предотвращения несанкционированного использования должны отвечать требованиям пунктов 5.1 и 5.2 и представляются, mutatis mutandis, для испытаний, описание которых приведено в приложении 6.</w:t>
      </w:r>
    </w:p>
    <w:p w14:paraId="146A5B04" w14:textId="0CC80904" w:rsidR="00DC779C" w:rsidRPr="00C01B9E" w:rsidRDefault="00DC779C" w:rsidP="00DC779C">
      <w:pPr>
        <w:pStyle w:val="para"/>
        <w:ind w:firstLine="0"/>
        <w:rPr>
          <w:lang w:val="ru-RU"/>
        </w:rPr>
      </w:pPr>
      <w:r>
        <w:rPr>
          <w:lang w:val="ru-RU"/>
        </w:rPr>
        <w:t>Компоненты, которые не встроены в транспортное средство (например</w:t>
      </w:r>
      <w:r w:rsidR="00322A59">
        <w:rPr>
          <w:lang w:val="ru-RU"/>
        </w:rPr>
        <w:t>,</w:t>
      </w:r>
      <w:r>
        <w:rPr>
          <w:lang w:val="ru-RU"/>
        </w:rPr>
        <w:t xml:space="preserve"> ключи, которые используются для активации/дезактивации), могут не отвечать требованиям, изложенным в приложении 6.</w:t>
      </w:r>
    </w:p>
    <w:p w14:paraId="4F326DFC" w14:textId="77777777" w:rsidR="00DC779C" w:rsidRPr="00EF552B" w:rsidRDefault="00DC779C" w:rsidP="00DC779C">
      <w:pPr>
        <w:pStyle w:val="para"/>
        <w:ind w:firstLine="0"/>
        <w:rPr>
          <w:lang w:val="ru-RU"/>
        </w:rPr>
      </w:pPr>
      <w:r>
        <w:rPr>
          <w:lang w:val="ru-RU"/>
        </w:rPr>
        <w:t>Если технология использования устройства такова, что пункт 5 и приложение 6 не применимы, то следует проверить, были ли приняты надлежащие меры по сохранению безопасности транспортного средства. Процесс функционирования этих устройств должен предполагать использование средств безопасности, позволяющих предотвратить любой риск блокировки или случайного сбоя в работе, что могло бы создать проблемы с точки зрения безопасности транспортного средства».</w:t>
      </w:r>
    </w:p>
    <w:p w14:paraId="5CB24BF7" w14:textId="77777777" w:rsidR="00DC779C" w:rsidRPr="00EF552B" w:rsidRDefault="00DC779C" w:rsidP="00DC779C">
      <w:pPr>
        <w:pStyle w:val="para"/>
        <w:ind w:left="1170" w:firstLine="0"/>
        <w:rPr>
          <w:lang w:val="ru-RU"/>
        </w:rPr>
      </w:pPr>
      <w:r>
        <w:rPr>
          <w:i/>
          <w:iCs/>
          <w:lang w:val="ru-RU"/>
        </w:rPr>
        <w:t>Пункты 6.1–6.3</w:t>
      </w:r>
      <w:r>
        <w:rPr>
          <w:lang w:val="ru-RU"/>
        </w:rPr>
        <w:t xml:space="preserve"> исключить.</w:t>
      </w:r>
    </w:p>
    <w:p w14:paraId="3F192064" w14:textId="77777777" w:rsidR="00DC779C" w:rsidRPr="00EF552B" w:rsidRDefault="00DC779C" w:rsidP="00DC779C">
      <w:pPr>
        <w:pStyle w:val="para"/>
        <w:ind w:left="1170" w:firstLine="0"/>
        <w:rPr>
          <w:bCs/>
          <w:lang w:val="ru-RU"/>
        </w:rPr>
      </w:pPr>
      <w:r>
        <w:rPr>
          <w:i/>
          <w:iCs/>
          <w:lang w:val="ru-RU"/>
        </w:rPr>
        <w:t>Включить новые пункты 6.1–6.3</w:t>
      </w:r>
      <w:r>
        <w:rPr>
          <w:lang w:val="ru-RU"/>
        </w:rPr>
        <w:t xml:space="preserve"> следующего содержания:</w:t>
      </w:r>
    </w:p>
    <w:p w14:paraId="41FC781E" w14:textId="440B5D24" w:rsidR="00DC779C" w:rsidRPr="00EF552B" w:rsidRDefault="00DC779C" w:rsidP="00DC779C">
      <w:pPr>
        <w:pStyle w:val="af3"/>
        <w:tabs>
          <w:tab w:val="left" w:pos="2268"/>
        </w:tabs>
        <w:spacing w:before="120" w:after="120"/>
        <w:ind w:left="2262" w:right="992" w:hanging="1092"/>
        <w:contextualSpacing w:val="0"/>
        <w:jc w:val="both"/>
        <w:rPr>
          <w:bCs/>
          <w:lang w:val="ru-RU"/>
        </w:rPr>
      </w:pPr>
      <w:r>
        <w:rPr>
          <w:lang w:val="ru-RU"/>
        </w:rPr>
        <w:t>«</w:t>
      </w:r>
      <w:r>
        <w:rPr>
          <w:lang w:val="ru-RU"/>
        </w:rPr>
        <w:t>6.1</w:t>
      </w:r>
      <w:r>
        <w:rPr>
          <w:lang w:val="ru-RU"/>
        </w:rPr>
        <w:tab/>
        <w:t>Каждое изменение типа транспортного средства или типа компонента, имеющее отношение к настоящим Правилам, доводят до сведения административного органа, который предоставил официальное утверждение данного типа транспортного средства или компонента. Этот орган может:</w:t>
      </w:r>
    </w:p>
    <w:p w14:paraId="0D98DDEF" w14:textId="77777777" w:rsidR="00DC779C" w:rsidRPr="00EF552B" w:rsidRDefault="00DC779C" w:rsidP="00DC779C">
      <w:pPr>
        <w:pStyle w:val="af3"/>
        <w:tabs>
          <w:tab w:val="left" w:pos="2268"/>
        </w:tabs>
        <w:spacing w:before="120" w:after="120"/>
        <w:ind w:left="2262" w:right="992" w:hanging="1092"/>
        <w:contextualSpacing w:val="0"/>
        <w:jc w:val="both"/>
        <w:rPr>
          <w:bCs/>
          <w:lang w:val="ru-RU"/>
        </w:rPr>
      </w:pPr>
      <w:r>
        <w:rPr>
          <w:lang w:val="ru-RU"/>
        </w:rPr>
        <w:t>6.1.1</w:t>
      </w:r>
      <w:r>
        <w:rPr>
          <w:lang w:val="ru-RU"/>
        </w:rPr>
        <w:tab/>
        <w:t>либо прийти к заключению, что внесенные изменения едва ли будут иметь значительные отрицательные последствия и что в любом случае данный компонент или данное транспортное средство по-прежнему соответствует предписаниям;</w:t>
      </w:r>
    </w:p>
    <w:p w14:paraId="3C86D4CB" w14:textId="77777777" w:rsidR="00DC779C" w:rsidRPr="00EF552B" w:rsidRDefault="00DC779C" w:rsidP="00DC779C">
      <w:pPr>
        <w:pStyle w:val="af3"/>
        <w:tabs>
          <w:tab w:val="left" w:pos="2268"/>
        </w:tabs>
        <w:spacing w:before="120" w:after="120"/>
        <w:ind w:left="2262" w:right="992" w:hanging="1092"/>
        <w:contextualSpacing w:val="0"/>
        <w:jc w:val="both"/>
        <w:rPr>
          <w:bCs/>
          <w:lang w:val="ru-RU"/>
        </w:rPr>
      </w:pPr>
      <w:r>
        <w:rPr>
          <w:lang w:val="ru-RU"/>
        </w:rPr>
        <w:t>6.1.2</w:t>
      </w:r>
      <w:r>
        <w:rPr>
          <w:lang w:val="ru-RU"/>
        </w:rPr>
        <w:tab/>
        <w:t>либо затребовать от технической службы, уполномоченной проводить испытания, дополнительный протокол.</w:t>
      </w:r>
    </w:p>
    <w:p w14:paraId="1B9E47B7" w14:textId="77777777" w:rsidR="00DC779C" w:rsidRPr="00EF552B" w:rsidRDefault="00DC779C" w:rsidP="00DC779C">
      <w:pPr>
        <w:pStyle w:val="af3"/>
        <w:tabs>
          <w:tab w:val="left" w:pos="2268"/>
        </w:tabs>
        <w:spacing w:before="120" w:after="120"/>
        <w:ind w:left="2262" w:right="992" w:hanging="1092"/>
        <w:contextualSpacing w:val="0"/>
        <w:jc w:val="both"/>
        <w:rPr>
          <w:bCs/>
          <w:lang w:val="ru-RU"/>
        </w:rPr>
      </w:pPr>
      <w:r>
        <w:rPr>
          <w:lang w:val="ru-RU"/>
        </w:rPr>
        <w:t>6.2</w:t>
      </w:r>
      <w:r>
        <w:rPr>
          <w:lang w:val="ru-RU"/>
        </w:rPr>
        <w:tab/>
        <w:t>Подтверждение официального утверждения или отказ в официальном утверждении вместе с указанием изменений доводится до сведения Договаривающихся сторон Соглашения, применяющих настоящие Правила, в соответствии с процедурой, предусмотренной в пункте 4.3 выше.</w:t>
      </w:r>
    </w:p>
    <w:p w14:paraId="2231F466" w14:textId="77777777" w:rsidR="00DC779C" w:rsidRPr="00EF552B" w:rsidRDefault="00DC779C" w:rsidP="00DC779C">
      <w:pPr>
        <w:pStyle w:val="af3"/>
        <w:tabs>
          <w:tab w:val="left" w:pos="2268"/>
        </w:tabs>
        <w:spacing w:before="120" w:after="120"/>
        <w:ind w:left="2262" w:right="992" w:hanging="1092"/>
        <w:contextualSpacing w:val="0"/>
        <w:jc w:val="both"/>
        <w:rPr>
          <w:bCs/>
          <w:lang w:val="ru-RU"/>
        </w:rPr>
      </w:pPr>
      <w:r>
        <w:rPr>
          <w:lang w:val="ru-RU"/>
        </w:rPr>
        <w:t>6.3</w:t>
      </w:r>
      <w:r>
        <w:rPr>
          <w:lang w:val="ru-RU"/>
        </w:rPr>
        <w:tab/>
        <w:t>Орган по официальному утверждению типа уведомляет о распространении другие Договаривающиеся стороны посредством карточки сообщения, приведенной в приложении 1 к настоящим Правилам. Он присваивает каждому распространению порядковый номер, который считается номером распространения».</w:t>
      </w:r>
      <w:bookmarkStart w:id="3" w:name="_Hlk92098654"/>
      <w:bookmarkEnd w:id="3"/>
    </w:p>
    <w:p w14:paraId="7179BA61" w14:textId="77777777" w:rsidR="00DC779C" w:rsidRPr="00EF552B" w:rsidRDefault="00DC779C" w:rsidP="00DC779C">
      <w:pPr>
        <w:spacing w:after="120"/>
        <w:ind w:left="1166"/>
        <w:rPr>
          <w:i/>
        </w:rPr>
      </w:pPr>
      <w:r>
        <w:rPr>
          <w:i/>
          <w:iCs/>
        </w:rPr>
        <w:t>Приложение 6, пункт 1</w:t>
      </w:r>
      <w:r>
        <w:t xml:space="preserve"> изменить следующим образом:</w:t>
      </w:r>
    </w:p>
    <w:p w14:paraId="65F00675" w14:textId="3BAEDF78" w:rsidR="00DC779C" w:rsidRPr="00EF552B" w:rsidRDefault="00DC779C" w:rsidP="00DC779C">
      <w:pPr>
        <w:spacing w:after="120"/>
        <w:ind w:left="2268" w:right="1133" w:hanging="1133"/>
        <w:jc w:val="both"/>
        <w:rPr>
          <w:bCs/>
        </w:rPr>
      </w:pPr>
      <w:r>
        <w:t>«</w:t>
      </w:r>
      <w:r>
        <w:t>1.</w:t>
      </w:r>
      <w:r>
        <w:tab/>
        <w:t>Эксплуатационные параметры</w:t>
      </w:r>
    </w:p>
    <w:p w14:paraId="4434B402" w14:textId="77777777" w:rsidR="00DC779C" w:rsidRPr="00EF552B" w:rsidRDefault="00DC779C" w:rsidP="00DC779C">
      <w:pPr>
        <w:spacing w:after="120"/>
        <w:ind w:left="2268" w:right="1133"/>
        <w:jc w:val="both"/>
        <w:rPr>
          <w:bCs/>
        </w:rPr>
      </w:pPr>
      <w:r>
        <w:t>Приведенные ниже требования не применяются:</w:t>
      </w:r>
    </w:p>
    <w:p w14:paraId="34EA9415" w14:textId="77777777" w:rsidR="00DC779C" w:rsidRPr="00C01B9E" w:rsidRDefault="00DC779C" w:rsidP="00DC779C">
      <w:pPr>
        <w:spacing w:after="120"/>
        <w:ind w:left="2835" w:right="1133" w:hanging="566"/>
        <w:jc w:val="both"/>
        <w:rPr>
          <w:bCs/>
        </w:rPr>
      </w:pPr>
      <w:r>
        <w:t>a)</w:t>
      </w:r>
      <w:r>
        <w:tab/>
        <w:t xml:space="preserve">к тем компонентам, которые устанавливаются и испытываются в качестве части транспортного средства, независимо от того, установлена блокирующая система или нет (например, огни, система охранной сигнализации, иммобилизатор); </w:t>
      </w:r>
    </w:p>
    <w:p w14:paraId="263FBDED" w14:textId="77777777" w:rsidR="00DC779C" w:rsidRPr="00EF552B" w:rsidRDefault="00DC779C" w:rsidP="00DC779C">
      <w:pPr>
        <w:spacing w:after="120"/>
        <w:ind w:left="2835" w:right="1133" w:hanging="566"/>
        <w:jc w:val="both"/>
        <w:rPr>
          <w:bCs/>
        </w:rPr>
      </w:pPr>
      <w:r>
        <w:t>b)</w:t>
      </w:r>
      <w:r>
        <w:tab/>
        <w:t>к тем компонентам, которые ранее были подвергнуты испытанию в качестве части транспортного средства, если представлено документальное подтверждение;</w:t>
      </w:r>
    </w:p>
    <w:p w14:paraId="7665EDD5" w14:textId="77777777" w:rsidR="00DC779C" w:rsidRPr="00C01B9E" w:rsidRDefault="00DC779C" w:rsidP="00DC779C">
      <w:pPr>
        <w:spacing w:after="120"/>
        <w:ind w:left="2835" w:right="1133" w:hanging="566"/>
        <w:jc w:val="both"/>
        <w:rPr>
          <w:bCs/>
        </w:rPr>
      </w:pPr>
      <w:r>
        <w:t>c)</w:t>
      </w:r>
      <w:r>
        <w:tab/>
        <w:t>к компонентам, которые не встроены в транспортное средство, например к ключам.</w:t>
      </w:r>
    </w:p>
    <w:p w14:paraId="3F62022F" w14:textId="77777777" w:rsidR="00DC779C" w:rsidRPr="00EF552B" w:rsidRDefault="00DC779C" w:rsidP="00DC779C">
      <w:pPr>
        <w:spacing w:before="120" w:after="120"/>
        <w:ind w:left="2250" w:right="1140"/>
        <w:jc w:val="both"/>
        <w:rPr>
          <w:rFonts w:eastAsia="DengXian"/>
          <w:b/>
          <w:bCs/>
        </w:rPr>
      </w:pPr>
      <w:r>
        <w:lastRenderedPageBreak/>
        <w:t>Все компоненты блокирующей системы должны функционировать без каких-либо нарушений в нижеследующих условиях».</w:t>
      </w:r>
    </w:p>
    <w:p w14:paraId="73F30815" w14:textId="3EBFD237" w:rsidR="00381C24" w:rsidRPr="00DC779C" w:rsidRDefault="00DC779C" w:rsidP="00DC779C">
      <w:pPr>
        <w:spacing w:before="240"/>
        <w:jc w:val="center"/>
        <w:rPr>
          <w:u w:val="single"/>
        </w:rPr>
      </w:pPr>
      <w:r w:rsidRPr="00EF552B">
        <w:rPr>
          <w:u w:val="single"/>
        </w:rPr>
        <w:tab/>
      </w:r>
      <w:r w:rsidRPr="00EF552B">
        <w:rPr>
          <w:u w:val="single"/>
        </w:rPr>
        <w:tab/>
      </w:r>
      <w:r w:rsidRPr="00EF552B">
        <w:rPr>
          <w:u w:val="single"/>
        </w:rPr>
        <w:tab/>
      </w:r>
    </w:p>
    <w:sectPr w:rsidR="00381C24" w:rsidRPr="00DC779C" w:rsidSect="00DC77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2673" w14:textId="77777777" w:rsidR="00C178B8" w:rsidRPr="00A312BC" w:rsidRDefault="00C178B8" w:rsidP="00A312BC"/>
  </w:endnote>
  <w:endnote w:type="continuationSeparator" w:id="0">
    <w:p w14:paraId="0651A120" w14:textId="77777777" w:rsidR="00C178B8" w:rsidRPr="00A312BC" w:rsidRDefault="00C178B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7F1C" w14:textId="4025138F" w:rsidR="00DC779C" w:rsidRPr="00DC779C" w:rsidRDefault="00DC779C">
    <w:pPr>
      <w:pStyle w:val="a8"/>
    </w:pPr>
    <w:r w:rsidRPr="00DC779C">
      <w:rPr>
        <w:b/>
        <w:sz w:val="18"/>
      </w:rPr>
      <w:fldChar w:fldCharType="begin"/>
    </w:r>
    <w:r w:rsidRPr="00DC779C">
      <w:rPr>
        <w:b/>
        <w:sz w:val="18"/>
      </w:rPr>
      <w:instrText xml:space="preserve"> PAGE  \* MERGEFORMAT </w:instrText>
    </w:r>
    <w:r w:rsidRPr="00DC779C">
      <w:rPr>
        <w:b/>
        <w:sz w:val="18"/>
      </w:rPr>
      <w:fldChar w:fldCharType="separate"/>
    </w:r>
    <w:r w:rsidRPr="00DC779C">
      <w:rPr>
        <w:b/>
        <w:noProof/>
        <w:sz w:val="18"/>
      </w:rPr>
      <w:t>2</w:t>
    </w:r>
    <w:r w:rsidRPr="00DC779C">
      <w:rPr>
        <w:b/>
        <w:sz w:val="18"/>
      </w:rPr>
      <w:fldChar w:fldCharType="end"/>
    </w:r>
    <w:r>
      <w:rPr>
        <w:b/>
        <w:sz w:val="18"/>
      </w:rPr>
      <w:tab/>
    </w:r>
    <w:r>
      <w:t>GE.23-11660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CCDD" w14:textId="11C48230" w:rsidR="00DC779C" w:rsidRPr="00DC779C" w:rsidRDefault="00DC779C" w:rsidP="00DC779C">
    <w:pPr>
      <w:pStyle w:val="a8"/>
      <w:tabs>
        <w:tab w:val="clear" w:pos="9639"/>
        <w:tab w:val="right" w:pos="9638"/>
      </w:tabs>
      <w:rPr>
        <w:b/>
        <w:sz w:val="18"/>
      </w:rPr>
    </w:pPr>
    <w:r>
      <w:t>GE.23-11660</w:t>
    </w:r>
    <w:r>
      <w:tab/>
    </w:r>
    <w:r w:rsidRPr="00DC779C">
      <w:rPr>
        <w:b/>
        <w:sz w:val="18"/>
      </w:rPr>
      <w:fldChar w:fldCharType="begin"/>
    </w:r>
    <w:r w:rsidRPr="00DC779C">
      <w:rPr>
        <w:b/>
        <w:sz w:val="18"/>
      </w:rPr>
      <w:instrText xml:space="preserve"> PAGE  \* MERGEFORMAT </w:instrText>
    </w:r>
    <w:r w:rsidRPr="00DC779C">
      <w:rPr>
        <w:b/>
        <w:sz w:val="18"/>
      </w:rPr>
      <w:fldChar w:fldCharType="separate"/>
    </w:r>
    <w:r w:rsidRPr="00DC779C">
      <w:rPr>
        <w:b/>
        <w:noProof/>
        <w:sz w:val="18"/>
      </w:rPr>
      <w:t>3</w:t>
    </w:r>
    <w:r w:rsidRPr="00DC77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DE88" w14:textId="08198C53" w:rsidR="00042B72" w:rsidRPr="00DC779C" w:rsidRDefault="00DC779C" w:rsidP="00DC779C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09C3BB2" wp14:editId="379F53D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11660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72869C3" wp14:editId="58F75B9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031023  091023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CB47" w14:textId="77777777" w:rsidR="00C178B8" w:rsidRPr="001075E9" w:rsidRDefault="00C178B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E4745E4" w14:textId="77777777" w:rsidR="00C178B8" w:rsidRDefault="00C178B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2963062" w14:textId="77777777" w:rsidR="00DC779C" w:rsidRPr="00EF552B" w:rsidRDefault="00DC779C" w:rsidP="00DC779C">
      <w:pPr>
        <w:pStyle w:val="ad"/>
        <w:spacing w:line="200" w:lineRule="exact"/>
      </w:pPr>
      <w:r>
        <w:tab/>
      </w:r>
      <w:r w:rsidRPr="00DC779C">
        <w:rPr>
          <w:sz w:val="20"/>
        </w:rPr>
        <w:t>*</w:t>
      </w:r>
      <w:r>
        <w:tab/>
        <w:t>Прежние названия Соглашения:</w:t>
      </w:r>
    </w:p>
    <w:p w14:paraId="06CB20EE" w14:textId="77777777" w:rsidR="00DC779C" w:rsidRPr="00EF552B" w:rsidRDefault="00DC779C" w:rsidP="00DC779C">
      <w:pPr>
        <w:pStyle w:val="ad"/>
        <w:spacing w:line="200" w:lineRule="exact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39BB11B8" w14:textId="26B4B5F2" w:rsidR="00DC779C" w:rsidRPr="00EF552B" w:rsidRDefault="00DC779C" w:rsidP="00DC779C">
      <w:pPr>
        <w:pStyle w:val="ad"/>
        <w:spacing w:line="200" w:lineRule="exact"/>
      </w:pPr>
      <w:r>
        <w:tab/>
      </w:r>
      <w:r>
        <w:tab/>
      </w:r>
      <w:r>
        <w:t>Соглашение</w:t>
      </w:r>
      <w: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072E" w14:textId="05D01DC4" w:rsidR="00DC779C" w:rsidRPr="00DC779C" w:rsidRDefault="00DC779C">
    <w:pPr>
      <w:pStyle w:val="a5"/>
    </w:pPr>
    <w:fldSimple w:instr=" TITLE  \* MERGEFORMAT ">
      <w:r w:rsidR="004C79DB">
        <w:t>E/ECE/TRANS/505/Rev.3/Add.160/Amend.3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7B2B" w14:textId="0E6FF078" w:rsidR="00DC779C" w:rsidRPr="00DC779C" w:rsidRDefault="00DC779C" w:rsidP="00DC779C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4C79DB">
      <w:t>E/ECE/TRANS/505/Rev.3/Add.160/Amend.3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B8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22A59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C79DB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11242"/>
    <w:rsid w:val="00C178B8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C779C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BADD7"/>
  <w15:docId w15:val="{D93D13FA-A50D-40E0-925E-F4E37A7A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R,5_G_6,Fußnotentext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R Знак,5_G_6 Знак,Fußnotentext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SingleTxtGChar">
    <w:name w:val="_ Single Txt_G Char"/>
    <w:link w:val="SingleTxtG"/>
    <w:qFormat/>
    <w:rsid w:val="00DC779C"/>
    <w:rPr>
      <w:lang w:val="ru-RU" w:eastAsia="en-US"/>
    </w:rPr>
  </w:style>
  <w:style w:type="character" w:customStyle="1" w:styleId="HChGChar">
    <w:name w:val="_ H _Ch_G Char"/>
    <w:link w:val="HChG"/>
    <w:rsid w:val="00DC779C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DC779C"/>
    <w:rPr>
      <w:b/>
      <w:sz w:val="24"/>
      <w:lang w:val="ru-RU" w:eastAsia="ru-RU"/>
    </w:rPr>
  </w:style>
  <w:style w:type="paragraph" w:customStyle="1" w:styleId="para">
    <w:name w:val="para"/>
    <w:basedOn w:val="a"/>
    <w:link w:val="paraChar"/>
    <w:qFormat/>
    <w:rsid w:val="00DC779C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customStyle="1" w:styleId="paraChar">
    <w:name w:val="para Char"/>
    <w:link w:val="para"/>
    <w:rsid w:val="00DC779C"/>
    <w:rPr>
      <w:lang w:val="en-GB" w:eastAsia="en-US"/>
    </w:rPr>
  </w:style>
  <w:style w:type="paragraph" w:styleId="af3">
    <w:name w:val="List Paragraph"/>
    <w:basedOn w:val="a"/>
    <w:uiPriority w:val="34"/>
    <w:qFormat/>
    <w:rsid w:val="00DC779C"/>
    <w:pPr>
      <w:ind w:left="720"/>
      <w:contextualSpacing/>
    </w:pPr>
    <w:rPr>
      <w:rFonts w:eastAsia="Times New Roman" w:cs="Times New Roman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B7D12-6EAE-4B1B-9CAA-AD61C0051D6D}"/>
</file>

<file path=customXml/itemProps2.xml><?xml version="1.0" encoding="utf-8"?>
<ds:datastoreItem xmlns:ds="http://schemas.openxmlformats.org/officeDocument/2006/customXml" ds:itemID="{740F608A-C35B-4E59-BE66-62DDD004835D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2</TotalTime>
  <Pages>3</Pages>
  <Words>460</Words>
  <Characters>3480</Characters>
  <Application>Microsoft Office Word</Application>
  <DocSecurity>0</DocSecurity>
  <Lines>99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E/ECE/TRANS/505/Rev.3/Add.160/Amend.3</dc:title>
  <dc:subject/>
  <dc:creator>Uliana ANTIPOVA</dc:creator>
  <cp:keywords/>
  <cp:lastModifiedBy>Uliana Antipova</cp:lastModifiedBy>
  <cp:revision>3</cp:revision>
  <cp:lastPrinted>2023-10-09T08:40:00Z</cp:lastPrinted>
  <dcterms:created xsi:type="dcterms:W3CDTF">2023-10-09T08:39:00Z</dcterms:created>
  <dcterms:modified xsi:type="dcterms:W3CDTF">2023-10-09T08:41:00Z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