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882501" w14:paraId="1C702559" w14:textId="77777777" w:rsidTr="00A27C92">
        <w:trPr>
          <w:trHeight w:hRule="exact" w:val="851"/>
        </w:trPr>
        <w:tc>
          <w:tcPr>
            <w:tcW w:w="9639" w:type="dxa"/>
            <w:gridSpan w:val="2"/>
            <w:tcBorders>
              <w:bottom w:val="single" w:sz="4" w:space="0" w:color="auto"/>
            </w:tcBorders>
            <w:shd w:val="clear" w:color="auto" w:fill="auto"/>
            <w:vAlign w:val="bottom"/>
          </w:tcPr>
          <w:p w14:paraId="04A0808C" w14:textId="274290A6" w:rsidR="00882501" w:rsidRPr="00882501" w:rsidRDefault="00882501" w:rsidP="00882501">
            <w:pPr>
              <w:jc w:val="right"/>
              <w:rPr>
                <w:lang w:val="en-US"/>
              </w:rPr>
            </w:pPr>
            <w:r w:rsidRPr="00882501">
              <w:rPr>
                <w:sz w:val="40"/>
                <w:lang w:val="en-US"/>
              </w:rPr>
              <w:t>E</w:t>
            </w:r>
            <w:r w:rsidRPr="00882501">
              <w:rPr>
                <w:lang w:val="en-US"/>
              </w:rPr>
              <w:t>/ECE/TRANS/505/Rev.3/Add.160/Amend.3</w:t>
            </w:r>
          </w:p>
        </w:tc>
      </w:tr>
      <w:tr w:rsidR="00421A10" w:rsidRPr="00DB58B5" w14:paraId="35ADBAF3" w14:textId="77777777" w:rsidTr="00A27C92">
        <w:trPr>
          <w:trHeight w:hRule="exact" w:val="2835"/>
        </w:trPr>
        <w:tc>
          <w:tcPr>
            <w:tcW w:w="6804" w:type="dxa"/>
            <w:tcBorders>
              <w:top w:val="single" w:sz="4" w:space="0" w:color="auto"/>
              <w:bottom w:val="single" w:sz="12" w:space="0" w:color="auto"/>
            </w:tcBorders>
            <w:shd w:val="clear" w:color="auto" w:fill="auto"/>
          </w:tcPr>
          <w:p w14:paraId="15557A70" w14:textId="77777777" w:rsidR="00421A10" w:rsidRPr="00882501"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0B46C985" w14:textId="77777777" w:rsidR="00421A10" w:rsidRPr="00DB58B5" w:rsidRDefault="00882501" w:rsidP="00A27C92">
            <w:pPr>
              <w:spacing w:before="480" w:line="240" w:lineRule="exact"/>
            </w:pPr>
            <w:r>
              <w:t>16 juin 2023</w:t>
            </w:r>
          </w:p>
        </w:tc>
      </w:tr>
    </w:tbl>
    <w:p w14:paraId="64E9C8A1" w14:textId="77777777" w:rsidR="00421A10" w:rsidRPr="006549FF" w:rsidRDefault="0029791D" w:rsidP="0029791D">
      <w:pPr>
        <w:pStyle w:val="HChG"/>
      </w:pPr>
      <w:r>
        <w:tab/>
      </w:r>
      <w:r>
        <w:tab/>
      </w:r>
      <w:r w:rsidR="00421A10" w:rsidRPr="006549FF">
        <w:t>Accord</w:t>
      </w:r>
    </w:p>
    <w:p w14:paraId="77C2A5D9" w14:textId="0D41A492" w:rsidR="00421A10" w:rsidRPr="00583D68" w:rsidRDefault="0029791D" w:rsidP="0029791D">
      <w:pPr>
        <w:pStyle w:val="H1G"/>
      </w:pPr>
      <w:r>
        <w:tab/>
      </w:r>
      <w:r>
        <w:tab/>
      </w:r>
      <w:r w:rsidR="00421A10" w:rsidRPr="00583D68">
        <w:t>Concernant l’adoption</w:t>
      </w:r>
      <w:r w:rsidR="00882501">
        <w:t xml:space="preserve"> </w:t>
      </w:r>
      <w:r w:rsidR="00882501" w:rsidRPr="00882501">
        <w:t xml:space="preserve">de Règlements techniques harmonisés de l’ONU applicables aux véhicules à roues et aux équipements et pièces susceptibles d’être montés ou utilisés sur les véhicules à roues </w:t>
      </w:r>
      <w:r w:rsidR="00882501">
        <w:br/>
      </w:r>
      <w:r w:rsidR="00882501" w:rsidRPr="00882501">
        <w:t>et les conditions de reconnaissance réciproque des homologations délivrées conformément à ces Règlements</w:t>
      </w:r>
      <w:r w:rsidR="00442E31" w:rsidRPr="00882501">
        <w:rPr>
          <w:rStyle w:val="Appelnotedebasdep"/>
          <w:b w:val="0"/>
          <w:bCs/>
          <w:sz w:val="20"/>
          <w:vertAlign w:val="baseline"/>
        </w:rPr>
        <w:footnoteReference w:customMarkFollows="1" w:id="2"/>
        <w:t>*</w:t>
      </w:r>
    </w:p>
    <w:p w14:paraId="01615C1D" w14:textId="5309E267" w:rsidR="00421A10" w:rsidRPr="00A12483" w:rsidRDefault="00882501" w:rsidP="0029791D">
      <w:pPr>
        <w:pStyle w:val="SingleTxtG"/>
        <w:jc w:val="left"/>
        <w:rPr>
          <w:b/>
          <w:sz w:val="24"/>
          <w:szCs w:val="24"/>
        </w:rPr>
      </w:pPr>
      <w:r w:rsidRPr="00882501">
        <w:t>(Révision 3, comprenant les amendements entrés en vigueur le 14 septembre 2017)</w:t>
      </w:r>
    </w:p>
    <w:p w14:paraId="0F1775C4" w14:textId="77777777" w:rsidR="00421A10" w:rsidRPr="006549FF" w:rsidRDefault="0029791D" w:rsidP="0029791D">
      <w:pPr>
        <w:jc w:val="center"/>
      </w:pPr>
      <w:r>
        <w:t>_______________</w:t>
      </w:r>
    </w:p>
    <w:p w14:paraId="120DA0A5" w14:textId="4D6764CF" w:rsidR="00421A10" w:rsidRPr="006549FF" w:rsidRDefault="0029791D" w:rsidP="0029791D">
      <w:pPr>
        <w:pStyle w:val="HChG"/>
      </w:pPr>
      <w:r>
        <w:tab/>
      </w:r>
      <w:r>
        <w:tab/>
      </w:r>
      <w:r w:rsidR="00882501" w:rsidRPr="00882501">
        <w:t xml:space="preserve">Additif 160 </w:t>
      </w:r>
      <w:r w:rsidR="00882501">
        <w:t>−</w:t>
      </w:r>
      <w:r w:rsidR="00882501" w:rsidRPr="00882501">
        <w:t xml:space="preserve"> Règlement ONU </w:t>
      </w:r>
      <w:r w:rsidR="00882501">
        <w:rPr>
          <w:rFonts w:eastAsia="MS Mincho"/>
        </w:rPr>
        <w:t>n</w:t>
      </w:r>
      <w:r w:rsidR="00882501">
        <w:rPr>
          <w:rFonts w:eastAsia="MS Mincho"/>
          <w:vertAlign w:val="superscript"/>
        </w:rPr>
        <w:t>o</w:t>
      </w:r>
      <w:r w:rsidR="00882501">
        <w:t xml:space="preserve"> </w:t>
      </w:r>
      <w:r w:rsidR="00882501" w:rsidRPr="00882501">
        <w:t>161</w:t>
      </w:r>
    </w:p>
    <w:p w14:paraId="2FD8A103" w14:textId="28DFF9B6" w:rsidR="00421A10" w:rsidRPr="006549FF" w:rsidRDefault="0029791D" w:rsidP="0029791D">
      <w:pPr>
        <w:pStyle w:val="H1G"/>
      </w:pPr>
      <w:r>
        <w:tab/>
      </w:r>
      <w:r>
        <w:tab/>
      </w:r>
      <w:r w:rsidR="00882501" w:rsidRPr="00882501">
        <w:t>Amendement 3</w:t>
      </w:r>
    </w:p>
    <w:p w14:paraId="0605BF4C" w14:textId="376F91E5" w:rsidR="00421A10" w:rsidRPr="0029791D" w:rsidRDefault="00882501" w:rsidP="00882501">
      <w:pPr>
        <w:pStyle w:val="SingleTxtG"/>
        <w:spacing w:after="0"/>
      </w:pPr>
      <w:r w:rsidRPr="00882501">
        <w:t xml:space="preserve">Complément 3 à la version originale du Règlement </w:t>
      </w:r>
      <w:r>
        <w:t>−</w:t>
      </w:r>
      <w:r w:rsidRPr="00882501">
        <w:t xml:space="preserve"> Date d’entrée en vigueur : 5 juin 2023</w:t>
      </w:r>
    </w:p>
    <w:p w14:paraId="258883B7" w14:textId="4E3CDB40" w:rsidR="00421A10" w:rsidRDefault="0029791D" w:rsidP="0029791D">
      <w:pPr>
        <w:pStyle w:val="H1G"/>
      </w:pPr>
      <w:r>
        <w:tab/>
      </w:r>
      <w:r>
        <w:tab/>
      </w:r>
      <w:r w:rsidR="00421A10" w:rsidRPr="007619D3">
        <w:t xml:space="preserve">Prescriptions uniformes relatives </w:t>
      </w:r>
      <w:r w:rsidR="00882501" w:rsidRPr="00882501">
        <w:rPr>
          <w:bCs/>
          <w:lang w:val="fr-FR"/>
        </w:rPr>
        <w:t xml:space="preserve">à la protection des véhicules à moteur contre une utilisation non autorisée et à l’homologation de leurs dispositifs de protection contre une utilisation non autorisée </w:t>
      </w:r>
      <w:r w:rsidR="00882501">
        <w:rPr>
          <w:bCs/>
          <w:lang w:val="fr-FR"/>
        </w:rPr>
        <w:br/>
      </w:r>
      <w:r w:rsidR="00882501" w:rsidRPr="00882501">
        <w:rPr>
          <w:bCs/>
          <w:lang w:val="fr-FR"/>
        </w:rPr>
        <w:t>(au moyen d’un système de verrouillage)</w:t>
      </w:r>
    </w:p>
    <w:p w14:paraId="0CBEA939" w14:textId="0FB41705" w:rsidR="00882501" w:rsidRDefault="00882501" w:rsidP="00882501">
      <w:pPr>
        <w:pStyle w:val="SingleTxtG"/>
        <w:ind w:firstLine="567"/>
        <w:rPr>
          <w:lang w:val="fr-BE"/>
        </w:rPr>
      </w:pPr>
      <w:r w:rsidRPr="00882501">
        <w:rPr>
          <w:lang w:val="fr-FR"/>
        </w:rPr>
        <w:t xml:space="preserve">Le présent document est communiqué uniquement à titre d’information. Le texte authentique, juridiquement contraignant, est celui du document </w:t>
      </w:r>
      <w:r w:rsidRPr="00882501">
        <w:rPr>
          <w:lang w:val="fr-BE"/>
        </w:rPr>
        <w:t>ECE/TRANS/WP.29/</w:t>
      </w:r>
      <w:r>
        <w:rPr>
          <w:lang w:val="fr-BE"/>
        </w:rPr>
        <w:br/>
      </w:r>
      <w:r w:rsidRPr="00882501">
        <w:rPr>
          <w:lang w:val="fr-BE"/>
        </w:rPr>
        <w:t>2022/146.</w:t>
      </w:r>
    </w:p>
    <w:p w14:paraId="6EE0CD18" w14:textId="0665DFA6" w:rsidR="00882501" w:rsidRDefault="00442E31" w:rsidP="00882501">
      <w:pPr>
        <w:pStyle w:val="SingleTxtG"/>
      </w:pPr>
      <w:r>
        <w:rPr>
          <w:noProof/>
          <w:lang w:eastAsia="fr-CH"/>
        </w:rPr>
        <mc:AlternateContent>
          <mc:Choice Requires="wps">
            <w:drawing>
              <wp:anchor distT="0" distB="0" distL="114300" distR="114300" simplePos="0" relativeHeight="251658240" behindDoc="0" locked="0" layoutInCell="1" allowOverlap="1" wp14:anchorId="41291016" wp14:editId="5F5AFB13">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5DA56956" w14:textId="77777777" w:rsidR="00442E31" w:rsidRPr="0029791D" w:rsidRDefault="00442E31" w:rsidP="00C9521D">
                            <w:pPr>
                              <w:ind w:left="1134" w:right="1134"/>
                              <w:jc w:val="center"/>
                            </w:pPr>
                            <w:r>
                              <w:t>_______________</w:t>
                            </w:r>
                          </w:p>
                          <w:p w14:paraId="2DC6E5AE" w14:textId="77777777" w:rsidR="00442E31" w:rsidRDefault="00442E31" w:rsidP="00C9521D">
                            <w:pPr>
                              <w:jc w:val="center"/>
                              <w:rPr>
                                <w:b/>
                                <w:bCs/>
                                <w:sz w:val="22"/>
                              </w:rPr>
                            </w:pPr>
                            <w:r>
                              <w:rPr>
                                <w:noProof/>
                                <w:lang w:eastAsia="fr-CH"/>
                              </w:rPr>
                              <w:drawing>
                                <wp:inline distT="0" distB="0" distL="0" distR="0" wp14:anchorId="07F1B68F" wp14:editId="5EF539F4">
                                  <wp:extent cx="914400" cy="7715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42660B18"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91016"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" stroked="f">
                <v:textbox inset="0,0,0,0">
                  <w:txbxContent>
                    <w:p w14:paraId="5DA56956" w14:textId="77777777" w:rsidR="00442E31" w:rsidRPr="0029791D" w:rsidRDefault="00442E31" w:rsidP="00C9521D">
                      <w:pPr>
                        <w:ind w:left="1134" w:right="1134"/>
                        <w:jc w:val="center"/>
                      </w:pPr>
                      <w:r>
                        <w:t>_______________</w:t>
                      </w:r>
                    </w:p>
                    <w:p w14:paraId="2DC6E5AE" w14:textId="77777777" w:rsidR="00442E31" w:rsidRDefault="00442E31" w:rsidP="00C9521D">
                      <w:pPr>
                        <w:jc w:val="center"/>
                        <w:rPr>
                          <w:b/>
                          <w:bCs/>
                          <w:sz w:val="22"/>
                        </w:rPr>
                      </w:pPr>
                      <w:r>
                        <w:rPr>
                          <w:noProof/>
                          <w:lang w:eastAsia="fr-CH"/>
                        </w:rPr>
                        <w:drawing>
                          <wp:inline distT="0" distB="0" distL="0" distR="0" wp14:anchorId="07F1B68F" wp14:editId="5EF539F4">
                            <wp:extent cx="914400" cy="7715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42660B18"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r w:rsidR="00882501">
        <w:br w:type="page"/>
      </w:r>
    </w:p>
    <w:p w14:paraId="40286FB5" w14:textId="77777777" w:rsidR="00882501" w:rsidRPr="003604C1" w:rsidRDefault="00882501" w:rsidP="00882501">
      <w:pPr>
        <w:pStyle w:val="SingleTxtG"/>
        <w:keepNext/>
        <w:rPr>
          <w:i/>
        </w:rPr>
      </w:pPr>
      <w:bookmarkStart w:id="0" w:name="_Hlk92106570"/>
      <w:r w:rsidRPr="003604C1">
        <w:rPr>
          <w:i/>
          <w:iCs/>
        </w:rPr>
        <w:lastRenderedPageBreak/>
        <w:t>Paragraphe 5.3</w:t>
      </w:r>
      <w:r w:rsidRPr="003604C1">
        <w:t>, lire :</w:t>
      </w:r>
      <w:bookmarkEnd w:id="0"/>
    </w:p>
    <w:p w14:paraId="6A5246BF" w14:textId="77777777" w:rsidR="00882501" w:rsidRPr="00610965" w:rsidRDefault="00882501" w:rsidP="00882501">
      <w:pPr>
        <w:pStyle w:val="SingleTxtG"/>
        <w:ind w:left="2268" w:hanging="1134"/>
      </w:pPr>
      <w:r w:rsidRPr="003604C1">
        <w:t>« 5.3</w:t>
      </w:r>
      <w:r w:rsidRPr="003604C1">
        <w:tab/>
      </w:r>
      <w:r w:rsidRPr="00610965">
        <w:t xml:space="preserve">Les dispositifs électromécaniques et électroniques de protection contre une utilisation non autorisée doivent </w:t>
      </w:r>
      <w:r w:rsidRPr="00BF1E4D">
        <w:t>satisfaire aux prescriptions des paragraphes</w:t>
      </w:r>
      <w:r>
        <w:t> </w:t>
      </w:r>
      <w:r w:rsidRPr="00BF1E4D">
        <w:t xml:space="preserve">5.1 et 5.2 et </w:t>
      </w:r>
      <w:r w:rsidRPr="00610965">
        <w:t>être soumis aux essais décrits dans l</w:t>
      </w:r>
      <w:r>
        <w:t>’</w:t>
      </w:r>
      <w:r w:rsidRPr="00610965">
        <w:t>annexe 6</w:t>
      </w:r>
      <w:r w:rsidRPr="00BF1E4D">
        <w:t>,</w:t>
      </w:r>
      <w:r w:rsidRPr="00610965">
        <w:t xml:space="preserve"> </w:t>
      </w:r>
      <w:r w:rsidRPr="00BF1E4D">
        <w:rPr>
          <w:i/>
          <w:iCs/>
        </w:rPr>
        <w:t>mutatis mutandis</w:t>
      </w:r>
      <w:r w:rsidRPr="00610965">
        <w:t>.</w:t>
      </w:r>
    </w:p>
    <w:p w14:paraId="7170FEFA" w14:textId="6682E5F2" w:rsidR="00882501" w:rsidRPr="00BF1E4D" w:rsidRDefault="00882501" w:rsidP="00882501">
      <w:pPr>
        <w:pStyle w:val="SingleTxtG"/>
        <w:ind w:left="2268"/>
      </w:pPr>
      <w:r w:rsidRPr="00BF1E4D">
        <w:t>Les éléments qui ne sont pas intégrés aux véhicules (tels que les clefs utilisées pour l</w:t>
      </w:r>
      <w:r>
        <w:t>’</w:t>
      </w:r>
      <w:r w:rsidRPr="00BF1E4D">
        <w:t>activation et la désactivation) n</w:t>
      </w:r>
      <w:r>
        <w:t>’</w:t>
      </w:r>
      <w:r w:rsidRPr="00BF1E4D">
        <w:t>ont pas à satisfaire aux prescriptions de l</w:t>
      </w:r>
      <w:r>
        <w:t>’</w:t>
      </w:r>
      <w:r w:rsidRPr="00BF1E4D">
        <w:t>annexe</w:t>
      </w:r>
      <w:r>
        <w:t> </w:t>
      </w:r>
      <w:r w:rsidRPr="00BF1E4D">
        <w:t>6.</w:t>
      </w:r>
    </w:p>
    <w:p w14:paraId="16F2A4C0" w14:textId="77777777" w:rsidR="00882501" w:rsidRPr="003604C1" w:rsidRDefault="00882501" w:rsidP="00882501">
      <w:pPr>
        <w:pStyle w:val="SingleTxtG"/>
        <w:ind w:left="2268"/>
      </w:pPr>
      <w:r w:rsidRPr="00BF1E4D">
        <w:t>Si la conception technique du dispositif est telle que le paragraphe 5 et l</w:t>
      </w:r>
      <w:r>
        <w:t>’</w:t>
      </w:r>
      <w:r w:rsidRPr="00BF1E4D">
        <w:t>annexe</w:t>
      </w:r>
      <w:r>
        <w:t> </w:t>
      </w:r>
      <w:r w:rsidRPr="00BF1E4D">
        <w:t>6 ne sont pas applicables, il doit être vérifié que des mesures ont été prises pour préserver la sécurité du véhicule. Le fonctionnement du dispositif doit inclure les sécurités nécessaires pour exclure tout risque de blocage ou de défaillance accidentelle pouvant compromettre la sécurité du véhicule.</w:t>
      </w:r>
      <w:r w:rsidRPr="00610965">
        <w:t> </w:t>
      </w:r>
      <w:r w:rsidRPr="003604C1">
        <w:t>».</w:t>
      </w:r>
    </w:p>
    <w:p w14:paraId="75A70AD3" w14:textId="77777777" w:rsidR="00882501" w:rsidRPr="003604C1" w:rsidRDefault="00882501" w:rsidP="00882501">
      <w:pPr>
        <w:pStyle w:val="SingleTxtG"/>
      </w:pPr>
      <w:r w:rsidRPr="003604C1">
        <w:rPr>
          <w:i/>
          <w:iCs/>
        </w:rPr>
        <w:t>Paragraphes 6.1 à 6.3</w:t>
      </w:r>
      <w:r w:rsidRPr="003604C1">
        <w:t>, supprimer.</w:t>
      </w:r>
    </w:p>
    <w:p w14:paraId="24573FE2" w14:textId="77777777" w:rsidR="00882501" w:rsidRPr="003604C1" w:rsidRDefault="00882501" w:rsidP="00882501">
      <w:pPr>
        <w:pStyle w:val="SingleTxtG"/>
        <w:keepNext/>
      </w:pPr>
      <w:r w:rsidRPr="003604C1">
        <w:rPr>
          <w:i/>
          <w:iCs/>
        </w:rPr>
        <w:t>Ajouter les nouveaux paragraphes 6.1 à 6.3</w:t>
      </w:r>
      <w:r w:rsidRPr="003604C1">
        <w:t>, libellés comme suit :</w:t>
      </w:r>
    </w:p>
    <w:p w14:paraId="423A8510" w14:textId="77777777" w:rsidR="00882501" w:rsidRPr="00BF1E4D" w:rsidRDefault="00882501" w:rsidP="00882501">
      <w:pPr>
        <w:pStyle w:val="SingleTxtG"/>
        <w:ind w:left="2268" w:hanging="1134"/>
      </w:pPr>
      <w:r w:rsidRPr="003604C1">
        <w:t>« </w:t>
      </w:r>
      <w:r w:rsidRPr="00BF1E4D">
        <w:t>6.1</w:t>
      </w:r>
      <w:r w:rsidRPr="00BF1E4D">
        <w:tab/>
        <w:t>Toute modification du type de véhicule ou du type d</w:t>
      </w:r>
      <w:r>
        <w:t>’</w:t>
      </w:r>
      <w:r w:rsidRPr="00BF1E4D">
        <w:t>équipement doit être portée à la connaissance du service administratif qui a homologué ce type de véhicule ou d</w:t>
      </w:r>
      <w:r>
        <w:t>’</w:t>
      </w:r>
      <w:r w:rsidRPr="00BF1E4D">
        <w:t>équipement. Ce service peut alors :</w:t>
      </w:r>
    </w:p>
    <w:p w14:paraId="5A0F86FC" w14:textId="77777777" w:rsidR="00882501" w:rsidRPr="00BF1E4D" w:rsidRDefault="00882501" w:rsidP="00882501">
      <w:pPr>
        <w:pStyle w:val="SingleTxtG"/>
        <w:ind w:left="2268" w:hanging="1134"/>
      </w:pPr>
      <w:r w:rsidRPr="00BF1E4D">
        <w:t>6.1.1</w:t>
      </w:r>
      <w:r w:rsidRPr="00BF1E4D">
        <w:tab/>
        <w:t>Soit considérer que les modifications apportées ne risquent pas d</w:t>
      </w:r>
      <w:r>
        <w:t>’</w:t>
      </w:r>
      <w:r w:rsidRPr="00BF1E4D">
        <w:t>avoir des conséquences défavorables notables et qu</w:t>
      </w:r>
      <w:r>
        <w:t>’</w:t>
      </w:r>
      <w:r w:rsidRPr="00BF1E4D">
        <w:t>en tout cas, l</w:t>
      </w:r>
      <w:r>
        <w:t>’</w:t>
      </w:r>
      <w:r w:rsidRPr="00BF1E4D">
        <w:t>équipement ou le véhicule satisfait encore aux prescriptions ;</w:t>
      </w:r>
    </w:p>
    <w:p w14:paraId="20BA5906" w14:textId="77777777" w:rsidR="00882501" w:rsidRPr="00BF1E4D" w:rsidRDefault="00882501" w:rsidP="00882501">
      <w:pPr>
        <w:pStyle w:val="SingleTxtG"/>
        <w:ind w:left="2268" w:hanging="1134"/>
      </w:pPr>
      <w:r w:rsidRPr="00BF1E4D">
        <w:t>6.1.2</w:t>
      </w:r>
      <w:r w:rsidRPr="00BF1E4D">
        <w:tab/>
        <w:t>Soit exiger un nouveau procès-verbal du service technique chargé des essais.</w:t>
      </w:r>
    </w:p>
    <w:p w14:paraId="27F60F1A" w14:textId="43B2966E" w:rsidR="00882501" w:rsidRPr="00BF1E4D" w:rsidRDefault="00882501" w:rsidP="00882501">
      <w:pPr>
        <w:pStyle w:val="SingleTxtG"/>
        <w:ind w:left="2268" w:hanging="1134"/>
      </w:pPr>
      <w:r w:rsidRPr="00BF1E4D">
        <w:t>6.2</w:t>
      </w:r>
      <w:r w:rsidRPr="00BF1E4D">
        <w:tab/>
        <w:t>La confirmation ou le refus d</w:t>
      </w:r>
      <w:r>
        <w:t>’</w:t>
      </w:r>
      <w:r w:rsidRPr="00BF1E4D">
        <w:t>homologation, avec indication des modifications, doit être notifié(e) aux Parties contractantes à l</w:t>
      </w:r>
      <w:r>
        <w:t>’</w:t>
      </w:r>
      <w:r w:rsidRPr="00BF1E4D">
        <w:t>Accord qui appliquent le présent Règlement, conformément à la procédure visée au paragraphe</w:t>
      </w:r>
      <w:r>
        <w:t> </w:t>
      </w:r>
      <w:r w:rsidRPr="00BF1E4D">
        <w:t>4.3 ci</w:t>
      </w:r>
      <w:r>
        <w:noBreakHyphen/>
      </w:r>
      <w:r w:rsidRPr="00BF1E4D">
        <w:t>dessus.</w:t>
      </w:r>
    </w:p>
    <w:p w14:paraId="25AE1CB5" w14:textId="665948C0" w:rsidR="00882501" w:rsidRPr="003604C1" w:rsidRDefault="00882501" w:rsidP="00882501">
      <w:pPr>
        <w:pStyle w:val="SingleTxtG"/>
        <w:ind w:left="2268" w:hanging="1134"/>
        <w:rPr>
          <w:b/>
          <w:bCs/>
        </w:rPr>
      </w:pPr>
      <w:r w:rsidRPr="00BF1E4D">
        <w:t>6.3</w:t>
      </w:r>
      <w:r w:rsidRPr="00BF1E4D">
        <w:tab/>
        <w:t>L</w:t>
      </w:r>
      <w:r>
        <w:t>’</w:t>
      </w:r>
      <w:r w:rsidRPr="00BF1E4D">
        <w:t>autorité d</w:t>
      </w:r>
      <w:r>
        <w:t>’</w:t>
      </w:r>
      <w:r w:rsidRPr="00BF1E4D">
        <w:t>homologation de type doit informer les autres Parties contractantes de l</w:t>
      </w:r>
      <w:r>
        <w:t>’</w:t>
      </w:r>
      <w:r w:rsidRPr="00BF1E4D">
        <w:t>extension, au moyen de la fiche de communication figurant à l</w:t>
      </w:r>
      <w:r>
        <w:t>’</w:t>
      </w:r>
      <w:r w:rsidRPr="00BF1E4D">
        <w:t>annexe</w:t>
      </w:r>
      <w:r>
        <w:t> </w:t>
      </w:r>
      <w:r w:rsidRPr="00BF1E4D">
        <w:t>1 du présent Règlement. Elle attribue à chaque extension un numéro de série dénommé numéro d</w:t>
      </w:r>
      <w:r>
        <w:t>’</w:t>
      </w:r>
      <w:r w:rsidRPr="00BF1E4D">
        <w:t>extension.</w:t>
      </w:r>
      <w:r w:rsidRPr="003604C1">
        <w:t> ».</w:t>
      </w:r>
      <w:bookmarkStart w:id="1" w:name="_Hlk92098654"/>
      <w:bookmarkEnd w:id="1"/>
    </w:p>
    <w:p w14:paraId="23901170" w14:textId="77777777" w:rsidR="00882501" w:rsidRPr="003604C1" w:rsidRDefault="00882501" w:rsidP="00882501">
      <w:pPr>
        <w:pStyle w:val="SingleTxtG"/>
        <w:keepNext/>
      </w:pPr>
      <w:r w:rsidRPr="003604C1">
        <w:rPr>
          <w:i/>
          <w:iCs/>
        </w:rPr>
        <w:t>Annexe 6, paragraphe 1</w:t>
      </w:r>
      <w:r w:rsidRPr="003604C1">
        <w:t>, lire :</w:t>
      </w:r>
    </w:p>
    <w:p w14:paraId="68F9CCAD" w14:textId="77777777" w:rsidR="00882501" w:rsidRPr="003604C1" w:rsidRDefault="00882501" w:rsidP="00882501">
      <w:pPr>
        <w:pStyle w:val="SingleTxtG"/>
        <w:keepNext/>
        <w:ind w:left="2268" w:hanging="1134"/>
        <w:rPr>
          <w:bCs/>
        </w:rPr>
      </w:pPr>
      <w:r w:rsidRPr="003604C1">
        <w:t>« 1.</w:t>
      </w:r>
      <w:r w:rsidRPr="003604C1">
        <w:tab/>
        <w:t>Paramètres de fonctionnement</w:t>
      </w:r>
    </w:p>
    <w:p w14:paraId="522E04A1" w14:textId="77777777" w:rsidR="00882501" w:rsidRPr="003604C1" w:rsidRDefault="00882501" w:rsidP="00882501">
      <w:pPr>
        <w:pStyle w:val="SingleTxtG"/>
        <w:keepNext/>
        <w:ind w:left="2268"/>
        <w:rPr>
          <w:bCs/>
        </w:rPr>
      </w:pPr>
      <w:r w:rsidRPr="003604C1">
        <w:t>Ces prescriptions ne s</w:t>
      </w:r>
      <w:r>
        <w:t>’</w:t>
      </w:r>
      <w:r w:rsidRPr="003604C1">
        <w:t>appliquent pas :</w:t>
      </w:r>
    </w:p>
    <w:p w14:paraId="4A747106" w14:textId="77777777" w:rsidR="00882501" w:rsidRPr="003604C1" w:rsidRDefault="00882501" w:rsidP="00882501">
      <w:pPr>
        <w:pStyle w:val="SingleTxtG"/>
        <w:ind w:left="2835" w:hanging="567"/>
      </w:pPr>
      <w:r w:rsidRPr="003604C1">
        <w:t>a)</w:t>
      </w:r>
      <w:r w:rsidRPr="003604C1">
        <w:tab/>
        <w:t>Aux éléments qui sont montés et essayés en tant qu</w:t>
      </w:r>
      <w:r>
        <w:t>’</w:t>
      </w:r>
      <w:r w:rsidRPr="003604C1">
        <w:t>éléments du véhicule, que ce véhicule soit pourvu ou non d</w:t>
      </w:r>
      <w:r>
        <w:t>’</w:t>
      </w:r>
      <w:r w:rsidRPr="003604C1">
        <w:t>un système de verrouillage (par exemple, aux lampes, aux systèmes d</w:t>
      </w:r>
      <w:r>
        <w:t>’</w:t>
      </w:r>
      <w:r w:rsidRPr="003604C1">
        <w:t>alarme ou au système d</w:t>
      </w:r>
      <w:r>
        <w:t>’</w:t>
      </w:r>
      <w:r w:rsidRPr="003604C1">
        <w:t>immobilisation) ;</w:t>
      </w:r>
    </w:p>
    <w:p w14:paraId="7020D987" w14:textId="77777777" w:rsidR="00882501" w:rsidRPr="00BF1E4D" w:rsidRDefault="00882501" w:rsidP="00882501">
      <w:pPr>
        <w:pStyle w:val="SingleTxtG"/>
        <w:ind w:left="2835" w:hanging="567"/>
      </w:pPr>
      <w:r w:rsidRPr="003604C1">
        <w:t>b)</w:t>
      </w:r>
      <w:r w:rsidRPr="003604C1">
        <w:tab/>
        <w:t>Aux éléments essayés précédemment en tant qu</w:t>
      </w:r>
      <w:r>
        <w:t>’</w:t>
      </w:r>
      <w:r w:rsidRPr="003604C1">
        <w:t>éléments du véhicule et pour lesquels des pièces justificatives ont été fournies</w:t>
      </w:r>
      <w:r w:rsidRPr="003604C1">
        <w:rPr>
          <w:strike/>
        </w:rPr>
        <w:t>.</w:t>
      </w:r>
      <w:r w:rsidRPr="003604C1">
        <w:rPr>
          <w:b/>
          <w:bCs/>
        </w:rPr>
        <w:t> </w:t>
      </w:r>
      <w:r w:rsidRPr="00BF1E4D">
        <w:t>;</w:t>
      </w:r>
    </w:p>
    <w:p w14:paraId="374614E4" w14:textId="77777777" w:rsidR="00882501" w:rsidRPr="003604C1" w:rsidRDefault="00882501" w:rsidP="00882501">
      <w:pPr>
        <w:pStyle w:val="SingleTxtG"/>
        <w:ind w:left="2835" w:hanging="567"/>
        <w:rPr>
          <w:b/>
          <w:bCs/>
        </w:rPr>
      </w:pPr>
      <w:r w:rsidRPr="00BF1E4D">
        <w:t>c)</w:t>
      </w:r>
      <w:r w:rsidRPr="00BF1E4D">
        <w:tab/>
        <w:t>Aux éléments qui ne font pas partie intégrante des véhicules, tels que les clefs.</w:t>
      </w:r>
    </w:p>
    <w:p w14:paraId="169C4A9E" w14:textId="77777777" w:rsidR="00882501" w:rsidRPr="003604C1" w:rsidRDefault="00882501" w:rsidP="00882501">
      <w:pPr>
        <w:pStyle w:val="SingleTxtG"/>
        <w:ind w:left="2268"/>
        <w:rPr>
          <w:rFonts w:eastAsia="DengXian"/>
          <w:b/>
          <w:bCs/>
        </w:rPr>
      </w:pPr>
      <w:r w:rsidRPr="003604C1">
        <w:t>Tous les éléments du système de verrouillage doivent fonctionner sans aucune défaillance dans les conditions suivantes : ».</w:t>
      </w:r>
    </w:p>
    <w:p w14:paraId="47F94066" w14:textId="11487DDF" w:rsidR="005F0207" w:rsidRPr="00882501" w:rsidRDefault="00882501" w:rsidP="00882501">
      <w:pPr>
        <w:pStyle w:val="SingleTxtG"/>
        <w:spacing w:before="240" w:after="0"/>
        <w:jc w:val="center"/>
        <w:rPr>
          <w:u w:val="single"/>
        </w:rPr>
      </w:pPr>
      <w:r>
        <w:rPr>
          <w:u w:val="single"/>
        </w:rPr>
        <w:tab/>
      </w:r>
      <w:r>
        <w:rPr>
          <w:u w:val="single"/>
        </w:rPr>
        <w:tab/>
      </w:r>
      <w:r>
        <w:rPr>
          <w:u w:val="single"/>
        </w:rPr>
        <w:tab/>
      </w:r>
      <w:r>
        <w:rPr>
          <w:u w:val="single"/>
        </w:rPr>
        <w:tab/>
      </w:r>
    </w:p>
    <w:sectPr w:rsidR="005F0207" w:rsidRPr="00882501" w:rsidSect="00882501">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8A23" w14:textId="77777777" w:rsidR="00300038" w:rsidRDefault="00300038"/>
  </w:endnote>
  <w:endnote w:type="continuationSeparator" w:id="0">
    <w:p w14:paraId="652676E5" w14:textId="77777777" w:rsidR="00300038" w:rsidRDefault="00300038">
      <w:pPr>
        <w:pStyle w:val="Pieddepage"/>
      </w:pPr>
    </w:p>
  </w:endnote>
  <w:endnote w:type="continuationNotice" w:id="1">
    <w:p w14:paraId="59A91E20" w14:textId="77777777" w:rsidR="00300038" w:rsidRPr="00C451B9" w:rsidRDefault="00300038"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3A" w14:textId="77777777" w:rsidR="00882501" w:rsidRPr="00882501" w:rsidRDefault="00882501" w:rsidP="00882501">
    <w:pPr>
      <w:pStyle w:val="Pieddepage"/>
      <w:tabs>
        <w:tab w:val="right" w:pos="9638"/>
      </w:tabs>
    </w:pPr>
    <w:r w:rsidRPr="00882501">
      <w:rPr>
        <w:b/>
        <w:sz w:val="18"/>
      </w:rPr>
      <w:fldChar w:fldCharType="begin"/>
    </w:r>
    <w:r w:rsidRPr="00882501">
      <w:rPr>
        <w:b/>
        <w:sz w:val="18"/>
      </w:rPr>
      <w:instrText xml:space="preserve"> PAGE  \* MERGEFORMAT </w:instrText>
    </w:r>
    <w:r w:rsidRPr="00882501">
      <w:rPr>
        <w:b/>
        <w:sz w:val="18"/>
      </w:rPr>
      <w:fldChar w:fldCharType="separate"/>
    </w:r>
    <w:r w:rsidRPr="00882501">
      <w:rPr>
        <w:b/>
        <w:noProof/>
        <w:sz w:val="18"/>
      </w:rPr>
      <w:t>2</w:t>
    </w:r>
    <w:r w:rsidRPr="00882501">
      <w:rPr>
        <w:b/>
        <w:sz w:val="18"/>
      </w:rPr>
      <w:fldChar w:fldCharType="end"/>
    </w:r>
    <w:r>
      <w:rPr>
        <w:b/>
        <w:sz w:val="18"/>
      </w:rPr>
      <w:tab/>
    </w:r>
    <w:r>
      <w:t>GE.23-11660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DD51" w14:textId="77777777" w:rsidR="00882501" w:rsidRPr="00882501" w:rsidRDefault="00882501" w:rsidP="00882501">
    <w:pPr>
      <w:pStyle w:val="Pieddepage"/>
      <w:tabs>
        <w:tab w:val="right" w:pos="9638"/>
      </w:tabs>
      <w:rPr>
        <w:b/>
        <w:sz w:val="18"/>
      </w:rPr>
    </w:pPr>
    <w:r>
      <w:t>GE.23-11660</w:t>
    </w:r>
    <w:r>
      <w:tab/>
    </w:r>
    <w:r w:rsidRPr="00882501">
      <w:rPr>
        <w:b/>
        <w:sz w:val="18"/>
      </w:rPr>
      <w:fldChar w:fldCharType="begin"/>
    </w:r>
    <w:r w:rsidRPr="00882501">
      <w:rPr>
        <w:b/>
        <w:sz w:val="18"/>
      </w:rPr>
      <w:instrText xml:space="preserve"> PAGE  \* MERGEFORMAT </w:instrText>
    </w:r>
    <w:r w:rsidRPr="00882501">
      <w:rPr>
        <w:b/>
        <w:sz w:val="18"/>
      </w:rPr>
      <w:fldChar w:fldCharType="separate"/>
    </w:r>
    <w:r w:rsidRPr="00882501">
      <w:rPr>
        <w:b/>
        <w:noProof/>
        <w:sz w:val="18"/>
      </w:rPr>
      <w:t>3</w:t>
    </w:r>
    <w:r w:rsidRPr="008825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430" w14:textId="709CA0DC" w:rsidR="00467F2C" w:rsidRPr="00882501" w:rsidRDefault="00882501" w:rsidP="00882501">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095E9E52" wp14:editId="0DEC6EA8">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23-11660  (F)</w:t>
    </w:r>
    <w:r>
      <w:rPr>
        <w:noProof/>
        <w:sz w:val="20"/>
      </w:rPr>
      <w:drawing>
        <wp:anchor distT="0" distB="0" distL="114300" distR="114300" simplePos="0" relativeHeight="251660288" behindDoc="0" locked="0" layoutInCell="1" allowOverlap="1" wp14:anchorId="0F4B3B63" wp14:editId="5431FF42">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040124    040124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C0A7" w14:textId="77777777" w:rsidR="00300038" w:rsidRPr="00D27D5E" w:rsidRDefault="00300038" w:rsidP="00D27D5E">
      <w:pPr>
        <w:tabs>
          <w:tab w:val="right" w:pos="2155"/>
        </w:tabs>
        <w:spacing w:after="80"/>
        <w:ind w:left="680"/>
        <w:rPr>
          <w:u w:val="single"/>
        </w:rPr>
      </w:pPr>
      <w:r>
        <w:rPr>
          <w:u w:val="single"/>
        </w:rPr>
        <w:tab/>
      </w:r>
    </w:p>
  </w:footnote>
  <w:footnote w:type="continuationSeparator" w:id="0">
    <w:p w14:paraId="0D68608B" w14:textId="77777777" w:rsidR="00300038" w:rsidRPr="00D171D4" w:rsidRDefault="00300038" w:rsidP="00D171D4">
      <w:pPr>
        <w:tabs>
          <w:tab w:val="right" w:pos="2155"/>
        </w:tabs>
        <w:spacing w:after="80"/>
        <w:ind w:left="680"/>
        <w:rPr>
          <w:u w:val="single"/>
        </w:rPr>
      </w:pPr>
      <w:r w:rsidRPr="00D171D4">
        <w:rPr>
          <w:u w:val="single"/>
        </w:rPr>
        <w:tab/>
      </w:r>
    </w:p>
  </w:footnote>
  <w:footnote w:type="continuationNotice" w:id="1">
    <w:p w14:paraId="270F63B1" w14:textId="77777777" w:rsidR="00300038" w:rsidRPr="00C451B9" w:rsidRDefault="00300038" w:rsidP="00C451B9">
      <w:pPr>
        <w:spacing w:line="240" w:lineRule="auto"/>
        <w:rPr>
          <w:sz w:val="2"/>
          <w:szCs w:val="2"/>
        </w:rPr>
      </w:pPr>
    </w:p>
  </w:footnote>
  <w:footnote w:id="2">
    <w:p w14:paraId="1D1A6CF5"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19D2AEA6" w14:textId="77777777" w:rsidR="00591072" w:rsidRPr="00591072" w:rsidRDefault="00591072" w:rsidP="00591072">
      <w:pPr>
        <w:pStyle w:val="Notedebasdepage"/>
      </w:pPr>
      <w:r w:rsidRPr="00882501">
        <w:tab/>
      </w:r>
      <w:r w:rsidRPr="00882501">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31E22888" w14:textId="43D40EAF" w:rsidR="00442E31" w:rsidRPr="00442E31" w:rsidRDefault="00591072" w:rsidP="00882501">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ECE3" w14:textId="6884DFB2" w:rsidR="00882501" w:rsidRPr="00882501" w:rsidRDefault="00882501">
    <w:pPr>
      <w:pStyle w:val="En-tte"/>
      <w:rPr>
        <w:lang w:val="en-US"/>
      </w:rPr>
    </w:pPr>
    <w:r>
      <w:fldChar w:fldCharType="begin"/>
    </w:r>
    <w:r w:rsidRPr="00882501">
      <w:rPr>
        <w:lang w:val="en-US"/>
      </w:rPr>
      <w:instrText xml:space="preserve"> TITLE  \* MERGEFORMAT </w:instrText>
    </w:r>
    <w:r>
      <w:fldChar w:fldCharType="separate"/>
    </w:r>
    <w:r w:rsidRPr="00882501">
      <w:rPr>
        <w:lang w:val="en-US"/>
      </w:rPr>
      <w:t>E/ECE/TRANS/505/Rev.3/Add.160/Amend.3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01F9" w14:textId="77777777" w:rsidR="00882501" w:rsidRPr="00882501" w:rsidRDefault="00882501" w:rsidP="00882501">
    <w:pPr>
      <w:pStyle w:val="En-tte"/>
      <w:jc w:val="right"/>
      <w:rPr>
        <w:lang w:val="en-US"/>
      </w:rPr>
    </w:pPr>
    <w:r>
      <w:fldChar w:fldCharType="begin"/>
    </w:r>
    <w:r w:rsidRPr="00882501">
      <w:rPr>
        <w:lang w:val="en-US"/>
      </w:rPr>
      <w:instrText xml:space="preserve"> TITLE  \* MERGEFORMAT </w:instrText>
    </w:r>
    <w:r>
      <w:fldChar w:fldCharType="separate"/>
    </w:r>
    <w:r w:rsidRPr="00882501">
      <w:rPr>
        <w:lang w:val="en-US"/>
      </w:rPr>
      <w:t>E/ECE/TRANS/505/Rev.3/Add.160/Amend.3</w:t>
    </w:r>
    <w:r>
      <w:fldChar w:fldCharType="end"/>
    </w:r>
    <w:r w:rsidRPr="00882501">
      <w:rPr>
        <w:lang w:val="en-US"/>
      </w:rPr>
      <w:br/>
    </w:r>
    <w:r>
      <w:fldChar w:fldCharType="begin"/>
    </w:r>
    <w:r w:rsidRPr="00882501">
      <w:rPr>
        <w:lang w:val="en-US"/>
      </w:rPr>
      <w:instrText xml:space="preserve"> KEYWORDS  \* MERGEFORMAT </w:instrText>
    </w:r>
    <w:r>
      <w:fldChar w:fldCharType="separate"/>
    </w:r>
    <w:r w:rsidRPr="00882501">
      <w:rPr>
        <w:lang w:val="en-US"/>
      </w:rPr>
      <w:t>E/ECE/TRANS/505/Rev.3/Add.160/Amend.3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2636316">
    <w:abstractNumId w:val="2"/>
  </w:num>
  <w:num w:numId="2" w16cid:durableId="224679060">
    <w:abstractNumId w:val="1"/>
  </w:num>
  <w:num w:numId="3" w16cid:durableId="498152766">
    <w:abstractNumId w:val="0"/>
  </w:num>
  <w:num w:numId="4" w16cid:durableId="827554620">
    <w:abstractNumId w:val="2"/>
  </w:num>
  <w:num w:numId="5" w16cid:durableId="428933668">
    <w:abstractNumId w:val="1"/>
  </w:num>
  <w:num w:numId="6" w16cid:durableId="83738452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38"/>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003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82501"/>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16B7"/>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6741E"/>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D61D7"/>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D02A2"/>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5DE5B8"/>
  <w15:docId w15:val="{966CD675-A584-42B2-881F-D6553BBA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E8E2C-8F46-4CFA-8490-43893ACFE570}"/>
</file>

<file path=customXml/itemProps2.xml><?xml version="1.0" encoding="utf-8"?>
<ds:datastoreItem xmlns:ds="http://schemas.openxmlformats.org/officeDocument/2006/customXml" ds:itemID="{11D51D38-B0B3-4B31-AB8B-3051FC4E62EF}"/>
</file>

<file path=docProps/app.xml><?xml version="1.0" encoding="utf-8"?>
<Properties xmlns="http://schemas.openxmlformats.org/officeDocument/2006/extended-properties" xmlns:vt="http://schemas.openxmlformats.org/officeDocument/2006/docPropsVTypes">
  <Template>E_ECE_324.dotm</Template>
  <TotalTime>0</TotalTime>
  <Pages>2</Pages>
  <Words>536</Words>
  <Characters>3062</Characters>
  <Application>Microsoft Office Word</Application>
  <DocSecurity>0</DocSecurity>
  <Lines>66</Lines>
  <Paragraphs>29</Paragraphs>
  <ScaleCrop>false</ScaleCrop>
  <HeadingPairs>
    <vt:vector size="2" baseType="variant">
      <vt:variant>
        <vt:lpstr>Titre</vt:lpstr>
      </vt:variant>
      <vt:variant>
        <vt:i4>1</vt:i4>
      </vt:variant>
    </vt:vector>
  </HeadingPairs>
  <TitlesOfParts>
    <vt:vector size="1" baseType="lpstr">
      <vt:lpstr>E/ECE/324/Rev</vt:lpstr>
    </vt:vector>
  </TitlesOfParts>
  <Company>CSD</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E/ECE/TRANS/505/Rev.3/Add.160/Amend.3</dc:title>
  <dc:creator>Sandrine CLERE</dc:creator>
  <cp:keywords>E/ECE/TRANS/505/Rev.3/Add.160/Amend.3</cp:keywords>
  <cp:lastModifiedBy>Sandrine Clere</cp:lastModifiedBy>
  <cp:revision>2</cp:revision>
  <cp:lastPrinted>2008-11-04T15:54:00Z</cp:lastPrinted>
  <dcterms:created xsi:type="dcterms:W3CDTF">2024-01-04T08:17:00Z</dcterms:created>
  <dcterms:modified xsi:type="dcterms:W3CDTF">2024-01-04T08:17:00Z</dcterms:modified>
</cp:coreProperties>
</file>