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0"/>
        <w:gridCol w:w="5508"/>
        <w:gridCol w:w="2835"/>
      </w:tblGrid>
      <w:tr w:rsidR="00F35BAF" w:rsidRPr="00070186" w14:paraId="24D48D15" w14:textId="77777777" w:rsidTr="008D0C8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2B3EBCA" w14:textId="77777777" w:rsidR="00F35BAF" w:rsidRPr="00DB58B5" w:rsidRDefault="00F35BAF" w:rsidP="008D0C88"/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6B6963EB" w14:textId="6DFC1975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bottom"/>
          </w:tcPr>
          <w:p w14:paraId="452B2FC6" w14:textId="34C257AA" w:rsidR="008D0C88" w:rsidRPr="008D0C88" w:rsidRDefault="008D0C88" w:rsidP="008D0C88">
            <w:pPr>
              <w:jc w:val="right"/>
              <w:rPr>
                <w:lang w:val="en-US"/>
              </w:rPr>
            </w:pPr>
            <w:r w:rsidRPr="008D0C88">
              <w:rPr>
                <w:sz w:val="40"/>
                <w:lang w:val="en-US"/>
              </w:rPr>
              <w:t>E</w:t>
            </w:r>
            <w:r w:rsidRPr="008D0C88">
              <w:rPr>
                <w:lang w:val="en-US"/>
              </w:rPr>
              <w:t>/ECE/324/Rev.2/Add.126/Rev.3/Amend.2−</w:t>
            </w:r>
            <w:r w:rsidRPr="008D0C88">
              <w:rPr>
                <w:sz w:val="40"/>
                <w:lang w:val="en-US"/>
              </w:rPr>
              <w:t>E</w:t>
            </w:r>
            <w:r w:rsidRPr="008D0C88">
              <w:rPr>
                <w:lang w:val="en-US"/>
              </w:rPr>
              <w:t>/ECE/TRANS/505/Rev.2/Add.126/Rev.3/Amend.2</w:t>
            </w:r>
          </w:p>
        </w:tc>
      </w:tr>
      <w:tr w:rsidR="00F35BAF" w:rsidRPr="00DB58B5" w14:paraId="24790CF8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935236B" w14:textId="1DD9BA3F" w:rsidR="00F35BAF" w:rsidRPr="004959CC" w:rsidRDefault="00F35BAF" w:rsidP="00C9703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69C699B" w14:textId="7B699DDA" w:rsidR="00F35BAF" w:rsidRPr="004959CC" w:rsidRDefault="00F35BAF" w:rsidP="00C97039">
            <w:pPr>
              <w:spacing w:before="120" w:line="420" w:lineRule="exact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98C3FD1" w14:textId="4C59AC8F" w:rsidR="008D0C88" w:rsidRPr="00DB58B5" w:rsidRDefault="008D0C88" w:rsidP="004959CC">
            <w:pPr>
              <w:spacing w:before="840" w:line="240" w:lineRule="exact"/>
            </w:pPr>
            <w:r>
              <w:t xml:space="preserve">19 juin 2023 </w:t>
            </w:r>
          </w:p>
        </w:tc>
      </w:tr>
    </w:tbl>
    <w:p w14:paraId="12573A6B" w14:textId="66E87714" w:rsidR="008D0C88" w:rsidRPr="00A21092" w:rsidRDefault="008D0C88" w:rsidP="008D0C88">
      <w:pPr>
        <w:pStyle w:val="HChG"/>
        <w:rPr>
          <w:lang w:val="fr-SN"/>
        </w:rPr>
      </w:pPr>
      <w:r>
        <w:rPr>
          <w:lang w:val="fr-SN"/>
        </w:rPr>
        <w:tab/>
      </w:r>
      <w:r>
        <w:rPr>
          <w:lang w:val="fr-SN"/>
        </w:rPr>
        <w:tab/>
      </w:r>
      <w:r w:rsidRPr="00A21092">
        <w:rPr>
          <w:lang w:val="fr-SN"/>
        </w:rPr>
        <w:t>Accord</w:t>
      </w:r>
    </w:p>
    <w:p w14:paraId="3768C9C7" w14:textId="22C3ED18" w:rsidR="008D0C88" w:rsidRPr="00A21092" w:rsidRDefault="008D0C88" w:rsidP="008D0C88">
      <w:pPr>
        <w:pStyle w:val="H1G"/>
        <w:rPr>
          <w:lang w:val="fr-SN"/>
        </w:rPr>
      </w:pPr>
      <w:r w:rsidRPr="008D0C88">
        <w:rPr>
          <w:lang w:val="fr-SN"/>
        </w:rPr>
        <w:tab/>
      </w:r>
      <w:r w:rsidRPr="008D0C88">
        <w:rPr>
          <w:lang w:val="fr-SN"/>
        </w:rPr>
        <w:tab/>
      </w:r>
      <w:r w:rsidRPr="00A21092">
        <w:rPr>
          <w:lang w:val="fr-SN"/>
        </w:rPr>
        <w:t>Concernant l</w:t>
      </w:r>
      <w:r>
        <w:rPr>
          <w:lang w:val="fr-SN"/>
        </w:rPr>
        <w:t>’</w:t>
      </w:r>
      <w:r w:rsidRPr="00A21092">
        <w:rPr>
          <w:lang w:val="fr-SN"/>
        </w:rPr>
        <w:t>adoption de Règlements techniques harmonisés de l</w:t>
      </w:r>
      <w:r>
        <w:rPr>
          <w:lang w:val="fr-SN"/>
        </w:rPr>
        <w:t>’</w:t>
      </w:r>
      <w:r w:rsidRPr="00A21092">
        <w:rPr>
          <w:lang w:val="fr-SN"/>
        </w:rPr>
        <w:t>ONU applicables aux véhicules à roues et aux équipements et pièces susceptibles d</w:t>
      </w:r>
      <w:r>
        <w:rPr>
          <w:lang w:val="fr-SN"/>
        </w:rPr>
        <w:t>’</w:t>
      </w:r>
      <w:r w:rsidRPr="00A21092">
        <w:rPr>
          <w:lang w:val="fr-SN"/>
        </w:rPr>
        <w:t xml:space="preserve">être montés ou utilisés sur les véhicules à roues </w:t>
      </w:r>
      <w:r>
        <w:rPr>
          <w:lang w:val="fr-SN"/>
        </w:rPr>
        <w:br/>
      </w:r>
      <w:r w:rsidRPr="00A21092">
        <w:rPr>
          <w:lang w:val="fr-SN"/>
        </w:rPr>
        <w:t>et les conditions de reconnaissance réciproque des homologations délivrées conformément à ces Règlements</w:t>
      </w:r>
      <w:r w:rsidRPr="00070186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4A11B165" w14:textId="3CFB25D5" w:rsidR="008D0C88" w:rsidRPr="00A21092" w:rsidRDefault="008D0C88" w:rsidP="008D0C88">
      <w:pPr>
        <w:pStyle w:val="SingleTxtG"/>
        <w:rPr>
          <w:lang w:val="fr-SN"/>
        </w:rPr>
      </w:pPr>
      <w:r w:rsidRPr="00A21092">
        <w:rPr>
          <w:lang w:val="fr-SN"/>
        </w:rPr>
        <w:t>(Révision 3, comprenant les amendements entrés en vigueur le 14</w:t>
      </w:r>
      <w:r>
        <w:rPr>
          <w:lang w:val="fr-SN"/>
        </w:rPr>
        <w:t> </w:t>
      </w:r>
      <w:r w:rsidRPr="00A21092">
        <w:rPr>
          <w:lang w:val="fr-SN"/>
        </w:rPr>
        <w:t>septembre 2017)</w:t>
      </w:r>
    </w:p>
    <w:p w14:paraId="2C22289B" w14:textId="35D5A748" w:rsidR="0034225B" w:rsidRPr="002E5246" w:rsidRDefault="0034225B" w:rsidP="0034225B">
      <w:pPr>
        <w:pStyle w:val="SingleTxtG"/>
        <w:spacing w:before="120" w:after="0"/>
        <w:jc w:val="center"/>
        <w:rPr>
          <w:u w:val="single"/>
        </w:rPr>
      </w:pPr>
      <w:r>
        <w:rPr>
          <w:u w:val="single"/>
        </w:rPr>
        <w:tab/>
      </w:r>
      <w:r w:rsidRPr="009347AB">
        <w:rPr>
          <w:b/>
          <w:sz w:val="24"/>
        </w:rPr>
        <w:t>_________</w:t>
      </w:r>
    </w:p>
    <w:p w14:paraId="61D49D1F" w14:textId="64539895" w:rsidR="008D0C88" w:rsidRPr="00A21092" w:rsidRDefault="0034225B" w:rsidP="008D0C88">
      <w:pPr>
        <w:pStyle w:val="H1G"/>
        <w:rPr>
          <w:lang w:val="fr-SN"/>
        </w:rPr>
      </w:pPr>
      <w:r>
        <w:tab/>
      </w:r>
      <w:r w:rsidR="008D0C88" w:rsidRPr="00A21092">
        <w:tab/>
      </w:r>
      <w:r w:rsidR="008D0C88" w:rsidRPr="00A21092">
        <w:tab/>
      </w:r>
      <w:r w:rsidR="008D0C88" w:rsidRPr="00A21092">
        <w:rPr>
          <w:lang w:val="fr-SN"/>
        </w:rPr>
        <w:t>Additif 126</w:t>
      </w:r>
      <w:r w:rsidR="008D0C88">
        <w:rPr>
          <w:lang w:val="fr-SN"/>
        </w:rPr>
        <w:t> − </w:t>
      </w:r>
      <w:r w:rsidR="008D0C88" w:rsidRPr="00A21092">
        <w:rPr>
          <w:lang w:val="fr-SN"/>
        </w:rPr>
        <w:t>Règlement ONU n</w:t>
      </w:r>
      <w:r w:rsidR="008D0C88" w:rsidRPr="00A21092">
        <w:rPr>
          <w:vertAlign w:val="superscript"/>
          <w:lang w:val="fr-SN"/>
        </w:rPr>
        <w:t>o</w:t>
      </w:r>
      <w:r w:rsidR="008D0C88">
        <w:rPr>
          <w:lang w:val="fr-SN"/>
        </w:rPr>
        <w:t> </w:t>
      </w:r>
      <w:r w:rsidR="008D0C88" w:rsidRPr="00A21092">
        <w:rPr>
          <w:lang w:val="fr-SN"/>
        </w:rPr>
        <w:t>127</w:t>
      </w:r>
    </w:p>
    <w:p w14:paraId="349C8EEC" w14:textId="4882193E" w:rsidR="008D0C88" w:rsidRPr="00A21092" w:rsidRDefault="008D0C88" w:rsidP="008D0C88">
      <w:pPr>
        <w:pStyle w:val="H1G"/>
        <w:rPr>
          <w:lang w:val="fr-SN"/>
        </w:rPr>
      </w:pPr>
      <w:r w:rsidRPr="00A21092">
        <w:rPr>
          <w:lang w:val="fr-SN"/>
        </w:rPr>
        <w:tab/>
      </w:r>
      <w:r w:rsidRPr="00A21092">
        <w:rPr>
          <w:lang w:val="fr-SN"/>
        </w:rPr>
        <w:tab/>
        <w:t>Révision 3</w:t>
      </w:r>
      <w:r>
        <w:rPr>
          <w:lang w:val="fr-SN"/>
        </w:rPr>
        <w:t> − </w:t>
      </w:r>
      <w:r w:rsidRPr="00A21092">
        <w:rPr>
          <w:lang w:val="fr-SN"/>
        </w:rPr>
        <w:t>Amendement</w:t>
      </w:r>
      <w:r>
        <w:rPr>
          <w:lang w:val="fr-SN"/>
        </w:rPr>
        <w:t> </w:t>
      </w:r>
      <w:r w:rsidRPr="00A21092">
        <w:rPr>
          <w:lang w:val="fr-SN"/>
        </w:rPr>
        <w:t>2</w:t>
      </w:r>
    </w:p>
    <w:p w14:paraId="7523B358" w14:textId="4CA2D29E" w:rsidR="008D0C88" w:rsidRPr="00A21092" w:rsidRDefault="008D0C88" w:rsidP="008D0C88">
      <w:pPr>
        <w:pStyle w:val="SingleTxtG"/>
        <w:rPr>
          <w:lang w:val="fr-SN"/>
        </w:rPr>
      </w:pPr>
      <w:r w:rsidRPr="00BA0ECE">
        <w:rPr>
          <w:lang w:val="fr-SN"/>
        </w:rPr>
        <w:t>Sé</w:t>
      </w:r>
      <w:r w:rsidRPr="00A21092">
        <w:rPr>
          <w:lang w:val="fr-SN"/>
        </w:rPr>
        <w:t>rie</w:t>
      </w:r>
      <w:r>
        <w:rPr>
          <w:lang w:val="fr-SN"/>
        </w:rPr>
        <w:t> </w:t>
      </w:r>
      <w:r w:rsidRPr="00A21092">
        <w:rPr>
          <w:lang w:val="fr-SN"/>
        </w:rPr>
        <w:t>04 d</w:t>
      </w:r>
      <w:r>
        <w:rPr>
          <w:lang w:val="fr-SN"/>
        </w:rPr>
        <w:t>’</w:t>
      </w:r>
      <w:r w:rsidRPr="00A21092">
        <w:rPr>
          <w:lang w:val="fr-SN"/>
        </w:rPr>
        <w:t>amendements au Règlement ONU</w:t>
      </w:r>
      <w:r>
        <w:rPr>
          <w:lang w:val="fr-SN"/>
        </w:rPr>
        <w:t> </w:t>
      </w:r>
      <w:r w:rsidR="004959CC">
        <w:rPr>
          <w:lang w:val="fr-SN"/>
        </w:rPr>
        <w:t>−</w:t>
      </w:r>
      <w:r>
        <w:rPr>
          <w:lang w:val="fr-SN"/>
        </w:rPr>
        <w:t> </w:t>
      </w:r>
      <w:r w:rsidRPr="00A21092">
        <w:rPr>
          <w:lang w:val="fr-SN"/>
        </w:rPr>
        <w:t>Date d</w:t>
      </w:r>
      <w:r>
        <w:rPr>
          <w:lang w:val="fr-SN"/>
        </w:rPr>
        <w:t>’entrée en vigueur :</w:t>
      </w:r>
      <w:r w:rsidRPr="00A21092">
        <w:rPr>
          <w:lang w:val="fr-SN"/>
        </w:rPr>
        <w:t xml:space="preserve"> 5</w:t>
      </w:r>
      <w:r>
        <w:rPr>
          <w:lang w:val="fr-SN"/>
        </w:rPr>
        <w:t> juin</w:t>
      </w:r>
      <w:r w:rsidRPr="00A21092">
        <w:rPr>
          <w:lang w:val="fr-SN"/>
        </w:rPr>
        <w:t xml:space="preserve"> 2023</w:t>
      </w:r>
    </w:p>
    <w:p w14:paraId="75A43F56" w14:textId="77777777" w:rsidR="008D0C88" w:rsidRPr="00A21092" w:rsidRDefault="008D0C88" w:rsidP="008D0C88">
      <w:pPr>
        <w:pStyle w:val="H1G"/>
        <w:rPr>
          <w:lang w:val="fr-SN"/>
        </w:rPr>
      </w:pPr>
      <w:r w:rsidRPr="00A21092">
        <w:rPr>
          <w:lang w:val="fr-SN"/>
        </w:rPr>
        <w:tab/>
      </w:r>
      <w:r w:rsidRPr="00A21092">
        <w:rPr>
          <w:lang w:val="fr-SN"/>
        </w:rPr>
        <w:tab/>
        <w:t>Prescriptions uniformes concernant l</w:t>
      </w:r>
      <w:r>
        <w:rPr>
          <w:lang w:val="fr-SN"/>
        </w:rPr>
        <w:t>’</w:t>
      </w:r>
      <w:r w:rsidRPr="00A21092">
        <w:rPr>
          <w:lang w:val="fr-SN"/>
        </w:rPr>
        <w:t>homologation des véhicules automobiles en ce qui concerne la sécurité des piétons</w:t>
      </w:r>
    </w:p>
    <w:p w14:paraId="391EB68F" w14:textId="77777777" w:rsidR="008D0C88" w:rsidRPr="00A21092" w:rsidRDefault="008D0C88" w:rsidP="008D0C88">
      <w:pPr>
        <w:pStyle w:val="SingleTxtG"/>
        <w:rPr>
          <w:spacing w:val="-6"/>
          <w:lang w:val="fr-SN" w:eastAsia="en-GB"/>
        </w:rPr>
      </w:pPr>
      <w:r w:rsidRPr="00A21092">
        <w:rPr>
          <w:lang w:val="fr-SN" w:eastAsia="en-GB"/>
        </w:rPr>
        <w:t>Le présent document est communiqué uniquement à titre d</w:t>
      </w:r>
      <w:r>
        <w:rPr>
          <w:lang w:val="fr-SN" w:eastAsia="en-GB"/>
        </w:rPr>
        <w:t>’</w:t>
      </w:r>
      <w:r w:rsidRPr="00A21092">
        <w:rPr>
          <w:lang w:val="fr-SN" w:eastAsia="en-GB"/>
        </w:rPr>
        <w:t xml:space="preserve">information. Le texte authentique, juridiquement contraignant, est celui du document </w:t>
      </w:r>
      <w:r w:rsidRPr="00A21092">
        <w:rPr>
          <w:spacing w:val="-6"/>
          <w:lang w:val="fr-SN" w:eastAsia="en-GB"/>
        </w:rPr>
        <w:t>ECE/TRANS/WP.29/2022/129.</w:t>
      </w:r>
    </w:p>
    <w:p w14:paraId="6A4E7093" w14:textId="77777777" w:rsidR="008D0C88" w:rsidRPr="009347AB" w:rsidRDefault="008D0C88" w:rsidP="008D0C88">
      <w:pPr>
        <w:suppressAutoHyphens w:val="0"/>
        <w:spacing w:line="240" w:lineRule="auto"/>
        <w:jc w:val="center"/>
        <w:rPr>
          <w:b/>
          <w:sz w:val="24"/>
        </w:rPr>
      </w:pPr>
      <w:r w:rsidRPr="009347AB">
        <w:rPr>
          <w:b/>
          <w:noProof/>
          <w:sz w:val="24"/>
        </w:rPr>
        <w:drawing>
          <wp:anchor distT="0" distB="137160" distL="114300" distR="114300" simplePos="0" relativeHeight="251660288" behindDoc="0" locked="0" layoutInCell="1" allowOverlap="1" wp14:anchorId="4A969BAC" wp14:editId="0EDF03A2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 descr="Une image contenant croquis, dessin, cercl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Une image contenant croquis, dessin, cercl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7AB">
        <w:rPr>
          <w:b/>
          <w:sz w:val="24"/>
        </w:rPr>
        <w:t>_________</w:t>
      </w:r>
    </w:p>
    <w:p w14:paraId="5E41B56E" w14:textId="77777777" w:rsidR="008D0C88" w:rsidRPr="009347AB" w:rsidRDefault="008D0C88" w:rsidP="008D0C88">
      <w:pPr>
        <w:suppressAutoHyphens w:val="0"/>
        <w:spacing w:line="240" w:lineRule="auto"/>
        <w:jc w:val="center"/>
      </w:pPr>
      <w:r w:rsidRPr="009347AB">
        <w:rPr>
          <w:b/>
          <w:sz w:val="24"/>
        </w:rPr>
        <w:t>NATIONS</w:t>
      </w:r>
      <w:r>
        <w:rPr>
          <w:b/>
          <w:sz w:val="24"/>
        </w:rPr>
        <w:t xml:space="preserve"> UNIES</w:t>
      </w:r>
    </w:p>
    <w:p w14:paraId="19DA2ABC" w14:textId="77777777" w:rsidR="008D0C88" w:rsidRDefault="008D0C88" w:rsidP="008D0C88">
      <w:pPr>
        <w:rPr>
          <w:lang w:val="fr-FR"/>
        </w:rPr>
      </w:pPr>
      <w:r>
        <w:rPr>
          <w:lang w:val="fr-FR"/>
        </w:rPr>
        <w:br w:type="page"/>
      </w:r>
    </w:p>
    <w:p w14:paraId="61A625BE" w14:textId="77777777" w:rsidR="008D0C88" w:rsidRPr="00EB213F" w:rsidRDefault="008D0C88" w:rsidP="008D0C88">
      <w:pPr>
        <w:pStyle w:val="SingleTxtG"/>
        <w:rPr>
          <w:lang w:val="fr-FR"/>
        </w:rPr>
      </w:pPr>
      <w:r w:rsidRPr="0065198F">
        <w:rPr>
          <w:i/>
          <w:iCs/>
          <w:lang w:val="fr-FR"/>
        </w:rPr>
        <w:lastRenderedPageBreak/>
        <w:t>Ajouter le nouveau paragraphe 2.29.1</w:t>
      </w:r>
      <w:r>
        <w:rPr>
          <w:lang w:val="fr-FR"/>
        </w:rPr>
        <w:t>, libellé comme suit :</w:t>
      </w:r>
    </w:p>
    <w:p w14:paraId="3E02D3BF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« 2.29.1</w:t>
      </w:r>
      <w:r w:rsidRPr="00735521">
        <w:rPr>
          <w:lang w:val="fr-FR"/>
        </w:rPr>
        <w:tab/>
        <w:t>“</w:t>
      </w:r>
      <w:r w:rsidRPr="00735521">
        <w:rPr>
          <w:i/>
          <w:iCs/>
          <w:lang w:val="fr-FR"/>
        </w:rPr>
        <w:t>Système de suspension à hauteur réglable</w:t>
      </w:r>
      <w:r w:rsidRPr="00735521">
        <w:rPr>
          <w:lang w:val="fr-FR"/>
        </w:rPr>
        <w:t>”, un système permettant de modifier la hauteur du véhicule en cours de conduite (tel que la suspension adaptative). ».</w:t>
      </w:r>
    </w:p>
    <w:p w14:paraId="0D822B8B" w14:textId="77777777" w:rsidR="008D0C88" w:rsidRPr="00735521" w:rsidRDefault="008D0C88" w:rsidP="008D0C88">
      <w:pPr>
        <w:pStyle w:val="SingleTxtG"/>
      </w:pPr>
      <w:r w:rsidRPr="002938C8">
        <w:rPr>
          <w:i/>
          <w:iCs/>
          <w:lang w:val="fr-FR"/>
        </w:rPr>
        <w:t>Paragraphe 4.2</w:t>
      </w:r>
      <w:r w:rsidRPr="002938C8">
        <w:rPr>
          <w:lang w:val="fr-FR"/>
        </w:rPr>
        <w:t>, lire</w:t>
      </w:r>
      <w:r>
        <w:rPr>
          <w:lang w:val="fr-FR"/>
        </w:rPr>
        <w:t> </w:t>
      </w:r>
      <w:r w:rsidRPr="002938C8">
        <w:rPr>
          <w:lang w:val="fr-FR"/>
        </w:rPr>
        <w:t>:</w:t>
      </w:r>
    </w:p>
    <w:p w14:paraId="55CD2F37" w14:textId="77777777" w:rsidR="008D0C88" w:rsidRPr="00735521" w:rsidRDefault="008D0C88" w:rsidP="008D0C88">
      <w:pPr>
        <w:pStyle w:val="SingleTxtG"/>
        <w:ind w:left="2268" w:hanging="1134"/>
      </w:pPr>
      <w:r>
        <w:rPr>
          <w:lang w:val="fr-FR"/>
        </w:rPr>
        <w:t>« </w:t>
      </w:r>
      <w:r w:rsidRPr="002938C8">
        <w:rPr>
          <w:lang w:val="fr-FR"/>
        </w:rPr>
        <w:t>4.2</w:t>
      </w:r>
      <w:r w:rsidRPr="002938C8">
        <w:rPr>
          <w:lang w:val="fr-FR"/>
        </w:rPr>
        <w:tab/>
      </w:r>
      <w:r>
        <w:rPr>
          <w:lang w:val="fr-FR"/>
        </w:rPr>
        <w:t>Un</w:t>
      </w:r>
      <w:r w:rsidRPr="002938C8">
        <w:rPr>
          <w:lang w:val="fr-FR"/>
        </w:rPr>
        <w:t xml:space="preserve"> numéro d</w:t>
      </w:r>
      <w:r>
        <w:rPr>
          <w:lang w:val="fr-FR"/>
        </w:rPr>
        <w:t>’</w:t>
      </w:r>
      <w:r w:rsidRPr="002938C8">
        <w:rPr>
          <w:lang w:val="fr-FR"/>
        </w:rPr>
        <w:t>homologation</w:t>
      </w:r>
      <w:r>
        <w:rPr>
          <w:lang w:val="fr-FR"/>
        </w:rPr>
        <w:t xml:space="preserve"> de type est attribué à chaque type de véhicule homologué,</w:t>
      </w:r>
      <w:r w:rsidRPr="002938C8">
        <w:rPr>
          <w:lang w:val="fr-FR"/>
        </w:rPr>
        <w:t xml:space="preserve"> conformément à l</w:t>
      </w:r>
      <w:r>
        <w:rPr>
          <w:lang w:val="fr-FR"/>
        </w:rPr>
        <w:t>’</w:t>
      </w:r>
      <w:r w:rsidRPr="002938C8">
        <w:rPr>
          <w:lang w:val="fr-FR"/>
        </w:rPr>
        <w:t xml:space="preserve">annexe 4 de </w:t>
      </w:r>
      <w:r w:rsidRPr="009B7E41">
        <w:rPr>
          <w:lang w:val="fr-FR"/>
        </w:rPr>
        <w:t>l</w:t>
      </w:r>
      <w:r>
        <w:rPr>
          <w:lang w:val="fr-FR"/>
        </w:rPr>
        <w:t>’</w:t>
      </w:r>
      <w:r w:rsidRPr="009B7E41">
        <w:rPr>
          <w:lang w:val="fr-FR"/>
        </w:rPr>
        <w:t>Accord de 1958</w:t>
      </w:r>
      <w:r w:rsidRPr="002938C8">
        <w:rPr>
          <w:lang w:val="fr-FR"/>
        </w:rPr>
        <w:t xml:space="preserve"> (E/ECE/TRANS/505/Rev.3). La section 2 du numéro d</w:t>
      </w:r>
      <w:r>
        <w:rPr>
          <w:lang w:val="fr-FR"/>
        </w:rPr>
        <w:t>’</w:t>
      </w:r>
      <w:r w:rsidRPr="002938C8">
        <w:rPr>
          <w:lang w:val="fr-FR"/>
        </w:rPr>
        <w:t>homologation est complétée par</w:t>
      </w:r>
      <w:r>
        <w:rPr>
          <w:lang w:val="fr-FR"/>
        </w:rPr>
        <w:t xml:space="preserve"> l’ajout d’</w:t>
      </w:r>
      <w:r w:rsidRPr="002938C8">
        <w:rPr>
          <w:lang w:val="fr-FR"/>
        </w:rPr>
        <w:t xml:space="preserve">une barre oblique et </w:t>
      </w:r>
      <w:r>
        <w:rPr>
          <w:lang w:val="fr-FR"/>
        </w:rPr>
        <w:t xml:space="preserve">de </w:t>
      </w:r>
      <w:r w:rsidRPr="002938C8">
        <w:rPr>
          <w:lang w:val="fr-FR"/>
        </w:rPr>
        <w:t>l</w:t>
      </w:r>
      <w:r>
        <w:rPr>
          <w:lang w:val="fr-FR"/>
        </w:rPr>
        <w:t>’</w:t>
      </w:r>
      <w:r w:rsidRPr="002938C8">
        <w:rPr>
          <w:lang w:val="fr-FR"/>
        </w:rPr>
        <w:t xml:space="preserve">un des caractères </w:t>
      </w:r>
      <w:r>
        <w:rPr>
          <w:lang w:val="fr-FR"/>
        </w:rPr>
        <w:t>suivants</w:t>
      </w:r>
      <w:r w:rsidRPr="002938C8">
        <w:rPr>
          <w:lang w:val="fr-FR"/>
        </w:rPr>
        <w:t>, selon le cas :</w:t>
      </w:r>
    </w:p>
    <w:p w14:paraId="3B9921E7" w14:textId="77777777" w:rsidR="008D0C88" w:rsidRPr="00735521" w:rsidRDefault="008D0C88" w:rsidP="008D0C88">
      <w:pPr>
        <w:pStyle w:val="SingleTxtG"/>
        <w:ind w:left="2268"/>
      </w:pPr>
      <w:r w:rsidRPr="002938C8">
        <w:rPr>
          <w:lang w:val="fr-FR"/>
        </w:rPr>
        <w:t>a)</w:t>
      </w:r>
      <w:r w:rsidRPr="002938C8">
        <w:rPr>
          <w:lang w:val="fr-FR"/>
        </w:rPr>
        <w:tab/>
        <w:t xml:space="preserve">La lettre </w:t>
      </w:r>
      <w:r>
        <w:rPr>
          <w:lang w:val="fr-FR"/>
        </w:rPr>
        <w:t>“</w:t>
      </w:r>
      <w:r w:rsidRPr="002938C8">
        <w:rPr>
          <w:lang w:val="fr-FR"/>
        </w:rPr>
        <w:t>T</w:t>
      </w:r>
      <w:r>
        <w:rPr>
          <w:lang w:val="fr-FR"/>
        </w:rPr>
        <w:t>”</w:t>
      </w:r>
      <w:r w:rsidRPr="002938C8">
        <w:rPr>
          <w:lang w:val="fr-FR"/>
        </w:rPr>
        <w:t xml:space="preserve"> pour les véhicules homologués </w:t>
      </w:r>
      <w:r>
        <w:rPr>
          <w:lang w:val="fr-FR"/>
        </w:rPr>
        <w:t>en vertu d</w:t>
      </w:r>
      <w:r w:rsidRPr="002938C8">
        <w:rPr>
          <w:lang w:val="fr-FR"/>
        </w:rPr>
        <w:t>es dispositions particulières relatives à la limite de 2</w:t>
      </w:r>
      <w:r>
        <w:rPr>
          <w:lang w:val="fr-FR"/>
        </w:rPr>
        <w:t> </w:t>
      </w:r>
      <w:r w:rsidRPr="002938C8">
        <w:rPr>
          <w:lang w:val="fr-FR"/>
        </w:rPr>
        <w:t>100</w:t>
      </w:r>
      <w:r>
        <w:rPr>
          <w:lang w:val="fr-FR"/>
        </w:rPr>
        <w:t> </w:t>
      </w:r>
      <w:r w:rsidRPr="002938C8">
        <w:rPr>
          <w:lang w:val="fr-FR"/>
        </w:rPr>
        <w:t>mm de longueur développée conformément au</w:t>
      </w:r>
      <w:r>
        <w:rPr>
          <w:lang w:val="fr-FR"/>
        </w:rPr>
        <w:t>x dispositions du</w:t>
      </w:r>
      <w:r w:rsidRPr="002938C8">
        <w:rPr>
          <w:lang w:val="fr-FR"/>
        </w:rPr>
        <w:t xml:space="preserve"> paragraphe</w:t>
      </w:r>
      <w:r>
        <w:rPr>
          <w:lang w:val="fr-FR"/>
        </w:rPr>
        <w:t> </w:t>
      </w:r>
      <w:r w:rsidRPr="002938C8">
        <w:rPr>
          <w:lang w:val="fr-FR"/>
        </w:rPr>
        <w:t xml:space="preserve">11.9 ; </w:t>
      </w:r>
      <w:proofErr w:type="gramStart"/>
      <w:r w:rsidRPr="002938C8">
        <w:rPr>
          <w:lang w:val="fr-FR"/>
        </w:rPr>
        <w:t>ou</w:t>
      </w:r>
      <w:proofErr w:type="gramEnd"/>
    </w:p>
    <w:p w14:paraId="7CB67B59" w14:textId="77777777" w:rsidR="008D0C88" w:rsidRPr="00735521" w:rsidRDefault="008D0C88" w:rsidP="008D0C88">
      <w:pPr>
        <w:pStyle w:val="SingleTxtG"/>
        <w:ind w:left="2268"/>
      </w:pPr>
      <w:r w:rsidRPr="002938C8">
        <w:rPr>
          <w:lang w:val="fr-FR"/>
        </w:rPr>
        <w:t>b)</w:t>
      </w:r>
      <w:r w:rsidRPr="002938C8">
        <w:rPr>
          <w:lang w:val="fr-FR"/>
        </w:rPr>
        <w:tab/>
        <w:t xml:space="preserve">La lettre </w:t>
      </w:r>
      <w:r>
        <w:rPr>
          <w:lang w:val="fr-FR"/>
        </w:rPr>
        <w:t>“</w:t>
      </w:r>
      <w:r w:rsidRPr="002938C8">
        <w:rPr>
          <w:lang w:val="fr-FR"/>
        </w:rPr>
        <w:t>E</w:t>
      </w:r>
      <w:r>
        <w:rPr>
          <w:lang w:val="fr-FR"/>
        </w:rPr>
        <w:t>”</w:t>
      </w:r>
      <w:r w:rsidRPr="002938C8">
        <w:rPr>
          <w:lang w:val="fr-FR"/>
        </w:rPr>
        <w:t xml:space="preserve"> pour les véhicules homologués avec la limite</w:t>
      </w:r>
      <w:r>
        <w:rPr>
          <w:lang w:val="fr-FR"/>
        </w:rPr>
        <w:t xml:space="preserve"> étendue</w:t>
      </w:r>
      <w:r w:rsidRPr="002938C8">
        <w:rPr>
          <w:lang w:val="fr-FR"/>
        </w:rPr>
        <w:t xml:space="preserve"> de 2</w:t>
      </w:r>
      <w:r>
        <w:rPr>
          <w:lang w:val="fr-FR"/>
        </w:rPr>
        <w:t> </w:t>
      </w:r>
      <w:r w:rsidRPr="002938C8">
        <w:rPr>
          <w:lang w:val="fr-FR"/>
        </w:rPr>
        <w:t>500</w:t>
      </w:r>
      <w:r>
        <w:rPr>
          <w:lang w:val="fr-FR"/>
        </w:rPr>
        <w:t> </w:t>
      </w:r>
      <w:r w:rsidRPr="002938C8">
        <w:rPr>
          <w:lang w:val="fr-FR"/>
        </w:rPr>
        <w:t>mm de longueur développée.</w:t>
      </w:r>
    </w:p>
    <w:p w14:paraId="7FA6FCC4" w14:textId="77777777" w:rsidR="008D0C88" w:rsidRPr="00735521" w:rsidRDefault="008D0C88" w:rsidP="008D0C88">
      <w:pPr>
        <w:pStyle w:val="SingleTxtG"/>
        <w:ind w:left="2268"/>
      </w:pPr>
      <w:r w:rsidRPr="002938C8">
        <w:rPr>
          <w:lang w:val="fr-FR"/>
        </w:rPr>
        <w:t>Exemple</w:t>
      </w:r>
      <w:r>
        <w:rPr>
          <w:lang w:val="fr-FR"/>
        </w:rPr>
        <w:t> </w:t>
      </w:r>
      <w:r w:rsidRPr="002938C8">
        <w:rPr>
          <w:lang w:val="fr-FR"/>
        </w:rPr>
        <w:t>:</w:t>
      </w:r>
    </w:p>
    <w:p w14:paraId="443BD9B9" w14:textId="77777777" w:rsidR="008D0C88" w:rsidRPr="00735521" w:rsidRDefault="008D0C88" w:rsidP="008D0C88">
      <w:pPr>
        <w:pStyle w:val="SingleTxtG"/>
        <w:ind w:left="2268"/>
      </w:pPr>
      <w:r w:rsidRPr="002938C8">
        <w:rPr>
          <w:lang w:val="fr-FR"/>
        </w:rPr>
        <w:t>Exemple de la première extension de la 2439</w:t>
      </w:r>
      <w:r w:rsidRPr="009B7E41">
        <w:rPr>
          <w:vertAlign w:val="superscript"/>
          <w:lang w:val="fr-FR"/>
        </w:rPr>
        <w:t>e</w:t>
      </w:r>
      <w:r>
        <w:rPr>
          <w:lang w:val="fr-FR"/>
        </w:rPr>
        <w:t> </w:t>
      </w:r>
      <w:r w:rsidRPr="002938C8">
        <w:rPr>
          <w:lang w:val="fr-FR"/>
        </w:rPr>
        <w:t>homologation de type délivrée par le Royaume-Uni de Grande-Bretagne et d</w:t>
      </w:r>
      <w:r>
        <w:rPr>
          <w:lang w:val="fr-FR"/>
        </w:rPr>
        <w:t>’</w:t>
      </w:r>
      <w:r w:rsidRPr="002938C8">
        <w:rPr>
          <w:lang w:val="fr-FR"/>
        </w:rPr>
        <w:t>Irlande du Nord en vertu de la troisième série d</w:t>
      </w:r>
      <w:r>
        <w:rPr>
          <w:lang w:val="fr-FR"/>
        </w:rPr>
        <w:t>’</w:t>
      </w:r>
      <w:r w:rsidRPr="002938C8">
        <w:rPr>
          <w:lang w:val="fr-FR"/>
        </w:rPr>
        <w:t xml:space="preserve">amendements </w:t>
      </w:r>
      <w:r>
        <w:rPr>
          <w:lang w:val="fr-FR"/>
        </w:rPr>
        <w:t>au</w:t>
      </w:r>
      <w:r w:rsidRPr="002938C8">
        <w:rPr>
          <w:lang w:val="fr-FR"/>
        </w:rPr>
        <w:t xml:space="preserve"> Règlement ONU n</w:t>
      </w:r>
      <w:r>
        <w:rPr>
          <w:vertAlign w:val="superscript"/>
          <w:lang w:val="fr-FR"/>
        </w:rPr>
        <w:t>o</w:t>
      </w:r>
      <w:r w:rsidRPr="009B7E41">
        <w:rPr>
          <w:lang w:val="fr-FR"/>
        </w:rPr>
        <w:t> </w:t>
      </w:r>
      <w:r w:rsidRPr="002938C8">
        <w:rPr>
          <w:lang w:val="fr-FR"/>
        </w:rPr>
        <w:t>127</w:t>
      </w:r>
      <w:r>
        <w:rPr>
          <w:lang w:val="fr-FR"/>
        </w:rPr>
        <w:t>,</w:t>
      </w:r>
      <w:r w:rsidRPr="002938C8">
        <w:rPr>
          <w:lang w:val="fr-FR"/>
        </w:rPr>
        <w:t xml:space="preserve"> complément</w:t>
      </w:r>
      <w:r>
        <w:rPr>
          <w:lang w:val="fr-FR"/>
        </w:rPr>
        <w:t> </w:t>
      </w:r>
      <w:r w:rsidRPr="002938C8">
        <w:rPr>
          <w:lang w:val="fr-FR"/>
        </w:rPr>
        <w:t xml:space="preserve">1, </w:t>
      </w:r>
      <w:r>
        <w:rPr>
          <w:lang w:val="fr-FR"/>
        </w:rPr>
        <w:t>conformément aux</w:t>
      </w:r>
      <w:r w:rsidRPr="002938C8">
        <w:rPr>
          <w:lang w:val="fr-FR"/>
        </w:rPr>
        <w:t xml:space="preserve"> dispositions particulières relatives à la limite de 2</w:t>
      </w:r>
      <w:r>
        <w:rPr>
          <w:lang w:val="fr-FR"/>
        </w:rPr>
        <w:t> </w:t>
      </w:r>
      <w:r w:rsidRPr="002938C8">
        <w:rPr>
          <w:lang w:val="fr-FR"/>
        </w:rPr>
        <w:t>100</w:t>
      </w:r>
      <w:r>
        <w:rPr>
          <w:lang w:val="fr-FR"/>
        </w:rPr>
        <w:t> </w:t>
      </w:r>
      <w:r w:rsidRPr="002938C8">
        <w:rPr>
          <w:lang w:val="fr-FR"/>
        </w:rPr>
        <w:t>mm de longueur développée</w:t>
      </w:r>
      <w:r>
        <w:rPr>
          <w:lang w:val="fr-FR"/>
        </w:rPr>
        <w:t> :</w:t>
      </w:r>
    </w:p>
    <w:p w14:paraId="471C650C" w14:textId="77777777" w:rsidR="008D0C88" w:rsidRPr="0068461F" w:rsidRDefault="008D0C88" w:rsidP="008D0C88">
      <w:pPr>
        <w:pStyle w:val="SingleTxtG"/>
        <w:ind w:left="2268"/>
        <w:rPr>
          <w:b/>
          <w:bCs/>
          <w:i/>
          <w:lang w:val="fr-FR"/>
        </w:rPr>
      </w:pPr>
      <w:r w:rsidRPr="002938C8">
        <w:rPr>
          <w:lang w:val="fr-FR"/>
        </w:rPr>
        <w:t>E11*127R03/01/T*2439*01.</w:t>
      </w:r>
      <w:r>
        <w:rPr>
          <w:lang w:val="fr-FR"/>
        </w:rPr>
        <w:t> »</w:t>
      </w:r>
      <w:r w:rsidRPr="002938C8">
        <w:rPr>
          <w:lang w:val="fr-FR"/>
        </w:rPr>
        <w:t>.</w:t>
      </w:r>
    </w:p>
    <w:p w14:paraId="275D6B35" w14:textId="77777777" w:rsidR="008D0C88" w:rsidRPr="00EB213F" w:rsidRDefault="008D0C88" w:rsidP="008D0C88">
      <w:pPr>
        <w:pStyle w:val="SingleTxtG"/>
        <w:rPr>
          <w:i/>
          <w:lang w:val="fr-FR"/>
        </w:rPr>
      </w:pPr>
      <w:r>
        <w:rPr>
          <w:i/>
          <w:iCs/>
          <w:lang w:val="fr-FR"/>
        </w:rPr>
        <w:t>Ajouter les nouveaux paragraphes 5.3 à 5.3.4</w:t>
      </w:r>
      <w:r>
        <w:rPr>
          <w:lang w:val="fr-FR"/>
        </w:rPr>
        <w:t>, libellés comme suit :</w:t>
      </w:r>
    </w:p>
    <w:p w14:paraId="45E68EAB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« 5.3</w:t>
      </w:r>
      <w:r w:rsidRPr="00735521">
        <w:rPr>
          <w:lang w:val="fr-FR"/>
        </w:rPr>
        <w:tab/>
        <w:t>Dans le cas d</w:t>
      </w:r>
      <w:r>
        <w:rPr>
          <w:lang w:val="fr-FR"/>
        </w:rPr>
        <w:t>’</w:t>
      </w:r>
      <w:r w:rsidRPr="00735521">
        <w:rPr>
          <w:lang w:val="fr-FR"/>
        </w:rPr>
        <w:t>un véhicule équipé d</w:t>
      </w:r>
      <w:r>
        <w:rPr>
          <w:lang w:val="fr-FR"/>
        </w:rPr>
        <w:t>’</w:t>
      </w:r>
      <w:r w:rsidRPr="00735521">
        <w:rPr>
          <w:lang w:val="fr-FR"/>
        </w:rPr>
        <w:t>un système de suspension à hauteur réglable permettant de modifier la hauteur du véhicule à l</w:t>
      </w:r>
      <w:r>
        <w:rPr>
          <w:lang w:val="fr-FR"/>
        </w:rPr>
        <w:t>’</w:t>
      </w:r>
      <w:r w:rsidRPr="00735521">
        <w:rPr>
          <w:lang w:val="fr-FR"/>
        </w:rPr>
        <w:t>essieu avant de plus de 20 mm</w:t>
      </w:r>
      <w:r w:rsidRPr="00ED2D5A">
        <w:t xml:space="preserve"> </w:t>
      </w:r>
      <w:r w:rsidRPr="00ED2D5A">
        <w:rPr>
          <w:lang w:val="fr-FR"/>
        </w:rPr>
        <w:t>par rapport à la hauteur nominale pour toute vitesse comprise entre 25 et 40</w:t>
      </w:r>
      <w:r>
        <w:rPr>
          <w:lang w:val="fr-FR"/>
        </w:rPr>
        <w:t> </w:t>
      </w:r>
      <w:r w:rsidRPr="00ED2D5A">
        <w:rPr>
          <w:lang w:val="fr-FR"/>
        </w:rPr>
        <w:t>km/h</w:t>
      </w:r>
      <w:r w:rsidRPr="00735521">
        <w:rPr>
          <w:lang w:val="fr-FR"/>
        </w:rPr>
        <w:t>, les dispositions des paragraphes 5.1 et 5.2 doivent être respectées pour le réglage correspondant à une conduite normale conformément aux recommandations du constructeur pour une vitesse de 40 km/h, ainsi que pour tous les réglages de hauteurs fixes correspondant à une vitesse du véhicule allant de 25 à 40 km/h.</w:t>
      </w:r>
    </w:p>
    <w:p w14:paraId="38FC1BBA" w14:textId="77777777" w:rsidR="008D0C88" w:rsidRPr="00735521" w:rsidRDefault="008D0C88" w:rsidP="008D0C88">
      <w:pPr>
        <w:pStyle w:val="SingleTxtG"/>
        <w:ind w:left="2268"/>
        <w:rPr>
          <w:spacing w:val="-2"/>
          <w:lang w:val="fr-FR"/>
        </w:rPr>
      </w:pPr>
      <w:r w:rsidRPr="00735521">
        <w:rPr>
          <w:spacing w:val="-2"/>
          <w:lang w:val="fr-FR"/>
        </w:rPr>
        <w:t>Pour ces essais, le constructeur peut</w:t>
      </w:r>
      <w:r>
        <w:rPr>
          <w:spacing w:val="-2"/>
          <w:lang w:val="fr-FR"/>
        </w:rPr>
        <w:t>, s’il en fait la demande et obtient l’accord du service technique,</w:t>
      </w:r>
      <w:r w:rsidRPr="00735521">
        <w:rPr>
          <w:spacing w:val="-2"/>
          <w:lang w:val="fr-FR"/>
        </w:rPr>
        <w:t xml:space="preserve"> utiliser soit les vitesses d</w:t>
      </w:r>
      <w:r>
        <w:rPr>
          <w:spacing w:val="-2"/>
          <w:lang w:val="fr-FR"/>
        </w:rPr>
        <w:t>’</w:t>
      </w:r>
      <w:r w:rsidRPr="00735521">
        <w:rPr>
          <w:spacing w:val="-2"/>
          <w:lang w:val="fr-FR"/>
        </w:rPr>
        <w:t xml:space="preserve">impact définies aux paragraphes 5.1 et 5.2, soit la </w:t>
      </w:r>
      <w:r w:rsidRPr="0065198F">
        <w:rPr>
          <w:lang w:val="fr-FR"/>
        </w:rPr>
        <w:t>vitesse</w:t>
      </w:r>
      <w:r w:rsidRPr="00735521">
        <w:rPr>
          <w:spacing w:val="-2"/>
          <w:lang w:val="fr-FR"/>
        </w:rPr>
        <w:t xml:space="preserve"> d</w:t>
      </w:r>
      <w:r>
        <w:rPr>
          <w:spacing w:val="-2"/>
          <w:lang w:val="fr-FR"/>
        </w:rPr>
        <w:t>’</w:t>
      </w:r>
      <w:r w:rsidRPr="00735521">
        <w:rPr>
          <w:spacing w:val="-2"/>
          <w:lang w:val="fr-FR"/>
        </w:rPr>
        <w:t xml:space="preserve">impact correspondant au réglage de </w:t>
      </w:r>
      <w:r w:rsidRPr="00735521">
        <w:rPr>
          <w:lang w:val="fr-FR"/>
        </w:rPr>
        <w:t>hauteur du véhicule, auquel cas le rapport entre la vitesse d</w:t>
      </w:r>
      <w:r>
        <w:rPr>
          <w:lang w:val="fr-FR"/>
        </w:rPr>
        <w:t>’</w:t>
      </w:r>
      <w:r w:rsidRPr="00735521">
        <w:rPr>
          <w:lang w:val="fr-FR"/>
        </w:rPr>
        <w:t>impact de la tête et la vitesse correspondante du véhicule doit être de 0,9.</w:t>
      </w:r>
    </w:p>
    <w:p w14:paraId="3AC06DBC" w14:textId="77777777" w:rsidR="008D0C88" w:rsidRPr="00735521" w:rsidRDefault="008D0C88" w:rsidP="008D0C88">
      <w:pPr>
        <w:pStyle w:val="SingleTxtG"/>
        <w:ind w:left="2268" w:hanging="1134"/>
        <w:rPr>
          <w:spacing w:val="-1"/>
          <w:lang w:val="fr-FR"/>
        </w:rPr>
      </w:pPr>
      <w:r w:rsidRPr="00735521">
        <w:rPr>
          <w:spacing w:val="-1"/>
          <w:lang w:val="fr-FR"/>
        </w:rPr>
        <w:t>5.3.1</w:t>
      </w:r>
      <w:r w:rsidRPr="00735521">
        <w:rPr>
          <w:spacing w:val="-1"/>
          <w:lang w:val="fr-FR"/>
        </w:rPr>
        <w:tab/>
        <w:t>Les prescriptions du paragraphe 5.3 sont considérées comme satisfaites si le véhicule est équipé d</w:t>
      </w:r>
      <w:r>
        <w:rPr>
          <w:spacing w:val="-1"/>
          <w:lang w:val="fr-FR"/>
        </w:rPr>
        <w:t>’</w:t>
      </w:r>
      <w:r w:rsidRPr="00735521">
        <w:rPr>
          <w:spacing w:val="-1"/>
          <w:lang w:val="fr-FR"/>
        </w:rPr>
        <w:t>un système de suspension à hauteur réglable remplissant toutes les conditions énoncées au paragraphe 5.3.1.1 ou 5.3.1.2.</w:t>
      </w:r>
    </w:p>
    <w:p w14:paraId="033EA3DC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5.3.1.1</w:t>
      </w:r>
      <w:r w:rsidRPr="00735521">
        <w:rPr>
          <w:lang w:val="fr-FR"/>
        </w:rPr>
        <w:tab/>
      </w:r>
      <w:r w:rsidRPr="00735521">
        <w:rPr>
          <w:lang w:val="fr-FR"/>
        </w:rPr>
        <w:tab/>
        <w:t xml:space="preserve">Le système de suspension à hauteur réglable </w:t>
      </w:r>
      <w:r>
        <w:rPr>
          <w:lang w:val="fr-FR"/>
        </w:rPr>
        <w:t xml:space="preserve">ne peut pas être activé sur les voies publiques ; il n’est activé que pour </w:t>
      </w:r>
      <w:r w:rsidRPr="00735521">
        <w:rPr>
          <w:lang w:val="fr-FR"/>
        </w:rPr>
        <w:t>une utilisation tout terrain et revient automatiquement à l</w:t>
      </w:r>
      <w:r>
        <w:rPr>
          <w:lang w:val="fr-FR"/>
        </w:rPr>
        <w:t>’</w:t>
      </w:r>
      <w:r w:rsidRPr="00735521">
        <w:rPr>
          <w:lang w:val="fr-FR"/>
        </w:rPr>
        <w:t xml:space="preserve">assiette normale lorsque le véhicule circule sur route. </w:t>
      </w:r>
      <w:r>
        <w:rPr>
          <w:lang w:val="fr-FR"/>
        </w:rPr>
        <w:t>Sur les voies publiques, l</w:t>
      </w:r>
      <w:r w:rsidRPr="00735521">
        <w:rPr>
          <w:lang w:val="fr-FR"/>
        </w:rPr>
        <w:t>e système est réglé par défaut à l</w:t>
      </w:r>
      <w:r>
        <w:rPr>
          <w:lang w:val="fr-FR"/>
        </w:rPr>
        <w:t>’</w:t>
      </w:r>
      <w:r w:rsidRPr="00735521">
        <w:rPr>
          <w:lang w:val="fr-FR"/>
        </w:rPr>
        <w:t>assiette normale à chaque nouveau démarrage du moteur.</w:t>
      </w:r>
    </w:p>
    <w:p w14:paraId="1520EB3E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5.3.1.2</w:t>
      </w:r>
      <w:r w:rsidRPr="00735521">
        <w:rPr>
          <w:lang w:val="fr-FR"/>
        </w:rPr>
        <w:tab/>
        <w:t xml:space="preserve">Le système de suspension à hauteur réglable </w:t>
      </w:r>
      <w:r>
        <w:rPr>
          <w:lang w:val="fr-FR"/>
        </w:rPr>
        <w:t>peut être activé pour</w:t>
      </w:r>
      <w:r w:rsidRPr="00735521">
        <w:rPr>
          <w:lang w:val="fr-FR"/>
        </w:rPr>
        <w:t xml:space="preserve"> une utilisation à vitesse extrêmement basse (par exemple en cas d</w:t>
      </w:r>
      <w:r>
        <w:rPr>
          <w:lang w:val="fr-FR"/>
        </w:rPr>
        <w:t>’</w:t>
      </w:r>
      <w:r w:rsidRPr="00735521">
        <w:rPr>
          <w:lang w:val="fr-FR"/>
        </w:rPr>
        <w:t>inondation ou d</w:t>
      </w:r>
      <w:r>
        <w:rPr>
          <w:lang w:val="fr-FR"/>
        </w:rPr>
        <w:t>’</w:t>
      </w:r>
      <w:r w:rsidRPr="00735521">
        <w:rPr>
          <w:lang w:val="fr-FR"/>
        </w:rPr>
        <w:t xml:space="preserve">épaisseur importante de neige) </w:t>
      </w:r>
      <w:r>
        <w:rPr>
          <w:lang w:val="fr-FR"/>
        </w:rPr>
        <w:t>sur les voies publiques. En pareil cas, il </w:t>
      </w:r>
      <w:r w:rsidRPr="00735521">
        <w:rPr>
          <w:lang w:val="fr-FR"/>
        </w:rPr>
        <w:t>revient automatiquement à l</w:t>
      </w:r>
      <w:r>
        <w:rPr>
          <w:lang w:val="fr-FR"/>
        </w:rPr>
        <w:t>’</w:t>
      </w:r>
      <w:r w:rsidRPr="00735521">
        <w:rPr>
          <w:lang w:val="fr-FR"/>
        </w:rPr>
        <w:t xml:space="preserve">assiette normale lorsque la vitesse du véhicule dépasse </w:t>
      </w:r>
      <w:r>
        <w:rPr>
          <w:lang w:val="fr-FR"/>
        </w:rPr>
        <w:t>25</w:t>
      </w:r>
      <w:r w:rsidRPr="00735521">
        <w:rPr>
          <w:lang w:val="fr-FR"/>
        </w:rPr>
        <w:t> km/h ou lorsque le système est désactivé manuellement</w:t>
      </w:r>
      <w:r>
        <w:rPr>
          <w:lang w:val="fr-FR"/>
        </w:rPr>
        <w:t xml:space="preserve"> par le conducteur</w:t>
      </w:r>
      <w:r w:rsidRPr="00735521">
        <w:rPr>
          <w:lang w:val="fr-FR"/>
        </w:rPr>
        <w:t>. L</w:t>
      </w:r>
      <w:r>
        <w:rPr>
          <w:lang w:val="fr-FR"/>
        </w:rPr>
        <w:t>’</w:t>
      </w:r>
      <w:r w:rsidRPr="00735521">
        <w:rPr>
          <w:lang w:val="fr-FR"/>
        </w:rPr>
        <w:t>activation est indiquée au conducteur par au moins un témoin d</w:t>
      </w:r>
      <w:r>
        <w:rPr>
          <w:lang w:val="fr-FR"/>
        </w:rPr>
        <w:t>’</w:t>
      </w:r>
      <w:r w:rsidRPr="00735521">
        <w:rPr>
          <w:lang w:val="fr-FR"/>
        </w:rPr>
        <w:t>avertissement visuel.</w:t>
      </w:r>
    </w:p>
    <w:p w14:paraId="2AED6578" w14:textId="2A19E78C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lastRenderedPageBreak/>
        <w:t>5.3.1.3</w:t>
      </w:r>
      <w:r w:rsidRPr="00735521">
        <w:rPr>
          <w:lang w:val="fr-FR"/>
        </w:rPr>
        <w:tab/>
        <w:t>La conformité aux conditions énoncées au paragraphe 5.3.1.1 ou 5.3.1.2 doit être démontrée par le constructeur du véhicule à la satisfaction du service technique par des moyens indépendants (par un essai physique par</w:t>
      </w:r>
      <w:r w:rsidR="0034225B">
        <w:rPr>
          <w:lang w:val="fr-FR"/>
        </w:rPr>
        <w:t xml:space="preserve"> </w:t>
      </w:r>
      <w:r w:rsidRPr="00735521">
        <w:rPr>
          <w:lang w:val="fr-FR"/>
        </w:rPr>
        <w:t xml:space="preserve">exemple). Les informations pertinentes doivent figurer dans </w:t>
      </w:r>
      <w:r>
        <w:rPr>
          <w:lang w:val="fr-FR"/>
        </w:rPr>
        <w:t>la fiche de renseignements de</w:t>
      </w:r>
      <w:r w:rsidRPr="00735521">
        <w:rPr>
          <w:lang w:val="fr-FR"/>
        </w:rPr>
        <w:t xml:space="preserve"> l</w:t>
      </w:r>
      <w:r>
        <w:rPr>
          <w:lang w:val="fr-FR"/>
        </w:rPr>
        <w:t>’</w:t>
      </w:r>
      <w:r w:rsidRPr="00735521">
        <w:rPr>
          <w:lang w:val="fr-FR"/>
        </w:rPr>
        <w:t>annexe I. Les cas d</w:t>
      </w:r>
      <w:r>
        <w:rPr>
          <w:lang w:val="fr-FR"/>
        </w:rPr>
        <w:t>’</w:t>
      </w:r>
      <w:r w:rsidRPr="00735521">
        <w:rPr>
          <w:lang w:val="fr-FR"/>
        </w:rPr>
        <w:t>utilisation à vitesse extrêmement basse visés au paragraphe 5.3.1.2 doivent également être décrits dans le manuel d</w:t>
      </w:r>
      <w:r>
        <w:rPr>
          <w:lang w:val="fr-FR"/>
        </w:rPr>
        <w:t>’</w:t>
      </w:r>
      <w:r w:rsidRPr="00735521">
        <w:rPr>
          <w:lang w:val="fr-FR"/>
        </w:rPr>
        <w:t>utilisation du véhicule.</w:t>
      </w:r>
    </w:p>
    <w:p w14:paraId="705A830F" w14:textId="77777777" w:rsidR="008D0C88" w:rsidRPr="00735521" w:rsidRDefault="008D0C88" w:rsidP="008D0C88">
      <w:pPr>
        <w:pStyle w:val="SingleTxtG"/>
        <w:ind w:left="2268" w:hanging="1134"/>
        <w:rPr>
          <w:iCs/>
          <w:szCs w:val="22"/>
          <w:lang w:val="fr-FR"/>
        </w:rPr>
      </w:pPr>
      <w:r w:rsidRPr="00735521">
        <w:rPr>
          <w:lang w:val="fr-FR"/>
        </w:rPr>
        <w:t>5.3.2</w:t>
      </w:r>
      <w:r w:rsidRPr="00735521">
        <w:rPr>
          <w:lang w:val="fr-FR"/>
        </w:rPr>
        <w:tab/>
        <w:t>La jambe d</w:t>
      </w:r>
      <w:r>
        <w:rPr>
          <w:lang w:val="fr-FR"/>
        </w:rPr>
        <w:t>’</w:t>
      </w:r>
      <w:r w:rsidRPr="00735521">
        <w:rPr>
          <w:lang w:val="fr-FR"/>
        </w:rPr>
        <w:t>essai à utiliser est celle utilisée pour l</w:t>
      </w:r>
      <w:r>
        <w:rPr>
          <w:lang w:val="fr-FR"/>
        </w:rPr>
        <w:t>’</w:t>
      </w:r>
      <w:r w:rsidRPr="00735521">
        <w:rPr>
          <w:lang w:val="fr-FR"/>
        </w:rPr>
        <w:t>essai de collision jambe factice contre pare-chocs en conditions de conduite normales pour une vitesse de 40 km/h.</w:t>
      </w:r>
    </w:p>
    <w:p w14:paraId="5B62C7D0" w14:textId="77777777" w:rsidR="008D0C88" w:rsidRPr="00735521" w:rsidRDefault="008D0C88" w:rsidP="008D0C88">
      <w:pPr>
        <w:pStyle w:val="SingleTxtG"/>
        <w:ind w:left="2268" w:hanging="1134"/>
        <w:rPr>
          <w:iCs/>
          <w:szCs w:val="22"/>
          <w:lang w:val="fr-FR"/>
        </w:rPr>
      </w:pPr>
      <w:r w:rsidRPr="00735521">
        <w:rPr>
          <w:lang w:val="fr-FR"/>
        </w:rPr>
        <w:t>5.3.3</w:t>
      </w:r>
      <w:r w:rsidRPr="00735521">
        <w:rPr>
          <w:lang w:val="fr-FR"/>
        </w:rPr>
        <w:tab/>
        <w:t>Avec l</w:t>
      </w:r>
      <w:r>
        <w:rPr>
          <w:lang w:val="fr-FR"/>
        </w:rPr>
        <w:t>’</w:t>
      </w:r>
      <w:r w:rsidRPr="00735521">
        <w:rPr>
          <w:lang w:val="fr-FR"/>
        </w:rPr>
        <w:t>accord du service technique, le constructeur doit démontrer, par un nombre limité d</w:t>
      </w:r>
      <w:r>
        <w:rPr>
          <w:lang w:val="fr-FR"/>
        </w:rPr>
        <w:t>’</w:t>
      </w:r>
      <w:r w:rsidRPr="00735521">
        <w:rPr>
          <w:lang w:val="fr-FR"/>
        </w:rPr>
        <w:t>essais avec la jambe factice ou par une simulation numérique conformément aux spécifications énoncées au paragraphe 5.3, que les limites biomécaniques établies aux paragraphes 5.1.1 et 5.1.2 sont respectées.</w:t>
      </w:r>
    </w:p>
    <w:p w14:paraId="77987005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5.3.4</w:t>
      </w:r>
      <w:r w:rsidRPr="00735521">
        <w:rPr>
          <w:lang w:val="fr-FR"/>
        </w:rPr>
        <w:tab/>
        <w:t>Avec l</w:t>
      </w:r>
      <w:r>
        <w:rPr>
          <w:lang w:val="fr-FR"/>
        </w:rPr>
        <w:t>’</w:t>
      </w:r>
      <w:r w:rsidRPr="00735521">
        <w:rPr>
          <w:lang w:val="fr-FR"/>
        </w:rPr>
        <w:t>accord du service technique, le constructeur doit démontrer, par un nombre limité d</w:t>
      </w:r>
      <w:r>
        <w:rPr>
          <w:lang w:val="fr-FR"/>
        </w:rPr>
        <w:t>’</w:t>
      </w:r>
      <w:r w:rsidRPr="00735521">
        <w:rPr>
          <w:lang w:val="fr-FR"/>
        </w:rPr>
        <w:t>essais avec la tête factice ou par une simulation numérique, que la valeur limite de 1 700 pour le critère de gravité HIC est respectée sur les zones restantes de la zone d</w:t>
      </w:r>
      <w:r>
        <w:rPr>
          <w:lang w:val="fr-FR"/>
        </w:rPr>
        <w:t>’</w:t>
      </w:r>
      <w:r w:rsidRPr="00735521">
        <w:rPr>
          <w:lang w:val="fr-FR"/>
        </w:rPr>
        <w:t>impact de la tête factice. ».</w:t>
      </w:r>
    </w:p>
    <w:p w14:paraId="2E0E5A84" w14:textId="1BB10140" w:rsidR="008D0C88" w:rsidRPr="00EB213F" w:rsidRDefault="008D0C88" w:rsidP="008D0C88">
      <w:pPr>
        <w:pStyle w:val="SingleTxtG"/>
        <w:rPr>
          <w:i/>
          <w:lang w:val="fr-FR"/>
        </w:rPr>
      </w:pPr>
      <w:r w:rsidRPr="00561606">
        <w:rPr>
          <w:i/>
          <w:iCs/>
          <w:lang w:val="fr-FR"/>
        </w:rPr>
        <w:t>Ajouter les nouveaux paragraphes 11.14 à 11.19</w:t>
      </w:r>
      <w:r w:rsidRPr="00561606">
        <w:rPr>
          <w:lang w:val="fr-FR"/>
        </w:rPr>
        <w:t>, libellés comme suit :</w:t>
      </w:r>
    </w:p>
    <w:p w14:paraId="77B3469A" w14:textId="735BEF38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« 11.14</w:t>
      </w:r>
      <w:r w:rsidRPr="00735521">
        <w:rPr>
          <w:lang w:val="fr-FR"/>
        </w:rPr>
        <w:tab/>
        <w:t>À compter de la date officielle d</w:t>
      </w:r>
      <w:r>
        <w:rPr>
          <w:lang w:val="fr-FR"/>
        </w:rPr>
        <w:t>’</w:t>
      </w:r>
      <w:r w:rsidRPr="00735521">
        <w:rPr>
          <w:lang w:val="fr-FR"/>
        </w:rPr>
        <w:t>entrée en vigueur de la série 04</w:t>
      </w:r>
      <w:r w:rsidRPr="003B1452">
        <w:rPr>
          <w:lang w:val="fr-FR"/>
        </w:rPr>
        <w:t xml:space="preserve"> </w:t>
      </w:r>
      <w:r w:rsidRPr="00735521">
        <w:rPr>
          <w:lang w:val="fr-FR"/>
        </w:rPr>
        <w:t>d</w:t>
      </w:r>
      <w:r>
        <w:rPr>
          <w:lang w:val="fr-FR"/>
        </w:rPr>
        <w:t>’</w:t>
      </w:r>
      <w:r w:rsidRPr="00735521">
        <w:rPr>
          <w:lang w:val="fr-FR"/>
        </w:rPr>
        <w:t>amendements, aucune Partie contractante appliquant le présent Règlement</w:t>
      </w:r>
      <w:r w:rsidR="0034225B">
        <w:t> </w:t>
      </w:r>
      <w:r>
        <w:rPr>
          <w:lang w:val="fr-FR"/>
        </w:rPr>
        <w:t xml:space="preserve">ONU </w:t>
      </w:r>
      <w:r w:rsidRPr="00735521">
        <w:rPr>
          <w:lang w:val="fr-FR"/>
        </w:rPr>
        <w:t>ne pourra refuser d</w:t>
      </w:r>
      <w:r>
        <w:rPr>
          <w:lang w:val="fr-FR"/>
        </w:rPr>
        <w:t>’</w:t>
      </w:r>
      <w:r w:rsidRPr="00735521">
        <w:rPr>
          <w:lang w:val="fr-FR"/>
        </w:rPr>
        <w:t>accorder ou d</w:t>
      </w:r>
      <w:r>
        <w:rPr>
          <w:lang w:val="fr-FR"/>
        </w:rPr>
        <w:t>’</w:t>
      </w:r>
      <w:r w:rsidRPr="00735521">
        <w:rPr>
          <w:lang w:val="fr-FR"/>
        </w:rPr>
        <w:t>accepter une homologation de type en vertu dudit Règlement</w:t>
      </w:r>
      <w:r>
        <w:rPr>
          <w:lang w:val="fr-FR"/>
        </w:rPr>
        <w:t xml:space="preserve"> ONU</w:t>
      </w:r>
      <w:r w:rsidRPr="00735521">
        <w:rPr>
          <w:lang w:val="fr-FR"/>
        </w:rPr>
        <w:t xml:space="preserve"> tel que modifié par la série 04 d</w:t>
      </w:r>
      <w:r>
        <w:rPr>
          <w:lang w:val="fr-FR"/>
        </w:rPr>
        <w:t>’</w:t>
      </w:r>
      <w:r w:rsidRPr="00735521">
        <w:rPr>
          <w:lang w:val="fr-FR"/>
        </w:rPr>
        <w:t>amendements.</w:t>
      </w:r>
    </w:p>
    <w:p w14:paraId="33A87B2E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11.15</w:t>
      </w:r>
      <w:r w:rsidRPr="00735521">
        <w:rPr>
          <w:lang w:val="fr-FR"/>
        </w:rPr>
        <w:tab/>
        <w:t>À compter du 1</w:t>
      </w:r>
      <w:r w:rsidRPr="00735521">
        <w:rPr>
          <w:vertAlign w:val="superscript"/>
          <w:lang w:val="fr-FR"/>
        </w:rPr>
        <w:t>er</w:t>
      </w:r>
      <w:r w:rsidRPr="00735521">
        <w:rPr>
          <w:lang w:val="fr-FR"/>
        </w:rPr>
        <w:t> septembre 202</w:t>
      </w:r>
      <w:r>
        <w:rPr>
          <w:lang w:val="fr-FR"/>
        </w:rPr>
        <w:t>6</w:t>
      </w:r>
      <w:r w:rsidRPr="00735521">
        <w:rPr>
          <w:lang w:val="fr-FR"/>
        </w:rPr>
        <w:t xml:space="preserve">, les Parties contractantes appliquant le présent Règlement </w:t>
      </w:r>
      <w:r>
        <w:rPr>
          <w:lang w:val="fr-FR"/>
        </w:rPr>
        <w:t xml:space="preserve">ONU </w:t>
      </w:r>
      <w:r w:rsidRPr="00735521">
        <w:rPr>
          <w:lang w:val="fr-FR"/>
        </w:rPr>
        <w:t>ne seront plus tenues d</w:t>
      </w:r>
      <w:r>
        <w:rPr>
          <w:lang w:val="fr-FR"/>
        </w:rPr>
        <w:t>’</w:t>
      </w:r>
      <w:r w:rsidRPr="00735521">
        <w:rPr>
          <w:lang w:val="fr-FR"/>
        </w:rPr>
        <w:t>accepter les homologations de type établies conformément aux précédentes séries d</w:t>
      </w:r>
      <w:r>
        <w:rPr>
          <w:lang w:val="fr-FR"/>
        </w:rPr>
        <w:t>’</w:t>
      </w:r>
      <w:r w:rsidRPr="00735521">
        <w:rPr>
          <w:lang w:val="fr-FR"/>
        </w:rPr>
        <w:t>amendements, délivrées pour la première fois après le 1</w:t>
      </w:r>
      <w:r w:rsidRPr="00735521">
        <w:rPr>
          <w:vertAlign w:val="superscript"/>
          <w:lang w:val="fr-FR"/>
        </w:rPr>
        <w:t>er</w:t>
      </w:r>
      <w:r w:rsidRPr="00735521">
        <w:rPr>
          <w:lang w:val="fr-FR"/>
        </w:rPr>
        <w:t> septembre 202</w:t>
      </w:r>
      <w:r>
        <w:rPr>
          <w:lang w:val="fr-FR"/>
        </w:rPr>
        <w:t>6</w:t>
      </w:r>
      <w:r w:rsidRPr="00735521">
        <w:rPr>
          <w:lang w:val="fr-FR"/>
        </w:rPr>
        <w:t>.</w:t>
      </w:r>
    </w:p>
    <w:p w14:paraId="618A69A7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11.16</w:t>
      </w:r>
      <w:r w:rsidRPr="00735521">
        <w:rPr>
          <w:lang w:val="fr-FR"/>
        </w:rPr>
        <w:tab/>
        <w:t xml:space="preserve">Les Parties contractantes appliquant le présent Règlement </w:t>
      </w:r>
      <w:r>
        <w:rPr>
          <w:lang w:val="fr-FR"/>
        </w:rPr>
        <w:t xml:space="preserve">ONU </w:t>
      </w:r>
      <w:r w:rsidRPr="00735521">
        <w:rPr>
          <w:lang w:val="fr-FR"/>
        </w:rPr>
        <w:t xml:space="preserve">continueront de reconnaître les homologations de type accordées au titre des </w:t>
      </w:r>
      <w:r w:rsidRPr="00233A26">
        <w:rPr>
          <w:lang w:val="fr-FR"/>
        </w:rPr>
        <w:t xml:space="preserve">précédentes </w:t>
      </w:r>
      <w:r w:rsidRPr="00735521">
        <w:rPr>
          <w:lang w:val="fr-FR"/>
        </w:rPr>
        <w:t>séries d</w:t>
      </w:r>
      <w:r>
        <w:rPr>
          <w:lang w:val="fr-FR"/>
        </w:rPr>
        <w:t>’</w:t>
      </w:r>
      <w:r w:rsidRPr="00735521">
        <w:rPr>
          <w:lang w:val="fr-FR"/>
        </w:rPr>
        <w:t>amendements audit Règlement</w:t>
      </w:r>
      <w:r>
        <w:rPr>
          <w:lang w:val="fr-FR"/>
        </w:rPr>
        <w:t xml:space="preserve"> ONU,</w:t>
      </w:r>
      <w:r w:rsidRPr="00735521">
        <w:rPr>
          <w:lang w:val="fr-FR"/>
        </w:rPr>
        <w:t xml:space="preserve"> délivrées pour la première fois avant le</w:t>
      </w:r>
      <w:r>
        <w:rPr>
          <w:lang w:val="fr-FR"/>
        </w:rPr>
        <w:t xml:space="preserve"> </w:t>
      </w:r>
      <w:r w:rsidRPr="00735521">
        <w:rPr>
          <w:lang w:val="fr-FR"/>
        </w:rPr>
        <w:t>1</w:t>
      </w:r>
      <w:r w:rsidRPr="00735521">
        <w:rPr>
          <w:vertAlign w:val="superscript"/>
          <w:lang w:val="fr-FR"/>
        </w:rPr>
        <w:t>er</w:t>
      </w:r>
      <w:r w:rsidRPr="00735521">
        <w:rPr>
          <w:lang w:val="fr-FR"/>
        </w:rPr>
        <w:t> septembre 202</w:t>
      </w:r>
      <w:r>
        <w:rPr>
          <w:lang w:val="fr-FR"/>
        </w:rPr>
        <w:t>6</w:t>
      </w:r>
      <w:r w:rsidRPr="00735521">
        <w:rPr>
          <w:lang w:val="fr-FR"/>
        </w:rPr>
        <w:t>.</w:t>
      </w:r>
    </w:p>
    <w:p w14:paraId="1604129F" w14:textId="359DF6D2" w:rsidR="008D0C88" w:rsidRPr="00FC4B99" w:rsidRDefault="008D0C88" w:rsidP="008D0C88">
      <w:pPr>
        <w:pStyle w:val="SingleTxtG"/>
        <w:ind w:left="2268" w:hanging="1134"/>
        <w:rPr>
          <w:iCs/>
        </w:rPr>
      </w:pPr>
      <w:r>
        <w:rPr>
          <w:lang w:val="fr-FR"/>
        </w:rPr>
        <w:t>11.17</w:t>
      </w:r>
      <w:r>
        <w:rPr>
          <w:lang w:val="fr-FR"/>
        </w:rPr>
        <w:tab/>
        <w:t>Jusqu’au 1</w:t>
      </w:r>
      <w:r w:rsidRPr="00735521">
        <w:rPr>
          <w:vertAlign w:val="superscript"/>
          <w:lang w:val="fr-FR"/>
        </w:rPr>
        <w:t>er</w:t>
      </w:r>
      <w:r>
        <w:rPr>
          <w:lang w:val="fr-FR"/>
        </w:rPr>
        <w:t> septembre 2028, les Parties contractantes appliquant le présent Règlement</w:t>
      </w:r>
      <w:r w:rsidR="0034225B">
        <w:rPr>
          <w:lang w:val="fr-FR"/>
        </w:rPr>
        <w:t> </w:t>
      </w:r>
      <w:r>
        <w:rPr>
          <w:lang w:val="fr-FR"/>
        </w:rPr>
        <w:t>ONU continueront d’accorder des homologations de type pour lesquelles les procédures d’essai relatives au comportement atypique de rupture du pare-brise (voir les paragraphes 4.8 et 5.8 de l’annexe 5) et les dispositions particulières relatives à la limite de 2 100 mm de longueur développée (voir les paragraphes 2.1 et 2.45) sont utilisées.</w:t>
      </w:r>
    </w:p>
    <w:p w14:paraId="354B2744" w14:textId="4C022171" w:rsidR="008D0C88" w:rsidRPr="00FC4B99" w:rsidRDefault="008D0C88" w:rsidP="008D0C88">
      <w:pPr>
        <w:pStyle w:val="SingleTxtG"/>
        <w:ind w:left="2268" w:hanging="1134"/>
        <w:rPr>
          <w:iCs/>
        </w:rPr>
      </w:pPr>
      <w:r>
        <w:rPr>
          <w:lang w:val="fr-FR"/>
        </w:rPr>
        <w:t>11.18</w:t>
      </w:r>
      <w:r>
        <w:rPr>
          <w:lang w:val="fr-FR"/>
        </w:rPr>
        <w:tab/>
        <w:t>Jusqu’au 1</w:t>
      </w:r>
      <w:r w:rsidRPr="00735521">
        <w:rPr>
          <w:vertAlign w:val="superscript"/>
          <w:lang w:val="fr-FR"/>
        </w:rPr>
        <w:t>er</w:t>
      </w:r>
      <w:r>
        <w:rPr>
          <w:lang w:val="fr-FR"/>
        </w:rPr>
        <w:t> septembre 2029, les Parties contractantes appliquant le présent Règlement</w:t>
      </w:r>
      <w:r w:rsidR="0034225B">
        <w:rPr>
          <w:lang w:val="fr-FR"/>
        </w:rPr>
        <w:t> </w:t>
      </w:r>
      <w:r>
        <w:rPr>
          <w:lang w:val="fr-FR"/>
        </w:rPr>
        <w:t>ONU continueront de reconnaître les homologations de type délivrées en vertu des dispositions particulières relatives à la limite de 2 100 mm de longueur développée (voir les paragraphes 2.1 et 2.45).</w:t>
      </w:r>
    </w:p>
    <w:p w14:paraId="1F2E3CD0" w14:textId="77777777" w:rsidR="008D0C88" w:rsidRDefault="008D0C88" w:rsidP="008D0C88">
      <w:pPr>
        <w:pStyle w:val="SingleTxtG"/>
        <w:ind w:left="2268" w:hanging="1134"/>
        <w:rPr>
          <w:iCs/>
        </w:rPr>
      </w:pPr>
      <w:r>
        <w:rPr>
          <w:lang w:val="fr-FR"/>
        </w:rPr>
        <w:t>11.19</w:t>
      </w:r>
      <w:r>
        <w:rPr>
          <w:lang w:val="fr-FR"/>
        </w:rPr>
        <w:tab/>
        <w:t>À compter du 1</w:t>
      </w:r>
      <w:r w:rsidRPr="00F95F7D">
        <w:rPr>
          <w:vertAlign w:val="superscript"/>
          <w:lang w:val="fr-FR"/>
        </w:rPr>
        <w:t>er</w:t>
      </w:r>
      <w:r>
        <w:rPr>
          <w:lang w:val="fr-FR"/>
        </w:rPr>
        <w:t> septembre 2029, les Parties contractantes appliquant le présent Règlement ONU ne seront plus tenues d’accepter les homologations de type délivrées pour un véhicule dont la face supérieure du capot a une limite de longueur développée de 2 100 mm (voir les paragraphes 2.1 et 2.45). ».</w:t>
      </w:r>
    </w:p>
    <w:p w14:paraId="4BDFBA9F" w14:textId="77777777" w:rsidR="008D0C88" w:rsidRPr="00735521" w:rsidRDefault="008D0C88" w:rsidP="008D0C88">
      <w:pPr>
        <w:pStyle w:val="SingleTxtG"/>
        <w:rPr>
          <w:lang w:val="fr-FR"/>
        </w:rPr>
      </w:pPr>
      <w:r w:rsidRPr="00735521">
        <w:rPr>
          <w:i/>
          <w:iCs/>
          <w:lang w:val="fr-FR"/>
        </w:rPr>
        <w:t xml:space="preserve">Les </w:t>
      </w:r>
      <w:r>
        <w:rPr>
          <w:i/>
          <w:iCs/>
          <w:lang w:val="fr-FR"/>
        </w:rPr>
        <w:t>(</w:t>
      </w:r>
      <w:r w:rsidRPr="00735521">
        <w:rPr>
          <w:i/>
          <w:iCs/>
          <w:lang w:val="fr-FR"/>
        </w:rPr>
        <w:t>anciens</w:t>
      </w:r>
      <w:r>
        <w:rPr>
          <w:i/>
          <w:iCs/>
          <w:lang w:val="fr-FR"/>
        </w:rPr>
        <w:t>)</w:t>
      </w:r>
      <w:r w:rsidRPr="00735521">
        <w:rPr>
          <w:i/>
          <w:iCs/>
          <w:lang w:val="fr-FR"/>
        </w:rPr>
        <w:t xml:space="preserve"> paragraphes 11.17 et 11.18</w:t>
      </w:r>
      <w:r w:rsidRPr="00735521">
        <w:rPr>
          <w:lang w:val="fr-FR"/>
        </w:rPr>
        <w:t xml:space="preserve"> devien</w:t>
      </w:r>
      <w:r>
        <w:rPr>
          <w:lang w:val="fr-FR"/>
        </w:rPr>
        <w:t>nen</w:t>
      </w:r>
      <w:r w:rsidRPr="00735521">
        <w:rPr>
          <w:lang w:val="fr-FR"/>
        </w:rPr>
        <w:t>t les paragraphes 11.20 et 11.21 et se lisent comme suit</w:t>
      </w:r>
      <w:r>
        <w:rPr>
          <w:lang w:val="fr-FR"/>
        </w:rPr>
        <w:t> </w:t>
      </w:r>
      <w:r w:rsidRPr="00735521">
        <w:rPr>
          <w:lang w:val="fr-FR"/>
        </w:rPr>
        <w:t>:</w:t>
      </w:r>
    </w:p>
    <w:p w14:paraId="61075567" w14:textId="77777777" w:rsidR="008D0C88" w:rsidRPr="00735521" w:rsidRDefault="008D0C88" w:rsidP="008D0C88">
      <w:pPr>
        <w:pStyle w:val="SingleTxtG"/>
        <w:ind w:left="2268" w:hanging="1134"/>
        <w:rPr>
          <w:lang w:val="fr-FR"/>
        </w:rPr>
      </w:pPr>
      <w:r w:rsidRPr="00735521">
        <w:rPr>
          <w:lang w:val="fr-FR"/>
        </w:rPr>
        <w:t>11.</w:t>
      </w:r>
      <w:r>
        <w:rPr>
          <w:lang w:val="fr-FR"/>
        </w:rPr>
        <w:t>20</w:t>
      </w:r>
      <w:r w:rsidRPr="00735521">
        <w:rPr>
          <w:lang w:val="fr-FR"/>
        </w:rPr>
        <w:tab/>
        <w:t xml:space="preserve">Les Parties contractantes appliquant le présent Règlement </w:t>
      </w:r>
      <w:r>
        <w:rPr>
          <w:lang w:val="fr-FR"/>
        </w:rPr>
        <w:t xml:space="preserve">ONU </w:t>
      </w:r>
      <w:r w:rsidRPr="00735521">
        <w:rPr>
          <w:lang w:val="fr-FR"/>
        </w:rPr>
        <w:t>pourront accorder des homologations de type en vertu de l</w:t>
      </w:r>
      <w:r>
        <w:rPr>
          <w:lang w:val="fr-FR"/>
        </w:rPr>
        <w:t>’</w:t>
      </w:r>
      <w:r w:rsidRPr="00735521">
        <w:rPr>
          <w:lang w:val="fr-FR"/>
        </w:rPr>
        <w:t>une quelconque des précédentes séries d</w:t>
      </w:r>
      <w:r>
        <w:rPr>
          <w:lang w:val="fr-FR"/>
        </w:rPr>
        <w:t>’</w:t>
      </w:r>
      <w:r w:rsidRPr="00735521">
        <w:rPr>
          <w:lang w:val="fr-FR"/>
        </w:rPr>
        <w:t>amendements audit Règlement</w:t>
      </w:r>
      <w:r>
        <w:rPr>
          <w:lang w:val="fr-FR"/>
        </w:rPr>
        <w:t xml:space="preserve"> ONU</w:t>
      </w:r>
      <w:r w:rsidRPr="00735521">
        <w:rPr>
          <w:lang w:val="fr-FR"/>
        </w:rPr>
        <w:t>.</w:t>
      </w:r>
    </w:p>
    <w:p w14:paraId="716442FB" w14:textId="3FD08C77" w:rsidR="008D0C88" w:rsidRPr="00735521" w:rsidRDefault="008D0C88" w:rsidP="008D0C88">
      <w:pPr>
        <w:pStyle w:val="SingleTxtG"/>
        <w:keepNext/>
        <w:keepLines/>
        <w:ind w:left="2268" w:hanging="1134"/>
        <w:rPr>
          <w:lang w:val="fr-FR"/>
        </w:rPr>
      </w:pPr>
      <w:r w:rsidRPr="00735521">
        <w:rPr>
          <w:lang w:val="fr-FR"/>
        </w:rPr>
        <w:lastRenderedPageBreak/>
        <w:t>11.</w:t>
      </w:r>
      <w:r>
        <w:rPr>
          <w:lang w:val="fr-FR"/>
        </w:rPr>
        <w:t>21</w:t>
      </w:r>
      <w:r w:rsidRPr="00735521">
        <w:rPr>
          <w:lang w:val="fr-FR"/>
        </w:rPr>
        <w:tab/>
        <w:t xml:space="preserve">Les Parties contractantes appliquant le présent Règlement </w:t>
      </w:r>
      <w:r>
        <w:rPr>
          <w:lang w:val="fr-FR"/>
        </w:rPr>
        <w:t xml:space="preserve">ONU </w:t>
      </w:r>
      <w:r w:rsidRPr="00735521">
        <w:rPr>
          <w:lang w:val="fr-FR"/>
        </w:rPr>
        <w:t>continueront d</w:t>
      </w:r>
      <w:r>
        <w:rPr>
          <w:lang w:val="fr-FR"/>
        </w:rPr>
        <w:t>’</w:t>
      </w:r>
      <w:r w:rsidRPr="00735521">
        <w:rPr>
          <w:lang w:val="fr-FR"/>
        </w:rPr>
        <w:t>accorder des extensions pour les homologations déjà délivrées conformément à l</w:t>
      </w:r>
      <w:r>
        <w:rPr>
          <w:lang w:val="fr-FR"/>
        </w:rPr>
        <w:t>’</w:t>
      </w:r>
      <w:r w:rsidRPr="00735521">
        <w:rPr>
          <w:lang w:val="fr-FR"/>
        </w:rPr>
        <w:t>une quelconque des précédentes séries d</w:t>
      </w:r>
      <w:r>
        <w:rPr>
          <w:lang w:val="fr-FR"/>
        </w:rPr>
        <w:t>’</w:t>
      </w:r>
      <w:r w:rsidRPr="00735521">
        <w:rPr>
          <w:lang w:val="fr-FR"/>
        </w:rPr>
        <w:t>amendements audit Règlement</w:t>
      </w:r>
      <w:r w:rsidR="0034225B">
        <w:rPr>
          <w:lang w:val="fr-FR"/>
        </w:rPr>
        <w:t> </w:t>
      </w:r>
      <w:r>
        <w:rPr>
          <w:lang w:val="fr-FR"/>
        </w:rPr>
        <w:t>ONU</w:t>
      </w:r>
      <w:r w:rsidRPr="00735521">
        <w:rPr>
          <w:lang w:val="fr-FR"/>
        </w:rPr>
        <w:t>. ».</w:t>
      </w:r>
    </w:p>
    <w:p w14:paraId="2E6A8CF9" w14:textId="77777777" w:rsidR="008D0C88" w:rsidRPr="00070186" w:rsidRDefault="008D0C88" w:rsidP="008D0C88">
      <w:pPr>
        <w:pStyle w:val="SingleTxtG"/>
        <w:rPr>
          <w:lang w:val="fr-FR"/>
        </w:rPr>
      </w:pPr>
      <w:r>
        <w:rPr>
          <w:i/>
          <w:iCs/>
          <w:lang w:val="fr-FR"/>
        </w:rPr>
        <w:t xml:space="preserve">Annexe 1, </w:t>
      </w:r>
      <w:r w:rsidRPr="00070186">
        <w:rPr>
          <w:i/>
          <w:iCs/>
          <w:lang w:val="fr-FR"/>
        </w:rPr>
        <w:t>partie 1, paragraphe 9.23.1</w:t>
      </w:r>
      <w:r w:rsidRPr="00070186">
        <w:rPr>
          <w:lang w:val="fr-FR"/>
        </w:rPr>
        <w:t>, lire :</w:t>
      </w:r>
    </w:p>
    <w:p w14:paraId="48AEF49D" w14:textId="42F83F86" w:rsidR="008D0C88" w:rsidRDefault="008D0C88" w:rsidP="008D0C88">
      <w:pPr>
        <w:pStyle w:val="SingleTxtG"/>
        <w:ind w:left="2268" w:hanging="1134"/>
        <w:rPr>
          <w:lang w:val="fr-FR"/>
        </w:rPr>
      </w:pPr>
      <w:r w:rsidRPr="00070186">
        <w:rPr>
          <w:lang w:val="fr-FR"/>
        </w:rPr>
        <w:t>« 9.23.1</w:t>
      </w:r>
      <w:r w:rsidRPr="00070186">
        <w:rPr>
          <w:lang w:val="fr-FR"/>
        </w:rPr>
        <w:tab/>
        <w:t>Une description détaillée, comportant des photographies et/ou des dessins, du véhicule en ce qui concerne sa structure, ses dimensions, les lignes de référence pertinentes et les matériaux constituant l’avant du véhicule (intérieur et extérieur)</w:t>
      </w:r>
      <w:r w:rsidR="00070186" w:rsidRPr="00070186">
        <w:rPr>
          <w:lang w:val="fr-FR"/>
        </w:rPr>
        <w:t xml:space="preserve"> doit être fournie</w:t>
      </w:r>
      <w:r w:rsidRPr="00070186">
        <w:rPr>
          <w:lang w:val="fr-FR"/>
        </w:rPr>
        <w:t>. Cette description doit comprendre des détails relatifs à tout système de protection</w:t>
      </w:r>
      <w:r>
        <w:rPr>
          <w:lang w:val="fr-FR"/>
        </w:rPr>
        <w:t xml:space="preserve"> active installée</w:t>
      </w:r>
      <w:r w:rsidRPr="003B1452">
        <w:rPr>
          <w:lang w:val="fr-FR"/>
        </w:rPr>
        <w:t xml:space="preserve"> </w:t>
      </w:r>
      <w:r w:rsidRPr="00735521">
        <w:rPr>
          <w:lang w:val="fr-FR"/>
        </w:rPr>
        <w:t>et à tout système permettant de modifier en cours de conduite la hauteur du véhicule à l</w:t>
      </w:r>
      <w:r>
        <w:rPr>
          <w:lang w:val="fr-FR"/>
        </w:rPr>
        <w:t>’</w:t>
      </w:r>
      <w:r w:rsidRPr="00735521">
        <w:rPr>
          <w:lang w:val="fr-FR"/>
        </w:rPr>
        <w:t xml:space="preserve">essieu avant (tel que </w:t>
      </w:r>
      <w:r>
        <w:rPr>
          <w:lang w:val="fr-FR"/>
        </w:rPr>
        <w:t xml:space="preserve">le </w:t>
      </w:r>
      <w:r w:rsidRPr="0010037F">
        <w:rPr>
          <w:lang w:val="fr-FR"/>
        </w:rPr>
        <w:t>système de suspension à hauteur réglable</w:t>
      </w:r>
      <w:r w:rsidRPr="00735521">
        <w:rPr>
          <w:lang w:val="fr-FR"/>
        </w:rPr>
        <w:t>)</w:t>
      </w:r>
      <w:r>
        <w:rPr>
          <w:lang w:val="fr-FR"/>
        </w:rPr>
        <w:t>. ».</w:t>
      </w:r>
    </w:p>
    <w:p w14:paraId="7AEB01CD" w14:textId="77777777" w:rsidR="008D0C88" w:rsidRDefault="008D0C88" w:rsidP="008D0C88">
      <w:pPr>
        <w:rPr>
          <w:lang w:val="fr-FR"/>
        </w:rPr>
      </w:pPr>
      <w:r>
        <w:rPr>
          <w:lang w:val="fr-FR"/>
        </w:rPr>
        <w:br w:type="page"/>
      </w:r>
    </w:p>
    <w:p w14:paraId="24B0FC5A" w14:textId="705E096A" w:rsidR="008D0C88" w:rsidRPr="00EB213F" w:rsidRDefault="008D0C88" w:rsidP="008D0C88">
      <w:pPr>
        <w:pStyle w:val="SingleTxtG"/>
        <w:rPr>
          <w:lang w:val="fr-FR"/>
        </w:rPr>
      </w:pPr>
      <w:r>
        <w:rPr>
          <w:i/>
          <w:iCs/>
          <w:lang w:val="fr-FR"/>
        </w:rPr>
        <w:lastRenderedPageBreak/>
        <w:t>Annexe 2</w:t>
      </w:r>
      <w:r>
        <w:rPr>
          <w:lang w:val="fr-FR"/>
        </w:rPr>
        <w:t>, lire :</w:t>
      </w:r>
    </w:p>
    <w:p w14:paraId="34CDCB4F" w14:textId="77777777" w:rsidR="008D0C88" w:rsidRPr="00EB213F" w:rsidRDefault="008D0C88" w:rsidP="008D0C88">
      <w:pPr>
        <w:pStyle w:val="HChG"/>
        <w:rPr>
          <w:lang w:val="fr-FR"/>
        </w:rPr>
      </w:pPr>
      <w:r w:rsidRPr="0065198F">
        <w:rPr>
          <w:b w:val="0"/>
          <w:bCs/>
          <w:sz w:val="20"/>
          <w:lang w:val="fr-FR"/>
        </w:rPr>
        <w:t>« </w:t>
      </w:r>
      <w:r>
        <w:rPr>
          <w:lang w:val="fr-FR"/>
        </w:rPr>
        <w:t>Annexe 2</w:t>
      </w:r>
    </w:p>
    <w:p w14:paraId="55FD5B88" w14:textId="77777777" w:rsidR="008D0C88" w:rsidRPr="00EB213F" w:rsidRDefault="008D0C88" w:rsidP="008D0C88">
      <w:pPr>
        <w:pStyle w:val="HChG"/>
        <w:rPr>
          <w:lang w:val="fr-FR"/>
        </w:rPr>
      </w:pPr>
      <w:bookmarkStart w:id="0" w:name="_Toc406663771"/>
      <w:r>
        <w:rPr>
          <w:lang w:val="fr-FR"/>
        </w:rPr>
        <w:tab/>
      </w:r>
      <w:r>
        <w:rPr>
          <w:lang w:val="fr-FR"/>
        </w:rPr>
        <w:tab/>
        <w:t xml:space="preserve">Exemple de marque </w:t>
      </w:r>
      <w:r w:rsidRPr="008D0C88">
        <w:t>d’homologation</w:t>
      </w:r>
      <w:bookmarkEnd w:id="0"/>
    </w:p>
    <w:p w14:paraId="73AD5555" w14:textId="77777777" w:rsidR="008D0C88" w:rsidRDefault="008D0C88" w:rsidP="008D0C88">
      <w:pPr>
        <w:pStyle w:val="SingleTxtG"/>
        <w:rPr>
          <w:lang w:val="fr-FR"/>
        </w:rPr>
      </w:pPr>
      <w:r>
        <w:rPr>
          <w:lang w:val="fr-FR"/>
        </w:rPr>
        <w:t>(Voir les paragraphes 4.4 à 4.4.2 du présent Règlement ONU)</w:t>
      </w:r>
    </w:p>
    <w:p w14:paraId="5BAF916B" w14:textId="77777777" w:rsidR="008D0C88" w:rsidRPr="00704E91" w:rsidRDefault="008D0C88" w:rsidP="008D0C88">
      <w:pPr>
        <w:pStyle w:val="SingleTxtG"/>
      </w:pPr>
      <w:r w:rsidRPr="00704E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B11C8" wp14:editId="6EBF2B94">
                <wp:simplePos x="0" y="0"/>
                <wp:positionH relativeFrom="column">
                  <wp:posOffset>2696960</wp:posOffset>
                </wp:positionH>
                <wp:positionV relativeFrom="paragraph">
                  <wp:posOffset>303530</wp:posOffset>
                </wp:positionV>
                <wp:extent cx="1231323" cy="333955"/>
                <wp:effectExtent l="0" t="0" r="6985" b="9525"/>
                <wp:wrapNone/>
                <wp:docPr id="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23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12FA3" w14:textId="5D13E79A" w:rsidR="008D0C88" w:rsidRDefault="008D0C88" w:rsidP="008D0C88">
                            <w:pPr>
                              <w:ind w:left="-142" w:right="-15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127R</w:t>
                            </w:r>
                            <w:r w:rsidR="0034225B">
                              <w:rPr>
                                <w:sz w:val="32"/>
                              </w:rPr>
                              <w:t> − </w:t>
                            </w:r>
                            <w:r>
                              <w:rPr>
                                <w:sz w:val="32"/>
                              </w:rPr>
                              <w:t>04185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B11C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12.35pt;margin-top:23.9pt;width:96.9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" stroked="f">
                <v:textbox>
                  <w:txbxContent>
                    <w:p w14:paraId="6C512FA3" w14:textId="5D13E79A" w:rsidR="008D0C88" w:rsidRDefault="008D0C88" w:rsidP="008D0C88">
                      <w:pPr>
                        <w:ind w:left="-142" w:right="-15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127R</w:t>
                      </w:r>
                      <w:r w:rsidR="0034225B">
                        <w:rPr>
                          <w:sz w:val="32"/>
                        </w:rPr>
                        <w:t> − </w:t>
                      </w:r>
                      <w:r>
                        <w:rPr>
                          <w:sz w:val="32"/>
                        </w:rPr>
                        <w:t>04185</w:t>
                      </w:r>
                    </w:p>
                  </w:txbxContent>
                </v:textbox>
              </v:shape>
            </w:pict>
          </mc:Fallback>
        </mc:AlternateContent>
      </w:r>
      <w:r w:rsidRPr="00704E91">
        <w:rPr>
          <w:noProof/>
        </w:rPr>
        <w:drawing>
          <wp:inline distT="0" distB="0" distL="0" distR="0" wp14:anchorId="6EB2A72B" wp14:editId="56C41375">
            <wp:extent cx="3924935" cy="923290"/>
            <wp:effectExtent l="0" t="0" r="0" b="0"/>
            <wp:docPr id="19" name="Picture 19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A934E" w14:textId="77777777" w:rsidR="008D0C88" w:rsidRPr="00EB213F" w:rsidRDefault="008D0C88" w:rsidP="008D0C88">
      <w:pPr>
        <w:pStyle w:val="SingleTxtG"/>
        <w:ind w:right="2268"/>
        <w:jc w:val="right"/>
        <w:rPr>
          <w:lang w:val="fr-FR"/>
        </w:rPr>
      </w:pPr>
      <w:r>
        <w:rPr>
          <w:lang w:val="fr-FR"/>
        </w:rPr>
        <w:t>a = 8 mm min.</w:t>
      </w:r>
    </w:p>
    <w:p w14:paraId="770F4A23" w14:textId="08A20496" w:rsidR="00F9573C" w:rsidRDefault="008D0C88" w:rsidP="008D0C88">
      <w:pPr>
        <w:pStyle w:val="SingleTxtG"/>
        <w:ind w:firstLine="567"/>
        <w:rPr>
          <w:lang w:val="fr-FR"/>
        </w:rPr>
      </w:pPr>
      <w:r>
        <w:rPr>
          <w:lang w:val="fr-FR"/>
        </w:rPr>
        <w:t>La marque d’homologation ci-dessus, apposée sur un véhicule, indique que le type de ce véhicule a été homologué en Belgique (E 6) en ce qui concerne la sécurité des piétons, en vertu du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127. Les deux premiers chiffres du numéro d’homologation indiquent que l’homologation a été délivrée conformément aux dispositions du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127 tel que modifié par la série 04 d’amendements. ».</w:t>
      </w:r>
    </w:p>
    <w:p w14:paraId="3DD55D33" w14:textId="6B5B49DA" w:rsidR="008D0C88" w:rsidRPr="008D0C88" w:rsidRDefault="008D0C88" w:rsidP="008D0C8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D0C88" w:rsidRPr="008D0C88" w:rsidSect="008D0C8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0506" w14:textId="77777777" w:rsidR="00940991" w:rsidRDefault="00940991" w:rsidP="00F95C08">
      <w:pPr>
        <w:spacing w:line="240" w:lineRule="auto"/>
      </w:pPr>
    </w:p>
  </w:endnote>
  <w:endnote w:type="continuationSeparator" w:id="0">
    <w:p w14:paraId="5ED0B5C4" w14:textId="77777777" w:rsidR="00940991" w:rsidRPr="00AC3823" w:rsidRDefault="00940991" w:rsidP="00AC3823">
      <w:pPr>
        <w:pStyle w:val="Pieddepage"/>
      </w:pPr>
    </w:p>
  </w:endnote>
  <w:endnote w:type="continuationNotice" w:id="1">
    <w:p w14:paraId="5553B060" w14:textId="77777777" w:rsidR="00940991" w:rsidRDefault="009409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3922" w14:textId="007C3587" w:rsidR="008D0C88" w:rsidRPr="008D0C88" w:rsidRDefault="008D0C88" w:rsidP="008D0C88">
    <w:pPr>
      <w:pStyle w:val="Pieddepage"/>
      <w:tabs>
        <w:tab w:val="right" w:pos="9638"/>
      </w:tabs>
    </w:pPr>
    <w:r w:rsidRPr="008D0C88">
      <w:rPr>
        <w:b/>
        <w:sz w:val="18"/>
      </w:rPr>
      <w:fldChar w:fldCharType="begin"/>
    </w:r>
    <w:r w:rsidRPr="008D0C88">
      <w:rPr>
        <w:b/>
        <w:sz w:val="18"/>
      </w:rPr>
      <w:instrText xml:space="preserve"> PAGE  \* MERGEFORMAT </w:instrText>
    </w:r>
    <w:r w:rsidRPr="008D0C88">
      <w:rPr>
        <w:b/>
        <w:sz w:val="18"/>
      </w:rPr>
      <w:fldChar w:fldCharType="separate"/>
    </w:r>
    <w:r w:rsidRPr="008D0C88">
      <w:rPr>
        <w:b/>
        <w:noProof/>
        <w:sz w:val="18"/>
      </w:rPr>
      <w:t>2</w:t>
    </w:r>
    <w:r w:rsidRPr="008D0C88">
      <w:rPr>
        <w:b/>
        <w:sz w:val="18"/>
      </w:rPr>
      <w:fldChar w:fldCharType="end"/>
    </w:r>
    <w:r>
      <w:rPr>
        <w:b/>
        <w:sz w:val="18"/>
      </w:rPr>
      <w:tab/>
    </w:r>
    <w:r>
      <w:t>GE.23-11821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1ECC" w14:textId="49E9D28F" w:rsidR="008D0C88" w:rsidRPr="008D0C88" w:rsidRDefault="008D0C88" w:rsidP="008D0C88">
    <w:pPr>
      <w:pStyle w:val="Pieddepage"/>
      <w:tabs>
        <w:tab w:val="right" w:pos="9638"/>
      </w:tabs>
      <w:rPr>
        <w:b/>
        <w:sz w:val="18"/>
      </w:rPr>
    </w:pPr>
    <w:r>
      <w:t>GE.23-11821</w:t>
    </w:r>
    <w:r>
      <w:tab/>
    </w:r>
    <w:r w:rsidRPr="008D0C88">
      <w:rPr>
        <w:b/>
        <w:sz w:val="18"/>
      </w:rPr>
      <w:fldChar w:fldCharType="begin"/>
    </w:r>
    <w:r w:rsidRPr="008D0C88">
      <w:rPr>
        <w:b/>
        <w:sz w:val="18"/>
      </w:rPr>
      <w:instrText xml:space="preserve"> PAGE  \* MERGEFORMAT </w:instrText>
    </w:r>
    <w:r w:rsidRPr="008D0C88">
      <w:rPr>
        <w:b/>
        <w:sz w:val="18"/>
      </w:rPr>
      <w:fldChar w:fldCharType="separate"/>
    </w:r>
    <w:r w:rsidRPr="008D0C88">
      <w:rPr>
        <w:b/>
        <w:noProof/>
        <w:sz w:val="18"/>
      </w:rPr>
      <w:t>3</w:t>
    </w:r>
    <w:r w:rsidRPr="008D0C8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7FA5" w14:textId="4A6AB327" w:rsidR="007F20FA" w:rsidRPr="008D0C88" w:rsidRDefault="008D0C88" w:rsidP="008D0C88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33E4E7BF" wp14:editId="31F84625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23-11821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8AC1358" wp14:editId="4CBD0E1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9158734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</w:t>
    </w:r>
    <w:r w:rsidRPr="00070186">
      <w:rPr>
        <w:sz w:val="20"/>
      </w:rPr>
      <w:t>040124    0</w:t>
    </w:r>
    <w:r w:rsidR="00070186" w:rsidRPr="00070186">
      <w:rPr>
        <w:sz w:val="20"/>
      </w:rPr>
      <w:t>5</w:t>
    </w:r>
    <w:r w:rsidRPr="00070186">
      <w:rPr>
        <w:sz w:val="20"/>
      </w:rPr>
      <w:t>0124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A954" w14:textId="77777777" w:rsidR="00940991" w:rsidRPr="00AC3823" w:rsidRDefault="0094099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ACFBF0B" w14:textId="77777777" w:rsidR="00940991" w:rsidRPr="00AC3823" w:rsidRDefault="0094099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5EF0BF4" w14:textId="77777777" w:rsidR="00940991" w:rsidRPr="00AC3823" w:rsidRDefault="00940991">
      <w:pPr>
        <w:spacing w:line="240" w:lineRule="auto"/>
        <w:rPr>
          <w:sz w:val="2"/>
          <w:szCs w:val="2"/>
        </w:rPr>
      </w:pPr>
    </w:p>
  </w:footnote>
  <w:footnote w:id="2">
    <w:p w14:paraId="74B8A92B" w14:textId="65BE260C" w:rsidR="008D0C88" w:rsidRPr="00A21092" w:rsidRDefault="008D0C88" w:rsidP="008D0C88">
      <w:pPr>
        <w:pStyle w:val="Notedebasdepage"/>
        <w:rPr>
          <w:lang w:val="fr-SN"/>
        </w:rPr>
      </w:pPr>
      <w:r>
        <w:rPr>
          <w:rStyle w:val="Appelnotedebasdep"/>
        </w:rPr>
        <w:tab/>
      </w:r>
      <w:r w:rsidRPr="008D0C88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A21092">
        <w:rPr>
          <w:lang w:val="fr-SN"/>
        </w:rPr>
        <w:t>Anciens titres de l’Accord</w:t>
      </w:r>
      <w:r>
        <w:rPr>
          <w:lang w:val="fr-SN"/>
        </w:rPr>
        <w:t> :</w:t>
      </w:r>
    </w:p>
    <w:p w14:paraId="6B3EC0DE" w14:textId="058ED5CC" w:rsidR="008D0C88" w:rsidRPr="00A21092" w:rsidRDefault="008D0C88" w:rsidP="008D0C88">
      <w:pPr>
        <w:pStyle w:val="Notedebasdepage"/>
        <w:rPr>
          <w:sz w:val="20"/>
          <w:lang w:val="fr-SN"/>
        </w:rPr>
      </w:pPr>
      <w:r w:rsidRPr="00A21092">
        <w:rPr>
          <w:lang w:val="fr-SN"/>
        </w:rPr>
        <w:tab/>
      </w:r>
      <w:r w:rsidRPr="00A21092">
        <w:rPr>
          <w:lang w:val="fr-SN"/>
        </w:rPr>
        <w:tab/>
      </w:r>
      <w:r w:rsidRPr="00A21092">
        <w:rPr>
          <w:spacing w:val="-4"/>
          <w:lang w:val="fr-SN"/>
        </w:rPr>
        <w:t>Accord concernant l’adoption de conditions uniformes d’homologation et la reconnaissance réciproque de</w:t>
      </w:r>
      <w:r>
        <w:rPr>
          <w:spacing w:val="-4"/>
          <w:lang w:val="fr-SN"/>
        </w:rPr>
        <w:t> </w:t>
      </w:r>
      <w:r w:rsidRPr="00A21092">
        <w:rPr>
          <w:spacing w:val="-4"/>
          <w:lang w:val="fr-SN"/>
        </w:rPr>
        <w:t>l’homologation des équipements et pièces de véhicules à moteur, en date, à Genève, du 20</w:t>
      </w:r>
      <w:r>
        <w:rPr>
          <w:spacing w:val="-4"/>
          <w:lang w:val="fr-SN"/>
        </w:rPr>
        <w:t> </w:t>
      </w:r>
      <w:r w:rsidRPr="00A21092">
        <w:rPr>
          <w:spacing w:val="-4"/>
          <w:lang w:val="fr-SN"/>
        </w:rPr>
        <w:t>mars 1958 (version originale)</w:t>
      </w:r>
      <w:r>
        <w:rPr>
          <w:spacing w:val="-4"/>
          <w:lang w:val="fr-SN"/>
        </w:rPr>
        <w:t> ;</w:t>
      </w:r>
    </w:p>
    <w:p w14:paraId="516B742E" w14:textId="23F85234" w:rsidR="008D0C88" w:rsidRPr="008D0C88" w:rsidRDefault="008D0C88" w:rsidP="008D0C88">
      <w:pPr>
        <w:pStyle w:val="Notedebasdepage"/>
        <w:rPr>
          <w:lang w:val="fr-FR"/>
        </w:rPr>
      </w:pPr>
      <w:r w:rsidRPr="00A21092">
        <w:rPr>
          <w:lang w:val="fr-SN"/>
        </w:rPr>
        <w:tab/>
      </w:r>
      <w:r w:rsidRPr="00A21092">
        <w:rPr>
          <w:lang w:val="fr-SN"/>
        </w:rPr>
        <w:tab/>
        <w:t>Accord concernant l’adoption de prescriptions techniques uniformes applicables aux véhicules à</w:t>
      </w:r>
      <w:r>
        <w:rPr>
          <w:lang w:val="fr-SN"/>
        </w:rPr>
        <w:t> </w:t>
      </w:r>
      <w:r w:rsidRPr="00A21092">
        <w:rPr>
          <w:lang w:val="fr-SN"/>
        </w:rPr>
        <w:t>roues, aux équipements et aux pièces susceptibles d’être montés ou utilisés sur un véhicule à roues et</w:t>
      </w:r>
      <w:r>
        <w:rPr>
          <w:lang w:val="fr-SN"/>
        </w:rPr>
        <w:t> </w:t>
      </w:r>
      <w:r w:rsidRPr="00A21092">
        <w:rPr>
          <w:lang w:val="fr-SN"/>
        </w:rPr>
        <w:t>les conditions de reconnaissance réciproque des homologations délivrées conformément à ces prescriptions, en date, à Genève, du 5</w:t>
      </w:r>
      <w:r>
        <w:rPr>
          <w:lang w:val="fr-SN"/>
        </w:rPr>
        <w:t> </w:t>
      </w:r>
      <w:r w:rsidRPr="00A21092">
        <w:rPr>
          <w:lang w:val="fr-SN"/>
        </w:rPr>
        <w:t>octobre 1995 (Révision</w:t>
      </w:r>
      <w:r>
        <w:rPr>
          <w:lang w:val="fr-SN"/>
        </w:rPr>
        <w:t> </w:t>
      </w:r>
      <w:r w:rsidRPr="00A21092">
        <w:rPr>
          <w:lang w:val="fr-SN"/>
        </w:rPr>
        <w:t>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FCED" w14:textId="070C5878" w:rsidR="008D0C88" w:rsidRPr="008D0C88" w:rsidRDefault="008D0C88">
    <w:pPr>
      <w:pStyle w:val="En-tte"/>
      <w:rPr>
        <w:lang w:val="en-US"/>
      </w:rPr>
    </w:pPr>
    <w:r>
      <w:fldChar w:fldCharType="begin"/>
    </w:r>
    <w:r w:rsidRPr="008D0C88">
      <w:rPr>
        <w:lang w:val="en-US"/>
      </w:rPr>
      <w:instrText xml:space="preserve"> TITLE  \* MERGEFORMAT </w:instrText>
    </w:r>
    <w:r>
      <w:fldChar w:fldCharType="separate"/>
    </w:r>
    <w:r w:rsidR="00CE53A7">
      <w:rPr>
        <w:lang w:val="en-US"/>
      </w:rPr>
      <w:t>E/ECE/324/Rev.2/Add.126/Rev.3/Amend.2</w:t>
    </w:r>
    <w:r>
      <w:fldChar w:fldCharType="end"/>
    </w:r>
    <w:r w:rsidRPr="008D0C88">
      <w:rPr>
        <w:lang w:val="en-US"/>
      </w:rPr>
      <w:br/>
    </w:r>
    <w:r>
      <w:fldChar w:fldCharType="begin"/>
    </w:r>
    <w:r w:rsidRPr="008D0C88">
      <w:rPr>
        <w:lang w:val="en-US"/>
      </w:rPr>
      <w:instrText xml:space="preserve"> KEYWORDS  \* MERGEFORMAT </w:instrText>
    </w:r>
    <w:r>
      <w:fldChar w:fldCharType="separate"/>
    </w:r>
    <w:r w:rsidR="00CE53A7">
      <w:rPr>
        <w:lang w:val="en-US"/>
      </w:rPr>
      <w:t>E/ECE/TRANS/505/Rev.2/Add.126/Rev.3/Amend.2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C931" w14:textId="62512159" w:rsidR="008D0C88" w:rsidRPr="008D0C88" w:rsidRDefault="008D0C88" w:rsidP="008D0C88">
    <w:pPr>
      <w:pStyle w:val="En-tte"/>
      <w:jc w:val="right"/>
      <w:rPr>
        <w:lang w:val="en-US"/>
      </w:rPr>
    </w:pPr>
    <w:r>
      <w:fldChar w:fldCharType="begin"/>
    </w:r>
    <w:r w:rsidRPr="008D0C88">
      <w:rPr>
        <w:lang w:val="en-US"/>
      </w:rPr>
      <w:instrText xml:space="preserve"> TITLE  \* MERGEFORMAT </w:instrText>
    </w:r>
    <w:r>
      <w:fldChar w:fldCharType="separate"/>
    </w:r>
    <w:r w:rsidR="00CE53A7">
      <w:rPr>
        <w:lang w:val="en-US"/>
      </w:rPr>
      <w:t>E/ECE/324/Rev.2/Add.126/Rev.3/Amend.2</w:t>
    </w:r>
    <w:r>
      <w:fldChar w:fldCharType="end"/>
    </w:r>
    <w:r w:rsidRPr="008D0C88">
      <w:rPr>
        <w:lang w:val="en-US"/>
      </w:rPr>
      <w:br/>
    </w:r>
    <w:r>
      <w:fldChar w:fldCharType="begin"/>
    </w:r>
    <w:r w:rsidRPr="008D0C88">
      <w:rPr>
        <w:lang w:val="en-US"/>
      </w:rPr>
      <w:instrText xml:space="preserve"> KEYWORDS  \* MERGEFORMAT </w:instrText>
    </w:r>
    <w:r>
      <w:fldChar w:fldCharType="separate"/>
    </w:r>
    <w:r w:rsidR="00CE53A7">
      <w:rPr>
        <w:lang w:val="en-US"/>
      </w:rPr>
      <w:t>E/ECE/TRANS/505/Rev.2/Add.126/Rev.3/Amend.2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829062779">
    <w:abstractNumId w:val="12"/>
  </w:num>
  <w:num w:numId="2" w16cid:durableId="2117166490">
    <w:abstractNumId w:val="11"/>
  </w:num>
  <w:num w:numId="3" w16cid:durableId="661205922">
    <w:abstractNumId w:val="10"/>
  </w:num>
  <w:num w:numId="4" w16cid:durableId="1679232626">
    <w:abstractNumId w:val="8"/>
  </w:num>
  <w:num w:numId="5" w16cid:durableId="1229416335">
    <w:abstractNumId w:val="3"/>
  </w:num>
  <w:num w:numId="6" w16cid:durableId="1423185245">
    <w:abstractNumId w:val="2"/>
  </w:num>
  <w:num w:numId="7" w16cid:durableId="1180392013">
    <w:abstractNumId w:val="1"/>
  </w:num>
  <w:num w:numId="8" w16cid:durableId="1947882958">
    <w:abstractNumId w:val="0"/>
  </w:num>
  <w:num w:numId="9" w16cid:durableId="405802005">
    <w:abstractNumId w:val="9"/>
  </w:num>
  <w:num w:numId="10" w16cid:durableId="2979358">
    <w:abstractNumId w:val="7"/>
  </w:num>
  <w:num w:numId="11" w16cid:durableId="311063372">
    <w:abstractNumId w:val="6"/>
  </w:num>
  <w:num w:numId="12" w16cid:durableId="894320723">
    <w:abstractNumId w:val="5"/>
  </w:num>
  <w:num w:numId="13" w16cid:durableId="181211437">
    <w:abstractNumId w:val="4"/>
  </w:num>
  <w:num w:numId="14" w16cid:durableId="819348936">
    <w:abstractNumId w:val="12"/>
  </w:num>
  <w:num w:numId="15" w16cid:durableId="738793092">
    <w:abstractNumId w:val="11"/>
  </w:num>
  <w:num w:numId="16" w16cid:durableId="1721858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91"/>
    <w:rsid w:val="00017F94"/>
    <w:rsid w:val="00023842"/>
    <w:rsid w:val="000334F9"/>
    <w:rsid w:val="00045FEB"/>
    <w:rsid w:val="00070186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4225B"/>
    <w:rsid w:val="003916DE"/>
    <w:rsid w:val="00421996"/>
    <w:rsid w:val="00441C3B"/>
    <w:rsid w:val="00446FE5"/>
    <w:rsid w:val="00452396"/>
    <w:rsid w:val="00477EB2"/>
    <w:rsid w:val="004837D8"/>
    <w:rsid w:val="004959CC"/>
    <w:rsid w:val="004E2EED"/>
    <w:rsid w:val="004E468C"/>
    <w:rsid w:val="005505B7"/>
    <w:rsid w:val="00573BE5"/>
    <w:rsid w:val="00586ED3"/>
    <w:rsid w:val="00596AA9"/>
    <w:rsid w:val="00696A63"/>
    <w:rsid w:val="0071601D"/>
    <w:rsid w:val="007A62E6"/>
    <w:rsid w:val="007F20FA"/>
    <w:rsid w:val="0080684C"/>
    <w:rsid w:val="00871C75"/>
    <w:rsid w:val="008776DC"/>
    <w:rsid w:val="008D0C88"/>
    <w:rsid w:val="008D5EF9"/>
    <w:rsid w:val="00940991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CE53A7"/>
    <w:rsid w:val="00CF22BC"/>
    <w:rsid w:val="00D314F6"/>
    <w:rsid w:val="00D3439C"/>
    <w:rsid w:val="00D7622E"/>
    <w:rsid w:val="00D96C8B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7CACE"/>
  <w15:docId w15:val="{62A7DD8B-E53A-4A41-85C3-54E81CF7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1GChar">
    <w:name w:val="_ H_1_G Char"/>
    <w:link w:val="H1G"/>
    <w:rsid w:val="008D0C88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SingleTxtGChar">
    <w:name w:val="_ Single Txt_G Char"/>
    <w:link w:val="SingleTxtG"/>
    <w:qFormat/>
    <w:rsid w:val="008D0C8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8D0C88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331BD-8773-421E-BBDB-70103C8D9A6D}"/>
</file>

<file path=customXml/itemProps2.xml><?xml version="1.0" encoding="utf-8"?>
<ds:datastoreItem xmlns:ds="http://schemas.openxmlformats.org/officeDocument/2006/customXml" ds:itemID="{59B9D45F-03B5-47B2-9A4A-57392B70EB07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5</Pages>
  <Words>1404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E/ECE/324/Rev.2/Add.126/Rev.3/Amend.2</vt:lpstr>
    </vt:vector>
  </TitlesOfParts>
  <Company>DCM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E/ECE/324/Rev.2/Add.126/Rev.3/Amend.2</dc:title>
  <dc:creator>Estelle-Delphine DITTA</dc:creator>
  <cp:keywords>E/ECE/TRANS/505/Rev.2/Add.126/Rev.3/Amend.2</cp:keywords>
  <cp:lastModifiedBy>Estelle-Delphine DITTA</cp:lastModifiedBy>
  <cp:revision>2</cp:revision>
  <cp:lastPrinted>2024-01-05T12:08:00Z</cp:lastPrinted>
  <dcterms:created xsi:type="dcterms:W3CDTF">2024-01-05T12:09:00Z</dcterms:created>
  <dcterms:modified xsi:type="dcterms:W3CDTF">2024-01-05T12:09:00Z</dcterms:modified>
</cp:coreProperties>
</file>