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835"/>
      </w:tblGrid>
      <w:tr w:rsidR="00421A10" w:rsidRPr="00260EC9" w14:paraId="616E2AAF" w14:textId="77777777" w:rsidTr="00A27C92">
        <w:trPr>
          <w:trHeight w:hRule="exact" w:val="851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811E24" w14:textId="77777777" w:rsidR="00260EC9" w:rsidRPr="00260EC9" w:rsidRDefault="00260EC9" w:rsidP="00260EC9">
            <w:pPr>
              <w:jc w:val="right"/>
              <w:rPr>
                <w:lang w:val="en-US"/>
              </w:rPr>
            </w:pPr>
            <w:r w:rsidRPr="00260EC9">
              <w:rPr>
                <w:sz w:val="40"/>
                <w:lang w:val="en-US"/>
              </w:rPr>
              <w:t>E</w:t>
            </w:r>
            <w:r w:rsidRPr="00260EC9">
              <w:rPr>
                <w:lang w:val="en-US"/>
              </w:rPr>
              <w:t>/ECE/324/Rev.1/Add.82/Rev.5/Amend.15−</w:t>
            </w:r>
            <w:r w:rsidRPr="00260EC9">
              <w:rPr>
                <w:sz w:val="40"/>
                <w:lang w:val="en-US"/>
              </w:rPr>
              <w:t>E</w:t>
            </w:r>
            <w:r w:rsidRPr="00260EC9">
              <w:rPr>
                <w:lang w:val="en-US"/>
              </w:rPr>
              <w:t>/ECE/TRANS/505/Rev.1/Add.82/Rev.5/Amend.15</w:t>
            </w:r>
          </w:p>
        </w:tc>
      </w:tr>
      <w:tr w:rsidR="00421A10" w:rsidRPr="00DB58B5" w14:paraId="39D0ABCE" w14:textId="77777777" w:rsidTr="00A27C92">
        <w:trPr>
          <w:trHeight w:hRule="exact" w:val="2835"/>
        </w:trPr>
        <w:tc>
          <w:tcPr>
            <w:tcW w:w="68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A687315" w14:textId="77777777" w:rsidR="00421A10" w:rsidRPr="00260EC9" w:rsidRDefault="00421A10" w:rsidP="00A27C92">
            <w:pPr>
              <w:spacing w:before="120" w:line="380" w:lineRule="exact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413E1F7" w14:textId="77777777" w:rsidR="00421A10" w:rsidRPr="00DB58B5" w:rsidRDefault="00260EC9" w:rsidP="00A27C92">
            <w:pPr>
              <w:spacing w:before="480" w:line="240" w:lineRule="exact"/>
            </w:pPr>
            <w:r>
              <w:t>20 juin 2023</w:t>
            </w:r>
          </w:p>
        </w:tc>
      </w:tr>
    </w:tbl>
    <w:p w14:paraId="155BC70B" w14:textId="77777777" w:rsidR="00421A10" w:rsidRPr="006549FF" w:rsidRDefault="0029791D" w:rsidP="0029791D">
      <w:pPr>
        <w:pStyle w:val="HChG"/>
      </w:pPr>
      <w:r>
        <w:tab/>
      </w:r>
      <w:r>
        <w:tab/>
      </w:r>
      <w:r w:rsidR="00421A10" w:rsidRPr="006549FF">
        <w:t>Accord</w:t>
      </w:r>
    </w:p>
    <w:p w14:paraId="7CEFB63A" w14:textId="53148274" w:rsidR="00421A10" w:rsidRPr="00583D68" w:rsidRDefault="0029791D" w:rsidP="0029791D">
      <w:pPr>
        <w:pStyle w:val="H1G"/>
      </w:pPr>
      <w:r>
        <w:tab/>
      </w:r>
      <w:r>
        <w:tab/>
      </w:r>
      <w:r w:rsidR="00421A10" w:rsidRPr="00583D68">
        <w:t xml:space="preserve">Concernant </w:t>
      </w:r>
      <w:r w:rsidR="00E51AE4" w:rsidRPr="00654C5A">
        <w:rPr>
          <w:lang w:val="fr-SN"/>
        </w:rPr>
        <w:t>l</w:t>
      </w:r>
      <w:r w:rsidR="00E51AE4">
        <w:rPr>
          <w:lang w:val="fr-SN"/>
        </w:rPr>
        <w:t>’</w:t>
      </w:r>
      <w:r w:rsidR="00E51AE4" w:rsidRPr="00654C5A">
        <w:rPr>
          <w:lang w:val="fr-SN"/>
        </w:rPr>
        <w:t>adoption de Règlements techniques harmonisés de l</w:t>
      </w:r>
      <w:r w:rsidR="00E51AE4">
        <w:rPr>
          <w:lang w:val="fr-SN"/>
        </w:rPr>
        <w:t>’</w:t>
      </w:r>
      <w:r w:rsidR="00E51AE4" w:rsidRPr="00654C5A">
        <w:rPr>
          <w:lang w:val="fr-SN"/>
        </w:rPr>
        <w:t>ONU applicables aux véhicules à roues et aux équipements et pièces susceptibles d</w:t>
      </w:r>
      <w:r w:rsidR="00E51AE4">
        <w:rPr>
          <w:lang w:val="fr-SN"/>
        </w:rPr>
        <w:t>’</w:t>
      </w:r>
      <w:r w:rsidR="00E51AE4" w:rsidRPr="00654C5A">
        <w:rPr>
          <w:lang w:val="fr-SN"/>
        </w:rPr>
        <w:t>être montés ou utilisés sur les véhicules à roues et les conditions de reconnaissance réciproque des homologations délivrées conformément à ces Règlements</w:t>
      </w:r>
      <w:r w:rsidR="00442E31" w:rsidRPr="00E51AE4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</w:p>
    <w:p w14:paraId="132EC8FB" w14:textId="0B78A779" w:rsidR="00421A10" w:rsidRPr="00A12483" w:rsidRDefault="00421A10" w:rsidP="0029791D">
      <w:pPr>
        <w:pStyle w:val="SingleTxtG"/>
        <w:jc w:val="left"/>
        <w:rPr>
          <w:b/>
          <w:sz w:val="24"/>
          <w:szCs w:val="24"/>
        </w:rPr>
      </w:pPr>
      <w:r w:rsidRPr="006549FF">
        <w:t>(</w:t>
      </w:r>
      <w:r w:rsidR="00E51AE4" w:rsidRPr="00654C5A">
        <w:rPr>
          <w:lang w:val="fr-SN"/>
        </w:rPr>
        <w:t>Révision 3, comprenant les amendements entrés en vigueur le 14 septembre 2017</w:t>
      </w:r>
      <w:r w:rsidRPr="006549FF">
        <w:t>)</w:t>
      </w:r>
    </w:p>
    <w:p w14:paraId="04E10D0B" w14:textId="77777777" w:rsidR="00421A10" w:rsidRPr="006549FF" w:rsidRDefault="0029791D" w:rsidP="0029791D">
      <w:pPr>
        <w:jc w:val="center"/>
      </w:pPr>
      <w:r>
        <w:t>_______________</w:t>
      </w:r>
    </w:p>
    <w:p w14:paraId="48BE19E4" w14:textId="677C0AF6" w:rsidR="00421A10" w:rsidRPr="006549FF" w:rsidRDefault="0029791D" w:rsidP="0029791D">
      <w:pPr>
        <w:pStyle w:val="HChG"/>
      </w:pPr>
      <w:r>
        <w:tab/>
      </w:r>
      <w:r>
        <w:tab/>
      </w:r>
      <w:r w:rsidR="00421A10" w:rsidRPr="006549FF">
        <w:t xml:space="preserve">Additif </w:t>
      </w:r>
      <w:r w:rsidR="00E51AE4">
        <w:t>82 </w:t>
      </w:r>
      <w:r w:rsidR="00421A10" w:rsidRPr="006549FF">
        <w:t>: Règlement</w:t>
      </w:r>
      <w:r w:rsidR="00421A10">
        <w:t xml:space="preserve"> </w:t>
      </w:r>
      <w:r w:rsidR="001E7643">
        <w:t xml:space="preserve">ONU </w:t>
      </w:r>
      <w:r w:rsidR="00421A10" w:rsidRPr="00B371BF">
        <w:t>n</w:t>
      </w:r>
      <w:r w:rsidR="00421A10" w:rsidRPr="00B371BF">
        <w:rPr>
          <w:vertAlign w:val="superscript"/>
        </w:rPr>
        <w:t>o</w:t>
      </w:r>
      <w:r w:rsidR="00421A10">
        <w:t> </w:t>
      </w:r>
      <w:r w:rsidR="00E51AE4">
        <w:t>83</w:t>
      </w:r>
    </w:p>
    <w:p w14:paraId="3FF410D3" w14:textId="4318E623" w:rsidR="00421A10" w:rsidRPr="006549FF" w:rsidRDefault="0029791D" w:rsidP="0029791D">
      <w:pPr>
        <w:pStyle w:val="H1G"/>
      </w:pPr>
      <w:r>
        <w:tab/>
      </w:r>
      <w:r>
        <w:tab/>
      </w:r>
      <w:r w:rsidR="00421A10" w:rsidRPr="006549FF">
        <w:t xml:space="preserve">Révision </w:t>
      </w:r>
      <w:r w:rsidR="00E51AE4">
        <w:t>5 – Amendement 15</w:t>
      </w:r>
    </w:p>
    <w:p w14:paraId="1136560E" w14:textId="629F9524" w:rsidR="00421A10" w:rsidRPr="004A7E44" w:rsidRDefault="00E51AE4" w:rsidP="0029791D">
      <w:pPr>
        <w:pStyle w:val="SingleTxtG"/>
        <w:spacing w:after="0"/>
      </w:pPr>
      <w:r w:rsidRPr="00654C5A">
        <w:rPr>
          <w:spacing w:val="-2"/>
          <w:lang w:val="fr-SN"/>
        </w:rPr>
        <w:t>Complément 15</w:t>
      </w:r>
      <w:r>
        <w:rPr>
          <w:spacing w:val="-2"/>
          <w:lang w:val="fr-SN"/>
        </w:rPr>
        <w:t xml:space="preserve"> </w:t>
      </w:r>
      <w:r w:rsidRPr="00654C5A">
        <w:rPr>
          <w:spacing w:val="-2"/>
          <w:lang w:val="fr-SN"/>
        </w:rPr>
        <w:t>à la série 07 d</w:t>
      </w:r>
      <w:r>
        <w:rPr>
          <w:spacing w:val="-2"/>
          <w:lang w:val="fr-SN"/>
        </w:rPr>
        <w:t>’</w:t>
      </w:r>
      <w:r w:rsidRPr="00654C5A">
        <w:rPr>
          <w:spacing w:val="-2"/>
          <w:lang w:val="fr-SN"/>
        </w:rPr>
        <w:t xml:space="preserve">amendements </w:t>
      </w:r>
      <w:r>
        <w:rPr>
          <w:spacing w:val="-2"/>
          <w:lang w:val="fr-SN"/>
        </w:rPr>
        <w:t>−</w:t>
      </w:r>
      <w:r w:rsidRPr="00654C5A">
        <w:rPr>
          <w:spacing w:val="-2"/>
          <w:lang w:val="fr-SN"/>
        </w:rPr>
        <w:t xml:space="preserve"> Date </w:t>
      </w:r>
      <w:r>
        <w:rPr>
          <w:spacing w:val="-2"/>
          <w:lang w:val="fr-SN"/>
        </w:rPr>
        <w:t>d’entrée en vigueur :</w:t>
      </w:r>
      <w:r w:rsidRPr="00654C5A">
        <w:rPr>
          <w:spacing w:val="-2"/>
          <w:lang w:val="fr-SN"/>
        </w:rPr>
        <w:t xml:space="preserve"> </w:t>
      </w:r>
      <w:r w:rsidRPr="00654C5A">
        <w:rPr>
          <w:lang w:val="fr-SN"/>
        </w:rPr>
        <w:t xml:space="preserve">5 </w:t>
      </w:r>
      <w:r>
        <w:rPr>
          <w:lang w:val="fr-SN"/>
        </w:rPr>
        <w:t>juin</w:t>
      </w:r>
      <w:r w:rsidRPr="00654C5A">
        <w:rPr>
          <w:lang w:val="fr-SN"/>
        </w:rPr>
        <w:t xml:space="preserve"> 2023</w:t>
      </w:r>
    </w:p>
    <w:p w14:paraId="70C35C03" w14:textId="2A3EA815" w:rsidR="00421A10" w:rsidRDefault="0029791D" w:rsidP="0029791D">
      <w:pPr>
        <w:pStyle w:val="H1G"/>
        <w:rPr>
          <w:lang w:val="fr-SN"/>
        </w:rPr>
      </w:pPr>
      <w:r>
        <w:tab/>
      </w:r>
      <w:r>
        <w:tab/>
      </w:r>
      <w:r w:rsidR="00421A10" w:rsidRPr="007619D3">
        <w:t xml:space="preserve">Prescriptions </w:t>
      </w:r>
      <w:r w:rsidR="00E51AE4" w:rsidRPr="00654C5A">
        <w:rPr>
          <w:lang w:val="fr-SN"/>
        </w:rPr>
        <w:t>uniformes relatives à l</w:t>
      </w:r>
      <w:r w:rsidR="00E51AE4">
        <w:rPr>
          <w:lang w:val="fr-SN"/>
        </w:rPr>
        <w:t>’</w:t>
      </w:r>
      <w:r w:rsidR="00E51AE4" w:rsidRPr="00654C5A">
        <w:rPr>
          <w:lang w:val="fr-SN"/>
        </w:rPr>
        <w:t xml:space="preserve">homologation des véhicules </w:t>
      </w:r>
      <w:r w:rsidR="00E51AE4">
        <w:rPr>
          <w:lang w:val="fr-SN"/>
        </w:rPr>
        <w:br/>
      </w:r>
      <w:r w:rsidR="00E51AE4" w:rsidRPr="00654C5A">
        <w:rPr>
          <w:lang w:val="fr-SN"/>
        </w:rPr>
        <w:t xml:space="preserve">en ce qui concerne les émissions de polluants selon les exigences </w:t>
      </w:r>
      <w:r w:rsidR="00E51AE4">
        <w:rPr>
          <w:lang w:val="fr-SN"/>
        </w:rPr>
        <w:br/>
      </w:r>
      <w:r w:rsidR="00E51AE4" w:rsidRPr="00654C5A">
        <w:rPr>
          <w:lang w:val="fr-SN"/>
        </w:rPr>
        <w:t>du moteur en matière de carburant</w:t>
      </w:r>
    </w:p>
    <w:p w14:paraId="24D91DA0" w14:textId="0E602AC1" w:rsidR="00E51AE4" w:rsidRPr="00E51AE4" w:rsidRDefault="00E51AE4" w:rsidP="00E51AE4">
      <w:pPr>
        <w:pStyle w:val="SingleTxtG"/>
        <w:rPr>
          <w:lang w:val="fr-SN"/>
        </w:rPr>
      </w:pPr>
      <w:r w:rsidRPr="00654C5A">
        <w:rPr>
          <w:spacing w:val="-4"/>
          <w:lang w:val="fr-SN" w:eastAsia="en-GB"/>
        </w:rPr>
        <w:t>Le présent document est communiqué uniquement à titre d</w:t>
      </w:r>
      <w:r>
        <w:rPr>
          <w:spacing w:val="-4"/>
          <w:lang w:val="fr-SN" w:eastAsia="en-GB"/>
        </w:rPr>
        <w:t>’</w:t>
      </w:r>
      <w:r w:rsidRPr="00654C5A">
        <w:rPr>
          <w:spacing w:val="-4"/>
          <w:lang w:val="fr-SN" w:eastAsia="en-GB"/>
        </w:rPr>
        <w:t xml:space="preserve">information. Le texte authentique, juridiquement contraignant, est celui du document </w:t>
      </w:r>
      <w:r w:rsidRPr="00654C5A">
        <w:rPr>
          <w:spacing w:val="-6"/>
          <w:lang w:val="fr-SN" w:eastAsia="en-GB"/>
        </w:rPr>
        <w:t>ECE/TRANS/WP.29/2022/136</w:t>
      </w:r>
      <w:r>
        <w:rPr>
          <w:spacing w:val="-6"/>
          <w:lang w:val="fr-SN" w:eastAsia="en-GB"/>
        </w:rPr>
        <w:t>.</w:t>
      </w:r>
    </w:p>
    <w:p w14:paraId="685ED2E8" w14:textId="77777777" w:rsidR="00E57C11" w:rsidRPr="00FF0812" w:rsidRDefault="00E51AE4" w:rsidP="00E57C11">
      <w:pPr>
        <w:pStyle w:val="SingleTxtG"/>
        <w:rPr>
          <w:rFonts w:eastAsia="MS Mincho"/>
          <w:lang w:val="fr-FR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DC581" wp14:editId="1C267A6A">
                <wp:simplePos x="0" y="0"/>
                <wp:positionH relativeFrom="margin">
                  <wp:posOffset>-1270</wp:posOffset>
                </wp:positionH>
                <wp:positionV relativeFrom="margin">
                  <wp:posOffset>6154832</wp:posOffset>
                </wp:positionV>
                <wp:extent cx="6119495" cy="1341755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91528" w14:textId="77777777" w:rsidR="00E51AE4" w:rsidRPr="0029791D" w:rsidRDefault="00E51AE4" w:rsidP="00E51AE4">
                            <w:pPr>
                              <w:spacing w:before="120" w:after="120"/>
                              <w:ind w:left="1134" w:right="1134"/>
                              <w:jc w:val="center"/>
                            </w:pPr>
                            <w:r>
                              <w:t>_______________</w:t>
                            </w:r>
                          </w:p>
                          <w:p w14:paraId="368D5CE6" w14:textId="77777777" w:rsidR="00E51AE4" w:rsidRDefault="00E51AE4" w:rsidP="00E51AE4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55DFCD03" wp14:editId="05C8C569">
                                  <wp:extent cx="914400" cy="771525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608" r="-76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31B453" w14:textId="77777777" w:rsidR="00E51AE4" w:rsidRDefault="00E51AE4" w:rsidP="00E51AE4">
                            <w:pPr>
                              <w:jc w:val="center"/>
                            </w:pPr>
                            <w:r w:rsidRPr="002979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Nations Unies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DC58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.1pt;margin-top:484.65pt;width:481.85pt;height:10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" stroked="f">
                <v:textbox inset="0,0,0,0">
                  <w:txbxContent>
                    <w:p w14:paraId="2A591528" w14:textId="77777777" w:rsidR="00E51AE4" w:rsidRPr="0029791D" w:rsidRDefault="00E51AE4" w:rsidP="00E51AE4">
                      <w:pPr>
                        <w:spacing w:before="120" w:after="120"/>
                        <w:ind w:left="1134" w:right="1134"/>
                        <w:jc w:val="center"/>
                      </w:pPr>
                      <w:r>
                        <w:t>_______________</w:t>
                      </w:r>
                    </w:p>
                    <w:p w14:paraId="368D5CE6" w14:textId="77777777" w:rsidR="00E51AE4" w:rsidRDefault="00E51AE4" w:rsidP="00E51AE4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noProof/>
                          <w:lang w:eastAsia="fr-CH"/>
                        </w:rPr>
                        <w:drawing>
                          <wp:inline distT="0" distB="0" distL="0" distR="0" wp14:anchorId="55DFCD03" wp14:editId="05C8C569">
                            <wp:extent cx="914400" cy="771525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608" r="-760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31B453" w14:textId="77777777" w:rsidR="00E51AE4" w:rsidRDefault="00E51AE4" w:rsidP="00E51AE4">
                      <w:pPr>
                        <w:jc w:val="center"/>
                      </w:pPr>
                      <w:r w:rsidRPr="0029791D">
                        <w:rPr>
                          <w:b/>
                          <w:bCs/>
                          <w:sz w:val="24"/>
                          <w:szCs w:val="24"/>
                        </w:rPr>
                        <w:t>Nations Unies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br w:type="page"/>
      </w:r>
      <w:r w:rsidR="00E57C11" w:rsidRPr="004A2A24">
        <w:rPr>
          <w:i/>
          <w:iCs/>
          <w:lang w:val="fr-FR"/>
        </w:rPr>
        <w:lastRenderedPageBreak/>
        <w:t>Paragraphe 9.3.5.1</w:t>
      </w:r>
      <w:r w:rsidR="00E57C11" w:rsidRPr="00FF0812">
        <w:rPr>
          <w:lang w:val="fr-FR"/>
        </w:rPr>
        <w:t>, lire</w:t>
      </w:r>
      <w:r w:rsidR="00E57C11">
        <w:rPr>
          <w:lang w:val="fr-FR"/>
        </w:rPr>
        <w:t> </w:t>
      </w:r>
      <w:r w:rsidR="00E57C11" w:rsidRPr="00FF0812">
        <w:rPr>
          <w:lang w:val="fr-FR"/>
        </w:rPr>
        <w:t>:</w:t>
      </w:r>
    </w:p>
    <w:p w14:paraId="18CE062B" w14:textId="77777777" w:rsidR="00E57C11" w:rsidRPr="00FF0812" w:rsidRDefault="00E57C11" w:rsidP="00E57C11">
      <w:pPr>
        <w:pStyle w:val="SingleTxtG"/>
        <w:ind w:left="2268" w:hanging="1134"/>
        <w:rPr>
          <w:rFonts w:eastAsia="MS Mincho"/>
          <w:lang w:val="fr-FR"/>
        </w:rPr>
      </w:pPr>
      <w:r w:rsidRPr="00FF0812">
        <w:rPr>
          <w:lang w:val="fr-FR"/>
        </w:rPr>
        <w:t>« 9.3.5.1</w:t>
      </w:r>
      <w:r w:rsidRPr="00FF0812">
        <w:rPr>
          <w:lang w:val="fr-FR"/>
        </w:rPr>
        <w:tab/>
        <w:t>Lorsqu</w:t>
      </w:r>
      <w:r>
        <w:rPr>
          <w:lang w:val="fr-FR"/>
        </w:rPr>
        <w:t>’</w:t>
      </w:r>
      <w:r w:rsidRPr="00FF0812">
        <w:rPr>
          <w:lang w:val="fr-FR"/>
        </w:rPr>
        <w:t>on applique la procédure statistique qui est définie à l</w:t>
      </w:r>
      <w:r>
        <w:rPr>
          <w:lang w:val="fr-FR"/>
        </w:rPr>
        <w:t>’</w:t>
      </w:r>
      <w:r w:rsidRPr="00FF0812">
        <w:rPr>
          <w:lang w:val="fr-FR"/>
        </w:rPr>
        <w:t>appendice</w:t>
      </w:r>
      <w:r>
        <w:rPr>
          <w:lang w:val="fr-FR"/>
        </w:rPr>
        <w:t> </w:t>
      </w:r>
      <w:r w:rsidRPr="00FF0812">
        <w:rPr>
          <w:lang w:val="fr-FR"/>
        </w:rPr>
        <w:t>4 du présent Règlement (donc pour les émissions d</w:t>
      </w:r>
      <w:r>
        <w:rPr>
          <w:lang w:val="fr-FR"/>
        </w:rPr>
        <w:t>’</w:t>
      </w:r>
      <w:r w:rsidRPr="00FF0812">
        <w:rPr>
          <w:lang w:val="fr-FR"/>
        </w:rPr>
        <w:t>échappement), le nombre de lots d</w:t>
      </w:r>
      <w:r>
        <w:rPr>
          <w:lang w:val="fr-FR"/>
        </w:rPr>
        <w:t>’</w:t>
      </w:r>
      <w:r w:rsidRPr="00FF0812">
        <w:rPr>
          <w:lang w:val="fr-FR"/>
        </w:rPr>
        <w:t>échantillons doit dépendre du volume de production annuel d</w:t>
      </w:r>
      <w:r>
        <w:rPr>
          <w:lang w:val="fr-FR"/>
        </w:rPr>
        <w:t>’</w:t>
      </w:r>
      <w:r w:rsidRPr="00FF0812">
        <w:rPr>
          <w:lang w:val="fr-FR"/>
        </w:rPr>
        <w:t>une famille en service destiné à la vente dans les Parties contractantes appliquant le présent Règlement, tel que défini dans le tableau 4.</w:t>
      </w:r>
    </w:p>
    <w:p w14:paraId="32CF6B13" w14:textId="77777777" w:rsidR="00E57C11" w:rsidRDefault="00E57C11" w:rsidP="00E57C11">
      <w:pPr>
        <w:pStyle w:val="Titre1"/>
        <w:spacing w:after="120"/>
        <w:rPr>
          <w:lang w:val="fr-FR"/>
        </w:rPr>
      </w:pPr>
      <w:r w:rsidRPr="00FF0812">
        <w:rPr>
          <w:lang w:val="fr-FR"/>
        </w:rPr>
        <w:t xml:space="preserve">Tableau 4 </w:t>
      </w:r>
      <w:r w:rsidRPr="00FF0812">
        <w:rPr>
          <w:lang w:val="fr-FR"/>
        </w:rPr>
        <w:br/>
      </w:r>
      <w:r w:rsidRPr="001F133C">
        <w:rPr>
          <w:b/>
          <w:bCs/>
          <w:lang w:val="fr-FR"/>
        </w:rPr>
        <w:t>Taille de l</w:t>
      </w:r>
      <w:r>
        <w:rPr>
          <w:b/>
          <w:bCs/>
          <w:lang w:val="fr-FR"/>
        </w:rPr>
        <w:t>’</w:t>
      </w:r>
      <w:r w:rsidRPr="001F133C">
        <w:rPr>
          <w:b/>
          <w:bCs/>
          <w:lang w:val="fr-FR"/>
        </w:rPr>
        <w:t>échantillon</w:t>
      </w:r>
    </w:p>
    <w:tbl>
      <w:tblPr>
        <w:tblW w:w="7371" w:type="dxa"/>
        <w:tblInd w:w="1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2551"/>
      </w:tblGrid>
      <w:tr w:rsidR="00E57C11" w:rsidRPr="00FF0812" w14:paraId="7C23E135" w14:textId="77777777" w:rsidTr="00626DFC">
        <w:trPr>
          <w:trHeight w:val="93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4B8E5E" w14:textId="77777777" w:rsidR="00E57C11" w:rsidRPr="009544E2" w:rsidRDefault="00E57C11" w:rsidP="00626DFC">
            <w:pPr>
              <w:suppressAutoHyphens w:val="0"/>
              <w:spacing w:before="76" w:line="240" w:lineRule="auto"/>
              <w:ind w:left="62"/>
              <w:rPr>
                <w:i/>
                <w:iCs/>
                <w:strike/>
                <w:sz w:val="16"/>
                <w:szCs w:val="16"/>
                <w:lang w:val="fr-FR"/>
              </w:rPr>
            </w:pPr>
            <w:r w:rsidRPr="009544E2">
              <w:rPr>
                <w:i/>
                <w:iCs/>
                <w:sz w:val="16"/>
                <w:szCs w:val="16"/>
                <w:lang w:val="fr-FR"/>
              </w:rPr>
              <w:t>Volume de production</w:t>
            </w:r>
          </w:p>
          <w:p w14:paraId="1FA19D84" w14:textId="77777777" w:rsidR="00E57C11" w:rsidRPr="009544E2" w:rsidRDefault="00E57C11" w:rsidP="00626DFC">
            <w:pPr>
              <w:tabs>
                <w:tab w:val="left" w:pos="154"/>
              </w:tabs>
              <w:suppressAutoHyphens w:val="0"/>
              <w:spacing w:before="80" w:line="240" w:lineRule="auto"/>
              <w:ind w:left="153" w:hanging="92"/>
              <w:rPr>
                <w:i/>
                <w:iCs/>
                <w:sz w:val="16"/>
                <w:szCs w:val="16"/>
                <w:lang w:val="fr-FR"/>
              </w:rPr>
            </w:pPr>
            <w:r>
              <w:rPr>
                <w:i/>
                <w:iCs/>
                <w:sz w:val="16"/>
                <w:szCs w:val="16"/>
                <w:lang w:val="fr-FR"/>
              </w:rPr>
              <w:t>−</w:t>
            </w:r>
            <w:r w:rsidRPr="009544E2">
              <w:rPr>
                <w:i/>
                <w:iCs/>
                <w:sz w:val="16"/>
                <w:szCs w:val="16"/>
                <w:lang w:val="fr-FR"/>
              </w:rPr>
              <w:t xml:space="preserve"> Par année civile (pour les essais concernant les émissions d</w:t>
            </w:r>
            <w:r>
              <w:rPr>
                <w:i/>
                <w:iCs/>
                <w:sz w:val="16"/>
                <w:szCs w:val="16"/>
                <w:lang w:val="fr-FR"/>
              </w:rPr>
              <w:t>’</w:t>
            </w:r>
            <w:r w:rsidRPr="009544E2">
              <w:rPr>
                <w:i/>
                <w:iCs/>
                <w:sz w:val="16"/>
                <w:szCs w:val="16"/>
                <w:lang w:val="fr-FR"/>
              </w:rPr>
              <w:t>échappement)</w:t>
            </w:r>
          </w:p>
          <w:p w14:paraId="1624A3FA" w14:textId="77777777" w:rsidR="00E57C11" w:rsidRPr="009544E2" w:rsidRDefault="00E57C11" w:rsidP="00626DFC">
            <w:pPr>
              <w:tabs>
                <w:tab w:val="left" w:pos="154"/>
              </w:tabs>
              <w:suppressAutoHyphens w:val="0"/>
              <w:spacing w:before="80" w:after="40" w:line="240" w:lineRule="auto"/>
              <w:ind w:left="62" w:right="544"/>
              <w:rPr>
                <w:i/>
                <w:iCs/>
                <w:sz w:val="16"/>
                <w:szCs w:val="16"/>
                <w:lang w:val="fr-FR"/>
              </w:rPr>
            </w:pPr>
            <w:r>
              <w:rPr>
                <w:i/>
                <w:iCs/>
                <w:sz w:val="16"/>
                <w:szCs w:val="16"/>
                <w:lang w:val="fr-FR"/>
              </w:rPr>
              <w:t>−</w:t>
            </w:r>
            <w:r w:rsidRPr="009544E2">
              <w:rPr>
                <w:i/>
                <w:iCs/>
                <w:sz w:val="16"/>
                <w:szCs w:val="16"/>
                <w:lang w:val="fr-FR"/>
              </w:rPr>
              <w:t xml:space="preserve"> Des véhicules d</w:t>
            </w:r>
            <w:r>
              <w:rPr>
                <w:i/>
                <w:iCs/>
                <w:sz w:val="16"/>
                <w:szCs w:val="16"/>
                <w:lang w:val="fr-FR"/>
              </w:rPr>
              <w:t>’</w:t>
            </w:r>
            <w:r w:rsidRPr="009544E2">
              <w:rPr>
                <w:i/>
                <w:iCs/>
                <w:sz w:val="16"/>
                <w:szCs w:val="16"/>
                <w:lang w:val="fr-FR"/>
              </w:rPr>
              <w:t>une famille d</w:t>
            </w:r>
            <w:r>
              <w:rPr>
                <w:i/>
                <w:iCs/>
                <w:sz w:val="16"/>
                <w:szCs w:val="16"/>
                <w:lang w:val="fr-FR"/>
              </w:rPr>
              <w:t>’</w:t>
            </w:r>
            <w:r w:rsidRPr="009544E2">
              <w:rPr>
                <w:i/>
                <w:iCs/>
                <w:sz w:val="16"/>
                <w:szCs w:val="16"/>
                <w:lang w:val="fr-FR"/>
              </w:rPr>
              <w:t>OBD avec IUPR dans la période d</w:t>
            </w:r>
            <w:r>
              <w:rPr>
                <w:i/>
                <w:iCs/>
                <w:sz w:val="16"/>
                <w:szCs w:val="16"/>
                <w:lang w:val="fr-FR"/>
              </w:rPr>
              <w:t>’</w:t>
            </w:r>
            <w:r w:rsidRPr="009544E2">
              <w:rPr>
                <w:i/>
                <w:iCs/>
                <w:sz w:val="16"/>
                <w:szCs w:val="16"/>
                <w:lang w:val="fr-FR"/>
              </w:rPr>
              <w:t>échantillonnage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16B36B30" w14:textId="77777777" w:rsidR="00E57C11" w:rsidRPr="009544E2" w:rsidRDefault="00E57C11" w:rsidP="00626DFC">
            <w:pPr>
              <w:suppressAutoHyphens w:val="0"/>
              <w:spacing w:before="76" w:line="240" w:lineRule="auto"/>
              <w:jc w:val="center"/>
              <w:rPr>
                <w:i/>
                <w:iCs/>
                <w:sz w:val="16"/>
                <w:szCs w:val="16"/>
                <w:lang w:val="fr-FR"/>
              </w:rPr>
            </w:pPr>
            <w:r w:rsidRPr="009544E2">
              <w:rPr>
                <w:i/>
                <w:iCs/>
                <w:sz w:val="16"/>
                <w:szCs w:val="16"/>
                <w:lang w:val="fr-FR"/>
              </w:rPr>
              <w:t>Nombre de lots d</w:t>
            </w:r>
            <w:r>
              <w:rPr>
                <w:i/>
                <w:iCs/>
                <w:sz w:val="16"/>
                <w:szCs w:val="16"/>
                <w:lang w:val="fr-FR"/>
              </w:rPr>
              <w:t>’</w:t>
            </w:r>
            <w:r w:rsidRPr="009544E2">
              <w:rPr>
                <w:i/>
                <w:iCs/>
                <w:sz w:val="16"/>
                <w:szCs w:val="16"/>
                <w:lang w:val="fr-FR"/>
              </w:rPr>
              <w:t>échantillons</w:t>
            </w:r>
          </w:p>
        </w:tc>
      </w:tr>
      <w:tr w:rsidR="00E57C11" w:rsidRPr="00FF0812" w14:paraId="2F5E3E53" w14:textId="77777777" w:rsidTr="00626DFC">
        <w:trPr>
          <w:trHeight w:val="349"/>
        </w:trPr>
        <w:tc>
          <w:tcPr>
            <w:tcW w:w="48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3A71E" w14:textId="77777777" w:rsidR="00E57C11" w:rsidRPr="00FF0812" w:rsidRDefault="00E57C11" w:rsidP="00626DFC">
            <w:pPr>
              <w:suppressAutoHyphens w:val="0"/>
              <w:spacing w:line="225" w:lineRule="exact"/>
              <w:ind w:left="62"/>
              <w:rPr>
                <w:lang w:val="fr-FR"/>
              </w:rPr>
            </w:pPr>
            <w:r w:rsidRPr="00FF0812">
              <w:rPr>
                <w:lang w:val="fr-FR"/>
              </w:rPr>
              <w:t>Jusqu</w:t>
            </w:r>
            <w:r>
              <w:rPr>
                <w:lang w:val="fr-FR"/>
              </w:rPr>
              <w:t>’</w:t>
            </w:r>
            <w:r w:rsidRPr="00FF0812">
              <w:rPr>
                <w:lang w:val="fr-FR"/>
              </w:rPr>
              <w:t>à 100 000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AEDCEC" w14:textId="77777777" w:rsidR="00E57C11" w:rsidRPr="00FF0812" w:rsidRDefault="00E57C11" w:rsidP="00626DFC">
            <w:pPr>
              <w:suppressAutoHyphens w:val="0"/>
              <w:spacing w:line="225" w:lineRule="exact"/>
              <w:jc w:val="center"/>
              <w:rPr>
                <w:lang w:val="fr-FR"/>
              </w:rPr>
            </w:pPr>
            <w:r w:rsidRPr="00FF0812">
              <w:rPr>
                <w:lang w:val="fr-FR"/>
              </w:rPr>
              <w:t>1</w:t>
            </w:r>
          </w:p>
        </w:tc>
      </w:tr>
      <w:tr w:rsidR="00E57C11" w:rsidRPr="00FF0812" w14:paraId="1E639DDC" w14:textId="77777777" w:rsidTr="00626DFC">
        <w:trPr>
          <w:trHeight w:val="35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C1E8" w14:textId="77777777" w:rsidR="00E57C11" w:rsidRPr="00FF0812" w:rsidRDefault="00E57C11" w:rsidP="00626DFC">
            <w:pPr>
              <w:suppressAutoHyphens w:val="0"/>
              <w:spacing w:line="225" w:lineRule="exact"/>
              <w:ind w:left="62"/>
              <w:rPr>
                <w:lang w:val="fr-FR"/>
              </w:rPr>
            </w:pPr>
            <w:r w:rsidRPr="00FF0812">
              <w:rPr>
                <w:lang w:val="fr-FR"/>
              </w:rPr>
              <w:t>De 100 001 à 200 000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0AD42" w14:textId="77777777" w:rsidR="00E57C11" w:rsidRPr="00FF0812" w:rsidRDefault="00E57C11" w:rsidP="00626DFC">
            <w:pPr>
              <w:suppressAutoHyphens w:val="0"/>
              <w:spacing w:line="225" w:lineRule="exact"/>
              <w:jc w:val="center"/>
              <w:rPr>
                <w:lang w:val="fr-FR"/>
              </w:rPr>
            </w:pPr>
            <w:r w:rsidRPr="00FF0812">
              <w:rPr>
                <w:lang w:val="fr-FR"/>
              </w:rPr>
              <w:t>2</w:t>
            </w:r>
          </w:p>
        </w:tc>
      </w:tr>
      <w:tr w:rsidR="00E57C11" w:rsidRPr="00FF0812" w14:paraId="0C3AE8D2" w14:textId="77777777" w:rsidTr="00626DFC">
        <w:trPr>
          <w:trHeight w:val="3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EABD570" w14:textId="77777777" w:rsidR="00E57C11" w:rsidRPr="00FF0812" w:rsidRDefault="00E57C11" w:rsidP="00626DFC">
            <w:pPr>
              <w:suppressAutoHyphens w:val="0"/>
              <w:spacing w:line="225" w:lineRule="exact"/>
              <w:ind w:left="62"/>
              <w:rPr>
                <w:lang w:val="fr-FR"/>
              </w:rPr>
            </w:pPr>
            <w:r w:rsidRPr="00FF0812">
              <w:rPr>
                <w:lang w:val="fr-FR"/>
              </w:rPr>
              <w:t>Plus de 200 000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512825B1" w14:textId="77777777" w:rsidR="00E57C11" w:rsidRPr="00FF0812" w:rsidRDefault="00E57C11" w:rsidP="00626DFC">
            <w:pPr>
              <w:suppressAutoHyphens w:val="0"/>
              <w:spacing w:line="225" w:lineRule="exact"/>
              <w:jc w:val="center"/>
              <w:rPr>
                <w:lang w:val="fr-FR"/>
              </w:rPr>
            </w:pPr>
            <w:r w:rsidRPr="00FF0812">
              <w:rPr>
                <w:lang w:val="fr-FR"/>
              </w:rPr>
              <w:t>3</w:t>
            </w:r>
          </w:p>
        </w:tc>
      </w:tr>
    </w:tbl>
    <w:p w14:paraId="4B027AE2" w14:textId="77777777" w:rsidR="00E57C11" w:rsidRPr="00FF0812" w:rsidRDefault="00E57C11" w:rsidP="00B07AD8">
      <w:pPr>
        <w:pStyle w:val="SingleTxtG"/>
        <w:spacing w:before="120"/>
        <w:jc w:val="right"/>
        <w:rPr>
          <w:lang w:val="fr-FR"/>
        </w:rPr>
      </w:pPr>
      <w:r w:rsidRPr="00FF0812">
        <w:rPr>
          <w:lang w:val="fr-FR"/>
        </w:rPr>
        <w:t> ».</w:t>
      </w:r>
    </w:p>
    <w:p w14:paraId="39310B97" w14:textId="77777777" w:rsidR="00E57C11" w:rsidRPr="00FF0812" w:rsidRDefault="00E57C11" w:rsidP="00E57C11">
      <w:pPr>
        <w:pStyle w:val="SingleTxtG"/>
        <w:rPr>
          <w:rFonts w:eastAsia="MS Mincho"/>
          <w:i/>
          <w:lang w:val="fr-FR"/>
        </w:rPr>
      </w:pPr>
      <w:r w:rsidRPr="00FF0812">
        <w:rPr>
          <w:i/>
          <w:iCs/>
          <w:lang w:val="fr-FR"/>
        </w:rPr>
        <w:t>Ajouter le nouveau paragraphe 9.3.5.3</w:t>
      </w:r>
      <w:r w:rsidRPr="00FF0812">
        <w:rPr>
          <w:lang w:val="fr-FR"/>
        </w:rPr>
        <w:t>, libellé comme suit :</w:t>
      </w:r>
    </w:p>
    <w:p w14:paraId="29967161" w14:textId="77777777" w:rsidR="00E57C11" w:rsidRPr="00FF0812" w:rsidRDefault="00E57C11" w:rsidP="00E57C11">
      <w:pPr>
        <w:pStyle w:val="SingleTxtG"/>
        <w:ind w:left="2268" w:hanging="1134"/>
        <w:rPr>
          <w:lang w:val="fr-FR"/>
        </w:rPr>
      </w:pPr>
      <w:r w:rsidRPr="00FF0812">
        <w:rPr>
          <w:lang w:val="fr-FR"/>
        </w:rPr>
        <w:t>« 9.3.5.3</w:t>
      </w:r>
      <w:r w:rsidRPr="00FF0812">
        <w:rPr>
          <w:lang w:val="fr-FR"/>
        </w:rPr>
        <w:tab/>
      </w:r>
      <w:r>
        <w:rPr>
          <w:lang w:val="fr-FR"/>
        </w:rPr>
        <w:t xml:space="preserve">Il n’est pas obligatoire de vérifier </w:t>
      </w:r>
      <w:r w:rsidRPr="00FF0812">
        <w:rPr>
          <w:lang w:val="fr-FR"/>
        </w:rPr>
        <w:t>la conformité en service pour l</w:t>
      </w:r>
      <w:r>
        <w:rPr>
          <w:lang w:val="fr-FR"/>
        </w:rPr>
        <w:t>’</w:t>
      </w:r>
      <w:r w:rsidRPr="00FF0812">
        <w:rPr>
          <w:lang w:val="fr-FR"/>
        </w:rPr>
        <w:t>essai du type</w:t>
      </w:r>
      <w:r>
        <w:rPr>
          <w:lang w:val="fr-FR"/>
        </w:rPr>
        <w:t> </w:t>
      </w:r>
      <w:r w:rsidRPr="00FF0812">
        <w:rPr>
          <w:lang w:val="fr-FR"/>
        </w:rPr>
        <w:t>I (émissions d</w:t>
      </w:r>
      <w:r>
        <w:rPr>
          <w:lang w:val="fr-FR"/>
        </w:rPr>
        <w:t>’</w:t>
      </w:r>
      <w:r w:rsidRPr="00FF0812">
        <w:rPr>
          <w:lang w:val="fr-FR"/>
        </w:rPr>
        <w:t>échappement) si le volume de production annuel d</w:t>
      </w:r>
      <w:r>
        <w:rPr>
          <w:lang w:val="fr-FR"/>
        </w:rPr>
        <w:t>’</w:t>
      </w:r>
      <w:r w:rsidRPr="00FF0812">
        <w:rPr>
          <w:lang w:val="fr-FR"/>
        </w:rPr>
        <w:t>une famille en service destiné à la vente dans les Parties contractantes appliquant le présent Règlement est inférieur à 5</w:t>
      </w:r>
      <w:r>
        <w:rPr>
          <w:lang w:val="fr-FR"/>
        </w:rPr>
        <w:t> </w:t>
      </w:r>
      <w:r w:rsidRPr="00FF0812">
        <w:rPr>
          <w:lang w:val="fr-FR"/>
        </w:rPr>
        <w:t>000</w:t>
      </w:r>
      <w:r>
        <w:rPr>
          <w:lang w:val="fr-FR"/>
        </w:rPr>
        <w:t> </w:t>
      </w:r>
      <w:r w:rsidRPr="00FF0812">
        <w:rPr>
          <w:lang w:val="fr-FR"/>
        </w:rPr>
        <w:t>véhicules pour l</w:t>
      </w:r>
      <w:r>
        <w:rPr>
          <w:lang w:val="fr-FR"/>
        </w:rPr>
        <w:t>’</w:t>
      </w:r>
      <w:r w:rsidRPr="00FF0812">
        <w:rPr>
          <w:lang w:val="fr-FR"/>
        </w:rPr>
        <w:t>année précédente. ».</w:t>
      </w:r>
    </w:p>
    <w:p w14:paraId="0B8861B2" w14:textId="77777777" w:rsidR="00E57C11" w:rsidRPr="00F55FCE" w:rsidRDefault="00E57C11" w:rsidP="00E57C11">
      <w:pPr>
        <w:pStyle w:val="SingleTxtG"/>
        <w:rPr>
          <w:rFonts w:eastAsia="MS Mincho"/>
          <w:i/>
          <w:lang w:val="fr-FR"/>
        </w:rPr>
      </w:pPr>
      <w:r>
        <w:rPr>
          <w:rFonts w:eastAsia="Calibri"/>
          <w:i/>
          <w:iCs/>
          <w:lang w:val="fr-FR"/>
        </w:rPr>
        <w:t>A</w:t>
      </w:r>
      <w:r w:rsidRPr="00F55FCE">
        <w:rPr>
          <w:rFonts w:eastAsia="Calibri"/>
          <w:i/>
          <w:iCs/>
          <w:lang w:val="fr-FR"/>
        </w:rPr>
        <w:t>ppendice 2</w:t>
      </w:r>
      <w:r>
        <w:rPr>
          <w:rFonts w:eastAsia="Calibri"/>
          <w:i/>
          <w:iCs/>
          <w:lang w:val="fr-FR"/>
        </w:rPr>
        <w:t xml:space="preserve">, </w:t>
      </w:r>
      <w:r w:rsidRPr="001F133C">
        <w:rPr>
          <w:i/>
          <w:iCs/>
          <w:lang w:val="fr-FR"/>
        </w:rPr>
        <w:t>paragraphe</w:t>
      </w:r>
      <w:r>
        <w:rPr>
          <w:rFonts w:eastAsia="Calibri"/>
          <w:i/>
          <w:iCs/>
          <w:lang w:val="fr-FR"/>
        </w:rPr>
        <w:t xml:space="preserve"> 6</w:t>
      </w:r>
      <w:r w:rsidRPr="00F55FCE">
        <w:rPr>
          <w:rFonts w:eastAsia="Calibri"/>
          <w:lang w:val="fr-FR"/>
        </w:rPr>
        <w:t>, lire</w:t>
      </w:r>
      <w:r>
        <w:rPr>
          <w:rFonts w:eastAsia="Calibri"/>
          <w:lang w:val="fr-FR"/>
        </w:rPr>
        <w:t> </w:t>
      </w:r>
      <w:r w:rsidRPr="00F55FCE">
        <w:rPr>
          <w:rFonts w:eastAsia="Calibri"/>
          <w:lang w:val="fr-FR"/>
        </w:rPr>
        <w:t>:</w:t>
      </w:r>
    </w:p>
    <w:p w14:paraId="0A1899C6" w14:textId="77777777" w:rsidR="00E57C11" w:rsidRPr="00F55FCE" w:rsidRDefault="00E57C11" w:rsidP="00E57C11">
      <w:pPr>
        <w:pStyle w:val="SingleTxtG"/>
        <w:ind w:left="2268" w:hanging="1134"/>
        <w:rPr>
          <w:rFonts w:eastAsia="MS Mincho"/>
          <w:lang w:val="fr-FR"/>
        </w:rPr>
      </w:pPr>
      <w:r w:rsidRPr="00F55FCE">
        <w:rPr>
          <w:rFonts w:eastAsia="Calibri"/>
          <w:lang w:val="fr-FR"/>
        </w:rPr>
        <w:t>« 6.</w:t>
      </w:r>
      <w:r w:rsidRPr="00F55FCE">
        <w:rPr>
          <w:rFonts w:eastAsia="Calibri"/>
          <w:lang w:val="fr-FR"/>
        </w:rPr>
        <w:tab/>
      </w:r>
      <w:r w:rsidRPr="001F133C">
        <w:rPr>
          <w:lang w:val="fr-FR"/>
        </w:rPr>
        <w:t>Remarques</w:t>
      </w:r>
    </w:p>
    <w:p w14:paraId="6CCFE591" w14:textId="77777777" w:rsidR="00E57C11" w:rsidRPr="00F55FCE" w:rsidRDefault="00E57C11" w:rsidP="00E57C11">
      <w:pPr>
        <w:pStyle w:val="SingleTxtG"/>
        <w:ind w:left="2268"/>
        <w:rPr>
          <w:lang w:val="fr-FR"/>
        </w:rPr>
      </w:pPr>
      <w:r w:rsidRPr="00F55FCE">
        <w:rPr>
          <w:lang w:val="fr-FR"/>
        </w:rPr>
        <w:t xml:space="preserve">Les formules de récurrence suivantes sont utiles pour </w:t>
      </w:r>
      <w:r>
        <w:rPr>
          <w:lang w:val="fr-FR"/>
        </w:rPr>
        <w:t>le calcul d</w:t>
      </w:r>
      <w:r w:rsidRPr="00F55FCE">
        <w:rPr>
          <w:lang w:val="fr-FR"/>
        </w:rPr>
        <w:t>es valeurs successives de la variable d</w:t>
      </w:r>
      <w:r>
        <w:rPr>
          <w:lang w:val="fr-FR"/>
        </w:rPr>
        <w:t>’</w:t>
      </w:r>
      <w:r w:rsidRPr="00F55FCE">
        <w:rPr>
          <w:lang w:val="fr-FR"/>
        </w:rPr>
        <w:t>essai</w:t>
      </w:r>
      <w:r>
        <w:rPr>
          <w:lang w:val="fr-FR"/>
        </w:rPr>
        <w:t> </w:t>
      </w:r>
      <w:r w:rsidRPr="00F55FCE">
        <w:rPr>
          <w:lang w:val="fr-FR"/>
        </w:rPr>
        <w:t>:</w:t>
      </w:r>
    </w:p>
    <w:p w14:paraId="7EA6E50E" w14:textId="77777777" w:rsidR="00E57C11" w:rsidRPr="00F55FCE" w:rsidRDefault="00E57C11" w:rsidP="00E57C11">
      <w:pPr>
        <w:spacing w:after="120"/>
        <w:ind w:left="2268" w:right="1134"/>
        <w:jc w:val="both"/>
        <w:rPr>
          <w:rFonts w:eastAsia="Calibri"/>
          <w:iCs/>
          <w:lang w:val="fr-FR"/>
        </w:rPr>
      </w:pPr>
      <m:oMathPara>
        <m:oMath>
          <m:sSub>
            <m:sSubPr>
              <m:ctrlPr>
                <w:rPr>
                  <w:rFonts w:ascii="Cambria Math" w:eastAsia="MS Mincho" w:hAnsi="Cambria Math"/>
                  <w:iCs/>
                  <w:lang w:val="fr-FR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S Mincho" w:hAnsi="Cambria Math"/>
                      <w:iCs/>
                      <w:lang w:val="fr-FR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lang w:val="fr-FR"/>
                    </w:rPr>
                    <m:t>d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eastAsia="MS Mincho" w:hAnsi="Cambria Math"/>
                  <w:lang w:val="fr-FR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="MS Mincho" w:hAnsi="Cambria Math"/>
              <w:lang w:val="fr-FR"/>
            </w:rPr>
            <m:t>=</m:t>
          </m:r>
          <m:d>
            <m:dPr>
              <m:ctrlPr>
                <w:rPr>
                  <w:rFonts w:ascii="Cambria Math" w:eastAsia="MS Mincho" w:hAnsi="Cambria Math"/>
                  <w:iCs/>
                  <w:lang w:val="fr-FR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MS Mincho" w:hAnsi="Cambria Math"/>
                  <w:lang w:val="fr-FR"/>
                </w:rPr>
                <m:t>1-</m:t>
              </m:r>
              <m:f>
                <m:fPr>
                  <m:ctrlPr>
                    <w:rPr>
                      <w:rFonts w:ascii="Cambria Math" w:eastAsia="MS Mincho" w:hAnsi="Cambria Math"/>
                      <w:iCs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eastAsia="MS Mincho" w:hAnsi="Cambria Math"/>
                      <w:lang w:val="fr-FR"/>
                    </w:rPr>
                    <m:t>n</m:t>
                  </m:r>
                </m:den>
              </m:f>
            </m:e>
          </m:d>
          <m:sSub>
            <m:sSubPr>
              <m:ctrlPr>
                <w:rPr>
                  <w:rFonts w:ascii="Cambria Math" w:eastAsia="MS Mincho" w:hAnsi="Cambria Math"/>
                  <w:iCs/>
                  <w:lang w:val="fr-FR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S Mincho" w:hAnsi="Cambria Math"/>
                      <w:iCs/>
                      <w:lang w:val="fr-FR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lang w:val="fr-FR"/>
                    </w:rPr>
                    <m:t>d</m:t>
                  </m:r>
                </m:e>
              </m:acc>
            </m:e>
            <m:sub>
              <m:r>
                <w:rPr>
                  <w:rFonts w:ascii="Cambria Math" w:eastAsia="MS Mincho" w:hAnsi="Cambria Math"/>
                  <w:lang w:val="fr-FR"/>
                </w:rPr>
                <m:t>n</m:t>
              </m:r>
              <m:r>
                <m:rPr>
                  <m:sty m:val="p"/>
                </m:rPr>
                <w:rPr>
                  <w:rFonts w:ascii="Cambria Math" w:eastAsia="MS Mincho" w:hAnsi="Cambria Math"/>
                  <w:lang w:val="fr-FR"/>
                </w:rPr>
                <m:t>-1</m:t>
              </m:r>
            </m:sub>
          </m:sSub>
          <m:r>
            <m:rPr>
              <m:sty m:val="p"/>
            </m:rPr>
            <w:rPr>
              <w:rFonts w:ascii="Cambria Math" w:eastAsia="MS Mincho" w:hAnsi="Cambria Math"/>
              <w:lang w:val="fr-FR"/>
            </w:rPr>
            <m:t>+</m:t>
          </m:r>
          <m:f>
            <m:fPr>
              <m:ctrlPr>
                <w:rPr>
                  <w:rFonts w:ascii="Cambria Math" w:eastAsia="MS Mincho" w:hAnsi="Cambria Math"/>
                  <w:iCs/>
                  <w:lang w:val="fr-F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MS Mincho" w:hAnsi="Cambria Math"/>
                  <w:lang w:val="fr-FR"/>
                </w:rPr>
                <m:t>1</m:t>
              </m:r>
            </m:num>
            <m:den>
              <m:r>
                <w:rPr>
                  <w:rFonts w:ascii="Cambria Math" w:eastAsia="MS Mincho" w:hAnsi="Cambria Math"/>
                  <w:lang w:val="fr-FR"/>
                </w:rPr>
                <m:t>n</m:t>
              </m:r>
            </m:den>
          </m:f>
          <m:sSub>
            <m:sSubPr>
              <m:ctrlPr>
                <w:rPr>
                  <w:rFonts w:ascii="Cambria Math" w:eastAsia="MS Mincho" w:hAnsi="Cambria Math"/>
                  <w:iCs/>
                  <w:lang w:val="fr-FR"/>
                </w:rPr>
              </m:ctrlPr>
            </m:sSubPr>
            <m:e>
              <m:r>
                <w:rPr>
                  <w:rFonts w:ascii="Cambria Math" w:eastAsia="MS Mincho" w:hAnsi="Cambria Math"/>
                  <w:lang w:val="fr-FR"/>
                </w:rPr>
                <m:t>d</m:t>
              </m:r>
            </m:e>
            <m:sub>
              <m:r>
                <w:rPr>
                  <w:rFonts w:ascii="Cambria Math" w:eastAsia="MS Mincho" w:hAnsi="Cambria Math"/>
                  <w:lang w:val="fr-FR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="MS Mincho" w:hAnsi="Cambria Math"/>
              <w:lang w:val="fr-FR"/>
            </w:rPr>
            <w:br/>
          </m:r>
        </m:oMath>
        <m:oMath>
          <m:sSubSup>
            <m:sSubSupPr>
              <m:ctrlPr>
                <w:rPr>
                  <w:rFonts w:ascii="Cambria Math" w:eastAsia="Calibri" w:hAnsi="Cambria Math"/>
                  <w:iCs/>
                  <w:lang w:val="fr-FR"/>
                </w:rPr>
              </m:ctrlPr>
            </m:sSubSupPr>
            <m:e>
              <m:r>
                <w:rPr>
                  <w:rFonts w:ascii="Cambria Math" w:eastAsia="Calibri" w:hAnsi="Cambria Math"/>
                  <w:lang w:val="fr-FR"/>
                </w:rPr>
                <m:t>V</m:t>
              </m:r>
            </m:e>
            <m:sub>
              <m:r>
                <w:rPr>
                  <w:rFonts w:ascii="Cambria Math" w:eastAsia="Calibri" w:hAnsi="Cambria Math"/>
                  <w:lang w:val="fr-FR"/>
                </w:rPr>
                <m:t>n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/>
                  <w:lang w:val="fr-FR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eastAsia="Calibri" w:hAnsi="Cambria Math"/>
              <w:lang w:val="fr-FR"/>
            </w:rPr>
            <m:t>=</m:t>
          </m:r>
          <m:d>
            <m:dPr>
              <m:ctrlPr>
                <w:rPr>
                  <w:rFonts w:ascii="Cambria Math" w:eastAsia="Calibri" w:hAnsi="Cambria Math"/>
                  <w:iCs/>
                  <w:lang w:val="fr-FR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/>
                  <w:lang w:val="fr-FR"/>
                </w:rPr>
                <m:t>1-</m:t>
              </m:r>
              <m:f>
                <m:fPr>
                  <m:ctrlPr>
                    <w:rPr>
                      <w:rFonts w:ascii="Cambria Math" w:eastAsia="Calibri" w:hAnsi="Cambria Math"/>
                      <w:iCs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fr-F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fr-FR"/>
                    </w:rPr>
                    <m:t>n</m:t>
                  </m:r>
                </m:den>
              </m:f>
            </m:e>
          </m:d>
          <m:sSubSup>
            <m:sSubSupPr>
              <m:ctrlPr>
                <w:rPr>
                  <w:rFonts w:ascii="Cambria Math" w:eastAsia="Calibri" w:hAnsi="Cambria Math"/>
                  <w:iCs/>
                  <w:lang w:val="fr-FR"/>
                </w:rPr>
              </m:ctrlPr>
            </m:sSubSupPr>
            <m:e>
              <m:r>
                <w:rPr>
                  <w:rFonts w:ascii="Cambria Math" w:eastAsia="Calibri" w:hAnsi="Cambria Math"/>
                  <w:lang w:val="fr-FR"/>
                </w:rPr>
                <m:t>V</m:t>
              </m:r>
            </m:e>
            <m:sub>
              <m:r>
                <w:rPr>
                  <w:rFonts w:ascii="Cambria Math" w:eastAsia="Calibri" w:hAnsi="Cambria Math"/>
                  <w:lang w:val="fr-FR"/>
                </w:rPr>
                <m:t>n</m:t>
              </m:r>
              <m:r>
                <m:rPr>
                  <m:sty m:val="p"/>
                </m:rPr>
                <w:rPr>
                  <w:rFonts w:ascii="Cambria Math" w:eastAsia="Calibri" w:hAnsi="Cambria Math"/>
                  <w:lang w:val="fr-FR"/>
                </w:rPr>
                <m:t>-1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/>
                  <w:lang w:val="fr-FR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eastAsia="Calibri" w:hAnsi="Cambria Math"/>
              <w:lang w:val="fr-FR"/>
            </w:rPr>
            <m:t>+</m:t>
          </m:r>
          <m:f>
            <m:fPr>
              <m:ctrlPr>
                <w:rPr>
                  <w:rFonts w:ascii="Cambria Math" w:eastAsia="Calibri" w:hAnsi="Cambria Math"/>
                  <w:iCs/>
                  <w:lang w:val="fr-FR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/>
                      <w:iCs/>
                      <w:lang w:val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/>
                          <w:iCs/>
                          <w:lang w:val="fr-F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lang w:val="fr-FR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/>
                                  <w:i/>
                                  <w:lang w:val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Calibri" w:hAnsi="Cambria Math"/>
                                  <w:lang w:val="fr-FR"/>
                                </w:rPr>
                                <m:t>d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="Calibri" w:hAnsi="Cambria Math"/>
                              <w:lang w:val="fr-FR"/>
                            </w:rPr>
                            <m:t>n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lang w:val="fr-FR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lang w:val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lang w:val="fr-FR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lang w:val="fr-FR"/>
                            </w:rPr>
                            <m:t>n</m:t>
                          </m:r>
                        </m:sub>
                      </m:sSub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fr-FR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Calibri" w:hAnsi="Cambria Math"/>
                  <w:lang w:val="fr-FR"/>
                </w:rPr>
                <m:t>n</m:t>
              </m:r>
              <m:r>
                <m:rPr>
                  <m:sty m:val="p"/>
                </m:rPr>
                <w:rPr>
                  <w:rFonts w:ascii="Cambria Math" w:eastAsia="Calibri" w:hAnsi="Cambria Math"/>
                  <w:lang w:val="fr-FR"/>
                </w:rPr>
                <m:t>-1</m:t>
              </m:r>
            </m:den>
          </m:f>
        </m:oMath>
      </m:oMathPara>
    </w:p>
    <w:p w14:paraId="63AE542D" w14:textId="77777777" w:rsidR="00E57C11" w:rsidRPr="00F55FCE" w:rsidRDefault="00E57C11" w:rsidP="00E57C11">
      <w:pPr>
        <w:spacing w:after="120"/>
        <w:ind w:left="2268" w:right="1134"/>
        <w:jc w:val="both"/>
        <w:rPr>
          <w:rFonts w:eastAsia="Calibri"/>
          <w:lang w:val="fr-FR"/>
        </w:rPr>
      </w:pPr>
      <m:oMathPara>
        <m:oMath>
          <m:d>
            <m:dPr>
              <m:ctrlPr>
                <w:rPr>
                  <w:rFonts w:ascii="Cambria Math" w:eastAsia="Calibri" w:hAnsi="Cambria Math"/>
                  <w:i/>
                  <w:lang w:val="fr-FR"/>
                </w:rPr>
              </m:ctrlPr>
            </m:dPr>
            <m:e>
              <m:r>
                <w:rPr>
                  <w:rFonts w:ascii="Cambria Math" w:eastAsia="Calibri" w:hAnsi="Cambria Math"/>
                  <w:lang w:val="fr-FR"/>
                </w:rPr>
                <m:t>n</m:t>
              </m:r>
              <m:r>
                <m:rPr>
                  <m:sty m:val="p"/>
                </m:rPr>
                <w:rPr>
                  <w:rFonts w:ascii="Cambria Math" w:eastAsia="Calibri" w:hAnsi="Cambria Math"/>
                  <w:lang w:val="fr-FR"/>
                </w:rPr>
                <m:t xml:space="preserve">=2, 3, … ; </m:t>
              </m:r>
              <m:sSub>
                <m:sSubPr>
                  <m:ctrlPr>
                    <w:rPr>
                      <w:rFonts w:ascii="Cambria Math" w:eastAsia="Calibri" w:hAnsi="Cambria Math"/>
                      <w:iCs/>
                      <w:lang w:val="fr-FR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Calibri" w:hAnsi="Cambria Math"/>
                          <w:iCs/>
                          <w:lang w:val="fr-FR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lang w:val="fr-FR"/>
                        </w:rPr>
                        <m:t>d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fr-FR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lang w:val="fr-FR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/>
                      <w:iCs/>
                      <w:lang w:val="fr-FR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fr-FR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fr-FR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lang w:val="fr-FR"/>
                </w:rPr>
                <m:t xml:space="preserve"> ; </m:t>
              </m:r>
              <m:sSub>
                <m:sSubPr>
                  <m:ctrlPr>
                    <w:rPr>
                      <w:rFonts w:ascii="Cambria Math" w:eastAsia="Calibri" w:hAnsi="Cambria Math"/>
                      <w:iCs/>
                      <w:lang w:val="fr-FR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fr-FR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fr-FR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lang w:val="fr-FR"/>
                </w:rPr>
                <m:t>=0</m:t>
              </m:r>
            </m:e>
          </m:d>
        </m:oMath>
      </m:oMathPara>
    </w:p>
    <w:p w14:paraId="31E0398F" w14:textId="77777777" w:rsidR="00E57C11" w:rsidRDefault="00E57C11" w:rsidP="00E57C11">
      <w:pPr>
        <w:pStyle w:val="SingleTxtG"/>
        <w:ind w:left="2268"/>
        <w:rPr>
          <w:rFonts w:eastAsia="Calibri"/>
          <w:lang w:val="fr-FR"/>
        </w:rPr>
      </w:pPr>
      <w:r w:rsidRPr="00FF0812">
        <w:rPr>
          <w:rFonts w:eastAsia="Calibri"/>
          <w:lang w:val="fr-FR"/>
        </w:rPr>
        <w:t>... ».</w:t>
      </w:r>
    </w:p>
    <w:p w14:paraId="020CFC6B" w14:textId="77777777" w:rsidR="00E57C11" w:rsidRPr="00F730AF" w:rsidRDefault="00E57C11" w:rsidP="00E57C11">
      <w:pPr>
        <w:pStyle w:val="SingleTxtG"/>
        <w:rPr>
          <w:rFonts w:eastAsia="Calibri"/>
          <w:i/>
          <w:iCs/>
          <w:lang w:val="fr-FR"/>
        </w:rPr>
      </w:pPr>
      <w:r w:rsidRPr="001F133C">
        <w:rPr>
          <w:i/>
          <w:iCs/>
          <w:lang w:val="fr-FR"/>
        </w:rPr>
        <w:t>Annexe</w:t>
      </w:r>
      <w:r w:rsidRPr="00F730AF">
        <w:rPr>
          <w:rFonts w:eastAsia="Calibri"/>
          <w:i/>
          <w:iCs/>
          <w:lang w:val="fr-FR"/>
        </w:rPr>
        <w:t xml:space="preserve"> 2</w:t>
      </w:r>
    </w:p>
    <w:p w14:paraId="473C43B3" w14:textId="77777777" w:rsidR="00E57C11" w:rsidRPr="00F55FCE" w:rsidRDefault="00E57C11" w:rsidP="00E57C11">
      <w:pPr>
        <w:pStyle w:val="SingleTxtG"/>
        <w:rPr>
          <w:rFonts w:eastAsia="MS Mincho"/>
          <w:i/>
          <w:lang w:val="fr-FR"/>
        </w:rPr>
      </w:pPr>
      <w:r w:rsidRPr="001F133C">
        <w:rPr>
          <w:i/>
          <w:iCs/>
          <w:lang w:val="fr-FR"/>
        </w:rPr>
        <w:t>Paragraphe</w:t>
      </w:r>
      <w:r w:rsidRPr="00F55FCE">
        <w:rPr>
          <w:rFonts w:eastAsia="Calibri"/>
          <w:i/>
          <w:iCs/>
          <w:lang w:val="fr-FR"/>
        </w:rPr>
        <w:t xml:space="preserve"> 2.4</w:t>
      </w:r>
      <w:r w:rsidRPr="00F55FCE">
        <w:rPr>
          <w:rFonts w:eastAsia="Calibri"/>
          <w:lang w:val="fr-FR"/>
        </w:rPr>
        <w:t>, lire</w:t>
      </w:r>
      <w:r>
        <w:rPr>
          <w:rFonts w:eastAsia="Calibri"/>
          <w:lang w:val="fr-FR"/>
        </w:rPr>
        <w:t> </w:t>
      </w:r>
      <w:r w:rsidRPr="00F55FCE">
        <w:rPr>
          <w:rFonts w:eastAsia="Calibri"/>
          <w:lang w:val="fr-FR"/>
        </w:rPr>
        <w:t>:</w:t>
      </w:r>
    </w:p>
    <w:p w14:paraId="6DFE1806" w14:textId="77777777" w:rsidR="00E57C11" w:rsidRPr="00F55FCE" w:rsidRDefault="00E57C11" w:rsidP="00E57C11">
      <w:pPr>
        <w:pStyle w:val="SingleTxtG"/>
        <w:ind w:left="2268" w:hanging="1134"/>
        <w:rPr>
          <w:rFonts w:eastAsia="Calibri"/>
          <w:lang w:val="fr-FR"/>
        </w:rPr>
      </w:pPr>
      <w:r w:rsidRPr="00F55FCE">
        <w:rPr>
          <w:rFonts w:eastAsia="Calibri"/>
          <w:lang w:val="fr-FR"/>
        </w:rPr>
        <w:t>« 2.4</w:t>
      </w:r>
      <w:r w:rsidRPr="00F55FCE">
        <w:rPr>
          <w:rFonts w:eastAsia="Calibri"/>
          <w:lang w:val="fr-FR"/>
        </w:rPr>
        <w:tab/>
        <w:t>Résultats de l</w:t>
      </w:r>
      <w:r>
        <w:rPr>
          <w:rFonts w:eastAsia="Calibri"/>
          <w:lang w:val="fr-FR"/>
        </w:rPr>
        <w:t>’</w:t>
      </w:r>
      <w:r w:rsidRPr="00F55FCE">
        <w:rPr>
          <w:rFonts w:eastAsia="Calibri"/>
          <w:lang w:val="fr-FR"/>
        </w:rPr>
        <w:t>essai de mesure de l</w:t>
      </w:r>
      <w:r>
        <w:rPr>
          <w:rFonts w:eastAsia="Calibri"/>
          <w:lang w:val="fr-FR"/>
        </w:rPr>
        <w:t>’</w:t>
      </w:r>
      <w:r w:rsidRPr="00F55FCE">
        <w:rPr>
          <w:rFonts w:eastAsia="Calibri"/>
          <w:lang w:val="fr-FR"/>
        </w:rPr>
        <w:t>opacité des fumées</w:t>
      </w:r>
      <w:r w:rsidRPr="00B07AD8">
        <w:rPr>
          <w:rFonts w:eastAsia="Calibri"/>
          <w:vertAlign w:val="superscript"/>
          <w:lang w:val="fr-FR"/>
        </w:rPr>
        <w:t>1</w:t>
      </w:r>
      <w:r w:rsidRPr="00B07AD8">
        <w:rPr>
          <w:rFonts w:eastAsia="Calibri"/>
          <w:sz w:val="18"/>
          <w:szCs w:val="18"/>
          <w:vertAlign w:val="superscript"/>
          <w:lang w:val="fr-FR"/>
        </w:rPr>
        <w:t>, 6</w:t>
      </w:r>
    </w:p>
    <w:p w14:paraId="47EC8189" w14:textId="77777777" w:rsidR="00E57C11" w:rsidRPr="00F55FCE" w:rsidRDefault="00E57C11" w:rsidP="00E57C11">
      <w:pPr>
        <w:pStyle w:val="SingleTxtG"/>
        <w:tabs>
          <w:tab w:val="right" w:leader="dot" w:pos="8505"/>
        </w:tabs>
        <w:ind w:left="2268" w:hanging="1134"/>
        <w:rPr>
          <w:rFonts w:eastAsia="Calibri"/>
          <w:lang w:val="fr-FR"/>
        </w:rPr>
      </w:pPr>
      <w:r w:rsidRPr="00F55FCE">
        <w:rPr>
          <w:rFonts w:eastAsia="Calibri"/>
          <w:lang w:val="fr-FR"/>
        </w:rPr>
        <w:t>2.4.1</w:t>
      </w:r>
      <w:r w:rsidRPr="00F55FCE">
        <w:rPr>
          <w:rFonts w:eastAsia="Calibri"/>
          <w:lang w:val="fr-FR"/>
        </w:rPr>
        <w:tab/>
        <w:t>En régimes stabilisés</w:t>
      </w:r>
      <w:r>
        <w:rPr>
          <w:rFonts w:eastAsia="Calibri"/>
          <w:lang w:val="fr-FR"/>
        </w:rPr>
        <w:t> </w:t>
      </w:r>
      <w:r w:rsidRPr="00F55FCE">
        <w:rPr>
          <w:rFonts w:eastAsia="Calibri"/>
          <w:lang w:val="fr-FR"/>
        </w:rPr>
        <w:t xml:space="preserve">: voir le numéro du </w:t>
      </w:r>
      <w:r w:rsidRPr="00AD5132">
        <w:rPr>
          <w:lang w:val="fr-FR"/>
        </w:rPr>
        <w:t>procès-verbal</w:t>
      </w:r>
      <w:r w:rsidRPr="00F55FCE">
        <w:rPr>
          <w:rFonts w:eastAsia="Calibri"/>
          <w:lang w:val="fr-FR"/>
        </w:rPr>
        <w:t xml:space="preserve"> d</w:t>
      </w:r>
      <w:r>
        <w:rPr>
          <w:rFonts w:eastAsia="Calibri"/>
          <w:lang w:val="fr-FR"/>
        </w:rPr>
        <w:t>’</w:t>
      </w:r>
      <w:r w:rsidRPr="00F55FCE">
        <w:rPr>
          <w:rFonts w:eastAsia="Calibri"/>
          <w:lang w:val="fr-FR"/>
        </w:rPr>
        <w:t>essai du service technique (le cas échéant)</w:t>
      </w:r>
      <w:r>
        <w:rPr>
          <w:rFonts w:eastAsia="Calibri"/>
          <w:lang w:val="fr-FR"/>
        </w:rPr>
        <w:t> </w:t>
      </w:r>
      <w:r w:rsidRPr="00F55FCE">
        <w:rPr>
          <w:rFonts w:eastAsia="Calibri"/>
          <w:lang w:val="fr-FR"/>
        </w:rPr>
        <w:t xml:space="preserve">: </w:t>
      </w:r>
      <w:r>
        <w:rPr>
          <w:rFonts w:eastAsia="Calibri"/>
          <w:lang w:val="fr-FR"/>
        </w:rPr>
        <w:tab/>
      </w:r>
    </w:p>
    <w:p w14:paraId="57323936" w14:textId="77777777" w:rsidR="00E57C11" w:rsidRPr="00F55FCE" w:rsidRDefault="00E57C11" w:rsidP="00E57C11">
      <w:pPr>
        <w:pStyle w:val="SingleTxtG"/>
        <w:ind w:left="2268" w:hanging="1134"/>
        <w:rPr>
          <w:rFonts w:eastAsia="Calibri"/>
          <w:lang w:val="fr-FR"/>
        </w:rPr>
      </w:pPr>
      <w:r w:rsidRPr="00F55FCE">
        <w:rPr>
          <w:rFonts w:eastAsia="Calibri"/>
          <w:lang w:val="fr-FR"/>
        </w:rPr>
        <w:t>2.4.2</w:t>
      </w:r>
      <w:r w:rsidRPr="00F55FCE">
        <w:rPr>
          <w:rFonts w:eastAsia="Calibri"/>
          <w:lang w:val="fr-FR"/>
        </w:rPr>
        <w:tab/>
        <w:t>Essais en accélération libre</w:t>
      </w:r>
    </w:p>
    <w:p w14:paraId="3CC9C1A8" w14:textId="77777777" w:rsidR="00E57C11" w:rsidRPr="00F55FCE" w:rsidRDefault="00E57C11" w:rsidP="00E57C11">
      <w:pPr>
        <w:pStyle w:val="SingleTxtG"/>
        <w:tabs>
          <w:tab w:val="right" w:leader="dot" w:pos="8505"/>
        </w:tabs>
        <w:ind w:left="2268" w:hanging="1134"/>
        <w:rPr>
          <w:rFonts w:eastAsia="Calibri"/>
          <w:lang w:val="fr-FR"/>
        </w:rPr>
      </w:pPr>
      <w:r w:rsidRPr="00F55FCE">
        <w:rPr>
          <w:rFonts w:eastAsia="Calibri"/>
          <w:lang w:val="fr-FR"/>
        </w:rPr>
        <w:t>2.4.2.1</w:t>
      </w:r>
      <w:r w:rsidRPr="00F55FCE">
        <w:rPr>
          <w:rFonts w:eastAsia="Calibri"/>
          <w:lang w:val="fr-FR"/>
        </w:rPr>
        <w:tab/>
        <w:t>Valeur mesurée du coefficient d</w:t>
      </w:r>
      <w:r>
        <w:rPr>
          <w:rFonts w:eastAsia="Calibri"/>
          <w:lang w:val="fr-FR"/>
        </w:rPr>
        <w:t>’</w:t>
      </w:r>
      <w:r w:rsidRPr="00F55FCE">
        <w:rPr>
          <w:rFonts w:eastAsia="Calibri"/>
          <w:lang w:val="fr-FR"/>
        </w:rPr>
        <w:t>absorption (le cas échéant)</w:t>
      </w:r>
      <w:r>
        <w:rPr>
          <w:rFonts w:eastAsia="Calibri"/>
          <w:lang w:val="fr-FR"/>
        </w:rPr>
        <w:t> </w:t>
      </w:r>
      <w:r w:rsidRPr="00F55FCE">
        <w:rPr>
          <w:rFonts w:eastAsia="Calibri"/>
          <w:lang w:val="fr-FR"/>
        </w:rPr>
        <w:t xml:space="preserve">: </w:t>
      </w:r>
      <w:r w:rsidRPr="00F55FCE">
        <w:rPr>
          <w:rFonts w:eastAsia="Calibri"/>
          <w:lang w:val="fr-FR"/>
        </w:rPr>
        <w:tab/>
        <w:t xml:space="preserve"> m</w:t>
      </w:r>
      <w:r w:rsidRPr="00F55FCE">
        <w:rPr>
          <w:rFonts w:eastAsia="Calibri"/>
          <w:vertAlign w:val="superscript"/>
          <w:lang w:val="fr-FR"/>
        </w:rPr>
        <w:t>-1</w:t>
      </w:r>
    </w:p>
    <w:p w14:paraId="2317193C" w14:textId="77777777" w:rsidR="00E57C11" w:rsidRPr="00F55FCE" w:rsidRDefault="00E57C11" w:rsidP="00E57C11">
      <w:pPr>
        <w:pStyle w:val="SingleTxtG"/>
        <w:tabs>
          <w:tab w:val="right" w:leader="dot" w:pos="8505"/>
        </w:tabs>
        <w:ind w:left="2268" w:hanging="1134"/>
        <w:rPr>
          <w:rFonts w:eastAsia="Calibri"/>
          <w:lang w:val="fr-FR"/>
        </w:rPr>
      </w:pPr>
      <w:r w:rsidRPr="00F55FCE">
        <w:rPr>
          <w:rFonts w:eastAsia="Calibri"/>
          <w:lang w:val="fr-FR"/>
        </w:rPr>
        <w:t>2.4.2.2</w:t>
      </w:r>
      <w:r w:rsidRPr="00F55FCE">
        <w:rPr>
          <w:rFonts w:eastAsia="Calibri"/>
          <w:lang w:val="fr-FR"/>
        </w:rPr>
        <w:tab/>
        <w:t>Valeur corrigée du coefficient d</w:t>
      </w:r>
      <w:r>
        <w:rPr>
          <w:rFonts w:eastAsia="Calibri"/>
          <w:lang w:val="fr-FR"/>
        </w:rPr>
        <w:t>’</w:t>
      </w:r>
      <w:r w:rsidRPr="00F55FCE">
        <w:rPr>
          <w:rFonts w:eastAsia="Calibri"/>
          <w:lang w:val="fr-FR"/>
        </w:rPr>
        <w:t>absorption</w:t>
      </w:r>
      <w:r>
        <w:rPr>
          <w:rFonts w:eastAsia="Calibri"/>
          <w:lang w:val="fr-FR"/>
        </w:rPr>
        <w:t> </w:t>
      </w:r>
      <w:r w:rsidRPr="00F55FCE">
        <w:rPr>
          <w:rFonts w:eastAsia="Calibri"/>
          <w:lang w:val="fr-FR"/>
        </w:rPr>
        <w:t xml:space="preserve">: </w:t>
      </w:r>
      <w:r w:rsidRPr="00F55FCE">
        <w:rPr>
          <w:rFonts w:eastAsia="Calibri"/>
          <w:lang w:val="fr-FR"/>
        </w:rPr>
        <w:tab/>
        <w:t xml:space="preserve"> m</w:t>
      </w:r>
      <w:r w:rsidRPr="00F55FCE">
        <w:rPr>
          <w:rFonts w:eastAsia="Calibri"/>
          <w:vertAlign w:val="superscript"/>
          <w:lang w:val="fr-FR"/>
        </w:rPr>
        <w:t>-1</w:t>
      </w:r>
    </w:p>
    <w:p w14:paraId="482FC60C" w14:textId="77777777" w:rsidR="00E57C11" w:rsidRDefault="00E57C11" w:rsidP="00E57C11">
      <w:pPr>
        <w:pStyle w:val="SingleTxtG"/>
        <w:tabs>
          <w:tab w:val="right" w:leader="dot" w:pos="8505"/>
        </w:tabs>
        <w:ind w:left="2268" w:hanging="1134"/>
        <w:rPr>
          <w:rFonts w:eastAsia="Calibri"/>
          <w:lang w:val="fr-FR"/>
        </w:rPr>
      </w:pPr>
      <w:r w:rsidRPr="00F55FCE">
        <w:rPr>
          <w:rFonts w:eastAsia="Calibri"/>
          <w:lang w:val="fr-FR"/>
        </w:rPr>
        <w:t>2.4.2.3</w:t>
      </w:r>
      <w:r w:rsidRPr="00F55FCE">
        <w:rPr>
          <w:rFonts w:eastAsia="Calibri"/>
          <w:lang w:val="fr-FR"/>
        </w:rPr>
        <w:tab/>
        <w:t>Emplacement du symbole du coefficient d</w:t>
      </w:r>
      <w:r>
        <w:rPr>
          <w:rFonts w:eastAsia="Calibri"/>
          <w:lang w:val="fr-FR"/>
        </w:rPr>
        <w:t>’</w:t>
      </w:r>
      <w:r w:rsidRPr="00F55FCE">
        <w:rPr>
          <w:rFonts w:eastAsia="Calibri"/>
          <w:lang w:val="fr-FR"/>
        </w:rPr>
        <w:t>absorption sur le véhicule</w:t>
      </w:r>
      <w:r>
        <w:rPr>
          <w:rFonts w:eastAsia="Calibri"/>
          <w:lang w:val="fr-FR"/>
        </w:rPr>
        <w:t> </w:t>
      </w:r>
      <w:r w:rsidRPr="00F55FCE">
        <w:rPr>
          <w:rFonts w:eastAsia="Calibri"/>
          <w:lang w:val="fr-FR"/>
        </w:rPr>
        <w:t>:</w:t>
      </w:r>
      <w:r>
        <w:rPr>
          <w:rFonts w:eastAsia="Calibri"/>
          <w:lang w:val="fr-FR"/>
        </w:rPr>
        <w:tab/>
      </w:r>
    </w:p>
    <w:p w14:paraId="6BCD9D7D" w14:textId="77777777" w:rsidR="00E57C11" w:rsidRDefault="00E57C11" w:rsidP="00E57C11">
      <w:pPr>
        <w:pStyle w:val="SingleTxtG"/>
        <w:tabs>
          <w:tab w:val="right" w:leader="dot" w:pos="8505"/>
        </w:tabs>
        <w:ind w:left="2268"/>
        <w:rPr>
          <w:rFonts w:eastAsia="Calibri"/>
          <w:lang w:val="fr-FR"/>
        </w:rPr>
      </w:pPr>
      <w:r>
        <w:rPr>
          <w:rFonts w:eastAsia="Calibri"/>
          <w:lang w:val="fr-FR"/>
        </w:rPr>
        <w:tab/>
      </w:r>
    </w:p>
    <w:p w14:paraId="4A1FAA2A" w14:textId="1A9A33CE" w:rsidR="00E57C11" w:rsidRPr="00F55FCE" w:rsidRDefault="00E57C11" w:rsidP="00E57C11">
      <w:pPr>
        <w:pStyle w:val="SingleTxtG"/>
        <w:rPr>
          <w:rFonts w:eastAsia="Calibri"/>
          <w:lang w:val="fr-FR"/>
        </w:rPr>
      </w:pPr>
      <w:r w:rsidRPr="00B07AD8">
        <w:rPr>
          <w:rFonts w:eastAsia="Calibri"/>
          <w:sz w:val="18"/>
          <w:szCs w:val="18"/>
          <w:vertAlign w:val="superscript"/>
          <w:lang w:val="fr-FR"/>
        </w:rPr>
        <w:t xml:space="preserve">6 </w:t>
      </w:r>
      <w:r w:rsidR="00B07AD8" w:rsidRPr="00B07AD8">
        <w:rPr>
          <w:rFonts w:eastAsia="Calibri"/>
          <w:sz w:val="18"/>
          <w:szCs w:val="18"/>
          <w:vertAlign w:val="superscript"/>
          <w:lang w:val="fr-FR"/>
        </w:rPr>
        <w:t xml:space="preserve"> </w:t>
      </w:r>
      <w:r w:rsidRPr="00B07AD8">
        <w:rPr>
          <w:rFonts w:eastAsia="Calibri"/>
          <w:sz w:val="18"/>
          <w:szCs w:val="18"/>
          <w:lang w:val="fr-FR"/>
        </w:rPr>
        <w:t>Les valeurs d’opacité des fumées sont celles obtenues selon les dispositions énoncées dans le Règlement ONU n</w:t>
      </w:r>
      <w:r w:rsidRPr="00B07AD8">
        <w:rPr>
          <w:rFonts w:eastAsia="Calibri"/>
          <w:sz w:val="18"/>
          <w:szCs w:val="18"/>
          <w:vertAlign w:val="superscript"/>
          <w:lang w:val="fr-FR"/>
        </w:rPr>
        <w:t>o</w:t>
      </w:r>
      <w:r w:rsidRPr="00B07AD8">
        <w:rPr>
          <w:rFonts w:eastAsia="Calibri"/>
          <w:sz w:val="18"/>
          <w:szCs w:val="18"/>
          <w:lang w:val="fr-FR"/>
        </w:rPr>
        <w:t> 24.</w:t>
      </w:r>
      <w:r w:rsidRPr="00F55FCE">
        <w:rPr>
          <w:rFonts w:eastAsia="Calibri"/>
          <w:lang w:val="fr-FR"/>
        </w:rPr>
        <w:t> ».</w:t>
      </w:r>
    </w:p>
    <w:p w14:paraId="3BCFDA82" w14:textId="77777777" w:rsidR="00E57C11" w:rsidRPr="00F55FCE" w:rsidRDefault="00E57C11" w:rsidP="00E57C11">
      <w:pPr>
        <w:pStyle w:val="SingleTxtG"/>
        <w:keepNext/>
        <w:rPr>
          <w:rFonts w:eastAsia="MS Mincho"/>
          <w:bCs/>
          <w:i/>
          <w:iCs/>
          <w:lang w:val="fr-FR"/>
        </w:rPr>
      </w:pPr>
      <w:r w:rsidRPr="001F133C">
        <w:rPr>
          <w:i/>
          <w:iCs/>
          <w:lang w:val="fr-FR"/>
        </w:rPr>
        <w:lastRenderedPageBreak/>
        <w:t>Annexe</w:t>
      </w:r>
      <w:r w:rsidRPr="00F55FCE">
        <w:rPr>
          <w:rFonts w:eastAsia="Calibri"/>
          <w:i/>
          <w:iCs/>
          <w:lang w:val="fr-FR"/>
        </w:rPr>
        <w:t xml:space="preserve"> 4a</w:t>
      </w:r>
    </w:p>
    <w:p w14:paraId="2FFE917B" w14:textId="77777777" w:rsidR="00E57C11" w:rsidRPr="00F55FCE" w:rsidRDefault="00E57C11" w:rsidP="00E57C11">
      <w:pPr>
        <w:pStyle w:val="SingleTxtG"/>
        <w:keepNext/>
        <w:rPr>
          <w:rFonts w:eastAsia="MS Mincho"/>
          <w:bCs/>
          <w:lang w:val="fr-FR"/>
        </w:rPr>
      </w:pPr>
      <w:r w:rsidRPr="00F55FCE">
        <w:rPr>
          <w:rFonts w:eastAsia="Calibri"/>
          <w:i/>
          <w:iCs/>
          <w:lang w:val="fr-FR"/>
        </w:rPr>
        <w:t xml:space="preserve">Appendice 1, </w:t>
      </w:r>
      <w:r w:rsidRPr="001F133C">
        <w:rPr>
          <w:i/>
          <w:iCs/>
          <w:lang w:val="fr-FR"/>
        </w:rPr>
        <w:t>paragraphe</w:t>
      </w:r>
      <w:r w:rsidRPr="00F55FCE">
        <w:rPr>
          <w:rFonts w:eastAsia="Calibri"/>
          <w:i/>
          <w:iCs/>
          <w:lang w:val="fr-FR"/>
        </w:rPr>
        <w:t> 1</w:t>
      </w:r>
      <w:r w:rsidRPr="00F55FCE">
        <w:rPr>
          <w:rFonts w:eastAsia="Calibri"/>
          <w:lang w:val="fr-FR"/>
        </w:rPr>
        <w:t>, lire :</w:t>
      </w:r>
    </w:p>
    <w:p w14:paraId="541FF6DF" w14:textId="77777777" w:rsidR="00E57C11" w:rsidRPr="00F55FCE" w:rsidRDefault="00E57C11" w:rsidP="00E57C11">
      <w:pPr>
        <w:pStyle w:val="SingleTxtG"/>
        <w:ind w:left="2268" w:hanging="1134"/>
        <w:rPr>
          <w:rFonts w:eastAsia="Calibri"/>
          <w:lang w:val="fr-FR"/>
        </w:rPr>
      </w:pPr>
      <w:r w:rsidRPr="00F55FCE">
        <w:rPr>
          <w:rFonts w:eastAsia="Calibri"/>
          <w:lang w:val="fr-FR"/>
        </w:rPr>
        <w:t>« 1.</w:t>
      </w:r>
      <w:r w:rsidRPr="00F55FCE">
        <w:rPr>
          <w:rFonts w:eastAsia="Calibri"/>
          <w:lang w:val="fr-FR"/>
        </w:rPr>
        <w:tab/>
        <w:t>Description</w:t>
      </w:r>
    </w:p>
    <w:p w14:paraId="694EA505" w14:textId="77777777" w:rsidR="00E57C11" w:rsidRPr="00F55FCE" w:rsidRDefault="00E57C11" w:rsidP="00E57C11">
      <w:pPr>
        <w:pStyle w:val="SingleTxtG"/>
        <w:ind w:left="2268" w:hanging="1134"/>
        <w:rPr>
          <w:rFonts w:eastAsia="Calibri"/>
          <w:bCs/>
          <w:lang w:val="fr-FR"/>
        </w:rPr>
      </w:pPr>
      <w:r w:rsidRPr="00F55FCE">
        <w:rPr>
          <w:rFonts w:eastAsia="Calibri"/>
          <w:lang w:val="fr-FR"/>
        </w:rPr>
        <w:t>1.1</w:t>
      </w:r>
      <w:r w:rsidRPr="00F55FCE">
        <w:rPr>
          <w:rFonts w:eastAsia="Calibri"/>
          <w:lang w:val="fr-FR"/>
        </w:rPr>
        <w:tab/>
        <w:t>Prescriptions générales</w:t>
      </w:r>
    </w:p>
    <w:p w14:paraId="091DB31F" w14:textId="77777777" w:rsidR="00E57C11" w:rsidRPr="00F55FCE" w:rsidRDefault="00E57C11" w:rsidP="00E57C11">
      <w:pPr>
        <w:pStyle w:val="SingleTxtG"/>
        <w:ind w:left="2268"/>
        <w:rPr>
          <w:rFonts w:eastAsia="MS PGothic"/>
          <w:color w:val="000000"/>
          <w:lang w:val="fr-FR"/>
        </w:rPr>
      </w:pPr>
      <w:r>
        <w:rPr>
          <w:rFonts w:eastAsia="Calibri"/>
          <w:lang w:val="fr-FR"/>
        </w:rPr>
        <w:t>L</w:t>
      </w:r>
      <w:r w:rsidRPr="00F55FCE">
        <w:rPr>
          <w:rFonts w:eastAsia="Calibri"/>
          <w:lang w:val="fr-FR"/>
        </w:rPr>
        <w:t>es appareillages d</w:t>
      </w:r>
      <w:r>
        <w:rPr>
          <w:rFonts w:eastAsia="Calibri"/>
          <w:lang w:val="fr-FR"/>
        </w:rPr>
        <w:t>’</w:t>
      </w:r>
      <w:r w:rsidRPr="00F55FCE">
        <w:rPr>
          <w:rFonts w:eastAsia="Calibri"/>
          <w:lang w:val="fr-FR"/>
        </w:rPr>
        <w:t xml:space="preserve">essai et de mesure </w:t>
      </w:r>
      <w:r>
        <w:rPr>
          <w:rFonts w:eastAsia="Calibri"/>
          <w:lang w:val="fr-FR"/>
        </w:rPr>
        <w:t xml:space="preserve">doivent être </w:t>
      </w:r>
      <w:r w:rsidRPr="00F55FCE">
        <w:rPr>
          <w:rFonts w:eastAsia="Calibri"/>
          <w:lang w:val="fr-FR"/>
        </w:rPr>
        <w:t>conformes aux prescriptions techniques décrites dans le Règlement ONU n</w:t>
      </w:r>
      <w:r w:rsidRPr="00F55FCE">
        <w:rPr>
          <w:rFonts w:eastAsia="Calibri"/>
          <w:vertAlign w:val="superscript"/>
          <w:lang w:val="fr-FR"/>
        </w:rPr>
        <w:t>o</w:t>
      </w:r>
      <w:r w:rsidRPr="00F55FCE">
        <w:rPr>
          <w:rFonts w:eastAsia="Calibri"/>
          <w:lang w:val="fr-FR"/>
        </w:rPr>
        <w:t> 154, dans sa version originale ou dans les séries ultérieures d</w:t>
      </w:r>
      <w:r>
        <w:rPr>
          <w:rFonts w:eastAsia="Calibri"/>
          <w:lang w:val="fr-FR"/>
        </w:rPr>
        <w:t>’</w:t>
      </w:r>
      <w:r w:rsidRPr="00F55FCE">
        <w:rPr>
          <w:rFonts w:eastAsia="Calibri"/>
          <w:lang w:val="fr-FR"/>
        </w:rPr>
        <w:t xml:space="preserve">amendements, </w:t>
      </w:r>
      <w:r w:rsidRPr="00394838">
        <w:rPr>
          <w:rFonts w:eastAsia="Calibri"/>
          <w:lang w:val="fr-FR"/>
        </w:rPr>
        <w:t>ou, à défaut,</w:t>
      </w:r>
      <w:r>
        <w:rPr>
          <w:rFonts w:eastAsia="Calibri"/>
          <w:lang w:val="fr-FR"/>
        </w:rPr>
        <w:t xml:space="preserve"> aux prescriptions suivantes</w:t>
      </w:r>
      <w:r w:rsidRPr="00F55FCE">
        <w:rPr>
          <w:rFonts w:eastAsia="Calibri"/>
          <w:lang w:val="fr-FR"/>
        </w:rPr>
        <w:t> :</w:t>
      </w:r>
    </w:p>
    <w:p w14:paraId="536D5ADE" w14:textId="77777777" w:rsidR="00E57C11" w:rsidRPr="00F55FCE" w:rsidRDefault="00E57C11" w:rsidP="00E57C11">
      <w:pPr>
        <w:pStyle w:val="SingleTxtG"/>
        <w:ind w:left="2268" w:hanging="1134"/>
        <w:rPr>
          <w:rFonts w:eastAsia="MS Mincho"/>
          <w:lang w:val="fr-FR"/>
        </w:rPr>
      </w:pPr>
      <w:r w:rsidRPr="00F55FCE">
        <w:rPr>
          <w:rFonts w:eastAsia="Calibri"/>
          <w:lang w:val="fr-FR"/>
        </w:rPr>
        <w:t>1.1.1</w:t>
      </w:r>
      <w:r w:rsidRPr="00F55FCE">
        <w:rPr>
          <w:rFonts w:eastAsia="Calibri"/>
          <w:lang w:val="fr-FR"/>
        </w:rPr>
        <w:tab/>
        <w:t>Le banc doit permettre de simuler la résistance à l</w:t>
      </w:r>
      <w:r>
        <w:rPr>
          <w:rFonts w:eastAsia="Calibri"/>
          <w:lang w:val="fr-FR"/>
        </w:rPr>
        <w:t>’</w:t>
      </w:r>
      <w:r w:rsidRPr="00F55FCE">
        <w:rPr>
          <w:rFonts w:eastAsia="Calibri"/>
          <w:lang w:val="fr-FR"/>
        </w:rPr>
        <w:t>avancement sur route et appartenir à l</w:t>
      </w:r>
      <w:r>
        <w:rPr>
          <w:rFonts w:eastAsia="Calibri"/>
          <w:lang w:val="fr-FR"/>
        </w:rPr>
        <w:t>’</w:t>
      </w:r>
      <w:r w:rsidRPr="00F55FCE">
        <w:rPr>
          <w:rFonts w:eastAsia="Calibri"/>
          <w:lang w:val="fr-FR"/>
        </w:rPr>
        <w:t>un des deux types suivants : ... ».</w:t>
      </w:r>
    </w:p>
    <w:p w14:paraId="2543CFBD" w14:textId="77777777" w:rsidR="00E57C11" w:rsidRPr="00F55FCE" w:rsidRDefault="00E57C11" w:rsidP="00E57C11">
      <w:pPr>
        <w:pStyle w:val="SingleTxtG"/>
        <w:rPr>
          <w:rFonts w:eastAsia="MS Mincho"/>
          <w:bCs/>
          <w:lang w:val="fr-FR"/>
        </w:rPr>
      </w:pPr>
      <w:r w:rsidRPr="00F55FCE">
        <w:rPr>
          <w:rFonts w:eastAsia="Calibri"/>
          <w:i/>
          <w:iCs/>
          <w:lang w:val="fr-FR"/>
        </w:rPr>
        <w:t>Appendice 2, paragraphe 1.2</w:t>
      </w:r>
      <w:r w:rsidRPr="00F55FCE">
        <w:rPr>
          <w:rFonts w:eastAsia="Calibri"/>
          <w:lang w:val="fr-FR"/>
        </w:rPr>
        <w:t>, lire :</w:t>
      </w:r>
    </w:p>
    <w:p w14:paraId="35855E60" w14:textId="77777777" w:rsidR="00E57C11" w:rsidRPr="00F55FCE" w:rsidRDefault="00E57C11" w:rsidP="00E57C11">
      <w:pPr>
        <w:pStyle w:val="SingleTxtG"/>
        <w:ind w:left="2268" w:hanging="1134"/>
        <w:rPr>
          <w:rFonts w:eastAsia="Calibri"/>
          <w:lang w:val="fr-FR"/>
        </w:rPr>
      </w:pPr>
      <w:r w:rsidRPr="00F55FCE">
        <w:rPr>
          <w:rFonts w:eastAsia="Calibri"/>
          <w:lang w:val="fr-FR"/>
        </w:rPr>
        <w:t>« 1.2</w:t>
      </w:r>
      <w:r w:rsidRPr="00F55FCE">
        <w:rPr>
          <w:rFonts w:eastAsia="Calibri"/>
          <w:lang w:val="fr-FR"/>
        </w:rPr>
        <w:tab/>
        <w:t>Prescriptions générales</w:t>
      </w:r>
    </w:p>
    <w:p w14:paraId="5882651C" w14:textId="77777777" w:rsidR="00E57C11" w:rsidRDefault="00E57C11" w:rsidP="00E57C11">
      <w:pPr>
        <w:pStyle w:val="SingleTxtG"/>
        <w:ind w:left="2268"/>
        <w:rPr>
          <w:rFonts w:eastAsia="Calibri"/>
          <w:lang w:val="fr-FR"/>
        </w:rPr>
      </w:pPr>
      <w:r w:rsidRPr="007F1B88">
        <w:rPr>
          <w:rFonts w:eastAsia="Calibri"/>
          <w:lang w:val="fr-FR"/>
        </w:rPr>
        <w:t>Les appareillages d</w:t>
      </w:r>
      <w:r>
        <w:rPr>
          <w:rFonts w:eastAsia="Calibri"/>
          <w:lang w:val="fr-FR"/>
        </w:rPr>
        <w:t>’</w:t>
      </w:r>
      <w:r w:rsidRPr="007F1B88">
        <w:rPr>
          <w:rFonts w:eastAsia="Calibri"/>
          <w:lang w:val="fr-FR"/>
        </w:rPr>
        <w:t>essai et de mesure doivent être conformes aux prescriptions techniques décrites dans le Règlement ONU n</w:t>
      </w:r>
      <w:r w:rsidRPr="0046347A">
        <w:rPr>
          <w:rFonts w:eastAsia="Calibri"/>
          <w:vertAlign w:val="superscript"/>
          <w:lang w:val="fr-FR"/>
        </w:rPr>
        <w:t>o</w:t>
      </w:r>
      <w:r>
        <w:rPr>
          <w:rFonts w:eastAsia="Calibri"/>
          <w:lang w:val="fr-FR"/>
        </w:rPr>
        <w:t> </w:t>
      </w:r>
      <w:r w:rsidRPr="007F1B88">
        <w:rPr>
          <w:rFonts w:eastAsia="Calibri"/>
          <w:lang w:val="fr-FR"/>
        </w:rPr>
        <w:t xml:space="preserve">154, dans sa version originale </w:t>
      </w:r>
      <w:r w:rsidRPr="001F133C">
        <w:rPr>
          <w:lang w:val="fr-FR"/>
        </w:rPr>
        <w:t>ou</w:t>
      </w:r>
      <w:r w:rsidRPr="007F1B88">
        <w:rPr>
          <w:rFonts w:eastAsia="Calibri"/>
          <w:lang w:val="fr-FR"/>
        </w:rPr>
        <w:t xml:space="preserve"> dans les séries ultérieures d</w:t>
      </w:r>
      <w:r>
        <w:rPr>
          <w:rFonts w:eastAsia="Calibri"/>
          <w:lang w:val="fr-FR"/>
        </w:rPr>
        <w:t>’</w:t>
      </w:r>
      <w:r w:rsidRPr="007F1B88">
        <w:rPr>
          <w:rFonts w:eastAsia="Calibri"/>
          <w:lang w:val="fr-FR"/>
        </w:rPr>
        <w:t>amendements, ou, à défaut, aux prescriptions suivantes</w:t>
      </w:r>
      <w:r>
        <w:rPr>
          <w:rFonts w:eastAsia="Calibri"/>
          <w:lang w:val="fr-FR"/>
        </w:rPr>
        <w:t> </w:t>
      </w:r>
      <w:r w:rsidRPr="007F1B88">
        <w:rPr>
          <w:rFonts w:eastAsia="Calibri"/>
          <w:lang w:val="fr-FR"/>
        </w:rPr>
        <w:t>:</w:t>
      </w:r>
    </w:p>
    <w:p w14:paraId="1D6DD404" w14:textId="77777777" w:rsidR="00E57C11" w:rsidRPr="00F55FCE" w:rsidRDefault="00E57C11" w:rsidP="00E57C11">
      <w:pPr>
        <w:pStyle w:val="SingleTxtG"/>
        <w:ind w:left="2268"/>
        <w:rPr>
          <w:rFonts w:eastAsia="MS PGothic"/>
          <w:color w:val="000000"/>
          <w:lang w:val="fr-FR"/>
        </w:rPr>
      </w:pPr>
      <w:r w:rsidRPr="00F55FCE">
        <w:rPr>
          <w:rFonts w:eastAsia="Calibri"/>
          <w:lang w:val="fr-FR"/>
        </w:rPr>
        <w:t>... ».</w:t>
      </w:r>
    </w:p>
    <w:p w14:paraId="196B6610" w14:textId="77777777" w:rsidR="00E57C11" w:rsidRPr="00F55FCE" w:rsidRDefault="00E57C11" w:rsidP="00E57C11">
      <w:pPr>
        <w:pStyle w:val="SingleTxtG"/>
        <w:rPr>
          <w:rFonts w:eastAsia="MS Mincho"/>
          <w:bCs/>
          <w:lang w:val="fr-FR"/>
        </w:rPr>
      </w:pPr>
      <w:r w:rsidRPr="00F55FCE">
        <w:rPr>
          <w:rFonts w:eastAsia="Calibri"/>
          <w:i/>
          <w:iCs/>
          <w:lang w:val="fr-FR"/>
        </w:rPr>
        <w:t xml:space="preserve">Appendice 3, </w:t>
      </w:r>
      <w:r w:rsidRPr="001F133C">
        <w:rPr>
          <w:i/>
          <w:iCs/>
          <w:lang w:val="fr-FR"/>
        </w:rPr>
        <w:t>paragraphe</w:t>
      </w:r>
      <w:r w:rsidRPr="00F55FCE">
        <w:rPr>
          <w:rFonts w:eastAsia="Calibri"/>
          <w:i/>
          <w:iCs/>
          <w:lang w:val="fr-FR"/>
        </w:rPr>
        <w:t xml:space="preserve"> 1</w:t>
      </w:r>
      <w:r w:rsidRPr="00F55FCE">
        <w:rPr>
          <w:rFonts w:eastAsia="Calibri"/>
          <w:lang w:val="fr-FR"/>
        </w:rPr>
        <w:t>, lire :</w:t>
      </w:r>
    </w:p>
    <w:p w14:paraId="483727AA" w14:textId="77777777" w:rsidR="00E57C11" w:rsidRPr="00F55FCE" w:rsidRDefault="00E57C11" w:rsidP="00E57C11">
      <w:pPr>
        <w:pStyle w:val="SingleTxtG"/>
        <w:ind w:left="2268" w:hanging="1134"/>
        <w:rPr>
          <w:rFonts w:eastAsia="Calibri"/>
          <w:bCs/>
          <w:lang w:val="fr-FR"/>
        </w:rPr>
      </w:pPr>
      <w:r w:rsidRPr="00F55FCE">
        <w:rPr>
          <w:rFonts w:eastAsia="Calibri"/>
          <w:lang w:val="fr-FR"/>
        </w:rPr>
        <w:t>« 1.</w:t>
      </w:r>
      <w:r w:rsidRPr="00F55FCE">
        <w:rPr>
          <w:rFonts w:eastAsia="Calibri"/>
          <w:lang w:val="fr-FR"/>
        </w:rPr>
        <w:tab/>
        <w:t>Description</w:t>
      </w:r>
    </w:p>
    <w:p w14:paraId="06F972E9" w14:textId="77777777" w:rsidR="00E57C11" w:rsidRPr="00F55FCE" w:rsidRDefault="00E57C11" w:rsidP="00E57C11">
      <w:pPr>
        <w:pStyle w:val="SingleTxtG"/>
        <w:ind w:left="2268"/>
        <w:rPr>
          <w:rFonts w:eastAsia="Calibri"/>
          <w:color w:val="000000"/>
          <w:lang w:val="fr-FR"/>
        </w:rPr>
      </w:pPr>
      <w:r w:rsidRPr="007F1B88">
        <w:rPr>
          <w:rFonts w:eastAsia="Calibri"/>
          <w:lang w:val="fr-FR"/>
        </w:rPr>
        <w:t>Les appareillages d</w:t>
      </w:r>
      <w:r>
        <w:rPr>
          <w:rFonts w:eastAsia="Calibri"/>
          <w:lang w:val="fr-FR"/>
        </w:rPr>
        <w:t>’</w:t>
      </w:r>
      <w:r w:rsidRPr="007F1B88">
        <w:rPr>
          <w:rFonts w:eastAsia="Calibri"/>
          <w:lang w:val="fr-FR"/>
        </w:rPr>
        <w:t>essai et de mesure doivent être conformes aux prescriptions techniques décrites dans le Règlement ONU n</w:t>
      </w:r>
      <w:r w:rsidRPr="00394838">
        <w:rPr>
          <w:rFonts w:eastAsia="Calibri"/>
          <w:vertAlign w:val="superscript"/>
          <w:lang w:val="fr-FR"/>
        </w:rPr>
        <w:t>o</w:t>
      </w:r>
      <w:r>
        <w:rPr>
          <w:rFonts w:eastAsia="Calibri"/>
          <w:lang w:val="fr-FR"/>
        </w:rPr>
        <w:t> </w:t>
      </w:r>
      <w:r w:rsidRPr="007F1B88">
        <w:rPr>
          <w:rFonts w:eastAsia="Calibri"/>
          <w:lang w:val="fr-FR"/>
        </w:rPr>
        <w:t xml:space="preserve">154, dans sa version originale ou </w:t>
      </w:r>
      <w:r w:rsidRPr="001F133C">
        <w:rPr>
          <w:lang w:val="fr-FR"/>
        </w:rPr>
        <w:t>dans</w:t>
      </w:r>
      <w:r w:rsidRPr="007F1B88">
        <w:rPr>
          <w:rFonts w:eastAsia="Calibri"/>
          <w:lang w:val="fr-FR"/>
        </w:rPr>
        <w:t xml:space="preserve"> les séries ultérieures d</w:t>
      </w:r>
      <w:r>
        <w:rPr>
          <w:rFonts w:eastAsia="Calibri"/>
          <w:lang w:val="fr-FR"/>
        </w:rPr>
        <w:t>’</w:t>
      </w:r>
      <w:r w:rsidRPr="007F1B88">
        <w:rPr>
          <w:rFonts w:eastAsia="Calibri"/>
          <w:lang w:val="fr-FR"/>
        </w:rPr>
        <w:t>amendements, ou, à défaut, aux prescriptions suivantes</w:t>
      </w:r>
      <w:r>
        <w:rPr>
          <w:rFonts w:eastAsia="Calibri"/>
          <w:lang w:val="fr-FR"/>
        </w:rPr>
        <w:t> </w:t>
      </w:r>
      <w:r w:rsidRPr="007F1B88">
        <w:rPr>
          <w:rFonts w:eastAsia="Calibri"/>
          <w:lang w:val="fr-FR"/>
        </w:rPr>
        <w:t>:</w:t>
      </w:r>
    </w:p>
    <w:p w14:paraId="2ABA196E" w14:textId="77777777" w:rsidR="00E57C11" w:rsidRPr="00F55FCE" w:rsidRDefault="00E57C11" w:rsidP="00E57C11">
      <w:pPr>
        <w:pStyle w:val="SingleTxtG"/>
        <w:ind w:left="2268"/>
        <w:rPr>
          <w:rFonts w:eastAsia="MS PGothic"/>
          <w:color w:val="000000"/>
          <w:lang w:val="fr-FR"/>
        </w:rPr>
      </w:pPr>
      <w:r w:rsidRPr="00F55FCE">
        <w:rPr>
          <w:rFonts w:eastAsia="Calibri"/>
          <w:lang w:val="fr-FR"/>
        </w:rPr>
        <w:t>... ».</w:t>
      </w:r>
    </w:p>
    <w:p w14:paraId="406E610F" w14:textId="77777777" w:rsidR="00E57C11" w:rsidRPr="00F55FCE" w:rsidRDefault="00E57C11" w:rsidP="00E57C11">
      <w:pPr>
        <w:pStyle w:val="SingleTxtG"/>
        <w:rPr>
          <w:rFonts w:eastAsia="MS Mincho"/>
          <w:bCs/>
          <w:lang w:val="fr-FR"/>
        </w:rPr>
      </w:pPr>
      <w:r w:rsidRPr="00F55FCE">
        <w:rPr>
          <w:rFonts w:eastAsia="Calibri"/>
          <w:i/>
          <w:iCs/>
          <w:lang w:val="fr-FR"/>
        </w:rPr>
        <w:t xml:space="preserve">Appendice 4, </w:t>
      </w:r>
      <w:r w:rsidRPr="001F133C">
        <w:rPr>
          <w:i/>
          <w:iCs/>
          <w:lang w:val="fr-FR"/>
        </w:rPr>
        <w:t>paragraphe</w:t>
      </w:r>
      <w:r w:rsidRPr="00F55FCE">
        <w:rPr>
          <w:rFonts w:eastAsia="Calibri"/>
          <w:i/>
          <w:iCs/>
          <w:lang w:val="fr-FR"/>
        </w:rPr>
        <w:t xml:space="preserve"> 1</w:t>
      </w:r>
      <w:r w:rsidRPr="00F55FCE">
        <w:rPr>
          <w:rFonts w:eastAsia="Calibri"/>
          <w:lang w:val="fr-FR"/>
        </w:rPr>
        <w:t>, lire :</w:t>
      </w:r>
    </w:p>
    <w:p w14:paraId="658E5CF4" w14:textId="77777777" w:rsidR="00E57C11" w:rsidRPr="00F55FCE" w:rsidRDefault="00E57C11" w:rsidP="00E57C11">
      <w:pPr>
        <w:pStyle w:val="SingleTxtG"/>
        <w:ind w:left="2268" w:hanging="1134"/>
        <w:rPr>
          <w:rFonts w:eastAsia="Calibri"/>
          <w:bCs/>
          <w:lang w:val="fr-FR"/>
        </w:rPr>
      </w:pPr>
      <w:r w:rsidRPr="00F55FCE">
        <w:rPr>
          <w:rFonts w:eastAsia="Calibri"/>
          <w:lang w:val="fr-FR"/>
        </w:rPr>
        <w:t>« 1.</w:t>
      </w:r>
      <w:r w:rsidRPr="00F55FCE">
        <w:rPr>
          <w:rFonts w:eastAsia="Calibri"/>
          <w:lang w:val="fr-FR"/>
        </w:rPr>
        <w:tab/>
        <w:t>Description</w:t>
      </w:r>
    </w:p>
    <w:p w14:paraId="2190FB0C" w14:textId="77777777" w:rsidR="00E57C11" w:rsidRPr="00F55FCE" w:rsidRDefault="00E57C11" w:rsidP="00E57C11">
      <w:pPr>
        <w:pStyle w:val="SingleTxtG"/>
        <w:ind w:left="2268"/>
        <w:rPr>
          <w:rFonts w:eastAsia="Calibri"/>
          <w:color w:val="000000"/>
          <w:lang w:val="fr-FR"/>
        </w:rPr>
      </w:pPr>
      <w:r w:rsidRPr="007F1B88">
        <w:rPr>
          <w:rFonts w:eastAsia="Calibri"/>
          <w:lang w:val="fr-FR"/>
        </w:rPr>
        <w:t>Les appareillages d</w:t>
      </w:r>
      <w:r>
        <w:rPr>
          <w:rFonts w:eastAsia="Calibri"/>
          <w:lang w:val="fr-FR"/>
        </w:rPr>
        <w:t>’</w:t>
      </w:r>
      <w:r w:rsidRPr="007F1B88">
        <w:rPr>
          <w:rFonts w:eastAsia="Calibri"/>
          <w:lang w:val="fr-FR"/>
        </w:rPr>
        <w:t xml:space="preserve">essai et de mesure doivent être </w:t>
      </w:r>
      <w:r w:rsidRPr="001F133C">
        <w:rPr>
          <w:lang w:val="fr-FR"/>
        </w:rPr>
        <w:t>conformes</w:t>
      </w:r>
      <w:r w:rsidRPr="007F1B88">
        <w:rPr>
          <w:rFonts w:eastAsia="Calibri"/>
          <w:lang w:val="fr-FR"/>
        </w:rPr>
        <w:t xml:space="preserve"> aux prescriptions techniques décrites dans le Règlement ONU n</w:t>
      </w:r>
      <w:r w:rsidRPr="00394838">
        <w:rPr>
          <w:rFonts w:eastAsia="Calibri"/>
          <w:vertAlign w:val="superscript"/>
          <w:lang w:val="fr-FR"/>
        </w:rPr>
        <w:t>o</w:t>
      </w:r>
      <w:r>
        <w:rPr>
          <w:rFonts w:eastAsia="Calibri"/>
          <w:lang w:val="fr-FR"/>
        </w:rPr>
        <w:t> </w:t>
      </w:r>
      <w:r w:rsidRPr="007F1B88">
        <w:rPr>
          <w:rFonts w:eastAsia="Calibri"/>
          <w:lang w:val="fr-FR"/>
        </w:rPr>
        <w:t>154, dans sa version originale ou dans les séries ultérieures d</w:t>
      </w:r>
      <w:r>
        <w:rPr>
          <w:rFonts w:eastAsia="Calibri"/>
          <w:lang w:val="fr-FR"/>
        </w:rPr>
        <w:t>’</w:t>
      </w:r>
      <w:r w:rsidRPr="007F1B88">
        <w:rPr>
          <w:rFonts w:eastAsia="Calibri"/>
          <w:lang w:val="fr-FR"/>
        </w:rPr>
        <w:t>amendements, ou, à défaut, aux prescriptions suivantes</w:t>
      </w:r>
      <w:r>
        <w:rPr>
          <w:rFonts w:eastAsia="Calibri"/>
          <w:lang w:val="fr-FR"/>
        </w:rPr>
        <w:t> </w:t>
      </w:r>
      <w:r w:rsidRPr="007F1B88">
        <w:rPr>
          <w:rFonts w:eastAsia="Calibri"/>
          <w:lang w:val="fr-FR"/>
        </w:rPr>
        <w:t>:</w:t>
      </w:r>
    </w:p>
    <w:p w14:paraId="51FBBF3E" w14:textId="77777777" w:rsidR="00E57C11" w:rsidRPr="00F55FCE" w:rsidRDefault="00E57C11" w:rsidP="00E57C11">
      <w:pPr>
        <w:pStyle w:val="SingleTxtG"/>
        <w:ind w:left="2268"/>
        <w:rPr>
          <w:rFonts w:eastAsia="MS PGothic"/>
          <w:color w:val="000000"/>
          <w:lang w:val="fr-FR"/>
        </w:rPr>
      </w:pPr>
      <w:r w:rsidRPr="00F55FCE">
        <w:rPr>
          <w:rFonts w:eastAsia="Calibri"/>
          <w:lang w:val="fr-FR"/>
        </w:rPr>
        <w:t>... ».</w:t>
      </w:r>
    </w:p>
    <w:p w14:paraId="41E49D18" w14:textId="77777777" w:rsidR="00E57C11" w:rsidRPr="00F55FCE" w:rsidRDefault="00E57C11" w:rsidP="00E57C11">
      <w:pPr>
        <w:pStyle w:val="SingleTxtG"/>
        <w:rPr>
          <w:rFonts w:eastAsia="MS Mincho"/>
          <w:bCs/>
          <w:lang w:val="fr-FR"/>
        </w:rPr>
      </w:pPr>
      <w:r w:rsidRPr="00F55FCE">
        <w:rPr>
          <w:rFonts w:eastAsia="Calibri"/>
          <w:i/>
          <w:iCs/>
          <w:lang w:val="fr-FR"/>
        </w:rPr>
        <w:t xml:space="preserve">Appendice 5, </w:t>
      </w:r>
      <w:r w:rsidRPr="001F133C">
        <w:rPr>
          <w:i/>
          <w:iCs/>
          <w:lang w:val="fr-FR"/>
        </w:rPr>
        <w:t>paragraphe</w:t>
      </w:r>
      <w:r w:rsidRPr="00F55FCE">
        <w:rPr>
          <w:rFonts w:eastAsia="Calibri"/>
          <w:i/>
          <w:iCs/>
          <w:lang w:val="fr-FR"/>
        </w:rPr>
        <w:t xml:space="preserve"> 1</w:t>
      </w:r>
      <w:r w:rsidRPr="00F55FCE">
        <w:rPr>
          <w:rFonts w:eastAsia="Calibri"/>
          <w:lang w:val="fr-FR"/>
        </w:rPr>
        <w:t>, lire :</w:t>
      </w:r>
    </w:p>
    <w:p w14:paraId="7A6B66F3" w14:textId="77777777" w:rsidR="00E57C11" w:rsidRPr="00F55FCE" w:rsidRDefault="00E57C11" w:rsidP="00E57C11">
      <w:pPr>
        <w:pStyle w:val="SingleTxtG"/>
        <w:ind w:left="2268" w:hanging="1134"/>
        <w:rPr>
          <w:rFonts w:eastAsia="Calibri"/>
          <w:bCs/>
          <w:lang w:val="fr-FR"/>
        </w:rPr>
      </w:pPr>
      <w:r w:rsidRPr="00F55FCE">
        <w:rPr>
          <w:rFonts w:eastAsia="Calibri"/>
          <w:lang w:val="fr-FR"/>
        </w:rPr>
        <w:t>« 1.</w:t>
      </w:r>
      <w:r w:rsidRPr="00F55FCE">
        <w:rPr>
          <w:rFonts w:eastAsia="Calibri"/>
          <w:lang w:val="fr-FR"/>
        </w:rPr>
        <w:tab/>
        <w:t>Description</w:t>
      </w:r>
    </w:p>
    <w:p w14:paraId="05597231" w14:textId="77777777" w:rsidR="00E57C11" w:rsidRPr="00F55FCE" w:rsidRDefault="00E57C11" w:rsidP="00E57C11">
      <w:pPr>
        <w:pStyle w:val="SingleTxtG"/>
        <w:ind w:left="2268"/>
        <w:rPr>
          <w:rFonts w:eastAsia="Calibri"/>
          <w:color w:val="000000"/>
          <w:lang w:val="fr-FR"/>
        </w:rPr>
      </w:pPr>
      <w:r w:rsidRPr="007F1B88">
        <w:rPr>
          <w:rFonts w:eastAsia="Calibri"/>
          <w:lang w:val="fr-FR"/>
        </w:rPr>
        <w:t>Les appareillages d</w:t>
      </w:r>
      <w:r>
        <w:rPr>
          <w:rFonts w:eastAsia="Calibri"/>
          <w:lang w:val="fr-FR"/>
        </w:rPr>
        <w:t>’</w:t>
      </w:r>
      <w:r w:rsidRPr="007F1B88">
        <w:rPr>
          <w:rFonts w:eastAsia="Calibri"/>
          <w:lang w:val="fr-FR"/>
        </w:rPr>
        <w:t>essai et de mesure doivent être conformes aux prescriptions techniques décrites dans le Règlement ONU n</w:t>
      </w:r>
      <w:r w:rsidRPr="00394838">
        <w:rPr>
          <w:rFonts w:eastAsia="Calibri"/>
          <w:vertAlign w:val="superscript"/>
          <w:lang w:val="fr-FR"/>
        </w:rPr>
        <w:t>o</w:t>
      </w:r>
      <w:r>
        <w:rPr>
          <w:rFonts w:eastAsia="Calibri"/>
          <w:lang w:val="fr-FR"/>
        </w:rPr>
        <w:t> </w:t>
      </w:r>
      <w:r w:rsidRPr="007F1B88">
        <w:rPr>
          <w:rFonts w:eastAsia="Calibri"/>
          <w:lang w:val="fr-FR"/>
        </w:rPr>
        <w:t xml:space="preserve">154, dans sa version </w:t>
      </w:r>
      <w:r w:rsidRPr="001F133C">
        <w:rPr>
          <w:lang w:val="fr-FR"/>
        </w:rPr>
        <w:t>originale</w:t>
      </w:r>
      <w:r w:rsidRPr="007F1B88">
        <w:rPr>
          <w:rFonts w:eastAsia="Calibri"/>
          <w:lang w:val="fr-FR"/>
        </w:rPr>
        <w:t xml:space="preserve"> ou dans les séries ultérieures d</w:t>
      </w:r>
      <w:r>
        <w:rPr>
          <w:rFonts w:eastAsia="Calibri"/>
          <w:lang w:val="fr-FR"/>
        </w:rPr>
        <w:t>’</w:t>
      </w:r>
      <w:r w:rsidRPr="007F1B88">
        <w:rPr>
          <w:rFonts w:eastAsia="Calibri"/>
          <w:lang w:val="fr-FR"/>
        </w:rPr>
        <w:t>amendements, ou, à défaut, aux prescriptions suivantes</w:t>
      </w:r>
      <w:r>
        <w:rPr>
          <w:rFonts w:eastAsia="Calibri"/>
          <w:lang w:val="fr-FR"/>
        </w:rPr>
        <w:t> </w:t>
      </w:r>
      <w:r w:rsidRPr="007F1B88">
        <w:rPr>
          <w:rFonts w:eastAsia="Calibri"/>
          <w:lang w:val="fr-FR"/>
        </w:rPr>
        <w:t>:</w:t>
      </w:r>
    </w:p>
    <w:p w14:paraId="537E634B" w14:textId="77777777" w:rsidR="00E57C11" w:rsidRPr="00F55FCE" w:rsidRDefault="00E57C11" w:rsidP="00E57C11">
      <w:pPr>
        <w:pStyle w:val="SingleTxtG"/>
        <w:ind w:left="2268"/>
        <w:rPr>
          <w:rFonts w:eastAsia="Yu Gothic"/>
          <w:color w:val="000000"/>
          <w:kern w:val="2"/>
          <w:lang w:val="fr-FR"/>
        </w:rPr>
      </w:pPr>
      <w:r w:rsidRPr="00F55FCE">
        <w:rPr>
          <w:rFonts w:eastAsia="Calibri"/>
          <w:lang w:val="fr-FR"/>
        </w:rPr>
        <w:t>... ».</w:t>
      </w:r>
    </w:p>
    <w:p w14:paraId="32B41581" w14:textId="77777777" w:rsidR="00E57C11" w:rsidRPr="00F55FCE" w:rsidRDefault="00E57C11" w:rsidP="00E57C11">
      <w:pPr>
        <w:pStyle w:val="SingleTxtG"/>
        <w:rPr>
          <w:rFonts w:eastAsia="MS Mincho"/>
          <w:bCs/>
          <w:lang w:val="fr-FR"/>
        </w:rPr>
      </w:pPr>
      <w:r w:rsidRPr="00F55FCE">
        <w:rPr>
          <w:rFonts w:eastAsia="Calibri"/>
          <w:i/>
          <w:iCs/>
          <w:lang w:val="fr-FR"/>
        </w:rPr>
        <w:t xml:space="preserve">Appendice 6, </w:t>
      </w:r>
      <w:r w:rsidRPr="001F133C">
        <w:rPr>
          <w:i/>
          <w:iCs/>
          <w:lang w:val="fr-FR"/>
        </w:rPr>
        <w:t>paragraphe</w:t>
      </w:r>
      <w:r w:rsidRPr="00F55FCE">
        <w:rPr>
          <w:rFonts w:eastAsia="Calibri"/>
          <w:i/>
          <w:iCs/>
          <w:lang w:val="fr-FR"/>
        </w:rPr>
        <w:t xml:space="preserve"> 1</w:t>
      </w:r>
      <w:r w:rsidRPr="00F55FCE">
        <w:rPr>
          <w:rFonts w:eastAsia="Calibri"/>
          <w:lang w:val="fr-FR"/>
        </w:rPr>
        <w:t>, lire :</w:t>
      </w:r>
    </w:p>
    <w:p w14:paraId="41A9C6DC" w14:textId="77777777" w:rsidR="00E57C11" w:rsidRPr="00F55FCE" w:rsidRDefault="00E57C11" w:rsidP="00E57C11">
      <w:pPr>
        <w:pStyle w:val="SingleTxtG"/>
        <w:ind w:left="2268" w:hanging="1134"/>
        <w:rPr>
          <w:rFonts w:eastAsia="MS Mincho"/>
          <w:lang w:val="fr-FR"/>
        </w:rPr>
      </w:pPr>
      <w:r w:rsidRPr="00F55FCE">
        <w:rPr>
          <w:rFonts w:eastAsia="Calibri"/>
          <w:lang w:val="fr-FR"/>
        </w:rPr>
        <w:t>« 1.</w:t>
      </w:r>
      <w:r w:rsidRPr="00F55FCE">
        <w:rPr>
          <w:rFonts w:eastAsia="Calibri"/>
          <w:lang w:val="fr-FR"/>
        </w:rPr>
        <w:tab/>
        <w:t>Objet</w:t>
      </w:r>
    </w:p>
    <w:p w14:paraId="293ECD53" w14:textId="77777777" w:rsidR="00E57C11" w:rsidRPr="00F55FCE" w:rsidRDefault="00E57C11" w:rsidP="00E57C11">
      <w:pPr>
        <w:pStyle w:val="SingleTxtG"/>
        <w:ind w:left="2268"/>
        <w:rPr>
          <w:rFonts w:eastAsia="MS Mincho"/>
          <w:lang w:val="fr-FR"/>
        </w:rPr>
      </w:pPr>
      <w:r w:rsidRPr="00F55FCE">
        <w:rPr>
          <w:rFonts w:eastAsia="Calibri"/>
          <w:lang w:val="fr-FR"/>
        </w:rPr>
        <w:t>La méthode décrite dans le présent appendice permet de vérifier que l</w:t>
      </w:r>
      <w:r>
        <w:rPr>
          <w:rFonts w:eastAsia="Calibri"/>
          <w:lang w:val="fr-FR"/>
        </w:rPr>
        <w:t>’</w:t>
      </w:r>
      <w:r w:rsidRPr="00F55FCE">
        <w:rPr>
          <w:rFonts w:eastAsia="Calibri"/>
          <w:lang w:val="fr-FR"/>
        </w:rPr>
        <w:t xml:space="preserve">inertie totale du banc simule de manière satisfaisante les valeurs réelles au cours des </w:t>
      </w:r>
      <w:r w:rsidRPr="001F133C">
        <w:rPr>
          <w:lang w:val="fr-FR"/>
        </w:rPr>
        <w:t>diverses</w:t>
      </w:r>
      <w:r w:rsidRPr="00F55FCE">
        <w:rPr>
          <w:rFonts w:eastAsia="Calibri"/>
          <w:lang w:val="fr-FR"/>
        </w:rPr>
        <w:t xml:space="preserve"> phases du cycle d</w:t>
      </w:r>
      <w:r>
        <w:rPr>
          <w:rFonts w:eastAsia="Calibri"/>
          <w:lang w:val="fr-FR"/>
        </w:rPr>
        <w:t>’</w:t>
      </w:r>
      <w:r w:rsidRPr="00F55FCE">
        <w:rPr>
          <w:rFonts w:eastAsia="Calibri"/>
          <w:lang w:val="fr-FR"/>
        </w:rPr>
        <w:t xml:space="preserve">essai. Le </w:t>
      </w:r>
      <w:r>
        <w:rPr>
          <w:rFonts w:eastAsia="Calibri"/>
          <w:lang w:val="fr-FR"/>
        </w:rPr>
        <w:t>fabricant</w:t>
      </w:r>
      <w:r w:rsidRPr="00F55FCE">
        <w:rPr>
          <w:rFonts w:eastAsia="Calibri"/>
          <w:lang w:val="fr-FR"/>
        </w:rPr>
        <w:t xml:space="preserve"> du banc doit indiquer une méthode permettant de vérifier que les prescriptions du paragraphe 3 du présent appendice sont respectées.</w:t>
      </w:r>
    </w:p>
    <w:p w14:paraId="6957B61A" w14:textId="77777777" w:rsidR="00E57C11" w:rsidRPr="00F55FCE" w:rsidRDefault="00E57C11" w:rsidP="00E57C11">
      <w:pPr>
        <w:pStyle w:val="SingleTxtG"/>
        <w:ind w:left="2268"/>
        <w:rPr>
          <w:rFonts w:eastAsia="MS Mincho"/>
          <w:lang w:val="fr-FR"/>
        </w:rPr>
      </w:pPr>
      <w:r w:rsidRPr="00F55FCE">
        <w:rPr>
          <w:rFonts w:eastAsia="Calibri"/>
          <w:lang w:val="fr-FR"/>
        </w:rPr>
        <w:t>Si l</w:t>
      </w:r>
      <w:r>
        <w:rPr>
          <w:rFonts w:eastAsia="Calibri"/>
          <w:lang w:val="fr-FR"/>
        </w:rPr>
        <w:t>’</w:t>
      </w:r>
      <w:r w:rsidRPr="00F55FCE">
        <w:rPr>
          <w:rFonts w:eastAsia="Calibri"/>
          <w:lang w:val="fr-FR"/>
        </w:rPr>
        <w:t xml:space="preserve">appareillage est conforme aux </w:t>
      </w:r>
      <w:r w:rsidRPr="001F133C">
        <w:rPr>
          <w:lang w:val="fr-FR"/>
        </w:rPr>
        <w:t>prescriptions</w:t>
      </w:r>
      <w:r w:rsidRPr="00F55FCE">
        <w:rPr>
          <w:rFonts w:eastAsia="Calibri"/>
          <w:lang w:val="fr-FR"/>
        </w:rPr>
        <w:t xml:space="preserve"> du Règlement ONU n</w:t>
      </w:r>
      <w:r w:rsidRPr="00F55FCE">
        <w:rPr>
          <w:rFonts w:eastAsia="Calibri"/>
          <w:vertAlign w:val="superscript"/>
          <w:lang w:val="fr-FR"/>
        </w:rPr>
        <w:t>o</w:t>
      </w:r>
      <w:r w:rsidRPr="00F55FCE">
        <w:rPr>
          <w:rFonts w:eastAsia="Calibri"/>
          <w:lang w:val="fr-FR"/>
        </w:rPr>
        <w:t> 154, ces dispositions peuvent ne pas s</w:t>
      </w:r>
      <w:r>
        <w:rPr>
          <w:rFonts w:eastAsia="Calibri"/>
          <w:lang w:val="fr-FR"/>
        </w:rPr>
        <w:t>’</w:t>
      </w:r>
      <w:r w:rsidRPr="00F55FCE">
        <w:rPr>
          <w:rFonts w:eastAsia="Calibri"/>
          <w:lang w:val="fr-FR"/>
        </w:rPr>
        <w:t>appliquer. ».</w:t>
      </w:r>
    </w:p>
    <w:p w14:paraId="64F1F230" w14:textId="77777777" w:rsidR="00E57C11" w:rsidRPr="00F55FCE" w:rsidRDefault="00E57C11" w:rsidP="00E57C11">
      <w:pPr>
        <w:pStyle w:val="SingleTxtG"/>
        <w:rPr>
          <w:rFonts w:eastAsia="Calibri"/>
          <w:i/>
          <w:iCs/>
          <w:lang w:val="fr-FR"/>
        </w:rPr>
      </w:pPr>
      <w:r w:rsidRPr="001F133C">
        <w:rPr>
          <w:i/>
          <w:iCs/>
          <w:lang w:val="fr-FR"/>
        </w:rPr>
        <w:lastRenderedPageBreak/>
        <w:t>Annexe</w:t>
      </w:r>
      <w:r w:rsidRPr="00F55FCE">
        <w:rPr>
          <w:rFonts w:eastAsia="Calibri"/>
          <w:i/>
          <w:iCs/>
          <w:lang w:val="fr-FR"/>
        </w:rPr>
        <w:t xml:space="preserve"> 7</w:t>
      </w:r>
    </w:p>
    <w:p w14:paraId="30E5071C" w14:textId="77777777" w:rsidR="00E57C11" w:rsidRPr="00F55FCE" w:rsidRDefault="00E57C11" w:rsidP="00E57C11">
      <w:pPr>
        <w:pStyle w:val="SingleTxtG"/>
        <w:rPr>
          <w:rFonts w:eastAsia="Calibri"/>
          <w:lang w:val="fr-FR"/>
        </w:rPr>
      </w:pPr>
      <w:r w:rsidRPr="001F133C">
        <w:rPr>
          <w:i/>
          <w:iCs/>
          <w:lang w:val="fr-FR"/>
        </w:rPr>
        <w:t>Paragraphe</w:t>
      </w:r>
      <w:r w:rsidRPr="00F55FCE">
        <w:rPr>
          <w:rFonts w:eastAsia="Calibri"/>
          <w:i/>
          <w:iCs/>
          <w:lang w:val="fr-FR"/>
        </w:rPr>
        <w:t xml:space="preserve"> 4</w:t>
      </w:r>
      <w:r w:rsidRPr="00F55FCE">
        <w:rPr>
          <w:rFonts w:eastAsia="Calibri"/>
          <w:lang w:val="fr-FR"/>
        </w:rPr>
        <w:t>, lire :</w:t>
      </w:r>
    </w:p>
    <w:p w14:paraId="5D4E97AF" w14:textId="77777777" w:rsidR="00E57C11" w:rsidRPr="00F55FCE" w:rsidRDefault="00E57C11" w:rsidP="00E57C11">
      <w:pPr>
        <w:pStyle w:val="SingleTxtG"/>
        <w:ind w:left="2268" w:hanging="1134"/>
        <w:rPr>
          <w:rFonts w:eastAsia="Calibri"/>
          <w:i/>
          <w:iCs/>
          <w:lang w:val="fr-FR"/>
        </w:rPr>
      </w:pPr>
      <w:r w:rsidRPr="00F55FCE">
        <w:rPr>
          <w:rFonts w:eastAsia="Calibri"/>
          <w:lang w:val="fr-FR"/>
        </w:rPr>
        <w:t>« 4.</w:t>
      </w:r>
      <w:r w:rsidRPr="00F55FCE">
        <w:rPr>
          <w:rFonts w:eastAsia="Calibri"/>
          <w:lang w:val="fr-FR"/>
        </w:rPr>
        <w:tab/>
        <w:t>Appareillage pour l</w:t>
      </w:r>
      <w:r>
        <w:rPr>
          <w:rFonts w:eastAsia="Calibri"/>
          <w:lang w:val="fr-FR"/>
        </w:rPr>
        <w:t>’</w:t>
      </w:r>
      <w:r w:rsidRPr="00F55FCE">
        <w:rPr>
          <w:rFonts w:eastAsia="Calibri"/>
          <w:lang w:val="fr-FR"/>
        </w:rPr>
        <w:t>essai d</w:t>
      </w:r>
      <w:r>
        <w:rPr>
          <w:rFonts w:eastAsia="Calibri"/>
          <w:lang w:val="fr-FR"/>
        </w:rPr>
        <w:t>’</w:t>
      </w:r>
      <w:r w:rsidRPr="00F55FCE">
        <w:rPr>
          <w:rFonts w:eastAsia="Calibri"/>
          <w:lang w:val="fr-FR"/>
        </w:rPr>
        <w:t>émissions par évaporation</w:t>
      </w:r>
    </w:p>
    <w:p w14:paraId="2B1DFE99" w14:textId="77777777" w:rsidR="00E57C11" w:rsidRPr="00F55FCE" w:rsidRDefault="00E57C11" w:rsidP="00E57C11">
      <w:pPr>
        <w:pStyle w:val="SingleTxtG"/>
        <w:ind w:left="2268"/>
        <w:rPr>
          <w:rFonts w:eastAsia="Yu Gothic"/>
          <w:color w:val="000000"/>
          <w:kern w:val="2"/>
          <w:lang w:val="fr-FR"/>
        </w:rPr>
      </w:pPr>
      <w:r w:rsidRPr="007C05FC">
        <w:rPr>
          <w:rFonts w:eastAsia="Calibri"/>
          <w:lang w:val="fr-FR"/>
        </w:rPr>
        <w:t>Les appareillages d</w:t>
      </w:r>
      <w:r>
        <w:rPr>
          <w:rFonts w:eastAsia="Calibri"/>
          <w:lang w:val="fr-FR"/>
        </w:rPr>
        <w:t>’</w:t>
      </w:r>
      <w:r w:rsidRPr="007C05FC">
        <w:rPr>
          <w:rFonts w:eastAsia="Calibri"/>
          <w:lang w:val="fr-FR"/>
        </w:rPr>
        <w:t>essai et de mesure doivent être conformes aux prescriptions techniques décrites dans le Règlement ONU n</w:t>
      </w:r>
      <w:r w:rsidRPr="00394838">
        <w:rPr>
          <w:rFonts w:eastAsia="Calibri"/>
          <w:vertAlign w:val="superscript"/>
          <w:lang w:val="fr-FR"/>
        </w:rPr>
        <w:t>o</w:t>
      </w:r>
      <w:r>
        <w:rPr>
          <w:rFonts w:eastAsia="Calibri"/>
          <w:lang w:val="fr-FR"/>
        </w:rPr>
        <w:t> </w:t>
      </w:r>
      <w:r w:rsidRPr="007C05FC">
        <w:rPr>
          <w:rFonts w:eastAsia="Calibri"/>
          <w:lang w:val="fr-FR"/>
        </w:rPr>
        <w:t xml:space="preserve">154, dans sa version originale ou dans les séries ultérieures </w:t>
      </w:r>
      <w:r w:rsidRPr="001F133C">
        <w:rPr>
          <w:lang w:val="fr-FR"/>
        </w:rPr>
        <w:t>d</w:t>
      </w:r>
      <w:r>
        <w:rPr>
          <w:lang w:val="fr-FR"/>
        </w:rPr>
        <w:t>’</w:t>
      </w:r>
      <w:r w:rsidRPr="001F133C">
        <w:rPr>
          <w:lang w:val="fr-FR"/>
        </w:rPr>
        <w:t>amendements</w:t>
      </w:r>
      <w:r w:rsidRPr="007C05FC">
        <w:rPr>
          <w:rFonts w:eastAsia="Calibri"/>
          <w:lang w:val="fr-FR"/>
        </w:rPr>
        <w:t>, ou, à défaut, aux prescriptions suivantes</w:t>
      </w:r>
      <w:r>
        <w:rPr>
          <w:rFonts w:eastAsia="Calibri"/>
          <w:lang w:val="fr-FR"/>
        </w:rPr>
        <w:t> </w:t>
      </w:r>
      <w:r w:rsidRPr="007C05FC">
        <w:rPr>
          <w:rFonts w:eastAsia="Calibri"/>
          <w:lang w:val="fr-FR"/>
        </w:rPr>
        <w:t>:</w:t>
      </w:r>
    </w:p>
    <w:p w14:paraId="38BD0E3F" w14:textId="77777777" w:rsidR="00E57C11" w:rsidRPr="00F55FCE" w:rsidRDefault="00E57C11" w:rsidP="00E57C11">
      <w:pPr>
        <w:pStyle w:val="SingleTxtG"/>
        <w:ind w:left="2268" w:hanging="1134"/>
        <w:rPr>
          <w:rFonts w:eastAsia="MS Mincho"/>
          <w:lang w:val="fr-FR"/>
        </w:rPr>
      </w:pPr>
      <w:r w:rsidRPr="00F55FCE">
        <w:rPr>
          <w:rFonts w:eastAsia="Calibri"/>
          <w:lang w:val="fr-FR"/>
        </w:rPr>
        <w:t>4.1</w:t>
      </w:r>
      <w:r w:rsidRPr="00F55FCE">
        <w:rPr>
          <w:rFonts w:eastAsia="Calibri"/>
          <w:lang w:val="fr-FR"/>
        </w:rPr>
        <w:tab/>
        <w:t>Banc à rouleaux</w:t>
      </w:r>
    </w:p>
    <w:p w14:paraId="47D8587C" w14:textId="77777777" w:rsidR="00E57C11" w:rsidRPr="00F55FCE" w:rsidRDefault="00E57C11" w:rsidP="00E57C11">
      <w:pPr>
        <w:pStyle w:val="SingleTxtG"/>
        <w:ind w:left="2268"/>
        <w:rPr>
          <w:rFonts w:eastAsia="Calibri"/>
          <w:lang w:val="fr-FR"/>
        </w:rPr>
      </w:pPr>
      <w:r w:rsidRPr="00F55FCE">
        <w:rPr>
          <w:rFonts w:eastAsia="Calibri"/>
          <w:lang w:val="fr-FR"/>
        </w:rPr>
        <w:t xml:space="preserve">Le banc à rouleaux doit être conforme aux </w:t>
      </w:r>
      <w:r>
        <w:rPr>
          <w:rFonts w:eastAsia="Calibri"/>
          <w:lang w:val="fr-FR"/>
        </w:rPr>
        <w:t>prescriptions</w:t>
      </w:r>
      <w:r w:rsidRPr="00F55FCE">
        <w:rPr>
          <w:rFonts w:eastAsia="Calibri"/>
          <w:lang w:val="fr-FR"/>
        </w:rPr>
        <w:t xml:space="preserve"> de </w:t>
      </w:r>
      <w:r w:rsidRPr="001F133C">
        <w:rPr>
          <w:lang w:val="fr-FR"/>
        </w:rPr>
        <w:t>l</w:t>
      </w:r>
      <w:r>
        <w:rPr>
          <w:lang w:val="fr-FR"/>
        </w:rPr>
        <w:t>’</w:t>
      </w:r>
      <w:r w:rsidRPr="001F133C">
        <w:rPr>
          <w:lang w:val="fr-FR"/>
        </w:rPr>
        <w:t>appendice</w:t>
      </w:r>
      <w:r w:rsidRPr="00F55FCE">
        <w:rPr>
          <w:rFonts w:eastAsia="Calibri"/>
          <w:lang w:val="fr-FR"/>
        </w:rPr>
        <w:t> 1 de l</w:t>
      </w:r>
      <w:r>
        <w:rPr>
          <w:rFonts w:eastAsia="Calibri"/>
          <w:lang w:val="fr-FR"/>
        </w:rPr>
        <w:t>’</w:t>
      </w:r>
      <w:r w:rsidRPr="00F55FCE">
        <w:rPr>
          <w:rFonts w:eastAsia="Calibri"/>
          <w:lang w:val="fr-FR"/>
        </w:rPr>
        <w:t>annexe 4a du présent Règlement.</w:t>
      </w:r>
    </w:p>
    <w:p w14:paraId="51C75F78" w14:textId="77777777" w:rsidR="00E57C11" w:rsidRPr="00F55FCE" w:rsidRDefault="00E57C11" w:rsidP="00E57C11">
      <w:pPr>
        <w:pStyle w:val="SingleTxtG"/>
        <w:ind w:left="2268"/>
        <w:rPr>
          <w:rFonts w:eastAsia="Calibri"/>
          <w:lang w:val="fr-FR"/>
        </w:rPr>
      </w:pPr>
      <w:r w:rsidRPr="00F55FCE">
        <w:rPr>
          <w:rFonts w:eastAsia="Calibri"/>
          <w:lang w:val="fr-FR"/>
        </w:rPr>
        <w:t>... ».</w:t>
      </w:r>
    </w:p>
    <w:p w14:paraId="68A650F0" w14:textId="77777777" w:rsidR="00E57C11" w:rsidRPr="00F55FCE" w:rsidRDefault="00E57C11" w:rsidP="00E57C11">
      <w:pPr>
        <w:pStyle w:val="SingleTxtG"/>
        <w:rPr>
          <w:rFonts w:eastAsia="Calibri"/>
          <w:lang w:val="fr-FR"/>
        </w:rPr>
      </w:pPr>
      <w:r w:rsidRPr="001F133C">
        <w:rPr>
          <w:i/>
          <w:iCs/>
          <w:lang w:val="fr-FR"/>
        </w:rPr>
        <w:t>Appendice</w:t>
      </w:r>
      <w:r w:rsidRPr="00F55FCE">
        <w:rPr>
          <w:rFonts w:eastAsia="Calibri"/>
          <w:i/>
          <w:iCs/>
          <w:lang w:val="fr-FR"/>
        </w:rPr>
        <w:t> 1, paragraphe 1</w:t>
      </w:r>
      <w:r w:rsidRPr="00F55FCE">
        <w:rPr>
          <w:rFonts w:eastAsia="Calibri"/>
          <w:lang w:val="fr-FR"/>
        </w:rPr>
        <w:t>, lire :</w:t>
      </w:r>
    </w:p>
    <w:p w14:paraId="4F7BF8EE" w14:textId="77777777" w:rsidR="00E57C11" w:rsidRPr="00F55FCE" w:rsidRDefault="00E57C11" w:rsidP="00E57C11">
      <w:pPr>
        <w:pStyle w:val="SingleTxtG"/>
        <w:ind w:left="2268" w:hanging="1134"/>
        <w:rPr>
          <w:rFonts w:eastAsia="Calibri"/>
          <w:lang w:val="fr-FR"/>
        </w:rPr>
      </w:pPr>
      <w:r w:rsidRPr="00F55FCE">
        <w:rPr>
          <w:rFonts w:eastAsia="Calibri"/>
          <w:lang w:val="fr-FR"/>
        </w:rPr>
        <w:t>« 1.</w:t>
      </w:r>
      <w:r w:rsidRPr="00F55FCE">
        <w:rPr>
          <w:rFonts w:eastAsia="Calibri"/>
          <w:lang w:val="fr-FR"/>
        </w:rPr>
        <w:tab/>
        <w:t>Fréquence et méthode d</w:t>
      </w:r>
      <w:r>
        <w:rPr>
          <w:rFonts w:eastAsia="Calibri"/>
          <w:lang w:val="fr-FR"/>
        </w:rPr>
        <w:t>’</w:t>
      </w:r>
      <w:r w:rsidRPr="00F55FCE">
        <w:rPr>
          <w:rFonts w:eastAsia="Calibri"/>
          <w:lang w:val="fr-FR"/>
        </w:rPr>
        <w:t>étalonnage</w:t>
      </w:r>
    </w:p>
    <w:p w14:paraId="620991F5" w14:textId="77777777" w:rsidR="00E57C11" w:rsidRPr="00F55FCE" w:rsidRDefault="00E57C11" w:rsidP="00E57C11">
      <w:pPr>
        <w:pStyle w:val="SingleTxtG"/>
        <w:ind w:left="2268"/>
        <w:rPr>
          <w:rFonts w:eastAsia="Calibri"/>
          <w:color w:val="000000"/>
          <w:lang w:val="fr-FR"/>
        </w:rPr>
      </w:pPr>
      <w:r w:rsidRPr="007C05FC">
        <w:rPr>
          <w:rFonts w:eastAsia="Calibri"/>
          <w:lang w:val="fr-FR"/>
        </w:rPr>
        <w:t>Les appareillages d</w:t>
      </w:r>
      <w:r>
        <w:rPr>
          <w:rFonts w:eastAsia="Calibri"/>
          <w:lang w:val="fr-FR"/>
        </w:rPr>
        <w:t>’</w:t>
      </w:r>
      <w:r w:rsidRPr="007C05FC">
        <w:rPr>
          <w:rFonts w:eastAsia="Calibri"/>
          <w:lang w:val="fr-FR"/>
        </w:rPr>
        <w:t>essai et de mesure doivent être conformes aux prescriptions techniques décrites dans le Règlement ONU n</w:t>
      </w:r>
      <w:r w:rsidRPr="00394838">
        <w:rPr>
          <w:rFonts w:eastAsia="Calibri"/>
          <w:vertAlign w:val="superscript"/>
          <w:lang w:val="fr-FR"/>
        </w:rPr>
        <w:t>o</w:t>
      </w:r>
      <w:r>
        <w:rPr>
          <w:rFonts w:eastAsia="Calibri"/>
          <w:lang w:val="fr-FR"/>
        </w:rPr>
        <w:t> </w:t>
      </w:r>
      <w:r w:rsidRPr="007C05FC">
        <w:rPr>
          <w:rFonts w:eastAsia="Calibri"/>
          <w:lang w:val="fr-FR"/>
        </w:rPr>
        <w:t xml:space="preserve">154, dans sa version originale ou dans les </w:t>
      </w:r>
      <w:r w:rsidRPr="001F133C">
        <w:rPr>
          <w:lang w:val="fr-FR"/>
        </w:rPr>
        <w:t>séries</w:t>
      </w:r>
      <w:r w:rsidRPr="007C05FC">
        <w:rPr>
          <w:rFonts w:eastAsia="Calibri"/>
          <w:lang w:val="fr-FR"/>
        </w:rPr>
        <w:t xml:space="preserve"> ultérieures d</w:t>
      </w:r>
      <w:r>
        <w:rPr>
          <w:rFonts w:eastAsia="Calibri"/>
          <w:lang w:val="fr-FR"/>
        </w:rPr>
        <w:t>’</w:t>
      </w:r>
      <w:r w:rsidRPr="007C05FC">
        <w:rPr>
          <w:rFonts w:eastAsia="Calibri"/>
          <w:lang w:val="fr-FR"/>
        </w:rPr>
        <w:t>amendements, ou, à défaut, aux prescriptions suivantes</w:t>
      </w:r>
      <w:r>
        <w:rPr>
          <w:rFonts w:eastAsia="Calibri"/>
          <w:lang w:val="fr-FR"/>
        </w:rPr>
        <w:t> </w:t>
      </w:r>
      <w:r w:rsidRPr="007C05FC">
        <w:rPr>
          <w:rFonts w:eastAsia="Calibri"/>
          <w:lang w:val="fr-FR"/>
        </w:rPr>
        <w:t>:</w:t>
      </w:r>
    </w:p>
    <w:p w14:paraId="2431597E" w14:textId="77777777" w:rsidR="00E57C11" w:rsidRPr="00F55FCE" w:rsidRDefault="00E57C11" w:rsidP="00E57C11">
      <w:pPr>
        <w:pStyle w:val="SingleTxtG"/>
        <w:ind w:left="2268"/>
        <w:rPr>
          <w:rFonts w:eastAsia="MS PGothic"/>
          <w:b/>
          <w:bCs/>
          <w:color w:val="000000"/>
          <w:lang w:val="fr-FR"/>
        </w:rPr>
      </w:pPr>
      <w:r w:rsidRPr="00F55FCE">
        <w:rPr>
          <w:rFonts w:eastAsia="Calibri"/>
          <w:lang w:val="fr-FR"/>
        </w:rPr>
        <w:t>... ».</w:t>
      </w:r>
    </w:p>
    <w:p w14:paraId="1443096C" w14:textId="77777777" w:rsidR="00E57C11" w:rsidRPr="00FF0812" w:rsidRDefault="00E57C11" w:rsidP="00E57C11">
      <w:pPr>
        <w:pStyle w:val="SingleTxtG"/>
        <w:rPr>
          <w:rFonts w:eastAsia="MS Mincho"/>
          <w:i/>
          <w:lang w:val="fr-FR"/>
        </w:rPr>
      </w:pPr>
      <w:r w:rsidRPr="00FF0812">
        <w:rPr>
          <w:i/>
          <w:iCs/>
          <w:lang w:val="fr-FR"/>
        </w:rPr>
        <w:t>Annexe 11</w:t>
      </w:r>
    </w:p>
    <w:p w14:paraId="6ACD351F" w14:textId="77777777" w:rsidR="00E57C11" w:rsidRPr="00FF0812" w:rsidRDefault="00E57C11" w:rsidP="00E57C11">
      <w:pPr>
        <w:pStyle w:val="SingleTxtG"/>
        <w:rPr>
          <w:rFonts w:eastAsia="MS Mincho"/>
          <w:iCs/>
          <w:lang w:val="fr-FR"/>
        </w:rPr>
      </w:pPr>
      <w:r w:rsidRPr="00FF0812">
        <w:rPr>
          <w:i/>
          <w:iCs/>
          <w:lang w:val="fr-FR"/>
        </w:rPr>
        <w:t>Paragraphe 3.2.1.2</w:t>
      </w:r>
      <w:r w:rsidRPr="00FF0812">
        <w:rPr>
          <w:lang w:val="fr-FR"/>
        </w:rPr>
        <w:t>, lire</w:t>
      </w:r>
      <w:r>
        <w:rPr>
          <w:lang w:val="fr-FR"/>
        </w:rPr>
        <w:t> </w:t>
      </w:r>
      <w:r w:rsidRPr="00FF0812">
        <w:rPr>
          <w:lang w:val="fr-FR"/>
        </w:rPr>
        <w:t>:</w:t>
      </w:r>
    </w:p>
    <w:p w14:paraId="5D7BCBA3" w14:textId="77777777" w:rsidR="00E57C11" w:rsidRPr="00FF0812" w:rsidRDefault="00E57C11" w:rsidP="00E57C11">
      <w:pPr>
        <w:pStyle w:val="SingleTxtG"/>
        <w:ind w:left="2268" w:hanging="1134"/>
        <w:rPr>
          <w:lang w:val="fr-FR"/>
        </w:rPr>
      </w:pPr>
      <w:r w:rsidRPr="00FF0812">
        <w:rPr>
          <w:lang w:val="fr-FR"/>
        </w:rPr>
        <w:t>« 3.2.1.2</w:t>
      </w:r>
      <w:r w:rsidRPr="00FF0812">
        <w:rPr>
          <w:lang w:val="fr-FR"/>
        </w:rPr>
        <w:tab/>
      </w:r>
      <w:r>
        <w:rPr>
          <w:lang w:val="fr-FR"/>
        </w:rPr>
        <w:t xml:space="preserve">Le </w:t>
      </w:r>
      <w:r w:rsidRPr="00FF0812">
        <w:rPr>
          <w:lang w:val="fr-FR"/>
        </w:rPr>
        <w:t>constructeur peut désactiver un programme de surveillance OBD particulier pour un cycle de conduite donné à une température ambiante ou une température du moteur inférieure à 266</w:t>
      </w:r>
      <w:r>
        <w:rPr>
          <w:lang w:val="fr-FR"/>
        </w:rPr>
        <w:t> </w:t>
      </w:r>
      <w:r w:rsidRPr="00FF0812">
        <w:rPr>
          <w:lang w:val="fr-FR"/>
        </w:rPr>
        <w:t>K (-7 °C) ou à une altitude de plus de 2</w:t>
      </w:r>
      <w:r>
        <w:rPr>
          <w:lang w:val="fr-FR"/>
        </w:rPr>
        <w:t> </w:t>
      </w:r>
      <w:r w:rsidRPr="00FF0812">
        <w:rPr>
          <w:lang w:val="fr-FR"/>
        </w:rPr>
        <w:t>500</w:t>
      </w:r>
      <w:r>
        <w:rPr>
          <w:lang w:val="fr-FR"/>
        </w:rPr>
        <w:t> </w:t>
      </w:r>
      <w:r w:rsidRPr="00FF0812">
        <w:rPr>
          <w:lang w:val="fr-FR"/>
        </w:rPr>
        <w:t>m au-dessus du niveau de la mer, à condition qu</w:t>
      </w:r>
      <w:r>
        <w:rPr>
          <w:lang w:val="fr-FR"/>
        </w:rPr>
        <w:t>’</w:t>
      </w:r>
      <w:r w:rsidRPr="00FF0812">
        <w:rPr>
          <w:lang w:val="fr-FR"/>
        </w:rPr>
        <w:t xml:space="preserve">il produise des données et/ou une évaluation technique prouvant que le système OBD ne serait pas fiable dans ces conditions. </w:t>
      </w:r>
      <w:r>
        <w:rPr>
          <w:lang w:val="fr-FR"/>
        </w:rPr>
        <w:t>Il</w:t>
      </w:r>
      <w:r w:rsidRPr="00FF0812">
        <w:rPr>
          <w:lang w:val="fr-FR"/>
        </w:rPr>
        <w:t xml:space="preserve"> peut aussi demander la désactivation d</w:t>
      </w:r>
      <w:r>
        <w:rPr>
          <w:lang w:val="fr-FR"/>
        </w:rPr>
        <w:t>’</w:t>
      </w:r>
      <w:r w:rsidRPr="00FF0812">
        <w:rPr>
          <w:lang w:val="fr-FR"/>
        </w:rPr>
        <w:t>un programme de surveillance OBD particulier à d</w:t>
      </w:r>
      <w:r>
        <w:rPr>
          <w:lang w:val="fr-FR"/>
        </w:rPr>
        <w:t>’</w:t>
      </w:r>
      <w:r w:rsidRPr="00FF0812">
        <w:rPr>
          <w:lang w:val="fr-FR"/>
        </w:rPr>
        <w:t>autres températures ambiantes ou à d</w:t>
      </w:r>
      <w:r>
        <w:rPr>
          <w:lang w:val="fr-FR"/>
        </w:rPr>
        <w:t>’</w:t>
      </w:r>
      <w:r w:rsidRPr="00FF0812">
        <w:rPr>
          <w:lang w:val="fr-FR"/>
        </w:rPr>
        <w:t>autres altitudes s</w:t>
      </w:r>
      <w:r>
        <w:rPr>
          <w:lang w:val="fr-FR"/>
        </w:rPr>
        <w:t>’</w:t>
      </w:r>
      <w:r w:rsidRPr="00FF0812">
        <w:rPr>
          <w:lang w:val="fr-FR"/>
        </w:rPr>
        <w:t>il apporte la preuve à l</w:t>
      </w:r>
      <w:r>
        <w:rPr>
          <w:lang w:val="fr-FR"/>
        </w:rPr>
        <w:t>’</w:t>
      </w:r>
      <w:r w:rsidRPr="00FF0812">
        <w:rPr>
          <w:lang w:val="fr-FR"/>
        </w:rPr>
        <w:t xml:space="preserve">autorité compétente, grâce à des données et/ou à une évaluation technique, que le diagnostic </w:t>
      </w:r>
      <w:r>
        <w:rPr>
          <w:lang w:val="fr-FR"/>
        </w:rPr>
        <w:t>serait</w:t>
      </w:r>
      <w:r w:rsidRPr="00FF0812">
        <w:rPr>
          <w:lang w:val="fr-FR"/>
        </w:rPr>
        <w:t xml:space="preserve"> faussé dans ces conditions. Il n</w:t>
      </w:r>
      <w:r>
        <w:rPr>
          <w:lang w:val="fr-FR"/>
        </w:rPr>
        <w:t>’</w:t>
      </w:r>
      <w:r w:rsidRPr="00FF0812">
        <w:rPr>
          <w:lang w:val="fr-FR"/>
        </w:rPr>
        <w:t>est pas nécessaire que le témoin de défaillance (TD) s</w:t>
      </w:r>
      <w:r>
        <w:rPr>
          <w:lang w:val="fr-FR"/>
        </w:rPr>
        <w:t>’</w:t>
      </w:r>
      <w:r w:rsidRPr="00FF0812">
        <w:rPr>
          <w:lang w:val="fr-FR"/>
        </w:rPr>
        <w:t>allume en cas de dépassement des seuils OBD pendant la régénération, sous réserve qu</w:t>
      </w:r>
      <w:r>
        <w:rPr>
          <w:lang w:val="fr-FR"/>
        </w:rPr>
        <w:t>’</w:t>
      </w:r>
      <w:r w:rsidRPr="00FF0812">
        <w:rPr>
          <w:lang w:val="fr-FR"/>
        </w:rPr>
        <w:t>aucun défaut ne soit présent.</w:t>
      </w:r>
      <w:r>
        <w:rPr>
          <w:lang w:val="fr-FR"/>
        </w:rPr>
        <w:t> </w:t>
      </w:r>
      <w:r w:rsidRPr="00FF0812">
        <w:rPr>
          <w:lang w:val="fr-FR"/>
        </w:rPr>
        <w:t>».</w:t>
      </w:r>
    </w:p>
    <w:p w14:paraId="71402346" w14:textId="77777777" w:rsidR="00E57C11" w:rsidRPr="00FF0812" w:rsidRDefault="00E57C11" w:rsidP="00E57C11">
      <w:pPr>
        <w:pStyle w:val="SingleTxtG"/>
        <w:rPr>
          <w:rFonts w:eastAsia="MS Mincho"/>
          <w:i/>
          <w:lang w:val="fr-FR"/>
        </w:rPr>
      </w:pPr>
      <w:r w:rsidRPr="00FF0812">
        <w:rPr>
          <w:i/>
          <w:iCs/>
          <w:lang w:val="fr-FR"/>
        </w:rPr>
        <w:t>Appendice 1, paragraphe 6.5.3.2</w:t>
      </w:r>
      <w:r w:rsidRPr="00FF0812">
        <w:rPr>
          <w:lang w:val="fr-FR"/>
        </w:rPr>
        <w:t>, lire</w:t>
      </w:r>
      <w:r>
        <w:rPr>
          <w:lang w:val="fr-FR"/>
        </w:rPr>
        <w:t> </w:t>
      </w:r>
      <w:r w:rsidRPr="00FF0812">
        <w:rPr>
          <w:lang w:val="fr-FR"/>
        </w:rPr>
        <w:t>:</w:t>
      </w:r>
    </w:p>
    <w:p w14:paraId="44962652" w14:textId="77777777" w:rsidR="00E57C11" w:rsidRPr="00FF0812" w:rsidRDefault="00E57C11" w:rsidP="00E57C11">
      <w:pPr>
        <w:pStyle w:val="SingleTxtG"/>
        <w:ind w:left="2268" w:hanging="1134"/>
        <w:rPr>
          <w:lang w:val="fr-FR"/>
        </w:rPr>
      </w:pPr>
      <w:r w:rsidRPr="00FF0812">
        <w:rPr>
          <w:lang w:val="fr-FR"/>
        </w:rPr>
        <w:t>« 6.5.3.2</w:t>
      </w:r>
      <w:r w:rsidRPr="00FF0812">
        <w:rPr>
          <w:lang w:val="fr-FR"/>
        </w:rPr>
        <w:tab/>
        <w:t xml:space="preserve">Normes utilisées pour transmettre les </w:t>
      </w:r>
      <w:r w:rsidRPr="001F133C">
        <w:rPr>
          <w:rFonts w:eastAsia="Calibri"/>
          <w:lang w:val="fr-FR"/>
        </w:rPr>
        <w:t>informations</w:t>
      </w:r>
      <w:r w:rsidRPr="00FF0812">
        <w:rPr>
          <w:lang w:val="fr-FR"/>
        </w:rPr>
        <w:t xml:space="preserve"> OBD pertinentes :</w:t>
      </w:r>
    </w:p>
    <w:p w14:paraId="4F48F539" w14:textId="178BA53B" w:rsidR="00E57C11" w:rsidRPr="00FF0812" w:rsidRDefault="00E57C11" w:rsidP="00E57C11">
      <w:pPr>
        <w:pStyle w:val="SingleTxtG"/>
        <w:ind w:left="2835" w:hanging="567"/>
        <w:rPr>
          <w:lang w:val="fr-FR"/>
        </w:rPr>
      </w:pPr>
      <w:r w:rsidRPr="00FF0812">
        <w:rPr>
          <w:lang w:val="fr-FR"/>
        </w:rPr>
        <w:t>a)</w:t>
      </w:r>
      <w:r w:rsidRPr="00FF0812">
        <w:rPr>
          <w:lang w:val="fr-FR"/>
        </w:rPr>
        <w:tab/>
        <w:t xml:space="preserve">ISO 15031-5 </w:t>
      </w:r>
      <w:r w:rsidR="00B07AD8" w:rsidRPr="00B07AD8">
        <w:t>“</w:t>
      </w:r>
      <w:r w:rsidRPr="00FF0812">
        <w:rPr>
          <w:lang w:val="fr-FR"/>
        </w:rPr>
        <w:t>Véhicules routiers − Communications entre un véhicule et un équipement externe pour le diagnostic relatif aux émissions − Partie 5</w:t>
      </w:r>
      <w:r>
        <w:rPr>
          <w:lang w:val="fr-FR"/>
        </w:rPr>
        <w:t> </w:t>
      </w:r>
      <w:r w:rsidRPr="00FF0812">
        <w:rPr>
          <w:lang w:val="fr-FR"/>
        </w:rPr>
        <w:t>: Services de diagnostic relatif aux émissions</w:t>
      </w:r>
      <w:r w:rsidR="00B07AD8" w:rsidRPr="00B07AD8">
        <w:t>”</w:t>
      </w:r>
      <w:r w:rsidRPr="00FF0812">
        <w:rPr>
          <w:lang w:val="fr-FR"/>
        </w:rPr>
        <w:t>, du 1</w:t>
      </w:r>
      <w:r w:rsidRPr="00E63B85">
        <w:rPr>
          <w:vertAlign w:val="superscript"/>
          <w:lang w:val="fr-FR"/>
        </w:rPr>
        <w:t>er</w:t>
      </w:r>
      <w:r>
        <w:rPr>
          <w:lang w:val="fr-FR"/>
        </w:rPr>
        <w:t> </w:t>
      </w:r>
      <w:r w:rsidRPr="00FF0812">
        <w:rPr>
          <w:lang w:val="fr-FR"/>
        </w:rPr>
        <w:t>avril 2011, ou SAE J 1979 du 23 février 2012</w:t>
      </w:r>
      <w:r>
        <w:rPr>
          <w:lang w:val="fr-FR"/>
        </w:rPr>
        <w:t> </w:t>
      </w:r>
      <w:r w:rsidRPr="00FF0812">
        <w:rPr>
          <w:lang w:val="fr-FR"/>
        </w:rPr>
        <w:t>;</w:t>
      </w:r>
    </w:p>
    <w:p w14:paraId="3CF478F4" w14:textId="201F0FCB" w:rsidR="00E57C11" w:rsidRPr="00FF0812" w:rsidRDefault="00E57C11" w:rsidP="00E57C11">
      <w:pPr>
        <w:pStyle w:val="SingleTxtG"/>
        <w:ind w:left="2835" w:hanging="567"/>
        <w:rPr>
          <w:lang w:val="fr-FR"/>
        </w:rPr>
      </w:pPr>
      <w:r w:rsidRPr="00FF0812">
        <w:rPr>
          <w:lang w:val="fr-FR"/>
        </w:rPr>
        <w:t>b)</w:t>
      </w:r>
      <w:r w:rsidRPr="00FF0812">
        <w:rPr>
          <w:lang w:val="fr-FR"/>
        </w:rPr>
        <w:tab/>
        <w:t xml:space="preserve">ISO 15031-4 </w:t>
      </w:r>
      <w:r w:rsidR="00B07AD8" w:rsidRPr="00B07AD8">
        <w:t>“</w:t>
      </w:r>
      <w:r w:rsidRPr="00FF0812">
        <w:rPr>
          <w:lang w:val="fr-FR"/>
        </w:rPr>
        <w:t>Véhicules routiers − Communications entre un véhicule et un équipement externe pour le diagnostic relatif aux émissions − Partie 4</w:t>
      </w:r>
      <w:r>
        <w:rPr>
          <w:lang w:val="fr-FR"/>
        </w:rPr>
        <w:t> </w:t>
      </w:r>
      <w:r w:rsidRPr="00FF0812">
        <w:rPr>
          <w:lang w:val="fr-FR"/>
        </w:rPr>
        <w:t>: Équipement d</w:t>
      </w:r>
      <w:r>
        <w:rPr>
          <w:lang w:val="fr-FR"/>
        </w:rPr>
        <w:t>’</w:t>
      </w:r>
      <w:r w:rsidRPr="00FF0812">
        <w:rPr>
          <w:lang w:val="fr-FR"/>
        </w:rPr>
        <w:t>essai externe</w:t>
      </w:r>
      <w:r w:rsidR="00B07AD8" w:rsidRPr="00B07AD8">
        <w:t>”</w:t>
      </w:r>
      <w:r w:rsidRPr="00FF0812">
        <w:rPr>
          <w:lang w:val="fr-FR"/>
        </w:rPr>
        <w:t>, du 1</w:t>
      </w:r>
      <w:r w:rsidRPr="00C21EA8">
        <w:rPr>
          <w:vertAlign w:val="superscript"/>
          <w:lang w:val="fr-FR"/>
        </w:rPr>
        <w:t>er</w:t>
      </w:r>
      <w:r>
        <w:rPr>
          <w:lang w:val="fr-FR"/>
        </w:rPr>
        <w:t> </w:t>
      </w:r>
      <w:r w:rsidRPr="00FF0812">
        <w:rPr>
          <w:lang w:val="fr-FR"/>
        </w:rPr>
        <w:t>juin 2005, ou SAE J 1978 du 30 avril 2002</w:t>
      </w:r>
      <w:r>
        <w:rPr>
          <w:lang w:val="fr-FR"/>
        </w:rPr>
        <w:t> </w:t>
      </w:r>
      <w:r w:rsidRPr="00FF0812">
        <w:rPr>
          <w:lang w:val="fr-FR"/>
        </w:rPr>
        <w:t>;</w:t>
      </w:r>
    </w:p>
    <w:p w14:paraId="09D0FC0A" w14:textId="10C5D5D7" w:rsidR="00E57C11" w:rsidRPr="00FF0812" w:rsidRDefault="00E57C11" w:rsidP="00E57C11">
      <w:pPr>
        <w:pStyle w:val="SingleTxtG"/>
        <w:ind w:left="2835" w:hanging="567"/>
        <w:rPr>
          <w:lang w:val="fr-FR"/>
        </w:rPr>
      </w:pPr>
      <w:r w:rsidRPr="00FF0812">
        <w:rPr>
          <w:lang w:val="fr-FR"/>
        </w:rPr>
        <w:t>c)</w:t>
      </w:r>
      <w:r w:rsidRPr="00FF0812">
        <w:rPr>
          <w:lang w:val="fr-FR"/>
        </w:rPr>
        <w:tab/>
        <w:t xml:space="preserve">ISO 15031-3 </w:t>
      </w:r>
      <w:r w:rsidR="00B07AD8" w:rsidRPr="00B07AD8">
        <w:t>“</w:t>
      </w:r>
      <w:r w:rsidRPr="00FF0812">
        <w:rPr>
          <w:lang w:val="fr-FR"/>
        </w:rPr>
        <w:t>Véhicules routiers − Communications entre un véhicule et un équipement externe pour le diagnostic relatif aux émissions − Partie 3</w:t>
      </w:r>
      <w:r>
        <w:rPr>
          <w:lang w:val="fr-FR"/>
        </w:rPr>
        <w:t> </w:t>
      </w:r>
      <w:r w:rsidRPr="00FF0812">
        <w:rPr>
          <w:lang w:val="fr-FR"/>
        </w:rPr>
        <w:t>: Connecteur de diagnostic et circuits électriques associés</w:t>
      </w:r>
      <w:r>
        <w:rPr>
          <w:lang w:val="fr-FR"/>
        </w:rPr>
        <w:t> </w:t>
      </w:r>
      <w:r w:rsidRPr="00FF0812">
        <w:rPr>
          <w:lang w:val="fr-FR"/>
        </w:rPr>
        <w:t>: spécifications et utilisation</w:t>
      </w:r>
      <w:r w:rsidR="00B07AD8" w:rsidRPr="00B07AD8">
        <w:t>”</w:t>
      </w:r>
      <w:r w:rsidRPr="00FF0812">
        <w:rPr>
          <w:lang w:val="fr-FR"/>
        </w:rPr>
        <w:t>, du 1</w:t>
      </w:r>
      <w:r w:rsidRPr="00C21EA8">
        <w:rPr>
          <w:vertAlign w:val="superscript"/>
          <w:lang w:val="fr-FR"/>
        </w:rPr>
        <w:t>er</w:t>
      </w:r>
      <w:r>
        <w:rPr>
          <w:lang w:val="fr-FR"/>
        </w:rPr>
        <w:t> </w:t>
      </w:r>
      <w:r w:rsidRPr="00FF0812">
        <w:rPr>
          <w:lang w:val="fr-FR"/>
        </w:rPr>
        <w:t>juillet 2004, ou SAE J 1962 du 26</w:t>
      </w:r>
      <w:r>
        <w:rPr>
          <w:lang w:val="fr-FR"/>
        </w:rPr>
        <w:t> </w:t>
      </w:r>
      <w:r w:rsidRPr="00FF0812">
        <w:rPr>
          <w:lang w:val="fr-FR"/>
        </w:rPr>
        <w:t>juillet 2012</w:t>
      </w:r>
      <w:r>
        <w:rPr>
          <w:lang w:val="fr-FR"/>
        </w:rPr>
        <w:t> </w:t>
      </w:r>
      <w:r w:rsidRPr="00FF0812">
        <w:rPr>
          <w:lang w:val="fr-FR"/>
        </w:rPr>
        <w:t>;</w:t>
      </w:r>
    </w:p>
    <w:p w14:paraId="3161C57B" w14:textId="21E8C3D4" w:rsidR="00E57C11" w:rsidRPr="00FF0812" w:rsidRDefault="00E57C11" w:rsidP="00E57C11">
      <w:pPr>
        <w:pStyle w:val="SingleTxtG"/>
        <w:keepNext/>
        <w:keepLines/>
        <w:ind w:left="2835" w:hanging="567"/>
        <w:rPr>
          <w:lang w:val="fr-FR"/>
        </w:rPr>
      </w:pPr>
      <w:r w:rsidRPr="00FF0812">
        <w:rPr>
          <w:lang w:val="fr-FR"/>
        </w:rPr>
        <w:lastRenderedPageBreak/>
        <w:t>d)</w:t>
      </w:r>
      <w:r w:rsidRPr="00FF0812">
        <w:rPr>
          <w:lang w:val="fr-FR"/>
        </w:rPr>
        <w:tab/>
        <w:t xml:space="preserve">ISO 15031-6 </w:t>
      </w:r>
      <w:r w:rsidR="00B07AD8" w:rsidRPr="00B07AD8">
        <w:t>“</w:t>
      </w:r>
      <w:r w:rsidRPr="00FF0812">
        <w:rPr>
          <w:lang w:val="fr-FR"/>
        </w:rPr>
        <w:t>Véhicules routiers − Communications entre un véhicule et un équipement externe concernant le diagnostic relatif aux émissions − Partie 6</w:t>
      </w:r>
      <w:r>
        <w:rPr>
          <w:lang w:val="fr-FR"/>
        </w:rPr>
        <w:t> </w:t>
      </w:r>
      <w:r w:rsidRPr="00FF0812">
        <w:rPr>
          <w:lang w:val="fr-FR"/>
        </w:rPr>
        <w:t>: Définition des codes d</w:t>
      </w:r>
      <w:r>
        <w:rPr>
          <w:lang w:val="fr-FR"/>
        </w:rPr>
        <w:t>’</w:t>
      </w:r>
      <w:r w:rsidRPr="00FF0812">
        <w:rPr>
          <w:lang w:val="fr-FR"/>
        </w:rPr>
        <w:t>anomalie de diagnostic</w:t>
      </w:r>
      <w:r w:rsidR="00B07AD8" w:rsidRPr="00B07AD8">
        <w:t>”</w:t>
      </w:r>
      <w:r w:rsidRPr="00FF0812">
        <w:rPr>
          <w:lang w:val="fr-FR"/>
        </w:rPr>
        <w:t>, du 13</w:t>
      </w:r>
      <w:r>
        <w:rPr>
          <w:lang w:val="fr-FR"/>
        </w:rPr>
        <w:t> </w:t>
      </w:r>
      <w:r w:rsidRPr="00FF0812">
        <w:rPr>
          <w:lang w:val="fr-FR"/>
        </w:rPr>
        <w:t>août 2010, ou SAE J 2012 du 7</w:t>
      </w:r>
      <w:r>
        <w:rPr>
          <w:lang w:val="fr-FR"/>
        </w:rPr>
        <w:t> </w:t>
      </w:r>
      <w:r w:rsidRPr="00FF0812">
        <w:rPr>
          <w:lang w:val="fr-FR"/>
        </w:rPr>
        <w:t>mars 2013</w:t>
      </w:r>
      <w:r>
        <w:rPr>
          <w:lang w:val="fr-FR"/>
        </w:rPr>
        <w:t> </w:t>
      </w:r>
      <w:r w:rsidRPr="00FF0812">
        <w:rPr>
          <w:lang w:val="fr-FR"/>
        </w:rPr>
        <w:t>;</w:t>
      </w:r>
    </w:p>
    <w:p w14:paraId="0EE1BBDB" w14:textId="013676D4" w:rsidR="00E57C11" w:rsidRPr="00FF0812" w:rsidRDefault="00E57C11" w:rsidP="00E57C11">
      <w:pPr>
        <w:pStyle w:val="SingleTxtG"/>
        <w:ind w:left="2835" w:hanging="567"/>
        <w:rPr>
          <w:lang w:val="fr-FR"/>
        </w:rPr>
      </w:pPr>
      <w:r w:rsidRPr="00FF0812">
        <w:rPr>
          <w:lang w:val="fr-FR"/>
        </w:rPr>
        <w:t>e)</w:t>
      </w:r>
      <w:r w:rsidRPr="00FF0812">
        <w:rPr>
          <w:lang w:val="fr-FR"/>
        </w:rPr>
        <w:tab/>
        <w:t xml:space="preserve">ISO 27145 </w:t>
      </w:r>
      <w:r w:rsidR="00B07AD8" w:rsidRPr="00B07AD8">
        <w:t>“</w:t>
      </w:r>
      <w:r w:rsidRPr="00FF0812">
        <w:rPr>
          <w:lang w:val="fr-FR"/>
        </w:rPr>
        <w:t>Véhicules routiers − Mise en application des exigences de communication pour le diagnostic embarqué harmonisé à l</w:t>
      </w:r>
      <w:r>
        <w:rPr>
          <w:lang w:val="fr-FR"/>
        </w:rPr>
        <w:t>’</w:t>
      </w:r>
      <w:r w:rsidRPr="00FF0812">
        <w:rPr>
          <w:lang w:val="fr-FR"/>
        </w:rPr>
        <w:t>échelle mondiale (WWH-OBD)</w:t>
      </w:r>
      <w:r w:rsidR="00B07AD8" w:rsidRPr="00B07AD8">
        <w:t>”</w:t>
      </w:r>
      <w:r w:rsidRPr="00FF0812">
        <w:rPr>
          <w:lang w:val="fr-FR"/>
        </w:rPr>
        <w:t>, du 15</w:t>
      </w:r>
      <w:r>
        <w:rPr>
          <w:lang w:val="fr-FR"/>
        </w:rPr>
        <w:t> </w:t>
      </w:r>
      <w:r w:rsidRPr="00FF0812">
        <w:rPr>
          <w:lang w:val="fr-FR"/>
        </w:rPr>
        <w:t>août 2012, avec la restriction que seule la norme indiquée à l</w:t>
      </w:r>
      <w:r>
        <w:rPr>
          <w:lang w:val="fr-FR"/>
        </w:rPr>
        <w:t>’</w:t>
      </w:r>
      <w:r w:rsidRPr="00FF0812">
        <w:rPr>
          <w:lang w:val="fr-FR"/>
        </w:rPr>
        <w:t>alinéa</w:t>
      </w:r>
      <w:r>
        <w:rPr>
          <w:lang w:val="fr-FR"/>
        </w:rPr>
        <w:t> </w:t>
      </w:r>
      <w:r w:rsidRPr="00FF0812">
        <w:rPr>
          <w:lang w:val="fr-FR"/>
        </w:rPr>
        <w:t>a) du paragraphe 6.5.3.1 peut être utilisée pour la liaison de données</w:t>
      </w:r>
      <w:r>
        <w:rPr>
          <w:lang w:val="fr-FR"/>
        </w:rPr>
        <w:t> </w:t>
      </w:r>
      <w:r w:rsidRPr="00FF0812">
        <w:rPr>
          <w:lang w:val="fr-FR"/>
        </w:rPr>
        <w:t>;</w:t>
      </w:r>
    </w:p>
    <w:p w14:paraId="04F06E92" w14:textId="097758C0" w:rsidR="00E57C11" w:rsidRPr="00EC70CF" w:rsidRDefault="00E57C11" w:rsidP="00E57C11">
      <w:pPr>
        <w:pStyle w:val="SingleTxtG"/>
        <w:ind w:left="2835" w:hanging="567"/>
        <w:rPr>
          <w:lang w:val="es-ES"/>
        </w:rPr>
      </w:pPr>
      <w:r w:rsidRPr="00EC70CF">
        <w:rPr>
          <w:lang w:val="es-ES"/>
        </w:rPr>
        <w:t>f)</w:t>
      </w:r>
      <w:r w:rsidRPr="00EC70CF">
        <w:rPr>
          <w:lang w:val="es-ES"/>
        </w:rPr>
        <w:tab/>
        <w:t xml:space="preserve">SAE J 1979-2 </w:t>
      </w:r>
      <w:r w:rsidR="00B07AD8" w:rsidRPr="00B07AD8">
        <w:rPr>
          <w:lang w:val="es-ES"/>
        </w:rPr>
        <w:t>“</w:t>
      </w:r>
      <w:r w:rsidRPr="00EC70CF">
        <w:rPr>
          <w:lang w:val="es-ES"/>
        </w:rPr>
        <w:t xml:space="preserve">E/E </w:t>
      </w:r>
      <w:proofErr w:type="spellStart"/>
      <w:r w:rsidRPr="00EC70CF">
        <w:rPr>
          <w:lang w:val="es-ES"/>
        </w:rPr>
        <w:t>Diagnostic</w:t>
      </w:r>
      <w:proofErr w:type="spellEnd"/>
      <w:r w:rsidRPr="00EC70CF">
        <w:rPr>
          <w:lang w:val="es-ES"/>
        </w:rPr>
        <w:t xml:space="preserve"> Test </w:t>
      </w:r>
      <w:proofErr w:type="spellStart"/>
      <w:r w:rsidRPr="00EC70CF">
        <w:rPr>
          <w:lang w:val="es-ES"/>
        </w:rPr>
        <w:t>Modes</w:t>
      </w:r>
      <w:proofErr w:type="spellEnd"/>
      <w:r w:rsidRPr="00EC70CF">
        <w:rPr>
          <w:lang w:val="es-ES"/>
        </w:rPr>
        <w:t xml:space="preserve">: </w:t>
      </w:r>
      <w:proofErr w:type="spellStart"/>
      <w:r w:rsidRPr="00EC70CF">
        <w:rPr>
          <w:lang w:val="es-ES"/>
        </w:rPr>
        <w:t>OBDonUDS</w:t>
      </w:r>
      <w:proofErr w:type="spellEnd"/>
      <w:r w:rsidR="00B07AD8" w:rsidRPr="00B07AD8">
        <w:rPr>
          <w:lang w:val="es-ES"/>
        </w:rPr>
        <w:t>”</w:t>
      </w:r>
      <w:r w:rsidRPr="00EC70CF">
        <w:rPr>
          <w:lang w:val="es-ES"/>
        </w:rPr>
        <w:t xml:space="preserve">, </w:t>
      </w:r>
      <w:proofErr w:type="spellStart"/>
      <w:r w:rsidRPr="00654C5A">
        <w:rPr>
          <w:lang w:val="es-ES"/>
        </w:rPr>
        <w:t>avril</w:t>
      </w:r>
      <w:proofErr w:type="spellEnd"/>
      <w:r w:rsidR="00AB062B">
        <w:rPr>
          <w:lang w:val="es-ES"/>
        </w:rPr>
        <w:t> </w:t>
      </w:r>
      <w:r w:rsidRPr="00EC70CF">
        <w:rPr>
          <w:lang w:val="es-ES"/>
        </w:rPr>
        <w:t>2021.</w:t>
      </w:r>
    </w:p>
    <w:p w14:paraId="16CE7863" w14:textId="77777777" w:rsidR="00E57C11" w:rsidRDefault="00E57C11" w:rsidP="00E57C11">
      <w:pPr>
        <w:pStyle w:val="SingleTxtG"/>
        <w:ind w:left="2268"/>
        <w:rPr>
          <w:lang w:val="fr-FR"/>
        </w:rPr>
      </w:pPr>
      <w:r w:rsidRPr="00FF0812">
        <w:rPr>
          <w:lang w:val="fr-FR"/>
        </w:rPr>
        <w:t>Les normes</w:t>
      </w:r>
      <w:r>
        <w:rPr>
          <w:lang w:val="fr-FR"/>
        </w:rPr>
        <w:t> </w:t>
      </w:r>
      <w:r w:rsidRPr="00FF0812">
        <w:rPr>
          <w:lang w:val="fr-FR"/>
        </w:rPr>
        <w:t>e) ou f) peuvent être utilisées à la place de la norme a). ».</w:t>
      </w:r>
    </w:p>
    <w:p w14:paraId="4AFF5957" w14:textId="3FB40D34" w:rsidR="00E57C11" w:rsidRPr="00E57C11" w:rsidRDefault="00E57C11" w:rsidP="00E57C11">
      <w:pPr>
        <w:pStyle w:val="SingleTxtG"/>
        <w:spacing w:before="240" w:after="0"/>
        <w:jc w:val="center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sectPr w:rsidR="00E57C11" w:rsidRPr="00E57C11" w:rsidSect="00260EC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417" w:right="1134" w:bottom="1134" w:left="1134" w:header="68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88F5" w14:textId="77777777" w:rsidR="00126964" w:rsidRDefault="00126964"/>
  </w:endnote>
  <w:endnote w:type="continuationSeparator" w:id="0">
    <w:p w14:paraId="403C0F11" w14:textId="77777777" w:rsidR="00126964" w:rsidRDefault="00126964">
      <w:pPr>
        <w:pStyle w:val="Pieddepage"/>
      </w:pPr>
    </w:p>
  </w:endnote>
  <w:endnote w:type="continuationNotice" w:id="1">
    <w:p w14:paraId="31DE8ACA" w14:textId="77777777" w:rsidR="00126964" w:rsidRPr="00C451B9" w:rsidRDefault="00126964" w:rsidP="00C451B9">
      <w:pPr>
        <w:spacing w:line="240" w:lineRule="auto"/>
        <w:rPr>
          <w:sz w:val="2"/>
          <w:szCs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AB0C" w14:textId="77777777" w:rsidR="00260EC9" w:rsidRPr="00260EC9" w:rsidRDefault="00260EC9" w:rsidP="00260EC9">
    <w:pPr>
      <w:pStyle w:val="Pieddepage"/>
      <w:tabs>
        <w:tab w:val="right" w:pos="9638"/>
      </w:tabs>
    </w:pPr>
    <w:r w:rsidRPr="00260EC9">
      <w:rPr>
        <w:b/>
        <w:sz w:val="18"/>
      </w:rPr>
      <w:fldChar w:fldCharType="begin"/>
    </w:r>
    <w:r w:rsidRPr="00260EC9">
      <w:rPr>
        <w:b/>
        <w:sz w:val="18"/>
      </w:rPr>
      <w:instrText xml:space="preserve"> PAGE  \* MERGEFORMAT </w:instrText>
    </w:r>
    <w:r w:rsidRPr="00260EC9">
      <w:rPr>
        <w:b/>
        <w:sz w:val="18"/>
      </w:rPr>
      <w:fldChar w:fldCharType="separate"/>
    </w:r>
    <w:r w:rsidRPr="00260EC9">
      <w:rPr>
        <w:b/>
        <w:noProof/>
        <w:sz w:val="18"/>
      </w:rPr>
      <w:t>2</w:t>
    </w:r>
    <w:r w:rsidRPr="00260EC9">
      <w:rPr>
        <w:b/>
        <w:sz w:val="18"/>
      </w:rPr>
      <w:fldChar w:fldCharType="end"/>
    </w:r>
    <w:r>
      <w:rPr>
        <w:b/>
        <w:sz w:val="18"/>
      </w:rPr>
      <w:tab/>
    </w:r>
    <w:r>
      <w:t>GE.23-11916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7613" w14:textId="77777777" w:rsidR="00260EC9" w:rsidRPr="00260EC9" w:rsidRDefault="00260EC9" w:rsidP="00260EC9">
    <w:pPr>
      <w:pStyle w:val="Pieddepage"/>
      <w:tabs>
        <w:tab w:val="right" w:pos="9638"/>
      </w:tabs>
      <w:rPr>
        <w:b/>
        <w:sz w:val="18"/>
      </w:rPr>
    </w:pPr>
    <w:r>
      <w:t>GE.23-11916</w:t>
    </w:r>
    <w:r>
      <w:tab/>
    </w:r>
    <w:r w:rsidRPr="00260EC9">
      <w:rPr>
        <w:b/>
        <w:sz w:val="18"/>
      </w:rPr>
      <w:fldChar w:fldCharType="begin"/>
    </w:r>
    <w:r w:rsidRPr="00260EC9">
      <w:rPr>
        <w:b/>
        <w:sz w:val="18"/>
      </w:rPr>
      <w:instrText xml:space="preserve"> PAGE  \* MERGEFORMAT </w:instrText>
    </w:r>
    <w:r w:rsidRPr="00260EC9">
      <w:rPr>
        <w:b/>
        <w:sz w:val="18"/>
      </w:rPr>
      <w:fldChar w:fldCharType="separate"/>
    </w:r>
    <w:r w:rsidRPr="00260EC9">
      <w:rPr>
        <w:b/>
        <w:noProof/>
        <w:sz w:val="18"/>
      </w:rPr>
      <w:t>3</w:t>
    </w:r>
    <w:r w:rsidRPr="00260EC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FD48" w14:textId="6F0F4115" w:rsidR="00467F2C" w:rsidRPr="00260EC9" w:rsidRDefault="00260EC9" w:rsidP="00260EC9">
    <w:pPr>
      <w:pStyle w:val="Pieddepage"/>
      <w:spacing w:before="120"/>
      <w:rPr>
        <w:sz w:val="20"/>
      </w:rPr>
    </w:pPr>
    <w:r>
      <w:rPr>
        <w:sz w:val="20"/>
      </w:rPr>
      <w:t>GE.</w:t>
    </w:r>
    <w:r w:rsidR="00467F2C"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39F222CC" wp14:editId="192DB0F9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4900" cy="228600"/>
          <wp:effectExtent l="0" t="0" r="0" b="0"/>
          <wp:wrapNone/>
          <wp:docPr id="3" name="Image 3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23-11916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6457DE86" wp14:editId="1A00B783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040124    040124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6FA2F" w14:textId="77777777" w:rsidR="00126964" w:rsidRPr="00D27D5E" w:rsidRDefault="00126964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58D483C" w14:textId="77777777" w:rsidR="00126964" w:rsidRPr="00D171D4" w:rsidRDefault="00126964" w:rsidP="00D171D4">
      <w:pPr>
        <w:tabs>
          <w:tab w:val="right" w:pos="2155"/>
        </w:tabs>
        <w:spacing w:after="80"/>
        <w:ind w:left="680"/>
        <w:rPr>
          <w:u w:val="single"/>
        </w:rPr>
      </w:pPr>
      <w:r w:rsidRPr="00D171D4">
        <w:rPr>
          <w:u w:val="single"/>
        </w:rPr>
        <w:tab/>
      </w:r>
    </w:p>
  </w:footnote>
  <w:footnote w:type="continuationNotice" w:id="1">
    <w:p w14:paraId="6604D47E" w14:textId="77777777" w:rsidR="00126964" w:rsidRPr="00C451B9" w:rsidRDefault="00126964" w:rsidP="00C451B9">
      <w:pPr>
        <w:spacing w:line="240" w:lineRule="auto"/>
        <w:rPr>
          <w:sz w:val="2"/>
          <w:szCs w:val="2"/>
        </w:rPr>
      </w:pPr>
    </w:p>
  </w:footnote>
  <w:footnote w:id="2">
    <w:p w14:paraId="288CE798" w14:textId="77777777" w:rsidR="00591072" w:rsidRPr="00591072" w:rsidRDefault="00442E31" w:rsidP="00591072">
      <w:pPr>
        <w:pStyle w:val="Notedebasdepage"/>
      </w:pPr>
      <w:r w:rsidRPr="00591072">
        <w:rPr>
          <w:rStyle w:val="Appelnotedebasdep"/>
        </w:rPr>
        <w:tab/>
      </w:r>
      <w:r w:rsidRPr="00591072">
        <w:rPr>
          <w:rStyle w:val="Appelnotedebasdep"/>
          <w:sz w:val="20"/>
          <w:vertAlign w:val="baseline"/>
        </w:rPr>
        <w:t>*</w:t>
      </w:r>
      <w:r w:rsidRPr="00591072">
        <w:rPr>
          <w:rStyle w:val="Appelnotedebasdep"/>
          <w:sz w:val="20"/>
          <w:vertAlign w:val="baseline"/>
        </w:rPr>
        <w:tab/>
      </w:r>
      <w:r w:rsidR="00591072" w:rsidRPr="00591072">
        <w:t>Anciens titres de l’Accord :</w:t>
      </w:r>
    </w:p>
    <w:p w14:paraId="409D853D" w14:textId="77777777" w:rsidR="00591072" w:rsidRPr="00591072" w:rsidRDefault="00591072" w:rsidP="00591072">
      <w:pPr>
        <w:pStyle w:val="Notedebasdepage"/>
      </w:pPr>
      <w:r w:rsidRPr="00260EC9">
        <w:tab/>
      </w:r>
      <w:r w:rsidRPr="00260EC9">
        <w:tab/>
        <w:t xml:space="preserve">Accord </w:t>
      </w:r>
      <w:r w:rsidRPr="00591072">
        <w:t>concernant l’adoption de conditions uniformes d’homologation et la reconnaissance réciproque de l’homologation des équipements et pièces de véhicules à moteur, en date, à Genève, du 20 mars 1958 (version originale) ;</w:t>
      </w:r>
    </w:p>
    <w:p w14:paraId="760D58E3" w14:textId="77777777" w:rsidR="00591072" w:rsidRPr="00591072" w:rsidRDefault="00591072" w:rsidP="00591072">
      <w:pPr>
        <w:pStyle w:val="Notedebasdepage"/>
      </w:pPr>
      <w:r>
        <w:tab/>
      </w:r>
      <w:r>
        <w:tab/>
      </w:r>
      <w:r w:rsidRPr="00591072">
        <w:t>Accord concernant l’adoption de prescriptions techniques uniformes applicables aux véhicules à</w:t>
      </w:r>
      <w:r>
        <w:t> </w:t>
      </w:r>
      <w:r w:rsidRPr="00591072">
        <w:t>roues, aux équipements et aux pièces susceptibles d’être montés ou utilisés sur un véhicule à roues et les conditions de reconnaissance réciproque des homologations délivrées conformément à ces prescriptions, en date, à Genève, du 5 octobre 1995 (Révision 2).</w:t>
      </w:r>
    </w:p>
    <w:p w14:paraId="7917F399" w14:textId="77777777" w:rsidR="00442E31" w:rsidRPr="00442E31" w:rsidRDefault="00442E31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4A22" w14:textId="0BC2D800" w:rsidR="00260EC9" w:rsidRPr="00260EC9" w:rsidRDefault="00260EC9">
    <w:pPr>
      <w:pStyle w:val="En-tte"/>
      <w:rPr>
        <w:lang w:val="en-US"/>
      </w:rPr>
    </w:pPr>
    <w:r>
      <w:fldChar w:fldCharType="begin"/>
    </w:r>
    <w:r w:rsidRPr="00260EC9">
      <w:rPr>
        <w:lang w:val="en-US"/>
      </w:rPr>
      <w:instrText xml:space="preserve"> TITLE  \* MERGEFORMAT </w:instrText>
    </w:r>
    <w:r>
      <w:fldChar w:fldCharType="separate"/>
    </w:r>
    <w:r w:rsidR="00FC39DE">
      <w:rPr>
        <w:lang w:val="en-US"/>
      </w:rPr>
      <w:t>E/ECE/324/Rev.1/Add.82/Rev.5/Amend.15</w:t>
    </w:r>
    <w:r>
      <w:fldChar w:fldCharType="end"/>
    </w:r>
    <w:r w:rsidRPr="00260EC9">
      <w:rPr>
        <w:lang w:val="en-US"/>
      </w:rPr>
      <w:br/>
    </w:r>
    <w:r>
      <w:fldChar w:fldCharType="begin"/>
    </w:r>
    <w:r w:rsidRPr="00260EC9">
      <w:rPr>
        <w:lang w:val="en-US"/>
      </w:rPr>
      <w:instrText xml:space="preserve"> KEYWORDS  \* MERGEFORMAT </w:instrText>
    </w:r>
    <w:r>
      <w:fldChar w:fldCharType="separate"/>
    </w:r>
    <w:r w:rsidR="00FC39DE">
      <w:rPr>
        <w:lang w:val="en-US"/>
      </w:rPr>
      <w:t>E/ECE/TRANS/505/Rev.1/Add.82/Rev.5/Amend.15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ED46" w14:textId="73F994D0" w:rsidR="00260EC9" w:rsidRPr="00260EC9" w:rsidRDefault="00260EC9" w:rsidP="00260EC9">
    <w:pPr>
      <w:pStyle w:val="En-tte"/>
      <w:jc w:val="right"/>
      <w:rPr>
        <w:lang w:val="en-US"/>
      </w:rPr>
    </w:pPr>
    <w:r>
      <w:fldChar w:fldCharType="begin"/>
    </w:r>
    <w:r w:rsidRPr="00260EC9">
      <w:rPr>
        <w:lang w:val="en-US"/>
      </w:rPr>
      <w:instrText xml:space="preserve"> TITLE  \* MERGEFORMAT </w:instrText>
    </w:r>
    <w:r>
      <w:fldChar w:fldCharType="separate"/>
    </w:r>
    <w:r w:rsidR="00FC39DE">
      <w:rPr>
        <w:lang w:val="en-US"/>
      </w:rPr>
      <w:t>E/ECE/324/Rev.1/Add.82/Rev.5/Amend.15</w:t>
    </w:r>
    <w:r>
      <w:fldChar w:fldCharType="end"/>
    </w:r>
    <w:r w:rsidRPr="00260EC9">
      <w:rPr>
        <w:lang w:val="en-US"/>
      </w:rPr>
      <w:br/>
    </w:r>
    <w:r>
      <w:fldChar w:fldCharType="begin"/>
    </w:r>
    <w:r w:rsidRPr="00260EC9">
      <w:rPr>
        <w:lang w:val="en-US"/>
      </w:rPr>
      <w:instrText xml:space="preserve"> KEYWORDS  \* MERGEFORMAT </w:instrText>
    </w:r>
    <w:r>
      <w:fldChar w:fldCharType="separate"/>
    </w:r>
    <w:r w:rsidR="00FC39DE">
      <w:rPr>
        <w:lang w:val="en-US"/>
      </w:rPr>
      <w:t>E/ECE/TRANS/505/Rev.1/Add.82/Rev.5/Amend.15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848447347">
    <w:abstractNumId w:val="2"/>
  </w:num>
  <w:num w:numId="2" w16cid:durableId="8067456">
    <w:abstractNumId w:val="1"/>
  </w:num>
  <w:num w:numId="3" w16cid:durableId="468591943">
    <w:abstractNumId w:val="0"/>
  </w:num>
  <w:num w:numId="4" w16cid:durableId="1771046897">
    <w:abstractNumId w:val="2"/>
  </w:num>
  <w:num w:numId="5" w16cid:durableId="1430664028">
    <w:abstractNumId w:val="1"/>
  </w:num>
  <w:num w:numId="6" w16cid:durableId="34059496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GB" w:vendorID="64" w:dllVersion="5" w:nlCheck="1" w:checkStyle="1"/>
  <w:activeWritingStyle w:appName="MSWord" w:lang="fr-CH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SN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64"/>
    <w:rsid w:val="0001470D"/>
    <w:rsid w:val="00016165"/>
    <w:rsid w:val="00016AC5"/>
    <w:rsid w:val="00021126"/>
    <w:rsid w:val="00021907"/>
    <w:rsid w:val="000233A5"/>
    <w:rsid w:val="0002445D"/>
    <w:rsid w:val="00024C50"/>
    <w:rsid w:val="00025E92"/>
    <w:rsid w:val="000276A3"/>
    <w:rsid w:val="00032060"/>
    <w:rsid w:val="00034ED9"/>
    <w:rsid w:val="00040539"/>
    <w:rsid w:val="00040598"/>
    <w:rsid w:val="00047F10"/>
    <w:rsid w:val="00052157"/>
    <w:rsid w:val="0005346D"/>
    <w:rsid w:val="00055FE4"/>
    <w:rsid w:val="000641CE"/>
    <w:rsid w:val="00067310"/>
    <w:rsid w:val="00077E35"/>
    <w:rsid w:val="0008669E"/>
    <w:rsid w:val="00090599"/>
    <w:rsid w:val="000A1501"/>
    <w:rsid w:val="000A2494"/>
    <w:rsid w:val="000A6B7E"/>
    <w:rsid w:val="000B20D3"/>
    <w:rsid w:val="000C6CDB"/>
    <w:rsid w:val="000D5C25"/>
    <w:rsid w:val="000E4F06"/>
    <w:rsid w:val="000E5601"/>
    <w:rsid w:val="000E5602"/>
    <w:rsid w:val="000F38B2"/>
    <w:rsid w:val="000F41F2"/>
    <w:rsid w:val="0010373B"/>
    <w:rsid w:val="0011415F"/>
    <w:rsid w:val="00125446"/>
    <w:rsid w:val="00126964"/>
    <w:rsid w:val="001358D9"/>
    <w:rsid w:val="00141E26"/>
    <w:rsid w:val="00143EB9"/>
    <w:rsid w:val="00152C5A"/>
    <w:rsid w:val="0015389C"/>
    <w:rsid w:val="00160540"/>
    <w:rsid w:val="00166C68"/>
    <w:rsid w:val="00174814"/>
    <w:rsid w:val="00181A90"/>
    <w:rsid w:val="00190D5D"/>
    <w:rsid w:val="00192EEB"/>
    <w:rsid w:val="00194484"/>
    <w:rsid w:val="001A2040"/>
    <w:rsid w:val="001A20FB"/>
    <w:rsid w:val="001A252F"/>
    <w:rsid w:val="001A376F"/>
    <w:rsid w:val="001B09BB"/>
    <w:rsid w:val="001C3D8D"/>
    <w:rsid w:val="001C6497"/>
    <w:rsid w:val="001D2614"/>
    <w:rsid w:val="001D7F8A"/>
    <w:rsid w:val="001E0447"/>
    <w:rsid w:val="001E1495"/>
    <w:rsid w:val="001E34CB"/>
    <w:rsid w:val="001E3FEB"/>
    <w:rsid w:val="001E4541"/>
    <w:rsid w:val="001E4A02"/>
    <w:rsid w:val="001E4E3F"/>
    <w:rsid w:val="001E653B"/>
    <w:rsid w:val="001E6DF0"/>
    <w:rsid w:val="001E7643"/>
    <w:rsid w:val="001F3E68"/>
    <w:rsid w:val="001F4931"/>
    <w:rsid w:val="002000CD"/>
    <w:rsid w:val="00200CBA"/>
    <w:rsid w:val="00204B66"/>
    <w:rsid w:val="002059CE"/>
    <w:rsid w:val="00206AD4"/>
    <w:rsid w:val="00224B8B"/>
    <w:rsid w:val="00225A8C"/>
    <w:rsid w:val="00230ED3"/>
    <w:rsid w:val="00231A7F"/>
    <w:rsid w:val="00242BBD"/>
    <w:rsid w:val="00244817"/>
    <w:rsid w:val="0024586F"/>
    <w:rsid w:val="00246BC8"/>
    <w:rsid w:val="00251F95"/>
    <w:rsid w:val="00252317"/>
    <w:rsid w:val="00260EC9"/>
    <w:rsid w:val="002659F1"/>
    <w:rsid w:val="00271E41"/>
    <w:rsid w:val="00284C19"/>
    <w:rsid w:val="00286E23"/>
    <w:rsid w:val="002876A1"/>
    <w:rsid w:val="00287CA6"/>
    <w:rsid w:val="00287E79"/>
    <w:rsid w:val="002928F9"/>
    <w:rsid w:val="00294D5B"/>
    <w:rsid w:val="0029791D"/>
    <w:rsid w:val="002A2A2C"/>
    <w:rsid w:val="002A5D07"/>
    <w:rsid w:val="002D25CA"/>
    <w:rsid w:val="002D3DA4"/>
    <w:rsid w:val="002E2F5C"/>
    <w:rsid w:val="002F0C48"/>
    <w:rsid w:val="003016B7"/>
    <w:rsid w:val="0030754C"/>
    <w:rsid w:val="00317E54"/>
    <w:rsid w:val="00322DF1"/>
    <w:rsid w:val="00324EBF"/>
    <w:rsid w:val="0032556C"/>
    <w:rsid w:val="00330508"/>
    <w:rsid w:val="0033286A"/>
    <w:rsid w:val="00333130"/>
    <w:rsid w:val="00346E32"/>
    <w:rsid w:val="003515AA"/>
    <w:rsid w:val="00364F13"/>
    <w:rsid w:val="0036776C"/>
    <w:rsid w:val="00370223"/>
    <w:rsid w:val="00372A7A"/>
    <w:rsid w:val="00372D1D"/>
    <w:rsid w:val="00374106"/>
    <w:rsid w:val="0037679A"/>
    <w:rsid w:val="0038047C"/>
    <w:rsid w:val="00390EEF"/>
    <w:rsid w:val="00394410"/>
    <w:rsid w:val="003976D5"/>
    <w:rsid w:val="003B53B6"/>
    <w:rsid w:val="003D6C68"/>
    <w:rsid w:val="003E01D0"/>
    <w:rsid w:val="003E49B9"/>
    <w:rsid w:val="003E5E5B"/>
    <w:rsid w:val="003E5F12"/>
    <w:rsid w:val="003E786C"/>
    <w:rsid w:val="003F2A89"/>
    <w:rsid w:val="003F4A54"/>
    <w:rsid w:val="003F7B62"/>
    <w:rsid w:val="0040144C"/>
    <w:rsid w:val="004067AE"/>
    <w:rsid w:val="00410521"/>
    <w:rsid w:val="00413BB0"/>
    <w:rsid w:val="004159D0"/>
    <w:rsid w:val="00417326"/>
    <w:rsid w:val="00421A10"/>
    <w:rsid w:val="00422499"/>
    <w:rsid w:val="00430EFC"/>
    <w:rsid w:val="004342E2"/>
    <w:rsid w:val="00434354"/>
    <w:rsid w:val="00440BC8"/>
    <w:rsid w:val="00442E31"/>
    <w:rsid w:val="00454F8D"/>
    <w:rsid w:val="004567EB"/>
    <w:rsid w:val="00457676"/>
    <w:rsid w:val="00460E72"/>
    <w:rsid w:val="00464191"/>
    <w:rsid w:val="00467412"/>
    <w:rsid w:val="00467F2C"/>
    <w:rsid w:val="00476265"/>
    <w:rsid w:val="0048687D"/>
    <w:rsid w:val="00490F56"/>
    <w:rsid w:val="00491F39"/>
    <w:rsid w:val="004A49A5"/>
    <w:rsid w:val="004A66A2"/>
    <w:rsid w:val="004B07A3"/>
    <w:rsid w:val="004B261D"/>
    <w:rsid w:val="004B51CD"/>
    <w:rsid w:val="004B576C"/>
    <w:rsid w:val="004C54C0"/>
    <w:rsid w:val="004C56B2"/>
    <w:rsid w:val="004C6F4A"/>
    <w:rsid w:val="004D00B2"/>
    <w:rsid w:val="004E3182"/>
    <w:rsid w:val="004E4963"/>
    <w:rsid w:val="004E6809"/>
    <w:rsid w:val="004E7F24"/>
    <w:rsid w:val="005111B1"/>
    <w:rsid w:val="0051457E"/>
    <w:rsid w:val="0051714B"/>
    <w:rsid w:val="00520F80"/>
    <w:rsid w:val="005239FF"/>
    <w:rsid w:val="00523DB8"/>
    <w:rsid w:val="00533150"/>
    <w:rsid w:val="00543B57"/>
    <w:rsid w:val="00543C47"/>
    <w:rsid w:val="00543D5E"/>
    <w:rsid w:val="00552260"/>
    <w:rsid w:val="00552777"/>
    <w:rsid w:val="00555494"/>
    <w:rsid w:val="00555CBA"/>
    <w:rsid w:val="00556C1A"/>
    <w:rsid w:val="00565B29"/>
    <w:rsid w:val="00571BC1"/>
    <w:rsid w:val="00571F41"/>
    <w:rsid w:val="00575476"/>
    <w:rsid w:val="00583A20"/>
    <w:rsid w:val="00584373"/>
    <w:rsid w:val="0059061F"/>
    <w:rsid w:val="00591072"/>
    <w:rsid w:val="00591DB3"/>
    <w:rsid w:val="005939ED"/>
    <w:rsid w:val="005947BC"/>
    <w:rsid w:val="00595E8A"/>
    <w:rsid w:val="005A0268"/>
    <w:rsid w:val="005A6014"/>
    <w:rsid w:val="005B473C"/>
    <w:rsid w:val="005C549A"/>
    <w:rsid w:val="005D0035"/>
    <w:rsid w:val="005D7719"/>
    <w:rsid w:val="005E1B9B"/>
    <w:rsid w:val="005E32D1"/>
    <w:rsid w:val="005E5D1F"/>
    <w:rsid w:val="005F0207"/>
    <w:rsid w:val="005F5C1F"/>
    <w:rsid w:val="0061113B"/>
    <w:rsid w:val="00611D43"/>
    <w:rsid w:val="00612D48"/>
    <w:rsid w:val="00613A5E"/>
    <w:rsid w:val="00616B45"/>
    <w:rsid w:val="00617C8B"/>
    <w:rsid w:val="006241C6"/>
    <w:rsid w:val="00630D9B"/>
    <w:rsid w:val="00631953"/>
    <w:rsid w:val="0063208D"/>
    <w:rsid w:val="006434FD"/>
    <w:rsid w:val="00643814"/>
    <w:rsid w:val="006439EC"/>
    <w:rsid w:val="00645090"/>
    <w:rsid w:val="00647059"/>
    <w:rsid w:val="00647162"/>
    <w:rsid w:val="0065029A"/>
    <w:rsid w:val="006553F9"/>
    <w:rsid w:val="00661E96"/>
    <w:rsid w:val="00665786"/>
    <w:rsid w:val="00671C93"/>
    <w:rsid w:val="00671F00"/>
    <w:rsid w:val="006729C8"/>
    <w:rsid w:val="00675501"/>
    <w:rsid w:val="0068562A"/>
    <w:rsid w:val="006A6B31"/>
    <w:rsid w:val="006A6C95"/>
    <w:rsid w:val="006A7B29"/>
    <w:rsid w:val="006B0EB2"/>
    <w:rsid w:val="006B0FF8"/>
    <w:rsid w:val="006B4590"/>
    <w:rsid w:val="006C340C"/>
    <w:rsid w:val="006E29E5"/>
    <w:rsid w:val="006F1D0B"/>
    <w:rsid w:val="006F27A8"/>
    <w:rsid w:val="006F3493"/>
    <w:rsid w:val="006F3544"/>
    <w:rsid w:val="00700A8B"/>
    <w:rsid w:val="0070347C"/>
    <w:rsid w:val="007102D2"/>
    <w:rsid w:val="00714A66"/>
    <w:rsid w:val="007176C1"/>
    <w:rsid w:val="00720BC0"/>
    <w:rsid w:val="0072116B"/>
    <w:rsid w:val="00725063"/>
    <w:rsid w:val="00732E72"/>
    <w:rsid w:val="00741D90"/>
    <w:rsid w:val="00755D4F"/>
    <w:rsid w:val="007607B1"/>
    <w:rsid w:val="00765296"/>
    <w:rsid w:val="00766D28"/>
    <w:rsid w:val="007723C2"/>
    <w:rsid w:val="007815B9"/>
    <w:rsid w:val="00783E82"/>
    <w:rsid w:val="00785F1F"/>
    <w:rsid w:val="007869B6"/>
    <w:rsid w:val="00790B9D"/>
    <w:rsid w:val="00796316"/>
    <w:rsid w:val="007A1C58"/>
    <w:rsid w:val="007A20D2"/>
    <w:rsid w:val="007A79CD"/>
    <w:rsid w:val="007C16EA"/>
    <w:rsid w:val="007D2668"/>
    <w:rsid w:val="007D3119"/>
    <w:rsid w:val="007F1867"/>
    <w:rsid w:val="007F1EC4"/>
    <w:rsid w:val="007F55CB"/>
    <w:rsid w:val="007F768E"/>
    <w:rsid w:val="008021D4"/>
    <w:rsid w:val="008149F9"/>
    <w:rsid w:val="008245B7"/>
    <w:rsid w:val="0082755E"/>
    <w:rsid w:val="00831A18"/>
    <w:rsid w:val="00837345"/>
    <w:rsid w:val="00844750"/>
    <w:rsid w:val="00851A74"/>
    <w:rsid w:val="00853AB8"/>
    <w:rsid w:val="00854C34"/>
    <w:rsid w:val="0085586A"/>
    <w:rsid w:val="00856DB2"/>
    <w:rsid w:val="00895DE5"/>
    <w:rsid w:val="008A0FA8"/>
    <w:rsid w:val="008A1EC0"/>
    <w:rsid w:val="008A4A2E"/>
    <w:rsid w:val="008B44C4"/>
    <w:rsid w:val="008C322B"/>
    <w:rsid w:val="008C4B74"/>
    <w:rsid w:val="008D1156"/>
    <w:rsid w:val="008D59DB"/>
    <w:rsid w:val="008E0319"/>
    <w:rsid w:val="008E4DE2"/>
    <w:rsid w:val="008E6252"/>
    <w:rsid w:val="008E7CE2"/>
    <w:rsid w:val="008E7FAE"/>
    <w:rsid w:val="00911BF7"/>
    <w:rsid w:val="0091594A"/>
    <w:rsid w:val="009230F1"/>
    <w:rsid w:val="00926925"/>
    <w:rsid w:val="00935490"/>
    <w:rsid w:val="009418DE"/>
    <w:rsid w:val="009516B7"/>
    <w:rsid w:val="009545F1"/>
    <w:rsid w:val="00957CE5"/>
    <w:rsid w:val="009624E2"/>
    <w:rsid w:val="00966297"/>
    <w:rsid w:val="009707E4"/>
    <w:rsid w:val="00973B8F"/>
    <w:rsid w:val="00974DD2"/>
    <w:rsid w:val="00977EC8"/>
    <w:rsid w:val="00996562"/>
    <w:rsid w:val="009A3048"/>
    <w:rsid w:val="009A6C26"/>
    <w:rsid w:val="009B17AD"/>
    <w:rsid w:val="009B3F8C"/>
    <w:rsid w:val="009B45E0"/>
    <w:rsid w:val="009B540F"/>
    <w:rsid w:val="009D3A8C"/>
    <w:rsid w:val="009E1BA9"/>
    <w:rsid w:val="009E2876"/>
    <w:rsid w:val="009E2F0B"/>
    <w:rsid w:val="009E7956"/>
    <w:rsid w:val="009F072F"/>
    <w:rsid w:val="009F26C1"/>
    <w:rsid w:val="009F3F95"/>
    <w:rsid w:val="00A023FC"/>
    <w:rsid w:val="00A0338D"/>
    <w:rsid w:val="00A05DD1"/>
    <w:rsid w:val="00A077E9"/>
    <w:rsid w:val="00A2492E"/>
    <w:rsid w:val="00A27C92"/>
    <w:rsid w:val="00A31163"/>
    <w:rsid w:val="00A34593"/>
    <w:rsid w:val="00A364DB"/>
    <w:rsid w:val="00A45E90"/>
    <w:rsid w:val="00A4770F"/>
    <w:rsid w:val="00A50D6B"/>
    <w:rsid w:val="00A51050"/>
    <w:rsid w:val="00A56945"/>
    <w:rsid w:val="00A57027"/>
    <w:rsid w:val="00A5750C"/>
    <w:rsid w:val="00A72C35"/>
    <w:rsid w:val="00A752BB"/>
    <w:rsid w:val="00A81F93"/>
    <w:rsid w:val="00A84FCF"/>
    <w:rsid w:val="00A9247E"/>
    <w:rsid w:val="00AA0DCA"/>
    <w:rsid w:val="00AA7796"/>
    <w:rsid w:val="00AB062B"/>
    <w:rsid w:val="00AC67A1"/>
    <w:rsid w:val="00AC7977"/>
    <w:rsid w:val="00AC7E56"/>
    <w:rsid w:val="00AE2617"/>
    <w:rsid w:val="00AE352C"/>
    <w:rsid w:val="00AE39A5"/>
    <w:rsid w:val="00AE79AC"/>
    <w:rsid w:val="00B01AAD"/>
    <w:rsid w:val="00B07AD8"/>
    <w:rsid w:val="00B101DB"/>
    <w:rsid w:val="00B13E4F"/>
    <w:rsid w:val="00B21751"/>
    <w:rsid w:val="00B256F0"/>
    <w:rsid w:val="00B31D7D"/>
    <w:rsid w:val="00B32E2D"/>
    <w:rsid w:val="00B416B8"/>
    <w:rsid w:val="00B42351"/>
    <w:rsid w:val="00B43741"/>
    <w:rsid w:val="00B45642"/>
    <w:rsid w:val="00B52F29"/>
    <w:rsid w:val="00B5388D"/>
    <w:rsid w:val="00B61990"/>
    <w:rsid w:val="00B6249B"/>
    <w:rsid w:val="00B70CCD"/>
    <w:rsid w:val="00B75E66"/>
    <w:rsid w:val="00B773BF"/>
    <w:rsid w:val="00BC3F20"/>
    <w:rsid w:val="00BC76F0"/>
    <w:rsid w:val="00BD13E6"/>
    <w:rsid w:val="00BD28B2"/>
    <w:rsid w:val="00BD5A8D"/>
    <w:rsid w:val="00BD7343"/>
    <w:rsid w:val="00BF0556"/>
    <w:rsid w:val="00BF1C7D"/>
    <w:rsid w:val="00BF37EE"/>
    <w:rsid w:val="00BF3FEB"/>
    <w:rsid w:val="00C024A1"/>
    <w:rsid w:val="00C02C42"/>
    <w:rsid w:val="00C10FB1"/>
    <w:rsid w:val="00C11282"/>
    <w:rsid w:val="00C14108"/>
    <w:rsid w:val="00C261F8"/>
    <w:rsid w:val="00C27662"/>
    <w:rsid w:val="00C32914"/>
    <w:rsid w:val="00C33100"/>
    <w:rsid w:val="00C42EDB"/>
    <w:rsid w:val="00C451B9"/>
    <w:rsid w:val="00C51D9C"/>
    <w:rsid w:val="00C54DA4"/>
    <w:rsid w:val="00C55118"/>
    <w:rsid w:val="00C577D1"/>
    <w:rsid w:val="00C57A2D"/>
    <w:rsid w:val="00C6018C"/>
    <w:rsid w:val="00C6525D"/>
    <w:rsid w:val="00C67D23"/>
    <w:rsid w:val="00C71827"/>
    <w:rsid w:val="00C75D25"/>
    <w:rsid w:val="00C825E5"/>
    <w:rsid w:val="00C95EB8"/>
    <w:rsid w:val="00CA0756"/>
    <w:rsid w:val="00CB02C5"/>
    <w:rsid w:val="00CB0D41"/>
    <w:rsid w:val="00CB39CD"/>
    <w:rsid w:val="00CC2A62"/>
    <w:rsid w:val="00CC7CE6"/>
    <w:rsid w:val="00CD044C"/>
    <w:rsid w:val="00CD1A71"/>
    <w:rsid w:val="00CD1FBB"/>
    <w:rsid w:val="00CE033D"/>
    <w:rsid w:val="00CE08E5"/>
    <w:rsid w:val="00D016B5"/>
    <w:rsid w:val="00D034F1"/>
    <w:rsid w:val="00D05828"/>
    <w:rsid w:val="00D06712"/>
    <w:rsid w:val="00D13CAA"/>
    <w:rsid w:val="00D14C21"/>
    <w:rsid w:val="00D14F42"/>
    <w:rsid w:val="00D171D4"/>
    <w:rsid w:val="00D244CB"/>
    <w:rsid w:val="00D27D5E"/>
    <w:rsid w:val="00D32B08"/>
    <w:rsid w:val="00D407D1"/>
    <w:rsid w:val="00D43E5F"/>
    <w:rsid w:val="00D51CE6"/>
    <w:rsid w:val="00D639BD"/>
    <w:rsid w:val="00D65777"/>
    <w:rsid w:val="00D66E0D"/>
    <w:rsid w:val="00D7425A"/>
    <w:rsid w:val="00D74F7E"/>
    <w:rsid w:val="00D7695F"/>
    <w:rsid w:val="00D9039B"/>
    <w:rsid w:val="00D93582"/>
    <w:rsid w:val="00DA41A2"/>
    <w:rsid w:val="00DA43A1"/>
    <w:rsid w:val="00DA5E1D"/>
    <w:rsid w:val="00DB01CD"/>
    <w:rsid w:val="00DC161C"/>
    <w:rsid w:val="00DC3628"/>
    <w:rsid w:val="00DC4F43"/>
    <w:rsid w:val="00DE083E"/>
    <w:rsid w:val="00DE6D90"/>
    <w:rsid w:val="00DF002F"/>
    <w:rsid w:val="00E0244D"/>
    <w:rsid w:val="00E026DF"/>
    <w:rsid w:val="00E02F48"/>
    <w:rsid w:val="00E03712"/>
    <w:rsid w:val="00E06B3F"/>
    <w:rsid w:val="00E10A73"/>
    <w:rsid w:val="00E14F27"/>
    <w:rsid w:val="00E171D2"/>
    <w:rsid w:val="00E25534"/>
    <w:rsid w:val="00E319B6"/>
    <w:rsid w:val="00E32145"/>
    <w:rsid w:val="00E32F5A"/>
    <w:rsid w:val="00E510F3"/>
    <w:rsid w:val="00E51874"/>
    <w:rsid w:val="00E51AE4"/>
    <w:rsid w:val="00E57C11"/>
    <w:rsid w:val="00E60012"/>
    <w:rsid w:val="00E62CFF"/>
    <w:rsid w:val="00E665EE"/>
    <w:rsid w:val="00E679AE"/>
    <w:rsid w:val="00E71570"/>
    <w:rsid w:val="00E73B13"/>
    <w:rsid w:val="00E75C58"/>
    <w:rsid w:val="00E76819"/>
    <w:rsid w:val="00E81E94"/>
    <w:rsid w:val="00E82607"/>
    <w:rsid w:val="00E84A82"/>
    <w:rsid w:val="00E85025"/>
    <w:rsid w:val="00E9483E"/>
    <w:rsid w:val="00E96710"/>
    <w:rsid w:val="00E97E2C"/>
    <w:rsid w:val="00EA3B1D"/>
    <w:rsid w:val="00EB77B9"/>
    <w:rsid w:val="00EB7D07"/>
    <w:rsid w:val="00ED3A26"/>
    <w:rsid w:val="00EF70BB"/>
    <w:rsid w:val="00F02FA9"/>
    <w:rsid w:val="00F06660"/>
    <w:rsid w:val="00F07AE1"/>
    <w:rsid w:val="00F116EB"/>
    <w:rsid w:val="00F1794E"/>
    <w:rsid w:val="00F211AF"/>
    <w:rsid w:val="00F25EC3"/>
    <w:rsid w:val="00F32ADB"/>
    <w:rsid w:val="00F32C98"/>
    <w:rsid w:val="00F37E12"/>
    <w:rsid w:val="00F424BD"/>
    <w:rsid w:val="00F4527A"/>
    <w:rsid w:val="00F45D41"/>
    <w:rsid w:val="00F515AD"/>
    <w:rsid w:val="00F57DD7"/>
    <w:rsid w:val="00F636AD"/>
    <w:rsid w:val="00F66827"/>
    <w:rsid w:val="00F734D9"/>
    <w:rsid w:val="00F73F83"/>
    <w:rsid w:val="00F74902"/>
    <w:rsid w:val="00F85A4E"/>
    <w:rsid w:val="00F9353A"/>
    <w:rsid w:val="00F965C2"/>
    <w:rsid w:val="00FA27D4"/>
    <w:rsid w:val="00FA5A79"/>
    <w:rsid w:val="00FB0BFE"/>
    <w:rsid w:val="00FB4300"/>
    <w:rsid w:val="00FB4C51"/>
    <w:rsid w:val="00FB734D"/>
    <w:rsid w:val="00FC39DE"/>
    <w:rsid w:val="00FD02A2"/>
    <w:rsid w:val="00FD5E64"/>
    <w:rsid w:val="00FD7985"/>
    <w:rsid w:val="00FE6526"/>
    <w:rsid w:val="00FF1DBD"/>
    <w:rsid w:val="00FF1E4B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EAF12A"/>
  <w15:docId w15:val="{42B61519-AEC1-49B7-96F3-9A8A86A9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5D4F"/>
    <w:pPr>
      <w:suppressAutoHyphens/>
      <w:kinsoku w:val="0"/>
      <w:overflowPunct w:val="0"/>
      <w:autoSpaceDE w:val="0"/>
      <w:autoSpaceDN w:val="0"/>
      <w:adjustRightInd w:val="0"/>
      <w:snapToGrid w:val="0"/>
      <w:spacing w:line="240" w:lineRule="atLeast"/>
    </w:pPr>
    <w:rPr>
      <w:rFonts w:eastAsiaTheme="minorHAnsi"/>
      <w:lang w:val="fr-CH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48687D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48687D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48687D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48687D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48687D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48687D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48687D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48687D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48687D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F66827"/>
    <w:pPr>
      <w:spacing w:after="120"/>
      <w:ind w:left="1134" w:right="1134"/>
      <w:jc w:val="both"/>
    </w:pPr>
  </w:style>
  <w:style w:type="paragraph" w:styleId="Notedefin">
    <w:name w:val="endnote text"/>
    <w:aliases w:val="2_G"/>
    <w:basedOn w:val="Notedebasdepage"/>
    <w:link w:val="NotedefinCar"/>
    <w:qFormat/>
    <w:rsid w:val="0048687D"/>
  </w:style>
  <w:style w:type="paragraph" w:styleId="Notedebasdepage">
    <w:name w:val="footnote text"/>
    <w:aliases w:val="5_G"/>
    <w:basedOn w:val="Normal"/>
    <w:link w:val="NotedebasdepageCar"/>
    <w:qFormat/>
    <w:rsid w:val="0048687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Pieddepage">
    <w:name w:val="footer"/>
    <w:aliases w:val="3_G"/>
    <w:basedOn w:val="Normal"/>
    <w:next w:val="Normal"/>
    <w:link w:val="PieddepageCar"/>
    <w:qFormat/>
    <w:rsid w:val="0048687D"/>
    <w:pPr>
      <w:spacing w:line="240" w:lineRule="auto"/>
    </w:pPr>
    <w:rPr>
      <w:sz w:val="16"/>
    </w:rPr>
  </w:style>
  <w:style w:type="character" w:styleId="Appeldenotedefin">
    <w:name w:val="endnote reference"/>
    <w:aliases w:val="1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Appelnotedebasdep">
    <w:name w:val="footnote reference"/>
    <w:aliases w:val="4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Numrodepage">
    <w:name w:val="page number"/>
    <w:aliases w:val="7_G"/>
    <w:qFormat/>
    <w:rsid w:val="0048687D"/>
    <w:rPr>
      <w:rFonts w:ascii="Times New Roman" w:hAnsi="Times New Roman"/>
      <w:b/>
      <w:sz w:val="18"/>
      <w:lang w:val="fr-CH"/>
    </w:rPr>
  </w:style>
  <w:style w:type="paragraph" w:styleId="En-tte">
    <w:name w:val="header"/>
    <w:aliases w:val="6_G"/>
    <w:basedOn w:val="Normal"/>
    <w:next w:val="Normal"/>
    <w:link w:val="En-tteCar"/>
    <w:qFormat/>
    <w:rsid w:val="0048687D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H1G">
    <w:name w:val="_ H_1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ChG">
    <w:name w:val="_ H _Ch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MG">
    <w:name w:val="_ H __M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23G">
    <w:name w:val="_ H_2/3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MG">
    <w:name w:val="__S_M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48687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48687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8687D"/>
    <w:pPr>
      <w:numPr>
        <w:numId w:val="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8687D"/>
    <w:pPr>
      <w:numPr>
        <w:numId w:val="5"/>
      </w:numPr>
      <w:spacing w:after="120"/>
      <w:ind w:right="1134"/>
      <w:jc w:val="both"/>
    </w:pPr>
  </w:style>
  <w:style w:type="table" w:styleId="Grilledutableau">
    <w:name w:val="Table Grid"/>
    <w:basedOn w:val="TableauNormal"/>
    <w:rsid w:val="0048687D"/>
    <w:pPr>
      <w:suppressAutoHyphens/>
      <w:spacing w:line="240" w:lineRule="atLeast"/>
    </w:pPr>
    <w:rPr>
      <w:rFonts w:eastAsiaTheme="minorHAns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ngleTxtGChar">
    <w:name w:val="_ Single Txt_G Char"/>
    <w:link w:val="SingleTxtG"/>
    <w:qFormat/>
    <w:rsid w:val="00F66827"/>
    <w:rPr>
      <w:rFonts w:eastAsiaTheme="minorHAnsi"/>
      <w:lang w:val="fr-CH"/>
    </w:rPr>
  </w:style>
  <w:style w:type="character" w:styleId="Lienhypertexte">
    <w:name w:val="Hyperlink"/>
    <w:semiHidden/>
    <w:rsid w:val="0048687D"/>
    <w:rPr>
      <w:color w:val="0000FF"/>
      <w:u w:val="none"/>
    </w:rPr>
  </w:style>
  <w:style w:type="character" w:styleId="Lienhypertextesuivivisit">
    <w:name w:val="FollowedHyperlink"/>
    <w:semiHidden/>
    <w:rsid w:val="0048687D"/>
    <w:rPr>
      <w:color w:val="0000FF"/>
      <w:u w:val="none"/>
    </w:rPr>
  </w:style>
  <w:style w:type="paragraph" w:customStyle="1" w:styleId="ParNoG">
    <w:name w:val="_ParNo_G"/>
    <w:basedOn w:val="Normal"/>
    <w:qFormat/>
    <w:rsid w:val="00F66827"/>
    <w:pPr>
      <w:numPr>
        <w:numId w:val="6"/>
      </w:numPr>
      <w:tabs>
        <w:tab w:val="clear" w:pos="1701"/>
      </w:tabs>
      <w:spacing w:after="120"/>
      <w:ind w:right="1134"/>
      <w:jc w:val="both"/>
    </w:pPr>
  </w:style>
  <w:style w:type="character" w:customStyle="1" w:styleId="En-tteCar">
    <w:name w:val="En-tête Car"/>
    <w:aliases w:val="6_G Car"/>
    <w:link w:val="En-tte"/>
    <w:rsid w:val="0048687D"/>
    <w:rPr>
      <w:rFonts w:eastAsiaTheme="minorHAnsi"/>
      <w:b/>
      <w:sz w:val="18"/>
      <w:lang w:val="fr-CH"/>
    </w:rPr>
  </w:style>
  <w:style w:type="character" w:customStyle="1" w:styleId="NotedebasdepageCar">
    <w:name w:val="Note de bas de page Car"/>
    <w:aliases w:val="5_G Car"/>
    <w:link w:val="Notedebasdepage"/>
    <w:rsid w:val="0048687D"/>
    <w:rPr>
      <w:rFonts w:eastAsiaTheme="minorHAnsi"/>
      <w:sz w:val="18"/>
      <w:lang w:val="fr-CH"/>
    </w:rPr>
  </w:style>
  <w:style w:type="character" w:customStyle="1" w:styleId="NotedefinCar">
    <w:name w:val="Note de fin Car"/>
    <w:aliases w:val="2_G Car"/>
    <w:link w:val="Notedefin"/>
    <w:rsid w:val="0048687D"/>
    <w:rPr>
      <w:rFonts w:eastAsiaTheme="minorHAnsi"/>
      <w:sz w:val="18"/>
      <w:lang w:val="fr-CH"/>
    </w:rPr>
  </w:style>
  <w:style w:type="character" w:customStyle="1" w:styleId="PieddepageCar">
    <w:name w:val="Pied de page Car"/>
    <w:aliases w:val="3_G Car"/>
    <w:link w:val="Pieddepage"/>
    <w:rsid w:val="0048687D"/>
    <w:rPr>
      <w:rFonts w:eastAsiaTheme="minorHAnsi"/>
      <w:sz w:val="16"/>
      <w:lang w:val="fr-CH"/>
    </w:rPr>
  </w:style>
  <w:style w:type="character" w:customStyle="1" w:styleId="Titre1Car">
    <w:name w:val="Titre 1 Car"/>
    <w:aliases w:val="Table_G Car"/>
    <w:link w:val="Titre1"/>
    <w:rsid w:val="0048687D"/>
    <w:rPr>
      <w:rFonts w:eastAsiaTheme="minorHAnsi"/>
      <w:lang w:val="fr-CH"/>
    </w:rPr>
  </w:style>
  <w:style w:type="character" w:customStyle="1" w:styleId="Titre2Car">
    <w:name w:val="Titre 2 Car"/>
    <w:link w:val="Titre2"/>
    <w:semiHidden/>
    <w:rsid w:val="00755D4F"/>
    <w:rPr>
      <w:rFonts w:eastAsiaTheme="minorHAnsi"/>
      <w:lang w:val="fr-CH"/>
    </w:rPr>
  </w:style>
  <w:style w:type="character" w:customStyle="1" w:styleId="Titre3Car">
    <w:name w:val="Titre 3 Car"/>
    <w:link w:val="Titre3"/>
    <w:semiHidden/>
    <w:rsid w:val="00755D4F"/>
    <w:rPr>
      <w:rFonts w:eastAsiaTheme="minorHAnsi"/>
      <w:lang w:val="fr-CH"/>
    </w:rPr>
  </w:style>
  <w:style w:type="character" w:customStyle="1" w:styleId="Titre4Car">
    <w:name w:val="Titre 4 Car"/>
    <w:link w:val="Titre4"/>
    <w:semiHidden/>
    <w:rsid w:val="00755D4F"/>
    <w:rPr>
      <w:rFonts w:eastAsiaTheme="minorHAnsi"/>
      <w:lang w:val="fr-CH"/>
    </w:rPr>
  </w:style>
  <w:style w:type="character" w:customStyle="1" w:styleId="Titre5Car">
    <w:name w:val="Titre 5 Car"/>
    <w:link w:val="Titre5"/>
    <w:semiHidden/>
    <w:rsid w:val="00755D4F"/>
    <w:rPr>
      <w:rFonts w:eastAsiaTheme="minorHAnsi"/>
      <w:lang w:val="fr-CH"/>
    </w:rPr>
  </w:style>
  <w:style w:type="character" w:customStyle="1" w:styleId="Titre6Car">
    <w:name w:val="Titre 6 Car"/>
    <w:link w:val="Titre6"/>
    <w:semiHidden/>
    <w:rsid w:val="00755D4F"/>
    <w:rPr>
      <w:rFonts w:eastAsiaTheme="minorHAnsi"/>
      <w:lang w:val="fr-CH"/>
    </w:rPr>
  </w:style>
  <w:style w:type="character" w:customStyle="1" w:styleId="Titre7Car">
    <w:name w:val="Titre 7 Car"/>
    <w:link w:val="Titre7"/>
    <w:semiHidden/>
    <w:rsid w:val="00755D4F"/>
    <w:rPr>
      <w:rFonts w:eastAsiaTheme="minorHAnsi"/>
      <w:lang w:val="fr-CH"/>
    </w:rPr>
  </w:style>
  <w:style w:type="character" w:customStyle="1" w:styleId="Titre8Car">
    <w:name w:val="Titre 8 Car"/>
    <w:link w:val="Titre8"/>
    <w:semiHidden/>
    <w:rsid w:val="00755D4F"/>
    <w:rPr>
      <w:rFonts w:eastAsiaTheme="minorHAnsi"/>
      <w:lang w:val="fr-CH"/>
    </w:rPr>
  </w:style>
  <w:style w:type="character" w:customStyle="1" w:styleId="Titre9Car">
    <w:name w:val="Titre 9 Car"/>
    <w:link w:val="Titre9"/>
    <w:semiHidden/>
    <w:rsid w:val="00755D4F"/>
    <w:rPr>
      <w:rFonts w:eastAsiaTheme="minorHAnsi"/>
      <w:lang w:val="fr-CH"/>
    </w:rPr>
  </w:style>
  <w:style w:type="paragraph" w:styleId="Textedebulles">
    <w:name w:val="Balloon Text"/>
    <w:basedOn w:val="Normal"/>
    <w:link w:val="TextedebullesCar"/>
    <w:semiHidden/>
    <w:rsid w:val="00442E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55D4F"/>
    <w:rPr>
      <w:rFonts w:ascii="Tahoma" w:eastAsiaTheme="minorHAnsi" w:hAnsi="Tahoma" w:cs="Tahoma"/>
      <w:sz w:val="16"/>
      <w:szCs w:val="1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Rapports\E_ECE_324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8E30B3-5C89-42D1-96D0-E564EBE609D4}"/>
</file>

<file path=customXml/itemProps2.xml><?xml version="1.0" encoding="utf-8"?>
<ds:datastoreItem xmlns:ds="http://schemas.openxmlformats.org/officeDocument/2006/customXml" ds:itemID="{7368E719-4A0A-4701-A887-1EAB4AE3E97F}"/>
</file>

<file path=docProps/app.xml><?xml version="1.0" encoding="utf-8"?>
<Properties xmlns="http://schemas.openxmlformats.org/officeDocument/2006/extended-properties" xmlns:vt="http://schemas.openxmlformats.org/officeDocument/2006/docPropsVTypes">
  <Template>E_ECE_324.dotm</Template>
  <TotalTime>2</TotalTime>
  <Pages>5</Pages>
  <Words>1311</Words>
  <Characters>7065</Characters>
  <Application>Microsoft Office Word</Application>
  <DocSecurity>0</DocSecurity>
  <Lines>172</Lines>
  <Paragraphs>91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E/ECE/324/Rev</vt:lpstr>
    </vt:vector>
  </TitlesOfParts>
  <Company>CSD</Company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E/ECE/324/Rev.1/Add.82/Rev.5/Amend.15</dc:title>
  <dc:creator>Christine CHAUTAGNAT</dc:creator>
  <cp:keywords>E/ECE/TRANS/505/Rev.1/Add.82/Rev.5/Amend.15</cp:keywords>
  <cp:lastModifiedBy>Christine Chautagnat</cp:lastModifiedBy>
  <cp:revision>3</cp:revision>
  <cp:lastPrinted>2024-01-04T15:06:00Z</cp:lastPrinted>
  <dcterms:created xsi:type="dcterms:W3CDTF">2024-01-04T15:06:00Z</dcterms:created>
  <dcterms:modified xsi:type="dcterms:W3CDTF">2024-01-04T15:07:00Z</dcterms:modified>
</cp:coreProperties>
</file>