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C5DA" w14:textId="40AF5EF9" w:rsidR="00DE6A5E" w:rsidRDefault="00441309" w:rsidP="00473468">
      <w:pPr>
        <w:pStyle w:val="HChG"/>
        <w:ind w:left="2268" w:firstLine="0"/>
        <w:jc w:val="center"/>
      </w:pPr>
      <w:r>
        <w:t xml:space="preserve">Proposal for amendments to </w:t>
      </w:r>
      <w:r w:rsidR="00473468">
        <w:t>ECE/TRANS/WP.29/</w:t>
      </w:r>
      <w:r>
        <w:t>GRVA/2024</w:t>
      </w:r>
      <w:r w:rsidR="00EE3CB4">
        <w:t>/12</w:t>
      </w:r>
    </w:p>
    <w:p w14:paraId="573C039D" w14:textId="1EA544A7" w:rsidR="00EE3CB4" w:rsidRPr="00EE3CB4" w:rsidRDefault="00E0351C" w:rsidP="00E0351C">
      <w:pPr>
        <w:ind w:left="1134" w:right="1134"/>
      </w:pPr>
      <w:r>
        <w:t>The t</w:t>
      </w:r>
      <w:r w:rsidR="00747021">
        <w:t>ext reproduced below</w:t>
      </w:r>
      <w:r w:rsidR="00BB1735">
        <w:t xml:space="preserve"> </w:t>
      </w:r>
      <w:r w:rsidR="00BB1735" w:rsidRPr="00BB1735">
        <w:t xml:space="preserve">is based on the document </w:t>
      </w:r>
      <w:r w:rsidR="00473468">
        <w:t>ECE/TRANS/WP.29/</w:t>
      </w:r>
      <w:r w:rsidR="00BB1735" w:rsidRPr="00BB1735">
        <w:t>GRVA/2024/12</w:t>
      </w:r>
      <w:r w:rsidR="00BB1735">
        <w:t xml:space="preserve">. </w:t>
      </w:r>
      <w:r w:rsidR="007246B2" w:rsidRPr="007246B2">
        <w:t>The modifications to th</w:t>
      </w:r>
      <w:r w:rsidR="00ED51E7">
        <w:t>at</w:t>
      </w:r>
      <w:r w:rsidR="007246B2" w:rsidRPr="007246B2">
        <w:t xml:space="preserve"> text are indicated in </w:t>
      </w:r>
      <w:r w:rsidR="007246B2" w:rsidRPr="007246B2">
        <w:rPr>
          <w:b/>
          <w:bCs/>
        </w:rPr>
        <w:t>bold</w:t>
      </w:r>
      <w:r w:rsidR="007246B2" w:rsidRPr="007246B2">
        <w:t xml:space="preserve"> for new characters and </w:t>
      </w:r>
      <w:r w:rsidR="007246B2" w:rsidRPr="007246B2">
        <w:rPr>
          <w:strike/>
        </w:rPr>
        <w:t>strikethrough</w:t>
      </w:r>
      <w:r w:rsidR="007246B2" w:rsidRPr="007246B2">
        <w:t xml:space="preserve"> for deleted characters.</w:t>
      </w:r>
    </w:p>
    <w:p w14:paraId="33188E08" w14:textId="512065A2" w:rsidR="0046221A" w:rsidRPr="00EC6CB1" w:rsidRDefault="00EB7139" w:rsidP="0046221A">
      <w:pPr>
        <w:pStyle w:val="HChG"/>
        <w:rPr>
          <w:color w:val="FF0000"/>
          <w:u w:val="single"/>
        </w:rPr>
      </w:pPr>
      <w:r>
        <w:tab/>
        <w:t>I.</w:t>
      </w:r>
      <w:r>
        <w:tab/>
        <w:t>Proposal</w:t>
      </w:r>
    </w:p>
    <w:p w14:paraId="500D8646" w14:textId="772AB1A2" w:rsidR="00EB7139" w:rsidRDefault="007F578F" w:rsidP="00EB7139">
      <w:pPr>
        <w:pStyle w:val="SingleTxtG"/>
        <w:rPr>
          <w:lang w:val="en-US"/>
        </w:rPr>
      </w:pPr>
      <w:r>
        <w:rPr>
          <w:i/>
          <w:iCs/>
          <w:lang w:val="en-US"/>
        </w:rPr>
        <w:t>Insert p</w:t>
      </w:r>
      <w:r w:rsidR="00EB7139" w:rsidRPr="00C232CA">
        <w:rPr>
          <w:i/>
          <w:iCs/>
          <w:lang w:val="en-US"/>
        </w:rPr>
        <w:t xml:space="preserve">aragraph </w:t>
      </w:r>
      <w:r w:rsidR="00CC48DE">
        <w:rPr>
          <w:i/>
          <w:iCs/>
          <w:lang w:val="en-US"/>
        </w:rPr>
        <w:t>1.2.3</w:t>
      </w:r>
      <w:r w:rsidR="00EB7139">
        <w:rPr>
          <w:i/>
          <w:iCs/>
          <w:lang w:val="en-US"/>
        </w:rPr>
        <w:t>.</w:t>
      </w:r>
      <w:r w:rsidR="00EB7139" w:rsidRPr="00C232CA">
        <w:rPr>
          <w:lang w:val="en-US"/>
        </w:rPr>
        <w:t>, to read:</w:t>
      </w:r>
    </w:p>
    <w:p w14:paraId="08205721" w14:textId="55B528ED" w:rsidR="007F578F" w:rsidRPr="00CC48DE" w:rsidRDefault="00CA4453" w:rsidP="00710B01">
      <w:pPr>
        <w:pStyle w:val="SingleTxtG"/>
        <w:ind w:left="2268" w:hanging="1134"/>
        <w:rPr>
          <w:b/>
          <w:bCs/>
        </w:rPr>
      </w:pPr>
      <w:r w:rsidRPr="00CA4453">
        <w:t>“</w:t>
      </w:r>
      <w:r w:rsidR="00710B01" w:rsidRPr="00CC48DE">
        <w:rPr>
          <w:b/>
          <w:bCs/>
        </w:rPr>
        <w:t>1.2.3.</w:t>
      </w:r>
      <w:r w:rsidR="00710B01" w:rsidRPr="00CC48DE">
        <w:rPr>
          <w:b/>
          <w:bCs/>
        </w:rPr>
        <w:tab/>
      </w:r>
      <w:r w:rsidR="009218E0" w:rsidRPr="00CC48DE">
        <w:rPr>
          <w:b/>
          <w:bCs/>
        </w:rPr>
        <w:t>Steering systems exhibiting the functionality defined as ACSF of Category B2 or E until specific provisions are introduced in this Regulation.</w:t>
      </w:r>
      <w:r w:rsidRPr="00CA4453">
        <w:t>”</w:t>
      </w:r>
    </w:p>
    <w:p w14:paraId="394BCAEA" w14:textId="77777777" w:rsidR="007F578F" w:rsidRPr="0015709B" w:rsidRDefault="007F578F" w:rsidP="008022C0">
      <w:pPr>
        <w:pStyle w:val="SingleTxtG"/>
      </w:pPr>
    </w:p>
    <w:p w14:paraId="1437EC67" w14:textId="64A1BEEB" w:rsidR="008022C0" w:rsidRPr="0015709B" w:rsidRDefault="0015709B" w:rsidP="008022C0">
      <w:pPr>
        <w:pStyle w:val="SingleTxtG"/>
        <w:rPr>
          <w:i/>
          <w:iCs/>
        </w:rPr>
      </w:pPr>
      <w:r>
        <w:rPr>
          <w:i/>
          <w:iCs/>
        </w:rPr>
        <w:t>Paragraph 4.4.3.,</w:t>
      </w:r>
      <w:r w:rsidR="00262F2A">
        <w:rPr>
          <w:i/>
          <w:iCs/>
        </w:rPr>
        <w:t xml:space="preserve"> amended</w:t>
      </w:r>
      <w:r>
        <w:rPr>
          <w:i/>
          <w:iCs/>
        </w:rPr>
        <w:t xml:space="preserve"> to read:</w:t>
      </w:r>
    </w:p>
    <w:p w14:paraId="3962F71F" w14:textId="77777777" w:rsidR="00261C3A" w:rsidRDefault="001663E0" w:rsidP="00261C3A">
      <w:pPr>
        <w:pStyle w:val="SingleTxtG"/>
        <w:ind w:left="2268" w:hanging="1134"/>
      </w:pPr>
      <w:r>
        <w:t>“</w:t>
      </w:r>
      <w:r w:rsidR="00261C3A">
        <w:t>4.4.3.</w:t>
      </w:r>
      <w:r w:rsidR="00261C3A">
        <w:tab/>
        <w:t>a letter “X” preceding the approval number in the case when either:</w:t>
      </w:r>
    </w:p>
    <w:p w14:paraId="24AF1FBA" w14:textId="77777777" w:rsidR="00261C3A" w:rsidRDefault="00261C3A" w:rsidP="006A37ED">
      <w:pPr>
        <w:pStyle w:val="SingleTxtG"/>
        <w:ind w:left="2268"/>
      </w:pPr>
      <w:r>
        <w:t>(a)</w:t>
      </w:r>
      <w:r>
        <w:tab/>
        <w:t xml:space="preserve">ACSF of Category B1 or C have been exempted from the technical requirements of this UN Regulation according to paragraph 5.6.2. and/or 5.6.4. </w:t>
      </w:r>
    </w:p>
    <w:p w14:paraId="2395473F" w14:textId="4FB468F1" w:rsidR="0015709B" w:rsidRDefault="00261C3A" w:rsidP="006A37ED">
      <w:pPr>
        <w:pStyle w:val="SingleTxtG"/>
        <w:ind w:left="2268"/>
      </w:pPr>
      <w:r>
        <w:t>(b)</w:t>
      </w:r>
      <w:r>
        <w:tab/>
        <w:t xml:space="preserve">The steering system exhibits functionality defined as ACSF of Category </w:t>
      </w:r>
      <w:r w:rsidRPr="00A43DD7">
        <w:rPr>
          <w:strike/>
        </w:rPr>
        <w:t>B2,</w:t>
      </w:r>
      <w:r>
        <w:t xml:space="preserve"> D </w:t>
      </w:r>
      <w:r w:rsidRPr="00A43DD7">
        <w:rPr>
          <w:strike/>
        </w:rPr>
        <w:t>or E</w:t>
      </w:r>
      <w:r>
        <w:t>.</w:t>
      </w:r>
      <w:r w:rsidR="005364E4">
        <w:t>”</w:t>
      </w:r>
    </w:p>
    <w:p w14:paraId="40564983" w14:textId="77777777" w:rsidR="006A37ED" w:rsidRDefault="006A37ED" w:rsidP="00261C3A">
      <w:pPr>
        <w:pStyle w:val="SingleTxtG"/>
      </w:pPr>
    </w:p>
    <w:p w14:paraId="1F955EA3" w14:textId="56BAF932" w:rsidR="005364E4" w:rsidRPr="00262F2A" w:rsidRDefault="00262F2A" w:rsidP="00261C3A">
      <w:pPr>
        <w:pStyle w:val="SingleTxtG"/>
        <w:rPr>
          <w:i/>
          <w:iCs/>
        </w:rPr>
      </w:pPr>
      <w:r>
        <w:rPr>
          <w:i/>
          <w:iCs/>
        </w:rPr>
        <w:t>Paragraph 5.6.2., amended to read:</w:t>
      </w:r>
    </w:p>
    <w:p w14:paraId="33499559" w14:textId="01A1FEEC" w:rsidR="005364E4" w:rsidRDefault="00624786" w:rsidP="00554EF0">
      <w:pPr>
        <w:pStyle w:val="SingleTxtG"/>
        <w:ind w:left="2268" w:hanging="1134"/>
      </w:pPr>
      <w:r w:rsidRPr="00624786">
        <w:t>5.6.2.</w:t>
      </w:r>
      <w:r w:rsidRPr="00624786">
        <w:tab/>
        <w:t>Special Provisions for ACSF of Category B1</w:t>
      </w:r>
    </w:p>
    <w:p w14:paraId="4259FAF5" w14:textId="18EF6462" w:rsidR="00970C6A" w:rsidRDefault="00970C6A" w:rsidP="00554EF0">
      <w:pPr>
        <w:pStyle w:val="SingleTxtG"/>
        <w:ind w:left="2268"/>
      </w:pPr>
      <w:r w:rsidRPr="003A3CFC">
        <w:rPr>
          <w:b/>
          <w:bCs/>
        </w:rPr>
        <w:t>Vehicles equipped with an</w:t>
      </w:r>
      <w:r w:rsidRPr="00970C6A">
        <w:t xml:space="preserve"> </w:t>
      </w:r>
      <w:r w:rsidRPr="003A3CFC">
        <w:rPr>
          <w:strike/>
        </w:rPr>
        <w:t>Any</w:t>
      </w:r>
      <w:r w:rsidRPr="00970C6A">
        <w:t xml:space="preserve"> ACSF of Category B1 shall fulfil the following requirements. unless the vehicle is equipped with a DCAS which:</w:t>
      </w:r>
    </w:p>
    <w:p w14:paraId="2F77B7A6" w14:textId="2ECC1D20" w:rsidR="00554EF0" w:rsidRDefault="00FB529F" w:rsidP="00554EF0">
      <w:pPr>
        <w:pStyle w:val="SingleTxtG"/>
        <w:ind w:left="2268"/>
      </w:pPr>
      <w:r>
        <w:t>…</w:t>
      </w:r>
    </w:p>
    <w:p w14:paraId="612DC803" w14:textId="77777777" w:rsidR="00970C6A" w:rsidRDefault="00970C6A" w:rsidP="00261C3A">
      <w:pPr>
        <w:pStyle w:val="SingleTxtG"/>
      </w:pPr>
    </w:p>
    <w:p w14:paraId="71A8A628" w14:textId="44C09E6C" w:rsidR="006A37ED" w:rsidRDefault="00006B0B" w:rsidP="00261C3A">
      <w:pPr>
        <w:pStyle w:val="SingleTxtG"/>
        <w:rPr>
          <w:i/>
          <w:iCs/>
        </w:rPr>
      </w:pPr>
      <w:r>
        <w:rPr>
          <w:i/>
          <w:iCs/>
        </w:rPr>
        <w:t>Paragraph 5.6.3., amended to read:</w:t>
      </w:r>
    </w:p>
    <w:p w14:paraId="56161A99" w14:textId="12188BE7" w:rsidR="00006B0B" w:rsidRDefault="006060C1" w:rsidP="00671A66">
      <w:pPr>
        <w:pStyle w:val="SingleTxtG"/>
        <w:ind w:left="2268" w:hanging="1134"/>
        <w:rPr>
          <w:b/>
          <w:bCs/>
        </w:rPr>
      </w:pPr>
      <w:r>
        <w:t>“</w:t>
      </w:r>
      <w:r w:rsidR="00671A66">
        <w:t>5.6.3.</w:t>
      </w:r>
      <w:r w:rsidR="00671A66">
        <w:tab/>
      </w:r>
      <w:r w:rsidR="00671A66">
        <w:rPr>
          <w:b/>
          <w:bCs/>
        </w:rPr>
        <w:t>(Reserved)</w:t>
      </w:r>
    </w:p>
    <w:p w14:paraId="7C29F233" w14:textId="77777777" w:rsidR="009A4FC8" w:rsidRPr="008304DE" w:rsidRDefault="009A4FC8" w:rsidP="009A4FC8">
      <w:pPr>
        <w:pStyle w:val="SingleTxtG"/>
        <w:ind w:left="2268"/>
        <w:rPr>
          <w:strike/>
        </w:rPr>
      </w:pPr>
      <w:r w:rsidRPr="008304DE">
        <w:rPr>
          <w:strike/>
        </w:rPr>
        <w:t>Systems exhibiting the functionality defined as ACSF of Category B2, D or E shall be prohibited, unless the vehicle is equipped with a DCAS which:</w:t>
      </w:r>
    </w:p>
    <w:p w14:paraId="703D9326" w14:textId="77777777" w:rsidR="009A4FC8" w:rsidRPr="008304DE" w:rsidRDefault="009A4FC8" w:rsidP="009A4FC8">
      <w:pPr>
        <w:pStyle w:val="SingleTxtG"/>
        <w:ind w:left="2268"/>
        <w:rPr>
          <w:strike/>
        </w:rPr>
      </w:pPr>
      <w:r w:rsidRPr="008304DE">
        <w:rPr>
          <w:strike/>
        </w:rPr>
        <w:t>(a)</w:t>
      </w:r>
      <w:r w:rsidRPr="008304DE">
        <w:rPr>
          <w:strike/>
        </w:rPr>
        <w:tab/>
        <w:t>Incorporates the function(s), and</w:t>
      </w:r>
    </w:p>
    <w:p w14:paraId="05430621" w14:textId="77777777" w:rsidR="009A4FC8" w:rsidRPr="008304DE" w:rsidRDefault="009A4FC8" w:rsidP="009A4FC8">
      <w:pPr>
        <w:pStyle w:val="SingleTxtG"/>
        <w:ind w:left="2268"/>
        <w:rPr>
          <w:strike/>
        </w:rPr>
      </w:pPr>
      <w:r w:rsidRPr="008304DE">
        <w:rPr>
          <w:strike/>
        </w:rPr>
        <w:t>(b)</w:t>
      </w:r>
      <w:r w:rsidRPr="008304DE">
        <w:rPr>
          <w:strike/>
        </w:rPr>
        <w:tab/>
        <w:t>Allows the activation of the function(s) only during operation and as part of DCAS, and</w:t>
      </w:r>
    </w:p>
    <w:p w14:paraId="08D21467" w14:textId="774ED40F" w:rsidR="00671A66" w:rsidRPr="00671A66" w:rsidRDefault="009A4FC8" w:rsidP="009A4FC8">
      <w:pPr>
        <w:pStyle w:val="SingleTxtG"/>
        <w:ind w:left="2268"/>
      </w:pPr>
      <w:r w:rsidRPr="008304DE">
        <w:rPr>
          <w:strike/>
        </w:rPr>
        <w:t>(c)</w:t>
      </w:r>
      <w:r w:rsidRPr="008304DE">
        <w:rPr>
          <w:strike/>
        </w:rPr>
        <w:tab/>
        <w:t>Complies with the technical requirements and transitional provisions of UN Regulation No. [DCAS</w:t>
      </w:r>
      <w:proofErr w:type="gramStart"/>
      <w:r w:rsidRPr="008304DE">
        <w:rPr>
          <w:strike/>
        </w:rPr>
        <w:t>].</w:t>
      </w:r>
      <w:r w:rsidRPr="008304DE">
        <w:rPr>
          <w:strike/>
          <w:vertAlign w:val="superscript"/>
        </w:rPr>
        <w:t>y</w:t>
      </w:r>
      <w:proofErr w:type="gramEnd"/>
    </w:p>
    <w:p w14:paraId="182C73A3" w14:textId="77777777" w:rsidR="00006B0B" w:rsidRDefault="00006B0B" w:rsidP="00261C3A">
      <w:pPr>
        <w:pStyle w:val="SingleTxtG"/>
      </w:pPr>
    </w:p>
    <w:p w14:paraId="77F01C7A" w14:textId="6839A4B4" w:rsidR="008304DE" w:rsidRDefault="00B56651" w:rsidP="00261C3A">
      <w:pPr>
        <w:pStyle w:val="SingleTxtG"/>
        <w:rPr>
          <w:i/>
          <w:iCs/>
        </w:rPr>
      </w:pPr>
      <w:r>
        <w:rPr>
          <w:i/>
          <w:iCs/>
        </w:rPr>
        <w:t xml:space="preserve">Insert </w:t>
      </w:r>
      <w:r w:rsidR="00D6055F">
        <w:rPr>
          <w:i/>
          <w:iCs/>
        </w:rPr>
        <w:t>a new paragraph 5.6.5., to read:</w:t>
      </w:r>
    </w:p>
    <w:p w14:paraId="5ADD46EE" w14:textId="77777777" w:rsidR="007C6789" w:rsidRPr="00BC4530" w:rsidRDefault="007C6789" w:rsidP="007C6789">
      <w:pPr>
        <w:pStyle w:val="SingleTxtG"/>
        <w:ind w:left="2268" w:hanging="1134"/>
        <w:rPr>
          <w:b/>
          <w:bCs/>
        </w:rPr>
      </w:pPr>
      <w:r>
        <w:t>“</w:t>
      </w:r>
      <w:r w:rsidRPr="00BC4530">
        <w:rPr>
          <w:b/>
          <w:bCs/>
        </w:rPr>
        <w:t>5.6.5.</w:t>
      </w:r>
      <w:r w:rsidRPr="00BC4530">
        <w:rPr>
          <w:b/>
          <w:bCs/>
        </w:rPr>
        <w:tab/>
        <w:t>Vehicles equipped with systems exhibiting the functionality defined as ACSF of Category D shall not be approved according to this UN Regulation, unless the vehicle is equipped with a DCAS which:</w:t>
      </w:r>
    </w:p>
    <w:p w14:paraId="75F6FD76" w14:textId="77777777" w:rsidR="007C6789" w:rsidRPr="00BC4530" w:rsidRDefault="007C6789" w:rsidP="007C6789">
      <w:pPr>
        <w:pStyle w:val="SingleTxtG"/>
        <w:ind w:left="2835" w:hanging="567"/>
        <w:rPr>
          <w:b/>
          <w:bCs/>
        </w:rPr>
      </w:pPr>
      <w:r w:rsidRPr="00BC4530">
        <w:rPr>
          <w:b/>
          <w:bCs/>
        </w:rPr>
        <w:t>(a)</w:t>
      </w:r>
      <w:r w:rsidRPr="00BC4530">
        <w:rPr>
          <w:b/>
          <w:bCs/>
        </w:rPr>
        <w:tab/>
        <w:t>incorporates the function(s), and</w:t>
      </w:r>
    </w:p>
    <w:p w14:paraId="1F669261" w14:textId="77777777" w:rsidR="007C6789" w:rsidRPr="00BC4530" w:rsidRDefault="007C6789" w:rsidP="007C6789">
      <w:pPr>
        <w:pStyle w:val="SingleTxtG"/>
        <w:ind w:left="2835" w:hanging="567"/>
        <w:rPr>
          <w:b/>
          <w:bCs/>
        </w:rPr>
      </w:pPr>
      <w:r w:rsidRPr="00BC4530">
        <w:rPr>
          <w:b/>
          <w:bCs/>
        </w:rPr>
        <w:lastRenderedPageBreak/>
        <w:t>(b)</w:t>
      </w:r>
      <w:r w:rsidRPr="00BC4530">
        <w:rPr>
          <w:b/>
          <w:bCs/>
        </w:rPr>
        <w:tab/>
        <w:t>allows the activation of the function(s) only during operation and as part of DCAS, and</w:t>
      </w:r>
    </w:p>
    <w:p w14:paraId="23C4769F" w14:textId="0F56DBAB" w:rsidR="00D6055F" w:rsidRPr="00D6055F" w:rsidRDefault="007C6789" w:rsidP="007C6789">
      <w:pPr>
        <w:pStyle w:val="SingleTxtG"/>
        <w:ind w:left="2835" w:hanging="567"/>
      </w:pPr>
      <w:r w:rsidRPr="00BC4530">
        <w:rPr>
          <w:b/>
          <w:bCs/>
        </w:rPr>
        <w:t>(c)</w:t>
      </w:r>
      <w:r w:rsidRPr="00BC4530">
        <w:rPr>
          <w:b/>
          <w:bCs/>
        </w:rPr>
        <w:tab/>
        <w:t>complies with the technical requirements and transitional provisions of UN Regulation No. [DCAS</w:t>
      </w:r>
      <w:proofErr w:type="gramStart"/>
      <w:r w:rsidRPr="00BC4530">
        <w:rPr>
          <w:b/>
          <w:bCs/>
        </w:rPr>
        <w:t>].</w:t>
      </w:r>
      <w:r w:rsidRPr="00BC4530">
        <w:rPr>
          <w:b/>
          <w:bCs/>
          <w:vertAlign w:val="superscript"/>
        </w:rPr>
        <w:t>y</w:t>
      </w:r>
      <w:proofErr w:type="gramEnd"/>
      <w:r>
        <w:t>”</w:t>
      </w:r>
    </w:p>
    <w:p w14:paraId="0D364563" w14:textId="77777777" w:rsidR="008304DE" w:rsidRDefault="008304DE" w:rsidP="00261C3A">
      <w:pPr>
        <w:pStyle w:val="SingleTxtG"/>
      </w:pPr>
    </w:p>
    <w:p w14:paraId="3AF79A16" w14:textId="28C9AD5E" w:rsidR="00BC4530" w:rsidRPr="00D76527" w:rsidRDefault="00567A3D" w:rsidP="00261C3A">
      <w:pPr>
        <w:pStyle w:val="SingleTxtG"/>
        <w:rPr>
          <w:i/>
          <w:iCs/>
        </w:rPr>
      </w:pPr>
      <w:r w:rsidRPr="00D76527">
        <w:rPr>
          <w:i/>
          <w:iCs/>
        </w:rPr>
        <w:t>Footnote y amended to read:</w:t>
      </w:r>
    </w:p>
    <w:p w14:paraId="6FAFF8CA" w14:textId="79D7DE67" w:rsidR="00567A3D" w:rsidRDefault="0062032E" w:rsidP="0062032E">
      <w:pPr>
        <w:pStyle w:val="SingleTxtG"/>
        <w:ind w:left="2268"/>
      </w:pPr>
      <w:r w:rsidRPr="0062032E">
        <w:t>“</w:t>
      </w:r>
      <w:r w:rsidRPr="0062032E">
        <w:rPr>
          <w:vertAlign w:val="superscript"/>
        </w:rPr>
        <w:t>y</w:t>
      </w:r>
      <w:r w:rsidRPr="0062032E">
        <w:t xml:space="preserve"> Contracting Parties who do not apply UN Regulation No. [DCAS] are not obliged to accept approvals to UN Regulation No. 79 for vehicles with systems which exhibit the functionality defined as ACSF of Category </w:t>
      </w:r>
      <w:r w:rsidRPr="00192A9E">
        <w:rPr>
          <w:strike/>
        </w:rPr>
        <w:t>B2,</w:t>
      </w:r>
      <w:r w:rsidRPr="0062032E">
        <w:t xml:space="preserve"> D </w:t>
      </w:r>
      <w:r w:rsidRPr="00EE1711">
        <w:rPr>
          <w:strike/>
        </w:rPr>
        <w:t>or E,</w:t>
      </w:r>
      <w:r w:rsidRPr="0062032E">
        <w:t xml:space="preserve"> or for vehicles which do not comply in full </w:t>
      </w:r>
      <w:proofErr w:type="gramStart"/>
      <w:r w:rsidRPr="0062032E">
        <w:t>with</w:t>
      </w:r>
      <w:proofErr w:type="gramEnd"/>
      <w:r w:rsidRPr="0062032E">
        <w:t xml:space="preserve"> the technical requirements for ACSF in this UN Regulation.”</w:t>
      </w:r>
    </w:p>
    <w:p w14:paraId="560B4753" w14:textId="77777777" w:rsidR="0062032E" w:rsidRDefault="0062032E" w:rsidP="00261C3A">
      <w:pPr>
        <w:pStyle w:val="SingleTxtG"/>
      </w:pPr>
    </w:p>
    <w:p w14:paraId="10D5AA8D" w14:textId="0E2FFEAA" w:rsidR="00EE1711" w:rsidRDefault="00603300" w:rsidP="00261C3A">
      <w:pPr>
        <w:pStyle w:val="SingleTxtG"/>
        <w:rPr>
          <w:i/>
          <w:iCs/>
        </w:rPr>
      </w:pPr>
      <w:r>
        <w:rPr>
          <w:i/>
          <w:iCs/>
        </w:rPr>
        <w:t>Paragraph 6.5. of Annex 1, amended to read:</w:t>
      </w:r>
    </w:p>
    <w:p w14:paraId="35190A84" w14:textId="17EA2C28" w:rsidR="00603300" w:rsidRPr="00603300" w:rsidRDefault="00AB0378" w:rsidP="003F7C64">
      <w:pPr>
        <w:pStyle w:val="SingleTxtG"/>
        <w:ind w:left="2268" w:hanging="1134"/>
      </w:pPr>
      <w:r>
        <w:t>“</w:t>
      </w:r>
      <w:r w:rsidR="003F7C64" w:rsidRPr="003F7C64">
        <w:t>6.5.</w:t>
      </w:r>
      <w:r w:rsidR="003F7C64" w:rsidRPr="003F7C64">
        <w:tab/>
      </w:r>
      <w:r w:rsidR="003F7C64" w:rsidRPr="003F7C64">
        <w:tab/>
        <w:t xml:space="preserve">Vehicle is equipped with a steering system which exhibits functionality defined as an ACSF of Category </w:t>
      </w:r>
      <w:r w:rsidR="003F7C64" w:rsidRPr="00200E25">
        <w:rPr>
          <w:strike/>
        </w:rPr>
        <w:t>B2,</w:t>
      </w:r>
      <w:r w:rsidR="003F7C64" w:rsidRPr="003F7C64">
        <w:t xml:space="preserve"> D </w:t>
      </w:r>
      <w:r w:rsidR="003F7C64" w:rsidRPr="00200E25">
        <w:rPr>
          <w:strike/>
        </w:rPr>
        <w:t>or E</w:t>
      </w:r>
      <w:r w:rsidR="003F7C64" w:rsidRPr="003F7C64">
        <w:t xml:space="preserve">: </w:t>
      </w:r>
      <w:r w:rsidR="003F7C64" w:rsidRPr="003F7C64">
        <w:tab/>
        <w:t>yes/no</w:t>
      </w:r>
      <w:r>
        <w:t>”</w:t>
      </w:r>
    </w:p>
    <w:p w14:paraId="653298B1" w14:textId="77777777" w:rsidR="005E04CA" w:rsidRDefault="005E04CA" w:rsidP="00261C3A">
      <w:pPr>
        <w:pStyle w:val="SingleTxtG"/>
      </w:pPr>
    </w:p>
    <w:p w14:paraId="3B7C22D4" w14:textId="35D44997" w:rsidR="00170564" w:rsidRDefault="00170564" w:rsidP="00261C3A">
      <w:pPr>
        <w:pStyle w:val="SingleTxtG"/>
        <w:rPr>
          <w:i/>
          <w:iCs/>
        </w:rPr>
      </w:pPr>
      <w:r>
        <w:rPr>
          <w:i/>
          <w:iCs/>
        </w:rPr>
        <w:t>Annex 2</w:t>
      </w:r>
      <w:r w:rsidR="00954846">
        <w:rPr>
          <w:i/>
          <w:iCs/>
        </w:rPr>
        <w:t>, amended to read:</w:t>
      </w:r>
    </w:p>
    <w:p w14:paraId="303D5B63" w14:textId="25A8AC25" w:rsidR="00954846" w:rsidRDefault="00AB0378" w:rsidP="00261C3A">
      <w:pPr>
        <w:pStyle w:val="SingleTxtG"/>
      </w:pPr>
      <w:r>
        <w:t>“</w:t>
      </w:r>
      <w:r w:rsidR="0099148E">
        <w:t>…</w:t>
      </w:r>
    </w:p>
    <w:p w14:paraId="157A9800" w14:textId="6DC909AA" w:rsidR="0099148E" w:rsidRDefault="005A6549" w:rsidP="002D5AA5">
      <w:pPr>
        <w:pStyle w:val="SingleTxtG"/>
        <w:ind w:firstLine="567"/>
      </w:pPr>
      <w:r w:rsidRPr="005A6549">
        <w:t xml:space="preserve">The above approval mark affixed to a vehicle shows that the vehicle type concerned has, </w:t>
      </w:r>
      <w:proofErr w:type="gramStart"/>
      <w:r w:rsidRPr="005A6549">
        <w:t>with regard to</w:t>
      </w:r>
      <w:proofErr w:type="gramEnd"/>
      <w:r w:rsidRPr="005A6549">
        <w:t xml:space="preserve"> steering equipment, been approved in the Netherlands (E 4) pursuant to UN Regulation No. 79 under approval No. [03/04]2439. The letter “X” preceding the approval number indicates that the vehicle is equipped with ACSF which has been exempted from the requirements of this UN Regulation, and/or that the vehicle is equipped with a steering system which exhibits functionality defined as an ACSF of Category </w:t>
      </w:r>
      <w:r w:rsidRPr="002D5AA5">
        <w:rPr>
          <w:strike/>
        </w:rPr>
        <w:t>B2,</w:t>
      </w:r>
      <w:r w:rsidRPr="005A6549">
        <w:t xml:space="preserve"> D </w:t>
      </w:r>
      <w:r w:rsidRPr="002D5AA5">
        <w:rPr>
          <w:strike/>
        </w:rPr>
        <w:t>or E</w:t>
      </w:r>
      <w:r w:rsidRPr="005A6549">
        <w:t>. The approval number indicates that the approval was granted in accordance with the requirements of UN Regulation No. 79 incorporating the [03/04] series of amendments.</w:t>
      </w:r>
    </w:p>
    <w:p w14:paraId="6E14DF3C" w14:textId="76691B26" w:rsidR="002D5AA5" w:rsidRDefault="00BE0237" w:rsidP="00BE0237">
      <w:pPr>
        <w:pStyle w:val="SingleTxtG"/>
      </w:pPr>
      <w:r>
        <w:t>…</w:t>
      </w:r>
    </w:p>
    <w:p w14:paraId="69A86A49" w14:textId="6727A5F5" w:rsidR="00BE0237" w:rsidRDefault="00DD3244" w:rsidP="00DD3244">
      <w:pPr>
        <w:pStyle w:val="SingleTxtG"/>
        <w:ind w:firstLine="567"/>
      </w:pPr>
      <w:r w:rsidRPr="00DD3244">
        <w:t xml:space="preserve">The above approval mark affixed to a vehicle shows that the vehicle type concerned has been approved in the Netherlands (E 4) pursuant to Regulations Nos. 79 and 31.  The letter “X” preceding the approval number pursuant to Regulation No. 79 indicates that the vehicle is equipped with ACSF which have been exempted from the requirements of this UN Regulation, or that the vehicle is equipped with a steering system which exhibits functionality defined as an ACSF of Category </w:t>
      </w:r>
      <w:r w:rsidRPr="00EE4343">
        <w:rPr>
          <w:strike/>
        </w:rPr>
        <w:t>B2,</w:t>
      </w:r>
      <w:r w:rsidRPr="00DD3244">
        <w:t xml:space="preserve"> D </w:t>
      </w:r>
      <w:r w:rsidRPr="00EE4343">
        <w:rPr>
          <w:strike/>
        </w:rPr>
        <w:t>or E</w:t>
      </w:r>
      <w:r w:rsidRPr="00DD3244">
        <w:t>. The approval numbers indicate that, at the dates when the respective approvals were given, UN Regulation No. 79 incorporating the [03/04] series of amendments and UN Regulation No. 31 included the 02 series of amendments.</w:t>
      </w:r>
      <w:r w:rsidR="00C04C1E">
        <w:t>”</w:t>
      </w:r>
    </w:p>
    <w:p w14:paraId="6895D7D1" w14:textId="77777777" w:rsidR="0066743F" w:rsidRPr="00CB7AC7" w:rsidRDefault="0066743F" w:rsidP="007246B2">
      <w:pPr>
        <w:pStyle w:val="SingleTxtG"/>
        <w:rPr>
          <w:color w:val="FF0000"/>
        </w:rPr>
      </w:pPr>
    </w:p>
    <w:p w14:paraId="4091556A" w14:textId="174D4C08" w:rsidR="00826FFF" w:rsidRPr="00EC6CB1" w:rsidRDefault="00EB7139" w:rsidP="00826FFF">
      <w:pPr>
        <w:pStyle w:val="HChG"/>
        <w:rPr>
          <w:color w:val="FF0000"/>
          <w:u w:val="single"/>
        </w:rPr>
      </w:pPr>
      <w:r>
        <w:tab/>
        <w:t>II.</w:t>
      </w:r>
      <w:r>
        <w:tab/>
        <w:t>Justification</w:t>
      </w:r>
    </w:p>
    <w:p w14:paraId="22869362" w14:textId="492656B6" w:rsidR="00EB7139" w:rsidRDefault="00BC468E" w:rsidP="001C0521">
      <w:pPr>
        <w:pStyle w:val="SingleTxtG"/>
      </w:pPr>
      <w:r>
        <w:t>1.</w:t>
      </w:r>
      <w:r w:rsidR="003A1273">
        <w:tab/>
        <w:t xml:space="preserve">Specific provisions for </w:t>
      </w:r>
      <w:r w:rsidR="006F2C4A">
        <w:t xml:space="preserve">functions </w:t>
      </w:r>
      <w:r w:rsidR="005A13AE">
        <w:t xml:space="preserve">meeting the definitions of ACSF-B2 and </w:t>
      </w:r>
      <w:r w:rsidR="00760F79">
        <w:t xml:space="preserve">E have not yet been developed </w:t>
      </w:r>
      <w:r w:rsidR="00003C8B">
        <w:t xml:space="preserve">into the proposed </w:t>
      </w:r>
      <w:r w:rsidR="00DE2464">
        <w:t xml:space="preserve">UN Regulation of DCAS. </w:t>
      </w:r>
      <w:r w:rsidR="00C7072B">
        <w:t>Therefore</w:t>
      </w:r>
      <w:r w:rsidR="0063015F">
        <w:t>,</w:t>
      </w:r>
      <w:r w:rsidR="00503103">
        <w:t xml:space="preserve"> the</w:t>
      </w:r>
      <w:r w:rsidR="003D1A1F">
        <w:t xml:space="preserve">re is a need to maintain the </w:t>
      </w:r>
      <w:r w:rsidR="00B14129">
        <w:t>original</w:t>
      </w:r>
      <w:r w:rsidR="006C55AC">
        <w:t xml:space="preserve"> provision in UN Regulation No.</w:t>
      </w:r>
      <w:r w:rsidR="00671185">
        <w:t xml:space="preserve"> </w:t>
      </w:r>
      <w:r w:rsidR="006C55AC">
        <w:t>79</w:t>
      </w:r>
      <w:r w:rsidR="005F04E1">
        <w:t xml:space="preserve"> with regards to those categories </w:t>
      </w:r>
      <w:proofErr w:type="gramStart"/>
      <w:r w:rsidR="00AA4815">
        <w:t>and also</w:t>
      </w:r>
      <w:proofErr w:type="gramEnd"/>
      <w:r w:rsidR="00AA4815">
        <w:t xml:space="preserve"> r</w:t>
      </w:r>
      <w:r w:rsidR="00B14129">
        <w:t>emove them f</w:t>
      </w:r>
      <w:r w:rsidR="00120F09">
        <w:t xml:space="preserve">rom the </w:t>
      </w:r>
      <w:r w:rsidR="0063015F">
        <w:t>proposed amendments.</w:t>
      </w:r>
      <w:r w:rsidR="00A73672">
        <w:t xml:space="preserve"> </w:t>
      </w:r>
    </w:p>
    <w:p w14:paraId="1FD0E235" w14:textId="71B48B1A" w:rsidR="00826FFF" w:rsidRDefault="00826FFF" w:rsidP="001C0521">
      <w:pPr>
        <w:pStyle w:val="SingleTxtG"/>
        <w:rPr>
          <w:color w:val="FF0000"/>
        </w:rPr>
      </w:pPr>
    </w:p>
    <w:p w14:paraId="10E6BE18" w14:textId="6BF7C460" w:rsidR="00721902" w:rsidRPr="00721902" w:rsidRDefault="006A702B" w:rsidP="00E12FF6">
      <w:pPr>
        <w:spacing w:before="240"/>
        <w:ind w:left="1134" w:right="1134"/>
        <w:jc w:val="center"/>
        <w:rPr>
          <w:u w:val="single"/>
        </w:rPr>
      </w:pPr>
      <w:r>
        <w:rPr>
          <w:u w:val="single"/>
        </w:rPr>
        <w:tab/>
      </w:r>
      <w:r>
        <w:rPr>
          <w:u w:val="single"/>
        </w:rPr>
        <w:tab/>
      </w:r>
      <w:r>
        <w:rPr>
          <w:u w:val="single"/>
        </w:rPr>
        <w:tab/>
      </w:r>
    </w:p>
    <w:sectPr w:rsidR="00721902" w:rsidRPr="00721902" w:rsidSect="00382156">
      <w:headerReference w:type="even" r:id="rId10"/>
      <w:headerReference w:type="default" r:id="rId11"/>
      <w:footerReference w:type="even" r:id="rId12"/>
      <w:footerReference w:type="default" r:id="rId13"/>
      <w:headerReference w:type="firs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480B" w14:textId="77777777" w:rsidR="00554413" w:rsidRDefault="00554413"/>
  </w:endnote>
  <w:endnote w:type="continuationSeparator" w:id="0">
    <w:p w14:paraId="4FF6BE10" w14:textId="77777777" w:rsidR="00554413" w:rsidRDefault="00554413"/>
  </w:endnote>
  <w:endnote w:type="continuationNotice" w:id="1">
    <w:p w14:paraId="67F6CA3E" w14:textId="77777777" w:rsidR="00554413" w:rsidRDefault="00554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2D77" w14:textId="77777777" w:rsidR="00243144" w:rsidRPr="00742AAB" w:rsidRDefault="00243144" w:rsidP="00742AAB">
    <w:pPr>
      <w:pStyle w:val="Footer"/>
      <w:tabs>
        <w:tab w:val="right" w:pos="9638"/>
      </w:tabs>
      <w:rPr>
        <w:sz w:val="18"/>
      </w:rPr>
    </w:pPr>
    <w:r w:rsidRPr="00742AAB">
      <w:rPr>
        <w:b/>
        <w:sz w:val="18"/>
      </w:rPr>
      <w:fldChar w:fldCharType="begin"/>
    </w:r>
    <w:r w:rsidRPr="00742AAB">
      <w:rPr>
        <w:b/>
        <w:sz w:val="18"/>
      </w:rPr>
      <w:instrText xml:space="preserve"> PAGE  \* MERGEFORMAT </w:instrText>
    </w:r>
    <w:r w:rsidRPr="00742AAB">
      <w:rPr>
        <w:b/>
        <w:sz w:val="18"/>
      </w:rPr>
      <w:fldChar w:fldCharType="separate"/>
    </w:r>
    <w:r w:rsidR="005C5F0E">
      <w:rPr>
        <w:b/>
        <w:noProof/>
        <w:sz w:val="18"/>
      </w:rPr>
      <w:t>2</w:t>
    </w:r>
    <w:r w:rsidRPr="00742AA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03A8" w14:textId="77777777" w:rsidR="00243144" w:rsidRPr="00742AAB" w:rsidRDefault="00243144" w:rsidP="00742AAB">
    <w:pPr>
      <w:pStyle w:val="Footer"/>
      <w:tabs>
        <w:tab w:val="right" w:pos="9638"/>
      </w:tabs>
      <w:rPr>
        <w:b/>
        <w:sz w:val="18"/>
      </w:rPr>
    </w:pPr>
    <w:r>
      <w:tab/>
    </w:r>
    <w:r w:rsidRPr="00742AAB">
      <w:rPr>
        <w:b/>
        <w:sz w:val="18"/>
      </w:rPr>
      <w:fldChar w:fldCharType="begin"/>
    </w:r>
    <w:r w:rsidRPr="00742AAB">
      <w:rPr>
        <w:b/>
        <w:sz w:val="18"/>
      </w:rPr>
      <w:instrText xml:space="preserve"> PAGE  \* MERGEFORMAT </w:instrText>
    </w:r>
    <w:r w:rsidRPr="00742AAB">
      <w:rPr>
        <w:b/>
        <w:sz w:val="18"/>
      </w:rPr>
      <w:fldChar w:fldCharType="separate"/>
    </w:r>
    <w:r w:rsidR="005C5F0E">
      <w:rPr>
        <w:b/>
        <w:noProof/>
        <w:sz w:val="18"/>
      </w:rPr>
      <w:t>3</w:t>
    </w:r>
    <w:r w:rsidRPr="00742AA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CB7B" w14:textId="77777777" w:rsidR="00554413" w:rsidRPr="000B175B" w:rsidRDefault="00554413" w:rsidP="000B175B">
      <w:pPr>
        <w:tabs>
          <w:tab w:val="right" w:pos="2155"/>
        </w:tabs>
        <w:spacing w:after="80"/>
        <w:ind w:left="680"/>
        <w:rPr>
          <w:u w:val="single"/>
        </w:rPr>
      </w:pPr>
      <w:r>
        <w:rPr>
          <w:u w:val="single"/>
        </w:rPr>
        <w:tab/>
      </w:r>
    </w:p>
  </w:footnote>
  <w:footnote w:type="continuationSeparator" w:id="0">
    <w:p w14:paraId="63C8DB1B" w14:textId="77777777" w:rsidR="00554413" w:rsidRPr="00FC68B7" w:rsidRDefault="00554413" w:rsidP="00FC68B7">
      <w:pPr>
        <w:tabs>
          <w:tab w:val="left" w:pos="2155"/>
        </w:tabs>
        <w:spacing w:after="80"/>
        <w:ind w:left="680"/>
        <w:rPr>
          <w:u w:val="single"/>
        </w:rPr>
      </w:pPr>
      <w:r>
        <w:rPr>
          <w:u w:val="single"/>
        </w:rPr>
        <w:tab/>
      </w:r>
    </w:p>
  </w:footnote>
  <w:footnote w:type="continuationNotice" w:id="1">
    <w:p w14:paraId="7C9AF417" w14:textId="77777777" w:rsidR="00554413" w:rsidRDefault="00554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7CD0" w14:textId="77777777" w:rsidR="00243144" w:rsidRPr="00742AAB" w:rsidRDefault="00243144" w:rsidP="0032466D">
    <w:pPr>
      <w:pStyle w:val="Header"/>
    </w:pPr>
    <w:r>
      <w:t>ECE/TRANS/WP.29/2010/147/Rev.1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C210" w14:textId="475EE4FA" w:rsidR="00243144" w:rsidRPr="007C491C" w:rsidRDefault="007C628C" w:rsidP="007C628C">
    <w:pPr>
      <w:pStyle w:val="Header"/>
      <w:tabs>
        <w:tab w:val="left" w:pos="245"/>
        <w:tab w:val="right" w:pos="9639"/>
      </w:tabs>
      <w:rPr>
        <w:lang w:val="nl-BE"/>
      </w:rPr>
    </w:pPr>
    <w:r>
      <w:rPr>
        <w:lang w:val="nl-BE"/>
      </w:rPr>
      <w:tab/>
    </w:r>
    <w:r>
      <w:rPr>
        <w:lang w:val="nl-BE"/>
      </w:rPr>
      <w:tab/>
    </w:r>
    <w:r w:rsidR="007C491C">
      <w:rPr>
        <w:lang w:val="nl-BE"/>
      </w:rPr>
      <w:t>GRVA-18-XX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1"/>
    </w:tblGrid>
    <w:tr w:rsidR="0006504B" w:rsidRPr="0006504B" w14:paraId="3134653C" w14:textId="77777777" w:rsidTr="0006504B">
      <w:tc>
        <w:tcPr>
          <w:tcW w:w="4927" w:type="dxa"/>
        </w:tcPr>
        <w:p w14:paraId="1C19CF0E" w14:textId="57397438" w:rsidR="0006504B" w:rsidRPr="0006504B" w:rsidRDefault="0006504B" w:rsidP="007C628C">
          <w:pPr>
            <w:pStyle w:val="Header"/>
            <w:pBdr>
              <w:bottom w:val="none" w:sz="0" w:space="0" w:color="auto"/>
            </w:pBdr>
            <w:rPr>
              <w:b w:val="0"/>
              <w:bCs/>
            </w:rPr>
          </w:pPr>
          <w:r w:rsidRPr="0006504B">
            <w:rPr>
              <w:b w:val="0"/>
              <w:bCs/>
            </w:rPr>
            <w:t>Submitted by the Task Force on ADAS</w:t>
          </w:r>
        </w:p>
      </w:tc>
      <w:tc>
        <w:tcPr>
          <w:tcW w:w="4928" w:type="dxa"/>
        </w:tcPr>
        <w:p w14:paraId="252901BD" w14:textId="0B96A68D" w:rsidR="0006504B" w:rsidRPr="00473468" w:rsidRDefault="0006504B" w:rsidP="00473468">
          <w:pPr>
            <w:pStyle w:val="Header"/>
            <w:pBdr>
              <w:bottom w:val="none" w:sz="0" w:space="0" w:color="auto"/>
            </w:pBdr>
            <w:jc w:val="right"/>
            <w:rPr>
              <w:b w:val="0"/>
              <w:bCs/>
            </w:rPr>
          </w:pPr>
          <w:r>
            <w:rPr>
              <w:b w:val="0"/>
              <w:bCs/>
              <w:u w:val="single"/>
            </w:rPr>
            <w:t>Informal document</w:t>
          </w:r>
          <w:r>
            <w:rPr>
              <w:b w:val="0"/>
              <w:bCs/>
            </w:rPr>
            <w:t xml:space="preserve"> </w:t>
          </w:r>
          <w:r>
            <w:t>GRVA-18-</w:t>
          </w:r>
          <w:r w:rsidR="00473468">
            <w:t>14</w:t>
          </w:r>
          <w:r w:rsidR="00473468">
            <w:br/>
          </w:r>
          <w:r w:rsidR="00473468">
            <w:rPr>
              <w:b w:val="0"/>
              <w:bCs/>
            </w:rPr>
            <w:t>18</w:t>
          </w:r>
          <w:r w:rsidR="00473468" w:rsidRPr="00473468">
            <w:rPr>
              <w:b w:val="0"/>
              <w:bCs/>
              <w:vertAlign w:val="superscript"/>
            </w:rPr>
            <w:t>th</w:t>
          </w:r>
          <w:r w:rsidR="00473468">
            <w:rPr>
              <w:b w:val="0"/>
              <w:bCs/>
            </w:rPr>
            <w:t xml:space="preserve"> GRVA, 22-26 January 2024</w:t>
          </w:r>
          <w:r w:rsidR="00473468">
            <w:rPr>
              <w:b w:val="0"/>
              <w:bCs/>
            </w:rPr>
            <w:br/>
            <w:t>Provisional agenda item 6(a)</w:t>
          </w:r>
        </w:p>
      </w:tc>
    </w:tr>
  </w:tbl>
  <w:p w14:paraId="6704396E" w14:textId="77777777" w:rsidR="007C628C" w:rsidRPr="0006504B" w:rsidRDefault="007C628C" w:rsidP="007C628C">
    <w:pPr>
      <w:pStyle w:val="Header"/>
      <w:pBdr>
        <w:bottom w:val="none" w:sz="0" w:space="0" w:color="auto"/>
      </w:pBdr>
      <w:rPr>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5750929">
    <w:abstractNumId w:val="1"/>
  </w:num>
  <w:num w:numId="2" w16cid:durableId="770008684">
    <w:abstractNumId w:val="0"/>
  </w:num>
  <w:num w:numId="3" w16cid:durableId="272985312">
    <w:abstractNumId w:val="2"/>
  </w:num>
  <w:num w:numId="4" w16cid:durableId="553199186">
    <w:abstractNumId w:val="3"/>
  </w:num>
  <w:num w:numId="5" w16cid:durableId="1109467552">
    <w:abstractNumId w:val="8"/>
  </w:num>
  <w:num w:numId="6" w16cid:durableId="624190878">
    <w:abstractNumId w:val="9"/>
  </w:num>
  <w:num w:numId="7" w16cid:durableId="536432070">
    <w:abstractNumId w:val="7"/>
  </w:num>
  <w:num w:numId="8" w16cid:durableId="2080708747">
    <w:abstractNumId w:val="6"/>
  </w:num>
  <w:num w:numId="9" w16cid:durableId="1117064256">
    <w:abstractNumId w:val="5"/>
  </w:num>
  <w:num w:numId="10" w16cid:durableId="832841778">
    <w:abstractNumId w:val="4"/>
  </w:num>
  <w:num w:numId="11" w16cid:durableId="1057975808">
    <w:abstractNumId w:val="15"/>
  </w:num>
  <w:num w:numId="12" w16cid:durableId="1461457789">
    <w:abstractNumId w:val="12"/>
  </w:num>
  <w:num w:numId="13" w16cid:durableId="1475491151">
    <w:abstractNumId w:val="11"/>
  </w:num>
  <w:num w:numId="14" w16cid:durableId="1218011863">
    <w:abstractNumId w:val="16"/>
  </w:num>
  <w:num w:numId="15" w16cid:durableId="640885702">
    <w:abstractNumId w:val="17"/>
  </w:num>
  <w:num w:numId="16" w16cid:durableId="146093807">
    <w:abstractNumId w:val="10"/>
  </w:num>
  <w:num w:numId="17" w16cid:durableId="969476130">
    <w:abstractNumId w:val="14"/>
  </w:num>
  <w:num w:numId="18" w16cid:durableId="1121070611">
    <w:abstractNumId w:val="13"/>
  </w:num>
  <w:num w:numId="19" w16cid:durableId="1184130599">
    <w:abstractNumId w:val="16"/>
  </w:num>
  <w:num w:numId="20" w16cid:durableId="1155880990">
    <w:abstractNumId w:val="16"/>
  </w:num>
  <w:num w:numId="21" w16cid:durableId="1173180975">
    <w:abstractNumId w:val="17"/>
  </w:num>
  <w:num w:numId="22" w16cid:durableId="288974580">
    <w:abstractNumId w:val="16"/>
  </w:num>
  <w:num w:numId="23" w16cid:durableId="1592663310">
    <w:abstractNumId w:val="16"/>
  </w:num>
  <w:num w:numId="24" w16cid:durableId="1569800071">
    <w:abstractNumId w:val="16"/>
  </w:num>
  <w:num w:numId="25" w16cid:durableId="1632899056">
    <w:abstractNumId w:val="16"/>
  </w:num>
  <w:num w:numId="26" w16cid:durableId="238910646">
    <w:abstractNumId w:val="16"/>
  </w:num>
  <w:num w:numId="27" w16cid:durableId="821432479">
    <w:abstractNumId w:val="16"/>
  </w:num>
  <w:num w:numId="28" w16cid:durableId="1395083856">
    <w:abstractNumId w:val="16"/>
  </w:num>
  <w:num w:numId="29" w16cid:durableId="748387574">
    <w:abstractNumId w:val="16"/>
  </w:num>
  <w:num w:numId="30" w16cid:durableId="917593523">
    <w:abstractNumId w:val="16"/>
  </w:num>
  <w:num w:numId="31" w16cid:durableId="1769158854">
    <w:abstractNumId w:val="16"/>
  </w:num>
  <w:num w:numId="32" w16cid:durableId="1347512308">
    <w:abstractNumId w:val="16"/>
  </w:num>
  <w:num w:numId="33" w16cid:durableId="1037583723">
    <w:abstractNumId w:val="16"/>
  </w:num>
  <w:num w:numId="34" w16cid:durableId="1542092579">
    <w:abstractNumId w:val="16"/>
  </w:num>
  <w:num w:numId="35" w16cid:durableId="1249073907">
    <w:abstractNumId w:val="16"/>
  </w:num>
  <w:num w:numId="36" w16cid:durableId="1474954131">
    <w:abstractNumId w:val="16"/>
  </w:num>
  <w:num w:numId="37" w16cid:durableId="1132671481">
    <w:abstractNumId w:val="16"/>
  </w:num>
  <w:num w:numId="38" w16cid:durableId="1710690695">
    <w:abstractNumId w:val="16"/>
  </w:num>
  <w:num w:numId="39" w16cid:durableId="291524868">
    <w:abstractNumId w:val="16"/>
  </w:num>
  <w:num w:numId="40" w16cid:durableId="1550066027">
    <w:abstractNumId w:val="16"/>
  </w:num>
  <w:num w:numId="41" w16cid:durableId="878586777">
    <w:abstractNumId w:val="16"/>
  </w:num>
  <w:num w:numId="42" w16cid:durableId="1292596829">
    <w:abstractNumId w:val="16"/>
  </w:num>
  <w:num w:numId="43" w16cid:durableId="362366618">
    <w:abstractNumId w:val="16"/>
  </w:num>
  <w:num w:numId="44" w16cid:durableId="1132672540">
    <w:abstractNumId w:val="16"/>
  </w:num>
  <w:num w:numId="45" w16cid:durableId="535121491">
    <w:abstractNumId w:val="16"/>
  </w:num>
  <w:num w:numId="46" w16cid:durableId="299724081">
    <w:abstractNumId w:val="16"/>
  </w:num>
  <w:num w:numId="47" w16cid:durableId="1296520814">
    <w:abstractNumId w:val="16"/>
  </w:num>
  <w:num w:numId="48" w16cid:durableId="190148332">
    <w:abstractNumId w:val="16"/>
  </w:num>
  <w:num w:numId="49" w16cid:durableId="655572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nl-B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2AAB"/>
    <w:rsid w:val="000002E7"/>
    <w:rsid w:val="00002938"/>
    <w:rsid w:val="00003C8B"/>
    <w:rsid w:val="00006B0B"/>
    <w:rsid w:val="0002022D"/>
    <w:rsid w:val="00046B1F"/>
    <w:rsid w:val="00050F6B"/>
    <w:rsid w:val="00052635"/>
    <w:rsid w:val="00057E97"/>
    <w:rsid w:val="00063C30"/>
    <w:rsid w:val="000646F4"/>
    <w:rsid w:val="0006504B"/>
    <w:rsid w:val="00071784"/>
    <w:rsid w:val="0007273E"/>
    <w:rsid w:val="00072C8C"/>
    <w:rsid w:val="000733B5"/>
    <w:rsid w:val="00076905"/>
    <w:rsid w:val="00081815"/>
    <w:rsid w:val="000931C0"/>
    <w:rsid w:val="000B0595"/>
    <w:rsid w:val="000B175B"/>
    <w:rsid w:val="000B2F02"/>
    <w:rsid w:val="000B3A0F"/>
    <w:rsid w:val="000B3FD2"/>
    <w:rsid w:val="000B4EF7"/>
    <w:rsid w:val="000C020C"/>
    <w:rsid w:val="000C2C03"/>
    <w:rsid w:val="000C2D2E"/>
    <w:rsid w:val="000E0415"/>
    <w:rsid w:val="000F5802"/>
    <w:rsid w:val="000F635B"/>
    <w:rsid w:val="001103AA"/>
    <w:rsid w:val="0011666B"/>
    <w:rsid w:val="00120F09"/>
    <w:rsid w:val="00122BD6"/>
    <w:rsid w:val="0015709B"/>
    <w:rsid w:val="00165F3A"/>
    <w:rsid w:val="001663E0"/>
    <w:rsid w:val="00170564"/>
    <w:rsid w:val="00182290"/>
    <w:rsid w:val="00184EB2"/>
    <w:rsid w:val="00191842"/>
    <w:rsid w:val="00192A9E"/>
    <w:rsid w:val="001A3955"/>
    <w:rsid w:val="001A40E5"/>
    <w:rsid w:val="001B4B04"/>
    <w:rsid w:val="001C0521"/>
    <w:rsid w:val="001C6663"/>
    <w:rsid w:val="001C7895"/>
    <w:rsid w:val="001D0C8C"/>
    <w:rsid w:val="001D1419"/>
    <w:rsid w:val="001D26DF"/>
    <w:rsid w:val="001D3A03"/>
    <w:rsid w:val="001E7B67"/>
    <w:rsid w:val="00200E25"/>
    <w:rsid w:val="00202DA8"/>
    <w:rsid w:val="00205955"/>
    <w:rsid w:val="00206057"/>
    <w:rsid w:val="00210806"/>
    <w:rsid w:val="00211E0B"/>
    <w:rsid w:val="00215D13"/>
    <w:rsid w:val="00222BC9"/>
    <w:rsid w:val="00236CEB"/>
    <w:rsid w:val="00243144"/>
    <w:rsid w:val="0024564E"/>
    <w:rsid w:val="0024772E"/>
    <w:rsid w:val="00260949"/>
    <w:rsid w:val="00261C3A"/>
    <w:rsid w:val="00262F2A"/>
    <w:rsid w:val="00267F5F"/>
    <w:rsid w:val="00286B4D"/>
    <w:rsid w:val="002D4243"/>
    <w:rsid w:val="002D4643"/>
    <w:rsid w:val="002D5AA5"/>
    <w:rsid w:val="002D7FE8"/>
    <w:rsid w:val="002E3A4B"/>
    <w:rsid w:val="002F175C"/>
    <w:rsid w:val="002F7DE0"/>
    <w:rsid w:val="00302827"/>
    <w:rsid w:val="00302E18"/>
    <w:rsid w:val="003229D8"/>
    <w:rsid w:val="0032466D"/>
    <w:rsid w:val="00326BC5"/>
    <w:rsid w:val="00327E38"/>
    <w:rsid w:val="00352709"/>
    <w:rsid w:val="003619B5"/>
    <w:rsid w:val="00361AC3"/>
    <w:rsid w:val="00365763"/>
    <w:rsid w:val="00371178"/>
    <w:rsid w:val="00382156"/>
    <w:rsid w:val="00392E47"/>
    <w:rsid w:val="003A1273"/>
    <w:rsid w:val="003A3CFC"/>
    <w:rsid w:val="003A6810"/>
    <w:rsid w:val="003B61BB"/>
    <w:rsid w:val="003B7AF9"/>
    <w:rsid w:val="003C2CC4"/>
    <w:rsid w:val="003C534D"/>
    <w:rsid w:val="003D1A1F"/>
    <w:rsid w:val="003D4B23"/>
    <w:rsid w:val="003E130E"/>
    <w:rsid w:val="003E428E"/>
    <w:rsid w:val="003F7C64"/>
    <w:rsid w:val="00407806"/>
    <w:rsid w:val="00410C89"/>
    <w:rsid w:val="004204C4"/>
    <w:rsid w:val="004225DB"/>
    <w:rsid w:val="00422E03"/>
    <w:rsid w:val="00426B9B"/>
    <w:rsid w:val="004325CB"/>
    <w:rsid w:val="00440259"/>
    <w:rsid w:val="00441309"/>
    <w:rsid w:val="00442A83"/>
    <w:rsid w:val="004455B6"/>
    <w:rsid w:val="00447911"/>
    <w:rsid w:val="0045495B"/>
    <w:rsid w:val="004561E5"/>
    <w:rsid w:val="0046172B"/>
    <w:rsid w:val="0046221A"/>
    <w:rsid w:val="004720A6"/>
    <w:rsid w:val="004733E8"/>
    <w:rsid w:val="00473468"/>
    <w:rsid w:val="00481573"/>
    <w:rsid w:val="0048397A"/>
    <w:rsid w:val="00485CBB"/>
    <w:rsid w:val="00486651"/>
    <w:rsid w:val="004866B7"/>
    <w:rsid w:val="004C2461"/>
    <w:rsid w:val="004C7462"/>
    <w:rsid w:val="004D20FF"/>
    <w:rsid w:val="004D3F58"/>
    <w:rsid w:val="004E77B2"/>
    <w:rsid w:val="00503103"/>
    <w:rsid w:val="00504B2D"/>
    <w:rsid w:val="00520C70"/>
    <w:rsid w:val="0052136D"/>
    <w:rsid w:val="0052775E"/>
    <w:rsid w:val="005364E4"/>
    <w:rsid w:val="005420F2"/>
    <w:rsid w:val="00554413"/>
    <w:rsid w:val="00554EF0"/>
    <w:rsid w:val="0056209A"/>
    <w:rsid w:val="005628B6"/>
    <w:rsid w:val="00564720"/>
    <w:rsid w:val="00567A3D"/>
    <w:rsid w:val="005941EC"/>
    <w:rsid w:val="00594AC4"/>
    <w:rsid w:val="0059705A"/>
    <w:rsid w:val="0059724D"/>
    <w:rsid w:val="005A13AE"/>
    <w:rsid w:val="005A6549"/>
    <w:rsid w:val="005B320C"/>
    <w:rsid w:val="005B3DB3"/>
    <w:rsid w:val="005B4E13"/>
    <w:rsid w:val="005C342F"/>
    <w:rsid w:val="005C5F0E"/>
    <w:rsid w:val="005C7D1E"/>
    <w:rsid w:val="005E021D"/>
    <w:rsid w:val="005E04CA"/>
    <w:rsid w:val="005E16A9"/>
    <w:rsid w:val="005F04E1"/>
    <w:rsid w:val="005F0DE7"/>
    <w:rsid w:val="005F7B75"/>
    <w:rsid w:val="006001EE"/>
    <w:rsid w:val="00603300"/>
    <w:rsid w:val="00605042"/>
    <w:rsid w:val="006060C1"/>
    <w:rsid w:val="00607D07"/>
    <w:rsid w:val="00611FC4"/>
    <w:rsid w:val="00612957"/>
    <w:rsid w:val="006146A4"/>
    <w:rsid w:val="0061617F"/>
    <w:rsid w:val="006176FB"/>
    <w:rsid w:val="0062032E"/>
    <w:rsid w:val="00624786"/>
    <w:rsid w:val="0063015F"/>
    <w:rsid w:val="00640B26"/>
    <w:rsid w:val="00646C0D"/>
    <w:rsid w:val="00650211"/>
    <w:rsid w:val="00652D0A"/>
    <w:rsid w:val="00662BB6"/>
    <w:rsid w:val="00664ED7"/>
    <w:rsid w:val="0066743F"/>
    <w:rsid w:val="00671185"/>
    <w:rsid w:val="00671A66"/>
    <w:rsid w:val="00671B51"/>
    <w:rsid w:val="0067362F"/>
    <w:rsid w:val="00676606"/>
    <w:rsid w:val="00684C21"/>
    <w:rsid w:val="006966BF"/>
    <w:rsid w:val="006A2530"/>
    <w:rsid w:val="006A37ED"/>
    <w:rsid w:val="006A702B"/>
    <w:rsid w:val="006C3589"/>
    <w:rsid w:val="006C55AC"/>
    <w:rsid w:val="006D37AF"/>
    <w:rsid w:val="006D51D0"/>
    <w:rsid w:val="006D5FB9"/>
    <w:rsid w:val="006D658E"/>
    <w:rsid w:val="006E564B"/>
    <w:rsid w:val="006E7191"/>
    <w:rsid w:val="006F2C4A"/>
    <w:rsid w:val="00700060"/>
    <w:rsid w:val="00703577"/>
    <w:rsid w:val="00705894"/>
    <w:rsid w:val="00710B01"/>
    <w:rsid w:val="00717E57"/>
    <w:rsid w:val="00721902"/>
    <w:rsid w:val="007246B2"/>
    <w:rsid w:val="0072632A"/>
    <w:rsid w:val="007327D5"/>
    <w:rsid w:val="00742AAB"/>
    <w:rsid w:val="00747021"/>
    <w:rsid w:val="00760F79"/>
    <w:rsid w:val="007629C8"/>
    <w:rsid w:val="00766804"/>
    <w:rsid w:val="0077047D"/>
    <w:rsid w:val="0077130F"/>
    <w:rsid w:val="00797DB4"/>
    <w:rsid w:val="007B6BA5"/>
    <w:rsid w:val="007C16A1"/>
    <w:rsid w:val="007C3390"/>
    <w:rsid w:val="007C491C"/>
    <w:rsid w:val="007C4F4B"/>
    <w:rsid w:val="007C628C"/>
    <w:rsid w:val="007C6789"/>
    <w:rsid w:val="007D3AD4"/>
    <w:rsid w:val="007E01E9"/>
    <w:rsid w:val="007E63F3"/>
    <w:rsid w:val="007F578F"/>
    <w:rsid w:val="007F6611"/>
    <w:rsid w:val="007F6F58"/>
    <w:rsid w:val="007F731A"/>
    <w:rsid w:val="00801A45"/>
    <w:rsid w:val="008022C0"/>
    <w:rsid w:val="0080631D"/>
    <w:rsid w:val="00811920"/>
    <w:rsid w:val="00815AD0"/>
    <w:rsid w:val="00815EDB"/>
    <w:rsid w:val="00822330"/>
    <w:rsid w:val="008242D7"/>
    <w:rsid w:val="008257B1"/>
    <w:rsid w:val="0082665E"/>
    <w:rsid w:val="00826FFF"/>
    <w:rsid w:val="008304DE"/>
    <w:rsid w:val="00832334"/>
    <w:rsid w:val="0083403F"/>
    <w:rsid w:val="00843725"/>
    <w:rsid w:val="00843767"/>
    <w:rsid w:val="00856D06"/>
    <w:rsid w:val="008679D9"/>
    <w:rsid w:val="00884CBE"/>
    <w:rsid w:val="008878DE"/>
    <w:rsid w:val="00892FED"/>
    <w:rsid w:val="0089396F"/>
    <w:rsid w:val="008979B1"/>
    <w:rsid w:val="008A1ED5"/>
    <w:rsid w:val="008A6B25"/>
    <w:rsid w:val="008A6C4F"/>
    <w:rsid w:val="008B2335"/>
    <w:rsid w:val="008B2E36"/>
    <w:rsid w:val="008D2063"/>
    <w:rsid w:val="008E0678"/>
    <w:rsid w:val="008E3F6D"/>
    <w:rsid w:val="008F31D2"/>
    <w:rsid w:val="008F38FC"/>
    <w:rsid w:val="008F63A9"/>
    <w:rsid w:val="00915EF6"/>
    <w:rsid w:val="0092041B"/>
    <w:rsid w:val="009218E0"/>
    <w:rsid w:val="009223CA"/>
    <w:rsid w:val="00940F93"/>
    <w:rsid w:val="009448C3"/>
    <w:rsid w:val="009458A4"/>
    <w:rsid w:val="00946C87"/>
    <w:rsid w:val="009526EE"/>
    <w:rsid w:val="00954846"/>
    <w:rsid w:val="00970C6A"/>
    <w:rsid w:val="009760F3"/>
    <w:rsid w:val="00976CFB"/>
    <w:rsid w:val="00986BDD"/>
    <w:rsid w:val="0099148E"/>
    <w:rsid w:val="00992569"/>
    <w:rsid w:val="00996054"/>
    <w:rsid w:val="009A0830"/>
    <w:rsid w:val="009A0E8D"/>
    <w:rsid w:val="009A246F"/>
    <w:rsid w:val="009A4FC8"/>
    <w:rsid w:val="009B26E7"/>
    <w:rsid w:val="009B39BE"/>
    <w:rsid w:val="009B64BB"/>
    <w:rsid w:val="009D020E"/>
    <w:rsid w:val="009D499F"/>
    <w:rsid w:val="009E7CC0"/>
    <w:rsid w:val="009F453C"/>
    <w:rsid w:val="00A00697"/>
    <w:rsid w:val="00A00A3F"/>
    <w:rsid w:val="00A01489"/>
    <w:rsid w:val="00A14268"/>
    <w:rsid w:val="00A3026E"/>
    <w:rsid w:val="00A338F1"/>
    <w:rsid w:val="00A3434C"/>
    <w:rsid w:val="00A35BE0"/>
    <w:rsid w:val="00A43DD7"/>
    <w:rsid w:val="00A54440"/>
    <w:rsid w:val="00A6129C"/>
    <w:rsid w:val="00A65810"/>
    <w:rsid w:val="00A72F22"/>
    <w:rsid w:val="00A7360F"/>
    <w:rsid w:val="00A73672"/>
    <w:rsid w:val="00A748A6"/>
    <w:rsid w:val="00A769F4"/>
    <w:rsid w:val="00A776B4"/>
    <w:rsid w:val="00A91A7F"/>
    <w:rsid w:val="00A94361"/>
    <w:rsid w:val="00AA293C"/>
    <w:rsid w:val="00AA4815"/>
    <w:rsid w:val="00AB0378"/>
    <w:rsid w:val="00AB0BA7"/>
    <w:rsid w:val="00AB28A7"/>
    <w:rsid w:val="00AD3AA8"/>
    <w:rsid w:val="00AE0722"/>
    <w:rsid w:val="00AE40B3"/>
    <w:rsid w:val="00B14129"/>
    <w:rsid w:val="00B229B6"/>
    <w:rsid w:val="00B30179"/>
    <w:rsid w:val="00B33CB8"/>
    <w:rsid w:val="00B421C1"/>
    <w:rsid w:val="00B44F40"/>
    <w:rsid w:val="00B45692"/>
    <w:rsid w:val="00B46A87"/>
    <w:rsid w:val="00B53C21"/>
    <w:rsid w:val="00B55C71"/>
    <w:rsid w:val="00B56651"/>
    <w:rsid w:val="00B56E4A"/>
    <w:rsid w:val="00B56E9C"/>
    <w:rsid w:val="00B64B1F"/>
    <w:rsid w:val="00B6553F"/>
    <w:rsid w:val="00B75552"/>
    <w:rsid w:val="00B77D05"/>
    <w:rsid w:val="00B81206"/>
    <w:rsid w:val="00B81E12"/>
    <w:rsid w:val="00BA3C21"/>
    <w:rsid w:val="00BB12C5"/>
    <w:rsid w:val="00BB1735"/>
    <w:rsid w:val="00BB767C"/>
    <w:rsid w:val="00BC0303"/>
    <w:rsid w:val="00BC3FA0"/>
    <w:rsid w:val="00BC4530"/>
    <w:rsid w:val="00BC468E"/>
    <w:rsid w:val="00BC74E9"/>
    <w:rsid w:val="00BE0237"/>
    <w:rsid w:val="00BE176B"/>
    <w:rsid w:val="00BF6579"/>
    <w:rsid w:val="00BF68A8"/>
    <w:rsid w:val="00C04C1E"/>
    <w:rsid w:val="00C06E67"/>
    <w:rsid w:val="00C11A03"/>
    <w:rsid w:val="00C12E38"/>
    <w:rsid w:val="00C22C0C"/>
    <w:rsid w:val="00C4527F"/>
    <w:rsid w:val="00C463DD"/>
    <w:rsid w:val="00C4724C"/>
    <w:rsid w:val="00C47ADA"/>
    <w:rsid w:val="00C629A0"/>
    <w:rsid w:val="00C64629"/>
    <w:rsid w:val="00C7072B"/>
    <w:rsid w:val="00C745C3"/>
    <w:rsid w:val="00C96DF2"/>
    <w:rsid w:val="00CA4453"/>
    <w:rsid w:val="00CA5004"/>
    <w:rsid w:val="00CB3E03"/>
    <w:rsid w:val="00CB4C05"/>
    <w:rsid w:val="00CC48DE"/>
    <w:rsid w:val="00CD4AA6"/>
    <w:rsid w:val="00CE4A8F"/>
    <w:rsid w:val="00D1427D"/>
    <w:rsid w:val="00D2031B"/>
    <w:rsid w:val="00D248B6"/>
    <w:rsid w:val="00D25FE2"/>
    <w:rsid w:val="00D26E07"/>
    <w:rsid w:val="00D27D14"/>
    <w:rsid w:val="00D43252"/>
    <w:rsid w:val="00D47EEA"/>
    <w:rsid w:val="00D51ABC"/>
    <w:rsid w:val="00D51E94"/>
    <w:rsid w:val="00D54F90"/>
    <w:rsid w:val="00D57758"/>
    <w:rsid w:val="00D6055F"/>
    <w:rsid w:val="00D76527"/>
    <w:rsid w:val="00D773DF"/>
    <w:rsid w:val="00D90252"/>
    <w:rsid w:val="00D95303"/>
    <w:rsid w:val="00D978C6"/>
    <w:rsid w:val="00DA3C1C"/>
    <w:rsid w:val="00DB340D"/>
    <w:rsid w:val="00DC6D39"/>
    <w:rsid w:val="00DD3244"/>
    <w:rsid w:val="00DE2464"/>
    <w:rsid w:val="00DE6A5E"/>
    <w:rsid w:val="00E0351C"/>
    <w:rsid w:val="00E046DF"/>
    <w:rsid w:val="00E1152D"/>
    <w:rsid w:val="00E12FF6"/>
    <w:rsid w:val="00E22B0C"/>
    <w:rsid w:val="00E27346"/>
    <w:rsid w:val="00E40A45"/>
    <w:rsid w:val="00E448BF"/>
    <w:rsid w:val="00E560CA"/>
    <w:rsid w:val="00E6112D"/>
    <w:rsid w:val="00E61319"/>
    <w:rsid w:val="00E700EA"/>
    <w:rsid w:val="00E71BC8"/>
    <w:rsid w:val="00E7260F"/>
    <w:rsid w:val="00E73948"/>
    <w:rsid w:val="00E73F5D"/>
    <w:rsid w:val="00E77E4E"/>
    <w:rsid w:val="00E87F0E"/>
    <w:rsid w:val="00E96630"/>
    <w:rsid w:val="00EA2A77"/>
    <w:rsid w:val="00EA67C7"/>
    <w:rsid w:val="00EB7139"/>
    <w:rsid w:val="00EC1A02"/>
    <w:rsid w:val="00EC772C"/>
    <w:rsid w:val="00ED51E7"/>
    <w:rsid w:val="00ED7A2A"/>
    <w:rsid w:val="00EE1711"/>
    <w:rsid w:val="00EE3CB4"/>
    <w:rsid w:val="00EE4343"/>
    <w:rsid w:val="00EF1D7F"/>
    <w:rsid w:val="00F07330"/>
    <w:rsid w:val="00F16389"/>
    <w:rsid w:val="00F31E5F"/>
    <w:rsid w:val="00F3452C"/>
    <w:rsid w:val="00F471C0"/>
    <w:rsid w:val="00F474AB"/>
    <w:rsid w:val="00F6100A"/>
    <w:rsid w:val="00F818C3"/>
    <w:rsid w:val="00F93781"/>
    <w:rsid w:val="00F95AB8"/>
    <w:rsid w:val="00FA732B"/>
    <w:rsid w:val="00FB529F"/>
    <w:rsid w:val="00FB613B"/>
    <w:rsid w:val="00FC4D29"/>
    <w:rsid w:val="00FC68B7"/>
    <w:rsid w:val="00FC6DB5"/>
    <w:rsid w:val="00FD3F98"/>
    <w:rsid w:val="00FE106A"/>
    <w:rsid w:val="00FE7450"/>
    <w:rsid w:val="00FF145D"/>
    <w:rsid w:val="00FF26A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29497"/>
  <w15:chartTrackingRefBased/>
  <w15:docId w15:val="{FEFAF123-363F-4F64-973C-2D720218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FootnoteTextChar">
    <w:name w:val="Footnote Text Char"/>
    <w:aliases w:val="5_G Char"/>
    <w:link w:val="FootnoteText"/>
    <w:semiHidden/>
    <w:locked/>
    <w:rsid w:val="000002E7"/>
    <w:rPr>
      <w:sz w:val="18"/>
      <w:lang w:val="en-GB" w:eastAsia="en-US" w:bidi="ar-SA"/>
    </w:rPr>
  </w:style>
  <w:style w:type="character" w:customStyle="1" w:styleId="H23GChar">
    <w:name w:val="_ H_2/3_G Char"/>
    <w:link w:val="H23G"/>
    <w:rsid w:val="000002E7"/>
    <w:rPr>
      <w:b/>
      <w:lang w:val="en-GB" w:eastAsia="en-US" w:bidi="ar-SA"/>
    </w:rPr>
  </w:style>
  <w:style w:type="character" w:customStyle="1" w:styleId="Heading1Char">
    <w:name w:val="Heading 1 Char"/>
    <w:aliases w:val="Table_G Char"/>
    <w:link w:val="Heading1"/>
    <w:rsid w:val="00E87F0E"/>
    <w:rPr>
      <w:lang w:val="en-GB" w:eastAsia="en-US" w:bidi="ar-SA"/>
    </w:rPr>
  </w:style>
  <w:style w:type="paragraph" w:styleId="BalloonText">
    <w:name w:val="Balloon Text"/>
    <w:basedOn w:val="Normal"/>
    <w:semiHidden/>
    <w:rsid w:val="005C5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20321-C355-4965-9244-348449A542F8}">
  <ds:schemaRefs>
    <ds:schemaRef ds:uri="http://schemas.microsoft.com/office/2006/metadata/properties"/>
    <ds:schemaRef ds:uri="http://schemas.microsoft.com/office/infopath/2007/PartnerControls"/>
    <ds:schemaRef ds:uri="15ff3d39-6e7b-4d70-9b7c-8d9fe85d0f29"/>
    <ds:schemaRef ds:uri="4fea251c-3bdd-4d50-962b-ffa2ae250ba0"/>
    <ds:schemaRef ds:uri="985ec44e-1bab-4c0b-9df0-6ba128686fc9"/>
    <ds:schemaRef ds:uri="acccb6d4-dbe5-46d2-b4d3-5733603d8cc6"/>
  </ds:schemaRefs>
</ds:datastoreItem>
</file>

<file path=customXml/itemProps2.xml><?xml version="1.0" encoding="utf-8"?>
<ds:datastoreItem xmlns:ds="http://schemas.openxmlformats.org/officeDocument/2006/customXml" ds:itemID="{55BE80F4-02BB-4010-822F-58C3321A5796}">
  <ds:schemaRefs>
    <ds:schemaRef ds:uri="http://schemas.microsoft.com/sharepoint/v3/contenttype/forms"/>
  </ds:schemaRefs>
</ds:datastoreItem>
</file>

<file path=customXml/itemProps3.xml><?xml version="1.0" encoding="utf-8"?>
<ds:datastoreItem xmlns:ds="http://schemas.openxmlformats.org/officeDocument/2006/customXml" ds:itemID="{98684BEC-DD20-439B-8804-EF9F2ADC5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80</TotalTime>
  <Pages>2</Pages>
  <Words>654</Words>
  <Characters>3597</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4212</CharactersWithSpaces>
  <SharedDoc>false</SharedDoc>
  <HLinks>
    <vt:vector size="36" baseType="variant">
      <vt:variant>
        <vt:i4>5767187</vt:i4>
      </vt:variant>
      <vt:variant>
        <vt:i4>15</vt:i4>
      </vt:variant>
      <vt:variant>
        <vt:i4>0</vt:i4>
      </vt:variant>
      <vt:variant>
        <vt:i4>5</vt:i4>
      </vt:variant>
      <vt:variant>
        <vt:lpwstr>http://dd.dgacm.org/editorialmanual/</vt:lpwstr>
      </vt:variant>
      <vt:variant>
        <vt:lpwstr/>
      </vt:variant>
      <vt:variant>
        <vt:i4>5308438</vt:i4>
      </vt:variant>
      <vt:variant>
        <vt:i4>12</vt:i4>
      </vt:variant>
      <vt:variant>
        <vt:i4>0</vt:i4>
      </vt:variant>
      <vt:variant>
        <vt:i4>5</vt:i4>
      </vt:variant>
      <vt:variant>
        <vt:lpwstr>http://www.unece.org/trans/main/welcwp29.htm</vt:lpwstr>
      </vt:variant>
      <vt:variant>
        <vt:lpwstr/>
      </vt:variant>
      <vt:variant>
        <vt:i4>6750290</vt:i4>
      </vt:variant>
      <vt:variant>
        <vt:i4>9</vt:i4>
      </vt:variant>
      <vt:variant>
        <vt:i4>0</vt:i4>
      </vt:variant>
      <vt:variant>
        <vt:i4>5</vt:i4>
      </vt:variant>
      <vt:variant>
        <vt:lpwstr>mailto:grsp@unece.org</vt:lpwstr>
      </vt:variant>
      <vt:variant>
        <vt:lpwstr/>
      </vt:variant>
      <vt:variant>
        <vt:i4>6684740</vt:i4>
      </vt:variant>
      <vt:variant>
        <vt:i4>6</vt:i4>
      </vt:variant>
      <vt:variant>
        <vt:i4>0</vt:i4>
      </vt:variant>
      <vt:variant>
        <vt:i4>5</vt:i4>
      </vt:variant>
      <vt:variant>
        <vt:lpwstr>mailto:grrf@unece.org</vt:lpwstr>
      </vt:variant>
      <vt:variant>
        <vt:lpwstr/>
      </vt:variant>
      <vt:variant>
        <vt:i4>1703977</vt:i4>
      </vt:variant>
      <vt:variant>
        <vt:i4>3</vt:i4>
      </vt:variant>
      <vt:variant>
        <vt:i4>0</vt:i4>
      </vt:variant>
      <vt:variant>
        <vt:i4>5</vt:i4>
      </vt:variant>
      <vt:variant>
        <vt:lpwstr>mailto:grb@unece.org</vt:lpwstr>
      </vt:variant>
      <vt:variant>
        <vt:lpwstr/>
      </vt:variant>
      <vt:variant>
        <vt:i4>5767187</vt:i4>
      </vt:variant>
      <vt:variant>
        <vt:i4>0</vt:i4>
      </vt:variant>
      <vt:variant>
        <vt:i4>0</vt:i4>
      </vt:variant>
      <vt:variant>
        <vt:i4>5</vt:i4>
      </vt:variant>
      <vt:variant>
        <vt:lpwstr>http://dd.dgacm.org/editorialmanual/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Schramm</dc:creator>
  <cp:keywords/>
  <dc:description/>
  <cp:lastModifiedBy>Author</cp:lastModifiedBy>
  <cp:revision>91</cp:revision>
  <cp:lastPrinted>2010-10-27T14:11:00Z</cp:lastPrinted>
  <dcterms:created xsi:type="dcterms:W3CDTF">2023-12-14T05:26:00Z</dcterms:created>
  <dcterms:modified xsi:type="dcterms:W3CDTF">2024-01-15T21:01:00Z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CustomTag">
    <vt:lpwstr/>
  </property>
  <property fmtid="{D5CDD505-2E9C-101B-9397-08002B2CF9AE}" pid="4" name="FinancialYear">
    <vt:lpwstr/>
  </property>
  <property fmtid="{D5CDD505-2E9C-101B-9397-08002B2CF9AE}" pid="5" name="MSIP_Label_52d06e56-1756-4005-87f1-1edc72dd4bdf_Enabled">
    <vt:lpwstr>true</vt:lpwstr>
  </property>
  <property fmtid="{D5CDD505-2E9C-101B-9397-08002B2CF9AE}" pid="6" name="MSIP_Label_52d06e56-1756-4005-87f1-1edc72dd4bdf_SetDate">
    <vt:lpwstr>2024-01-15T13:03:52Z</vt:lpwstr>
  </property>
  <property fmtid="{D5CDD505-2E9C-101B-9397-08002B2CF9AE}" pid="7" name="MSIP_Label_52d06e56-1756-4005-87f1-1edc72dd4bdf_Method">
    <vt:lpwstr>Standard</vt:lpwstr>
  </property>
  <property fmtid="{D5CDD505-2E9C-101B-9397-08002B2CF9AE}" pid="8" name="MSIP_Label_52d06e56-1756-4005-87f1-1edc72dd4bdf_Name">
    <vt:lpwstr>General</vt:lpwstr>
  </property>
  <property fmtid="{D5CDD505-2E9C-101B-9397-08002B2CF9AE}" pid="9" name="MSIP_Label_52d06e56-1756-4005-87f1-1edc72dd4bdf_SiteId">
    <vt:lpwstr>9026c5f4-86d0-4b9f-bd39-b7d4d0fb4674</vt:lpwstr>
  </property>
  <property fmtid="{D5CDD505-2E9C-101B-9397-08002B2CF9AE}" pid="10" name="MSIP_Label_52d06e56-1756-4005-87f1-1edc72dd4bdf_ActionId">
    <vt:lpwstr>9ded7964-afed-4620-a0d8-39c9a79858da</vt:lpwstr>
  </property>
  <property fmtid="{D5CDD505-2E9C-101B-9397-08002B2CF9AE}" pid="11" name="MSIP_Label_52d06e56-1756-4005-87f1-1edc72dd4bdf_ContentBits">
    <vt:lpwstr>0</vt:lpwstr>
  </property>
  <property fmtid="{D5CDD505-2E9C-101B-9397-08002B2CF9AE}" pid="13" name="MediaServiceImageTags">
    <vt:lpwstr/>
  </property>
  <property fmtid="{D5CDD505-2E9C-101B-9397-08002B2CF9AE}" pid="14" name="gba66df640194346a5267c50f24d4797">
    <vt:lpwstr/>
  </property>
  <property fmtid="{D5CDD505-2E9C-101B-9397-08002B2CF9AE}" pid="15" name="Office_x0020_of_x0020_Origin">
    <vt:lpwstr/>
  </property>
  <property fmtid="{D5CDD505-2E9C-101B-9397-08002B2CF9AE}" pid="16" name="Office of Origin">
    <vt:lpwstr/>
  </property>
</Properties>
</file>