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606E9EF" w14:textId="77777777" w:rsidTr="00C97039">
        <w:trPr>
          <w:trHeight w:hRule="exact" w:val="851"/>
        </w:trPr>
        <w:tc>
          <w:tcPr>
            <w:tcW w:w="1276" w:type="dxa"/>
            <w:tcBorders>
              <w:bottom w:val="single" w:sz="4" w:space="0" w:color="auto"/>
            </w:tcBorders>
          </w:tcPr>
          <w:p w14:paraId="4CEF29A0" w14:textId="77777777" w:rsidR="00F35BAF" w:rsidRPr="00DB58B5" w:rsidRDefault="00F35BAF" w:rsidP="00B91F0D"/>
        </w:tc>
        <w:tc>
          <w:tcPr>
            <w:tcW w:w="2268" w:type="dxa"/>
            <w:tcBorders>
              <w:bottom w:val="single" w:sz="4" w:space="0" w:color="auto"/>
            </w:tcBorders>
            <w:vAlign w:val="bottom"/>
          </w:tcPr>
          <w:p w14:paraId="0E1CBE5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FBFA416" w14:textId="6B7B0955" w:rsidR="00F35BAF" w:rsidRPr="00DB58B5" w:rsidRDefault="00B91F0D" w:rsidP="00B91F0D">
            <w:pPr>
              <w:jc w:val="right"/>
            </w:pPr>
            <w:r w:rsidRPr="00B91F0D">
              <w:rPr>
                <w:sz w:val="40"/>
              </w:rPr>
              <w:t>ECE</w:t>
            </w:r>
            <w:r>
              <w:t>/TRANS/WP.29/2024/28</w:t>
            </w:r>
          </w:p>
        </w:tc>
      </w:tr>
      <w:tr w:rsidR="00F35BAF" w:rsidRPr="00DB58B5" w14:paraId="5EA5A495" w14:textId="77777777" w:rsidTr="00C97039">
        <w:trPr>
          <w:trHeight w:hRule="exact" w:val="2835"/>
        </w:trPr>
        <w:tc>
          <w:tcPr>
            <w:tcW w:w="1276" w:type="dxa"/>
            <w:tcBorders>
              <w:top w:val="single" w:sz="4" w:space="0" w:color="auto"/>
              <w:bottom w:val="single" w:sz="12" w:space="0" w:color="auto"/>
            </w:tcBorders>
          </w:tcPr>
          <w:p w14:paraId="02495F1A" w14:textId="77777777" w:rsidR="00F35BAF" w:rsidRPr="00DB58B5" w:rsidRDefault="00F35BAF" w:rsidP="00C97039">
            <w:pPr>
              <w:spacing w:before="120"/>
              <w:jc w:val="center"/>
            </w:pPr>
            <w:r>
              <w:rPr>
                <w:noProof/>
                <w:lang w:eastAsia="fr-CH"/>
              </w:rPr>
              <w:drawing>
                <wp:inline distT="0" distB="0" distL="0" distR="0" wp14:anchorId="0D1D58F3" wp14:editId="39EA21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D223D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17AD6C0" w14:textId="77777777" w:rsidR="00F35BAF" w:rsidRDefault="00B91F0D" w:rsidP="00C97039">
            <w:pPr>
              <w:spacing w:before="240"/>
            </w:pPr>
            <w:r>
              <w:t>Distr. générale</w:t>
            </w:r>
          </w:p>
          <w:p w14:paraId="2D26CCC2" w14:textId="3400226D" w:rsidR="00B91F0D" w:rsidRDefault="00B91F0D" w:rsidP="00B91F0D">
            <w:pPr>
              <w:spacing w:line="240" w:lineRule="exact"/>
            </w:pPr>
            <w:r>
              <w:t>21 décembre 2023</w:t>
            </w:r>
          </w:p>
          <w:p w14:paraId="51D4FB11" w14:textId="77777777" w:rsidR="00B91F0D" w:rsidRDefault="00B91F0D" w:rsidP="00B91F0D">
            <w:pPr>
              <w:spacing w:line="240" w:lineRule="exact"/>
            </w:pPr>
            <w:r>
              <w:t>Français</w:t>
            </w:r>
          </w:p>
          <w:p w14:paraId="3FB6B0B3" w14:textId="460D0224" w:rsidR="00B91F0D" w:rsidRPr="00DB58B5" w:rsidRDefault="00B91F0D" w:rsidP="00B91F0D">
            <w:pPr>
              <w:spacing w:line="240" w:lineRule="exact"/>
            </w:pPr>
            <w:r>
              <w:t>Original</w:t>
            </w:r>
            <w:r w:rsidR="00296F9D">
              <w:t> :</w:t>
            </w:r>
            <w:r>
              <w:t xml:space="preserve"> anglais</w:t>
            </w:r>
          </w:p>
        </w:tc>
      </w:tr>
    </w:tbl>
    <w:p w14:paraId="13A7D501" w14:textId="77777777" w:rsidR="007F20FA" w:rsidRPr="000312C0" w:rsidRDefault="007F20FA" w:rsidP="007F20FA">
      <w:pPr>
        <w:spacing w:before="120"/>
        <w:rPr>
          <w:b/>
          <w:sz w:val="28"/>
          <w:szCs w:val="28"/>
        </w:rPr>
      </w:pPr>
      <w:r w:rsidRPr="000312C0">
        <w:rPr>
          <w:b/>
          <w:sz w:val="28"/>
          <w:szCs w:val="28"/>
        </w:rPr>
        <w:t>Commission économique pour l’Europe</w:t>
      </w:r>
    </w:p>
    <w:p w14:paraId="28A337EB" w14:textId="77777777" w:rsidR="007F20FA" w:rsidRDefault="007F20FA" w:rsidP="007F20FA">
      <w:pPr>
        <w:spacing w:before="120"/>
        <w:rPr>
          <w:sz w:val="28"/>
          <w:szCs w:val="28"/>
        </w:rPr>
      </w:pPr>
      <w:r w:rsidRPr="00685843">
        <w:rPr>
          <w:sz w:val="28"/>
          <w:szCs w:val="28"/>
        </w:rPr>
        <w:t>Comité des transports intérieurs</w:t>
      </w:r>
    </w:p>
    <w:p w14:paraId="14749D0F" w14:textId="77777777" w:rsidR="00296F9D" w:rsidRPr="00BB4006" w:rsidRDefault="00296F9D" w:rsidP="00296F9D">
      <w:pPr>
        <w:spacing w:before="120"/>
        <w:rPr>
          <w:b/>
          <w:sz w:val="24"/>
          <w:szCs w:val="24"/>
          <w:lang w:val="fr-FR"/>
        </w:rPr>
      </w:pPr>
      <w:r w:rsidRPr="00BB4006">
        <w:rPr>
          <w:b/>
          <w:bCs/>
          <w:sz w:val="24"/>
          <w:szCs w:val="24"/>
          <w:lang w:val="fr-FR"/>
        </w:rPr>
        <w:t>Forum mondial de l’harmonisation des Règlements concernant les véhicules</w:t>
      </w:r>
    </w:p>
    <w:p w14:paraId="58B9F987" w14:textId="77777777" w:rsidR="00296F9D" w:rsidRPr="00296F9D" w:rsidRDefault="00296F9D" w:rsidP="00296F9D">
      <w:pPr>
        <w:spacing w:before="120"/>
        <w:rPr>
          <w:b/>
          <w:lang w:val="fr-FR"/>
        </w:rPr>
      </w:pPr>
      <w:r w:rsidRPr="00296F9D">
        <w:rPr>
          <w:b/>
          <w:bCs/>
          <w:lang w:val="fr-FR"/>
        </w:rPr>
        <w:t>192</w:t>
      </w:r>
      <w:r w:rsidRPr="00296F9D">
        <w:rPr>
          <w:b/>
          <w:bCs/>
          <w:vertAlign w:val="superscript"/>
          <w:lang w:val="fr-FR"/>
        </w:rPr>
        <w:t>e</w:t>
      </w:r>
      <w:r w:rsidRPr="00296F9D">
        <w:rPr>
          <w:b/>
          <w:bCs/>
          <w:lang w:val="fr-FR"/>
        </w:rPr>
        <w:t xml:space="preserve"> session</w:t>
      </w:r>
    </w:p>
    <w:p w14:paraId="71A688E8" w14:textId="77777777" w:rsidR="00296F9D" w:rsidRPr="00296F9D" w:rsidRDefault="00296F9D" w:rsidP="00296F9D">
      <w:pPr>
        <w:rPr>
          <w:lang w:val="fr-FR"/>
        </w:rPr>
      </w:pPr>
      <w:r w:rsidRPr="00296F9D">
        <w:rPr>
          <w:lang w:val="fr-FR"/>
        </w:rPr>
        <w:t>Genève, 5-8 mars 2024</w:t>
      </w:r>
    </w:p>
    <w:p w14:paraId="1CDF1675" w14:textId="77777777" w:rsidR="00296F9D" w:rsidRPr="00296F9D" w:rsidRDefault="00296F9D" w:rsidP="00296F9D">
      <w:pPr>
        <w:rPr>
          <w:lang w:val="fr-FR"/>
        </w:rPr>
      </w:pPr>
      <w:r w:rsidRPr="00296F9D">
        <w:rPr>
          <w:lang w:val="fr-FR"/>
        </w:rPr>
        <w:t>Point 4.9.13 de l’ordre du jour provisoire</w:t>
      </w:r>
    </w:p>
    <w:p w14:paraId="145479A0" w14:textId="77777777" w:rsidR="0035560C" w:rsidRDefault="00296F9D" w:rsidP="00296F9D">
      <w:pPr>
        <w:rPr>
          <w:b/>
          <w:lang w:val="fr-FR"/>
        </w:rPr>
      </w:pPr>
      <w:r w:rsidRPr="00296F9D">
        <w:rPr>
          <w:b/>
          <w:bCs/>
          <w:lang w:val="fr-FR"/>
        </w:rPr>
        <w:t>Accord de 1958</w:t>
      </w:r>
      <w:r w:rsidRPr="00296F9D">
        <w:rPr>
          <w:b/>
          <w:bCs/>
          <w:lang w:val="fr-FR"/>
        </w:rPr>
        <w:t> :</w:t>
      </w:r>
      <w:r w:rsidRPr="00296F9D">
        <w:rPr>
          <w:b/>
          <w:bCs/>
          <w:lang w:val="fr-FR"/>
        </w:rPr>
        <w:br/>
      </w:r>
      <w:r w:rsidRPr="00296F9D">
        <w:rPr>
          <w:b/>
          <w:bCs/>
          <w:lang w:val="fr-FR"/>
        </w:rPr>
        <w:t>Examen de projets d’amendements à des Règlements ONU existants, soumis par le GRE</w:t>
      </w:r>
    </w:p>
    <w:p w14:paraId="0467F8A3" w14:textId="2672098E" w:rsidR="0035560C" w:rsidRDefault="0035560C" w:rsidP="00296F9D">
      <w:pPr>
        <w:pStyle w:val="HChG"/>
        <w:rPr>
          <w:lang w:val="fr-FR"/>
        </w:rPr>
      </w:pPr>
      <w:r>
        <w:rPr>
          <w:lang w:val="fr-FR"/>
        </w:rPr>
        <w:tab/>
      </w:r>
      <w:r>
        <w:rPr>
          <w:lang w:val="fr-FR"/>
        </w:rPr>
        <w:tab/>
      </w:r>
      <w:r w:rsidR="00296F9D" w:rsidRPr="00F2629D">
        <w:rPr>
          <w:lang w:val="fr-FR"/>
        </w:rPr>
        <w:t>Propositions de nouvelle série 09 d’amendements au</w:t>
      </w:r>
      <w:r w:rsidR="00296F9D">
        <w:rPr>
          <w:lang w:val="fr-FR"/>
        </w:rPr>
        <w:t> </w:t>
      </w:r>
      <w:r w:rsidR="00296F9D" w:rsidRPr="00F2629D">
        <w:rPr>
          <w:lang w:val="fr-FR"/>
        </w:rPr>
        <w:t>Règlement ONU n</w:t>
      </w:r>
      <w:r w:rsidR="00296F9D" w:rsidRPr="00F2629D">
        <w:rPr>
          <w:vertAlign w:val="superscript"/>
          <w:lang w:val="fr-FR"/>
        </w:rPr>
        <w:t>o</w:t>
      </w:r>
      <w:r w:rsidR="00BB4006">
        <w:rPr>
          <w:lang w:val="fr-FR"/>
        </w:rPr>
        <w:t> </w:t>
      </w:r>
      <w:r w:rsidR="00296F9D" w:rsidRPr="00F2629D">
        <w:rPr>
          <w:lang w:val="fr-FR"/>
        </w:rPr>
        <w:t xml:space="preserve">48 (Installation des </w:t>
      </w:r>
      <w:r w:rsidR="00296F9D">
        <w:rPr>
          <w:lang w:val="fr-FR"/>
        </w:rPr>
        <w:t>d</w:t>
      </w:r>
      <w:r w:rsidR="00296F9D" w:rsidRPr="00F2629D">
        <w:rPr>
          <w:lang w:val="fr-FR"/>
        </w:rPr>
        <w:t>ispositifs d’éclairage et de signalisation lumineuse)</w:t>
      </w:r>
    </w:p>
    <w:p w14:paraId="7F4CF911" w14:textId="3E7ACE22" w:rsidR="00E010A3" w:rsidRDefault="0035560C" w:rsidP="00E010A3">
      <w:pPr>
        <w:pStyle w:val="H1G"/>
        <w:rPr>
          <w:bCs/>
          <w:lang w:val="fr-FR"/>
        </w:rPr>
      </w:pPr>
      <w:r>
        <w:rPr>
          <w:bCs/>
          <w:lang w:val="fr-FR"/>
        </w:rPr>
        <w:tab/>
      </w:r>
      <w:r>
        <w:rPr>
          <w:bCs/>
          <w:lang w:val="fr-FR"/>
        </w:rPr>
        <w:tab/>
      </w:r>
      <w:r w:rsidR="00296F9D" w:rsidRPr="00F2629D">
        <w:rPr>
          <w:bCs/>
          <w:lang w:val="fr-FR"/>
        </w:rPr>
        <w:t xml:space="preserve">Communication du Groupe de travail de l’éclairage </w:t>
      </w:r>
      <w:r w:rsidR="00296F9D">
        <w:rPr>
          <w:bCs/>
          <w:lang w:val="fr-FR"/>
        </w:rPr>
        <w:br/>
      </w:r>
      <w:r w:rsidR="00296F9D" w:rsidRPr="00F2629D">
        <w:rPr>
          <w:bCs/>
          <w:lang w:val="fr-FR"/>
        </w:rPr>
        <w:t>et de la signalisation lumineuse</w:t>
      </w:r>
      <w:r w:rsidR="00E010A3" w:rsidRPr="00E010A3">
        <w:rPr>
          <w:rStyle w:val="Appelnotedebasdep"/>
          <w:bCs/>
          <w:sz w:val="20"/>
          <w:vertAlign w:val="baseline"/>
          <w:lang w:val="fr-FR"/>
        </w:rPr>
        <w:footnoteReference w:customMarkFollows="1" w:id="2"/>
        <w:t>*</w:t>
      </w:r>
    </w:p>
    <w:p w14:paraId="5D14B51F" w14:textId="2FA29FB4" w:rsidR="00296F9D" w:rsidRDefault="00E010A3" w:rsidP="00E010A3">
      <w:pPr>
        <w:pStyle w:val="SingleTxtG"/>
        <w:ind w:firstLine="567"/>
        <w:rPr>
          <w:lang w:val="fr-FR"/>
        </w:rPr>
      </w:pPr>
      <w:r>
        <w:rPr>
          <w:lang w:val="fr-FR"/>
        </w:rPr>
        <w:t xml:space="preserve">Le </w:t>
      </w:r>
      <w:r w:rsidR="00296F9D" w:rsidRPr="00F2629D">
        <w:rPr>
          <w:lang w:val="fr-FR"/>
        </w:rPr>
        <w:t>texte ci-après a été adopté par le Groupe de travail de l’éclairage et de la signalisation lumineuse (GRE) à sa quatre-vingt-neuvième session (ECE/TRANS/WP.29/</w:t>
      </w:r>
      <w:r w:rsidR="00296F9D">
        <w:rPr>
          <w:lang w:val="fr-FR"/>
        </w:rPr>
        <w:t xml:space="preserve"> </w:t>
      </w:r>
      <w:r w:rsidR="00296F9D" w:rsidRPr="00F2629D">
        <w:rPr>
          <w:lang w:val="fr-FR"/>
        </w:rPr>
        <w:t>GRE/89, par.</w:t>
      </w:r>
      <w:r w:rsidR="00BB4006">
        <w:rPr>
          <w:lang w:val="fr-FR"/>
        </w:rPr>
        <w:t> </w:t>
      </w:r>
      <w:r w:rsidR="00296F9D" w:rsidRPr="00F2629D">
        <w:rPr>
          <w:lang w:val="fr-FR"/>
        </w:rPr>
        <w:t>21). Il est fondé sur la version récapitulative figurant dans le document informel GRE-89-02-Rev.3. Il est soumis au Forum mondial de l’harmonisation des Règlements concernant les véhicules (WP.29) et au Comité d’administration de l’Accord de 1958 (AC.1) pour examen à leurs sessions de mars 2024.</w:t>
      </w:r>
    </w:p>
    <w:p w14:paraId="2CC0B5DA" w14:textId="0B8DE19B" w:rsidR="00296F9D" w:rsidRPr="00F2629D" w:rsidRDefault="00296F9D" w:rsidP="00296F9D">
      <w:pPr>
        <w:pStyle w:val="SingleTxtG"/>
        <w:rPr>
          <w:lang w:val="fr-FR"/>
        </w:rPr>
      </w:pPr>
      <w:r w:rsidRPr="00F2629D">
        <w:rPr>
          <w:lang w:val="fr-FR"/>
        </w:rPr>
        <w:br w:type="page"/>
      </w:r>
    </w:p>
    <w:p w14:paraId="780D4056" w14:textId="78E5BDA4" w:rsidR="00296F9D" w:rsidRPr="00F2629D" w:rsidRDefault="00296F9D" w:rsidP="00296F9D">
      <w:pPr>
        <w:pStyle w:val="SingleTxtG"/>
        <w:keepNext/>
        <w:rPr>
          <w:lang w:val="fr-FR"/>
        </w:rPr>
      </w:pPr>
      <w:r w:rsidRPr="00296F9D">
        <w:rPr>
          <w:i/>
          <w:iCs/>
          <w:lang w:val="fr-FR"/>
        </w:rPr>
        <w:lastRenderedPageBreak/>
        <w:t>Table des matières, annexes, annexe 7</w:t>
      </w:r>
      <w:r w:rsidRPr="00F2629D">
        <w:rPr>
          <w:lang w:val="fr-FR"/>
        </w:rPr>
        <w:t>, lire</w:t>
      </w:r>
      <w:r>
        <w:rPr>
          <w:lang w:val="fr-FR"/>
        </w:rPr>
        <w:t> :</w:t>
      </w:r>
    </w:p>
    <w:p w14:paraId="2F6A22C6" w14:textId="77777777" w:rsidR="00296F9D" w:rsidRPr="00F2629D" w:rsidRDefault="00296F9D" w:rsidP="00F4358F">
      <w:pPr>
        <w:pStyle w:val="SingleTxtG"/>
        <w:ind w:left="2268" w:hanging="1134"/>
        <w:rPr>
          <w:noProof/>
          <w:lang w:val="fr-FR"/>
        </w:rPr>
      </w:pPr>
      <w:r w:rsidRPr="00F2629D">
        <w:rPr>
          <w:lang w:val="fr-FR"/>
        </w:rPr>
        <w:t>« 7</w:t>
      </w:r>
      <w:r w:rsidRPr="00F2629D">
        <w:rPr>
          <w:lang w:val="fr-FR"/>
        </w:rPr>
        <w:tab/>
        <w:t>Indication de l’inclinaison vers le bas de la ligne de coupure du faisceau de croisement mentionnée au paragraphe 6.2.6.1.1 et de l’inclinaison vers le bas de la ligne de coupure du feu de brouillard avant mentionnée au paragraphe 6.3.6.1 du présent Règlement ».</w:t>
      </w:r>
    </w:p>
    <w:p w14:paraId="15C4BF67" w14:textId="18A189FE" w:rsidR="00296F9D" w:rsidRPr="00F2629D" w:rsidRDefault="00296F9D" w:rsidP="00296F9D">
      <w:pPr>
        <w:pStyle w:val="SingleTxtG"/>
        <w:keepNext/>
        <w:rPr>
          <w:rFonts w:asciiTheme="majorBidi" w:hAnsiTheme="majorBidi" w:cstheme="majorBidi"/>
          <w:lang w:val="fr-FR"/>
        </w:rPr>
      </w:pPr>
      <w:r w:rsidRPr="00296F9D">
        <w:rPr>
          <w:i/>
          <w:lang w:val="fr-FR"/>
        </w:rPr>
        <w:t>Paragraphe 2.5.3</w:t>
      </w:r>
      <w:r w:rsidRPr="00F2629D">
        <w:rPr>
          <w:lang w:val="fr-FR"/>
        </w:rPr>
        <w:t>, lire</w:t>
      </w:r>
      <w:r>
        <w:rPr>
          <w:lang w:val="fr-FR"/>
        </w:rPr>
        <w:t> :</w:t>
      </w:r>
    </w:p>
    <w:p w14:paraId="37EF921C" w14:textId="77777777" w:rsidR="00296F9D" w:rsidRPr="00F2629D" w:rsidRDefault="00296F9D" w:rsidP="00CA0FB4">
      <w:pPr>
        <w:pStyle w:val="SingleTxtG"/>
        <w:ind w:left="2268" w:hanging="1134"/>
        <w:rPr>
          <w:lang w:val="fr-FR"/>
        </w:rPr>
      </w:pPr>
      <w:r w:rsidRPr="00F2629D">
        <w:rPr>
          <w:lang w:val="fr-FR"/>
        </w:rPr>
        <w:t>« 2.5.3</w:t>
      </w:r>
      <w:r w:rsidRPr="00F2629D">
        <w:rPr>
          <w:lang w:val="fr-FR"/>
        </w:rPr>
        <w:tab/>
      </w:r>
      <w:r w:rsidRPr="00F2629D">
        <w:rPr>
          <w:lang w:val="fr-FR"/>
        </w:rPr>
        <w:tab/>
        <w:t>“</w:t>
      </w:r>
      <w:r w:rsidRPr="00F2629D">
        <w:rPr>
          <w:i/>
          <w:iCs/>
          <w:lang w:val="fr-FR"/>
        </w:rPr>
        <w:t>Feu indicateur de direction</w:t>
      </w:r>
      <w:r w:rsidRPr="00F2629D">
        <w:rPr>
          <w:lang w:val="fr-FR"/>
        </w:rPr>
        <w:t>”, le feu servant à indiquer aux autres usagers de la route que le conducteur a l’intention de changer de direction vers la droite ou vers la gauche. Le(s) feu(x) indicateur(s) de direction peut (peuvent) aussi être utilisé(s) conformément aux prescriptions des Règlements ONU n</w:t>
      </w:r>
      <w:r w:rsidRPr="00F2629D">
        <w:rPr>
          <w:vertAlign w:val="superscript"/>
          <w:lang w:val="fr-FR"/>
        </w:rPr>
        <w:t>os</w:t>
      </w:r>
      <w:r w:rsidRPr="00F2629D">
        <w:rPr>
          <w:lang w:val="fr-FR"/>
        </w:rPr>
        <w:t> 97, 116, 162 ou 163. ».</w:t>
      </w:r>
    </w:p>
    <w:p w14:paraId="7CC4FEC8" w14:textId="54B428DD" w:rsidR="00296F9D" w:rsidRPr="00F2629D" w:rsidRDefault="00296F9D" w:rsidP="00296F9D">
      <w:pPr>
        <w:pStyle w:val="SingleTxtG"/>
        <w:keepNext/>
        <w:rPr>
          <w:rFonts w:asciiTheme="majorBidi" w:hAnsiTheme="majorBidi" w:cstheme="majorBidi"/>
          <w:lang w:val="fr-FR"/>
        </w:rPr>
      </w:pPr>
      <w:r w:rsidRPr="00296F9D">
        <w:rPr>
          <w:i/>
          <w:lang w:val="fr-FR"/>
        </w:rPr>
        <w:t>Paragraphe 2.5.18</w:t>
      </w:r>
      <w:r w:rsidRPr="00F2629D">
        <w:rPr>
          <w:lang w:val="fr-FR"/>
        </w:rPr>
        <w:t>, lire</w:t>
      </w:r>
      <w:r>
        <w:rPr>
          <w:lang w:val="fr-FR"/>
        </w:rPr>
        <w:t> :</w:t>
      </w:r>
    </w:p>
    <w:p w14:paraId="2C6F2ADB" w14:textId="77777777" w:rsidR="00296F9D" w:rsidRPr="00F2629D" w:rsidRDefault="00296F9D" w:rsidP="00CA0FB4">
      <w:pPr>
        <w:pStyle w:val="SingleTxtG"/>
        <w:ind w:left="2268" w:hanging="1134"/>
        <w:rPr>
          <w:rFonts w:asciiTheme="majorBidi" w:eastAsia="MS PMincho" w:hAnsiTheme="majorBidi" w:cstheme="majorBidi"/>
          <w:iCs/>
          <w:lang w:val="fr-FR"/>
        </w:rPr>
      </w:pPr>
      <w:r w:rsidRPr="00F2629D">
        <w:rPr>
          <w:lang w:val="fr-FR"/>
        </w:rPr>
        <w:t>« 2.5.18</w:t>
      </w:r>
      <w:r w:rsidRPr="00F2629D">
        <w:rPr>
          <w:lang w:val="fr-FR"/>
        </w:rPr>
        <w:tab/>
        <w:t>“</w:t>
      </w:r>
      <w:r w:rsidRPr="00F2629D">
        <w:rPr>
          <w:i/>
          <w:iCs/>
          <w:lang w:val="fr-FR"/>
        </w:rPr>
        <w:t>Feu de courtoisie extérieur</w:t>
      </w:r>
      <w:r w:rsidRPr="00F2629D">
        <w:rPr>
          <w:lang w:val="fr-FR"/>
        </w:rPr>
        <w:t>”, un feu servant à fournir un éclairage supplémentaire pour aider le conducteur et les passagers à monter dans le véhicule ou à en descendre, ou encore faciliter les opérations de chargement. ».</w:t>
      </w:r>
    </w:p>
    <w:p w14:paraId="3FCBD220" w14:textId="2796088D" w:rsidR="00296F9D" w:rsidRPr="00F2629D" w:rsidRDefault="00296F9D" w:rsidP="00296F9D">
      <w:pPr>
        <w:pStyle w:val="SingleTxtG"/>
        <w:keepNext/>
        <w:rPr>
          <w:rFonts w:eastAsia="MS Mincho"/>
          <w:lang w:val="fr-FR"/>
        </w:rPr>
      </w:pPr>
      <w:r w:rsidRPr="00296F9D">
        <w:rPr>
          <w:i/>
          <w:lang w:val="fr-FR"/>
        </w:rPr>
        <w:t>Paragraphe 2.5.20</w:t>
      </w:r>
      <w:r w:rsidRPr="00F2629D">
        <w:rPr>
          <w:lang w:val="fr-FR"/>
        </w:rPr>
        <w:t>, lire</w:t>
      </w:r>
      <w:r>
        <w:rPr>
          <w:lang w:val="fr-FR"/>
        </w:rPr>
        <w:t> :</w:t>
      </w:r>
    </w:p>
    <w:p w14:paraId="0948E2CE" w14:textId="23488E5B" w:rsidR="00296F9D" w:rsidRPr="00F2629D" w:rsidRDefault="00296F9D" w:rsidP="00CA0FB4">
      <w:pPr>
        <w:pStyle w:val="SingleTxtG"/>
        <w:ind w:left="2268" w:hanging="1134"/>
        <w:rPr>
          <w:rFonts w:eastAsia="MS PMincho"/>
          <w:bCs/>
          <w:iCs/>
          <w:lang w:val="fr-FR"/>
        </w:rPr>
      </w:pPr>
      <w:r w:rsidRPr="00F2629D">
        <w:rPr>
          <w:lang w:val="fr-FR"/>
        </w:rPr>
        <w:t>« 2.5.20</w:t>
      </w:r>
      <w:r w:rsidRPr="00F2629D">
        <w:rPr>
          <w:lang w:val="fr-FR"/>
        </w:rPr>
        <w:tab/>
        <w:t>“</w:t>
      </w:r>
      <w:r w:rsidRPr="00F2629D">
        <w:rPr>
          <w:i/>
          <w:iCs/>
          <w:lang w:val="fr-FR"/>
        </w:rPr>
        <w:t>Témoin extérieur d’état</w:t>
      </w:r>
      <w:r w:rsidRPr="00F2629D">
        <w:rPr>
          <w:lang w:val="fr-FR"/>
        </w:rPr>
        <w:t>”, un signal optique monté à l’extérieur du véhicule pour indiquer l’état ou le changement d’état du système d’alarme pour véhicules (SAV), du système d’alarme (SA) et du dispositif d’immobilisation, au sens des Règlements ONU n</w:t>
      </w:r>
      <w:r w:rsidRPr="00F2629D">
        <w:rPr>
          <w:vertAlign w:val="superscript"/>
          <w:lang w:val="fr-FR"/>
        </w:rPr>
        <w:t>os</w:t>
      </w:r>
      <w:r w:rsidR="00CA0FB4">
        <w:rPr>
          <w:lang w:val="fr-FR"/>
        </w:rPr>
        <w:t> </w:t>
      </w:r>
      <w:r w:rsidRPr="00F2629D">
        <w:rPr>
          <w:lang w:val="fr-FR"/>
        </w:rPr>
        <w:t>97, 116, 162 ou 163, lorsque le véhicule est en stationnement. ».</w:t>
      </w:r>
    </w:p>
    <w:p w14:paraId="4C31AFC2" w14:textId="4E897A95" w:rsidR="00296F9D" w:rsidRPr="00E010A3" w:rsidRDefault="00296F9D" w:rsidP="00296F9D">
      <w:pPr>
        <w:pStyle w:val="SingleTxtG"/>
        <w:keepNext/>
        <w:rPr>
          <w:rFonts w:eastAsia="MS Mincho"/>
          <w:i/>
          <w:iCs/>
          <w:lang w:val="fr-FR"/>
        </w:rPr>
      </w:pPr>
      <w:r w:rsidRPr="00E010A3">
        <w:rPr>
          <w:i/>
          <w:lang w:val="fr-FR"/>
        </w:rPr>
        <w:t>Ajouter le nouveau paragraphe 2.6.4</w:t>
      </w:r>
      <w:r w:rsidRPr="00E010A3">
        <w:rPr>
          <w:lang w:val="fr-FR"/>
        </w:rPr>
        <w:t>, libellé comme suit</w:t>
      </w:r>
      <w:r w:rsidRPr="00E010A3">
        <w:rPr>
          <w:lang w:val="fr-FR"/>
        </w:rPr>
        <w:t> :</w:t>
      </w:r>
    </w:p>
    <w:p w14:paraId="293084C9" w14:textId="76C0D336" w:rsidR="00296F9D" w:rsidRPr="00F2629D" w:rsidRDefault="00296F9D" w:rsidP="00CA0FB4">
      <w:pPr>
        <w:pStyle w:val="SingleTxtG"/>
        <w:ind w:left="2268" w:hanging="1134"/>
        <w:rPr>
          <w:rFonts w:eastAsia="MS PMincho"/>
          <w:bCs/>
          <w:lang w:val="fr-FR"/>
        </w:rPr>
      </w:pPr>
      <w:r w:rsidRPr="00F2629D">
        <w:rPr>
          <w:lang w:val="fr-FR"/>
        </w:rPr>
        <w:t>« 2.6.4</w:t>
      </w:r>
      <w:r w:rsidRPr="00F2629D">
        <w:rPr>
          <w:lang w:val="fr-FR"/>
        </w:rPr>
        <w:tab/>
        <w:t>“</w:t>
      </w:r>
      <w:r w:rsidRPr="00F2629D">
        <w:rPr>
          <w:i/>
          <w:iCs/>
          <w:lang w:val="fr-FR"/>
        </w:rPr>
        <w:t>Signal de réponse</w:t>
      </w:r>
      <w:r w:rsidRPr="00F2629D">
        <w:rPr>
          <w:lang w:val="fr-FR"/>
        </w:rPr>
        <w:t>”, un signal émis par un véhicule en stationnement pour aider l’utilisateur à repérer ce véhicule. ».</w:t>
      </w:r>
    </w:p>
    <w:p w14:paraId="4562EEA8" w14:textId="623955C4" w:rsidR="00296F9D" w:rsidRPr="00F2629D" w:rsidRDefault="00296F9D" w:rsidP="00296F9D">
      <w:pPr>
        <w:pStyle w:val="SingleTxtG"/>
        <w:keepNext/>
        <w:rPr>
          <w:lang w:val="fr-FR"/>
        </w:rPr>
      </w:pPr>
      <w:r w:rsidRPr="00F2629D">
        <w:rPr>
          <w:i/>
          <w:iCs/>
          <w:lang w:val="fr-FR"/>
        </w:rPr>
        <w:t>Paragraphe 2.7.4</w:t>
      </w:r>
      <w:r w:rsidRPr="00F2629D">
        <w:rPr>
          <w:lang w:val="fr-FR"/>
        </w:rPr>
        <w:t>, lire</w:t>
      </w:r>
      <w:r>
        <w:rPr>
          <w:lang w:val="fr-FR"/>
        </w:rPr>
        <w:t> :</w:t>
      </w:r>
    </w:p>
    <w:p w14:paraId="7F6A827D" w14:textId="77777777" w:rsidR="00296F9D" w:rsidRPr="00F2629D" w:rsidRDefault="00296F9D" w:rsidP="00CA0FB4">
      <w:pPr>
        <w:pStyle w:val="SingleTxtG"/>
        <w:ind w:left="2268" w:hanging="1134"/>
        <w:rPr>
          <w:lang w:val="fr-FR"/>
        </w:rPr>
      </w:pPr>
      <w:r w:rsidRPr="00F2629D">
        <w:rPr>
          <w:lang w:val="fr-FR"/>
        </w:rPr>
        <w:t>« 2.7.4</w:t>
      </w:r>
      <w:r w:rsidRPr="00F2629D">
        <w:rPr>
          <w:lang w:val="fr-FR"/>
        </w:rPr>
        <w:tab/>
        <w:t>“</w:t>
      </w:r>
      <w:r w:rsidRPr="00F2629D">
        <w:rPr>
          <w:i/>
          <w:iCs/>
          <w:lang w:val="fr-FR"/>
        </w:rPr>
        <w:t>Système d’éclairage avant adaptatif</w:t>
      </w:r>
      <w:r w:rsidRPr="00F2629D">
        <w:rPr>
          <w:lang w:val="fr-FR"/>
        </w:rPr>
        <w:t>” (AFS), un dispositif d’éclairage qui émet des faisceaux possédant des caractéristiques différenciées pour une adaptation automatique à des conditions variables d’utilisation du faisceau de croisement et, le cas échéant, du faisceau de route. ».</w:t>
      </w:r>
    </w:p>
    <w:p w14:paraId="341CDEFC" w14:textId="2100CBB9" w:rsidR="00296F9D" w:rsidRPr="00F2629D" w:rsidRDefault="00296F9D" w:rsidP="00296F9D">
      <w:pPr>
        <w:pStyle w:val="SingleTxtG"/>
        <w:keepNext/>
        <w:rPr>
          <w:lang w:val="fr-FR"/>
        </w:rPr>
      </w:pPr>
      <w:r w:rsidRPr="00F2629D">
        <w:rPr>
          <w:i/>
          <w:iCs/>
          <w:lang w:val="fr-FR"/>
        </w:rPr>
        <w:t>Paragraphe 2.10.8</w:t>
      </w:r>
      <w:r w:rsidRPr="00F2629D">
        <w:rPr>
          <w:lang w:val="fr-FR"/>
        </w:rPr>
        <w:t>, lire</w:t>
      </w:r>
      <w:r>
        <w:rPr>
          <w:lang w:val="fr-FR"/>
        </w:rPr>
        <w:t> :</w:t>
      </w:r>
    </w:p>
    <w:p w14:paraId="52A340D6" w14:textId="41F9B1E5" w:rsidR="00296F9D" w:rsidRPr="00F2629D" w:rsidRDefault="00296F9D" w:rsidP="00CA0FB4">
      <w:pPr>
        <w:pStyle w:val="SingleTxtG"/>
        <w:ind w:left="2268" w:hanging="1134"/>
        <w:rPr>
          <w:lang w:val="fr-FR"/>
        </w:rPr>
      </w:pPr>
      <w:r w:rsidRPr="00F2629D">
        <w:rPr>
          <w:lang w:val="fr-FR"/>
        </w:rPr>
        <w:t>« 2.10.8</w:t>
      </w:r>
      <w:r w:rsidRPr="00F2629D">
        <w:rPr>
          <w:lang w:val="fr-FR"/>
        </w:rPr>
        <w:tab/>
        <w:t>“</w:t>
      </w:r>
      <w:r w:rsidRPr="00F2629D">
        <w:rPr>
          <w:i/>
          <w:iCs/>
          <w:lang w:val="fr-FR"/>
        </w:rPr>
        <w:t>Stabilité photométrique</w:t>
      </w:r>
      <w:r w:rsidRPr="00F2629D">
        <w:rPr>
          <w:lang w:val="fr-FR"/>
        </w:rPr>
        <w:t>”, le moment où la variation de l’intensité lumineuse au point d’essai indiqué est inférieure à 3</w:t>
      </w:r>
      <w:r w:rsidR="0035560C">
        <w:rPr>
          <w:lang w:val="fr-FR"/>
        </w:rPr>
        <w:t> %</w:t>
      </w:r>
      <w:r w:rsidRPr="00F2629D">
        <w:rPr>
          <w:lang w:val="fr-FR"/>
        </w:rPr>
        <w:t xml:space="preserve"> au cours de toute période de 15 minutes ou à 1</w:t>
      </w:r>
      <w:r w:rsidR="0035560C">
        <w:rPr>
          <w:lang w:val="fr-FR"/>
        </w:rPr>
        <w:t> %</w:t>
      </w:r>
      <w:r w:rsidRPr="00F2629D">
        <w:rPr>
          <w:lang w:val="fr-FR"/>
        </w:rPr>
        <w:t xml:space="preserve"> au cours de toute période de 5 minutes. ».</w:t>
      </w:r>
    </w:p>
    <w:p w14:paraId="5BFB4308" w14:textId="706D66F0" w:rsidR="00296F9D" w:rsidRPr="00F2629D" w:rsidRDefault="00296F9D" w:rsidP="00296F9D">
      <w:pPr>
        <w:pStyle w:val="SingleTxtG"/>
        <w:keepNext/>
        <w:rPr>
          <w:lang w:val="fr-FR"/>
        </w:rPr>
      </w:pPr>
      <w:r w:rsidRPr="00F2629D">
        <w:rPr>
          <w:i/>
          <w:iCs/>
          <w:lang w:val="fr-FR"/>
        </w:rPr>
        <w:t>Paragraphe 3.2.6.2</w:t>
      </w:r>
      <w:r w:rsidRPr="00F2629D">
        <w:rPr>
          <w:lang w:val="fr-FR"/>
        </w:rPr>
        <w:t>, lire</w:t>
      </w:r>
      <w:r>
        <w:rPr>
          <w:lang w:val="fr-FR"/>
        </w:rPr>
        <w:t> :</w:t>
      </w:r>
    </w:p>
    <w:p w14:paraId="51477C52" w14:textId="77777777" w:rsidR="00296F9D" w:rsidRPr="00F2629D" w:rsidRDefault="00296F9D" w:rsidP="00CA0FB4">
      <w:pPr>
        <w:pStyle w:val="SingleTxtG"/>
        <w:ind w:left="2268" w:hanging="1134"/>
        <w:rPr>
          <w:strike/>
          <w:lang w:val="fr-FR"/>
        </w:rPr>
      </w:pPr>
      <w:r w:rsidRPr="00F2629D">
        <w:rPr>
          <w:lang w:val="fr-FR"/>
        </w:rPr>
        <w:t>« 3.2.6.2</w:t>
      </w:r>
      <w:r w:rsidRPr="00F2629D">
        <w:rPr>
          <w:lang w:val="fr-FR"/>
        </w:rPr>
        <w:tab/>
        <w:t>Les signaux de commande AFS correspondants et leurs caractéristiques techniques, définies conformément à l’annexe 14 du Règlement ONU n</w:t>
      </w:r>
      <w:r w:rsidRPr="00F2629D">
        <w:rPr>
          <w:vertAlign w:val="superscript"/>
          <w:lang w:val="fr-FR"/>
        </w:rPr>
        <w:t>o</w:t>
      </w:r>
      <w:r w:rsidRPr="00F2629D">
        <w:rPr>
          <w:lang w:val="fr-FR"/>
        </w:rPr>
        <w:t> 149. ».</w:t>
      </w:r>
    </w:p>
    <w:p w14:paraId="3E793DA4" w14:textId="62D15585" w:rsidR="00296F9D" w:rsidRPr="00F2629D" w:rsidRDefault="00296F9D" w:rsidP="00296F9D">
      <w:pPr>
        <w:pStyle w:val="SingleTxtG"/>
        <w:keepNext/>
        <w:rPr>
          <w:bCs/>
          <w:lang w:val="fr-FR"/>
        </w:rPr>
      </w:pPr>
      <w:r w:rsidRPr="00F2629D">
        <w:rPr>
          <w:i/>
          <w:iCs/>
          <w:lang w:val="fr-FR"/>
        </w:rPr>
        <w:t>Ajouter le nouveau paragraphe 5.9.4</w:t>
      </w:r>
      <w:r w:rsidRPr="00F2629D">
        <w:rPr>
          <w:lang w:val="fr-FR"/>
        </w:rPr>
        <w:t>, libellé comme suit</w:t>
      </w:r>
      <w:r>
        <w:rPr>
          <w:lang w:val="fr-FR"/>
        </w:rPr>
        <w:t> :</w:t>
      </w:r>
    </w:p>
    <w:p w14:paraId="4C3E8CFA" w14:textId="77777777" w:rsidR="00296F9D" w:rsidRPr="00F2629D" w:rsidRDefault="00296F9D" w:rsidP="00CA0FB4">
      <w:pPr>
        <w:pStyle w:val="SingleTxtG"/>
        <w:ind w:left="2268" w:hanging="1134"/>
        <w:rPr>
          <w:rFonts w:eastAsia="MS PMincho"/>
          <w:lang w:val="fr-FR"/>
        </w:rPr>
      </w:pPr>
      <w:r w:rsidRPr="00F2629D">
        <w:rPr>
          <w:lang w:val="fr-FR"/>
        </w:rPr>
        <w:t>« 5.9.4</w:t>
      </w:r>
      <w:r w:rsidRPr="00F2629D">
        <w:rPr>
          <w:lang w:val="fr-FR"/>
        </w:rPr>
        <w:tab/>
        <w:t>Les feux émettant le signal de réponse peuvent clignoter, ou leur intensité lumineuse ou leur surface apparente peuvent varier.</w:t>
      </w:r>
    </w:p>
    <w:p w14:paraId="16B328D7" w14:textId="77777777" w:rsidR="00296F9D" w:rsidRPr="00F2629D" w:rsidRDefault="00296F9D" w:rsidP="0035560C">
      <w:pPr>
        <w:pStyle w:val="SingleTxtG"/>
        <w:ind w:left="2268"/>
        <w:rPr>
          <w:rFonts w:eastAsia="MS PMincho"/>
          <w:lang w:val="fr-FR"/>
        </w:rPr>
      </w:pPr>
      <w:r w:rsidRPr="00F2629D">
        <w:rPr>
          <w:lang w:val="fr-FR"/>
        </w:rPr>
        <w:t>Ces feux doivent fonctionner conformément aux conditions énoncées dans les spécifications générales ou dans le paragraphe 6.27 s’y rapportant. ».</w:t>
      </w:r>
    </w:p>
    <w:p w14:paraId="723287A9" w14:textId="66291741" w:rsidR="00296F9D" w:rsidRPr="00F2629D" w:rsidRDefault="00296F9D" w:rsidP="00296F9D">
      <w:pPr>
        <w:pStyle w:val="SingleTxtG"/>
        <w:keepNext/>
        <w:rPr>
          <w:lang w:val="fr-FR"/>
        </w:rPr>
      </w:pPr>
      <w:r w:rsidRPr="00F2629D">
        <w:rPr>
          <w:i/>
          <w:iCs/>
          <w:lang w:val="fr-FR"/>
        </w:rPr>
        <w:t>Paragraphe 5.10.4.3</w:t>
      </w:r>
      <w:r w:rsidRPr="00F2629D">
        <w:rPr>
          <w:lang w:val="fr-FR"/>
        </w:rPr>
        <w:t>, lire</w:t>
      </w:r>
      <w:r>
        <w:rPr>
          <w:lang w:val="fr-FR"/>
        </w:rPr>
        <w:t> :</w:t>
      </w:r>
    </w:p>
    <w:p w14:paraId="178B4A25" w14:textId="77777777" w:rsidR="00296F9D" w:rsidRPr="00F2629D" w:rsidRDefault="00296F9D" w:rsidP="00CA0FB4">
      <w:pPr>
        <w:pStyle w:val="SingleTxtG"/>
        <w:ind w:left="2268" w:hanging="1134"/>
        <w:rPr>
          <w:bCs/>
          <w:i/>
          <w:sz w:val="16"/>
          <w:szCs w:val="16"/>
          <w:lang w:val="fr-FR"/>
        </w:rPr>
      </w:pPr>
      <w:r w:rsidRPr="00F2629D">
        <w:rPr>
          <w:szCs w:val="18"/>
          <w:lang w:val="fr-FR"/>
        </w:rPr>
        <w:t>« 5.10.4.3</w:t>
      </w:r>
      <w:r w:rsidRPr="00F2629D">
        <w:rPr>
          <w:szCs w:val="18"/>
          <w:lang w:val="fr-FR"/>
        </w:rPr>
        <w:tab/>
        <w:t xml:space="preserve">En cas de doute, la prescription susmentionnée est considérée comme respectée si </w:t>
      </w:r>
      <w:r w:rsidRPr="00F4358F">
        <w:rPr>
          <w:lang w:val="fr-FR"/>
        </w:rPr>
        <w:t>l’intensité</w:t>
      </w:r>
      <w:r w:rsidRPr="00F2629D">
        <w:rPr>
          <w:szCs w:val="18"/>
          <w:lang w:val="fr-FR"/>
        </w:rPr>
        <w:t xml:space="preserve"> lumineuse de la lumière rouge émise vers l’avant et/ou de la lumière blanche émise vers l’arrière, telle que mesurée dans le cadre de l’homologation de type des feux, ne dépasse pas 0,25 cd par feu, compte tenu, s’il y a lieu, de l’influence de la carrosserie du véhicule. ».</w:t>
      </w:r>
    </w:p>
    <w:p w14:paraId="55A828B5" w14:textId="050BDA83" w:rsidR="00296F9D" w:rsidRPr="00F2629D" w:rsidRDefault="00296F9D" w:rsidP="00296F9D">
      <w:pPr>
        <w:pStyle w:val="SingleTxtG"/>
        <w:keepNext/>
        <w:rPr>
          <w:rFonts w:eastAsia="MS Mincho"/>
          <w:bCs/>
          <w:lang w:val="fr-FR"/>
        </w:rPr>
      </w:pPr>
      <w:r w:rsidRPr="00F2629D">
        <w:rPr>
          <w:i/>
          <w:iCs/>
          <w:lang w:val="fr-FR"/>
        </w:rPr>
        <w:lastRenderedPageBreak/>
        <w:t>Paragraphe 5.15</w:t>
      </w:r>
      <w:r w:rsidRPr="00F2629D">
        <w:rPr>
          <w:lang w:val="fr-FR"/>
        </w:rPr>
        <w:t>, lire</w:t>
      </w:r>
      <w:r>
        <w:rPr>
          <w:lang w:val="fr-FR"/>
        </w:rPr>
        <w:t> :</w:t>
      </w:r>
    </w:p>
    <w:p w14:paraId="2F2E9B98" w14:textId="1CBB1F39" w:rsidR="00296F9D" w:rsidRPr="00F2629D" w:rsidRDefault="00296F9D" w:rsidP="00CA0FB4">
      <w:pPr>
        <w:pStyle w:val="SingleTxtG"/>
        <w:keepNext/>
        <w:ind w:left="2268" w:hanging="1134"/>
        <w:rPr>
          <w:lang w:val="fr-FR"/>
        </w:rPr>
      </w:pPr>
      <w:r w:rsidRPr="00F2629D">
        <w:rPr>
          <w:lang w:val="fr-FR"/>
        </w:rPr>
        <w:t>« 5.15</w:t>
      </w:r>
      <w:r w:rsidRPr="00F2629D">
        <w:rPr>
          <w:lang w:val="fr-FR"/>
        </w:rPr>
        <w:tab/>
        <w:t>Les couleurs de la lumière émise par les feux</w:t>
      </w:r>
      <w:r w:rsidRPr="00E010A3">
        <w:rPr>
          <w:sz w:val="18"/>
          <w:szCs w:val="18"/>
          <w:vertAlign w:val="superscript"/>
          <w:lang w:val="fr-FR"/>
        </w:rPr>
        <w:t>10</w:t>
      </w:r>
      <w:r w:rsidRPr="00F2629D">
        <w:rPr>
          <w:lang w:val="fr-FR"/>
        </w:rPr>
        <w:t xml:space="preserve"> sont les suivantes</w:t>
      </w:r>
      <w:r>
        <w:rPr>
          <w:lang w:val="fr-FR"/>
        </w:rPr>
        <w:t> :</w:t>
      </w:r>
    </w:p>
    <w:p w14:paraId="2A13E904" w14:textId="77777777" w:rsidR="00296F9D" w:rsidRPr="00F2629D" w:rsidRDefault="00296F9D" w:rsidP="0035560C">
      <w:pPr>
        <w:pStyle w:val="SingleTxtG"/>
        <w:ind w:left="2268"/>
        <w:rPr>
          <w:lang w:val="fr-FR"/>
        </w:rPr>
      </w:pPr>
      <w:r w:rsidRPr="00F2629D">
        <w:rPr>
          <w:lang w:val="fr-FR"/>
        </w:rPr>
        <w:t>…</w:t>
      </w:r>
    </w:p>
    <w:tbl>
      <w:tblPr>
        <w:tblW w:w="6237" w:type="dxa"/>
        <w:tblInd w:w="2268" w:type="dxa"/>
        <w:tblLayout w:type="fixed"/>
        <w:tblLook w:val="01E0" w:firstRow="1" w:lastRow="1" w:firstColumn="1" w:lastColumn="1" w:noHBand="0" w:noVBand="0"/>
      </w:tblPr>
      <w:tblGrid>
        <w:gridCol w:w="2546"/>
        <w:gridCol w:w="3691"/>
      </w:tblGrid>
      <w:tr w:rsidR="00296F9D" w:rsidRPr="00F2629D" w14:paraId="167430D6" w14:textId="77777777" w:rsidTr="00CA0FB4">
        <w:trPr>
          <w:cantSplit/>
          <w:trHeight w:val="307"/>
        </w:trPr>
        <w:tc>
          <w:tcPr>
            <w:tcW w:w="3266" w:type="dxa"/>
            <w:tcMar>
              <w:left w:w="0" w:type="dxa"/>
              <w:right w:w="0" w:type="dxa"/>
            </w:tcMar>
            <w:hideMark/>
          </w:tcPr>
          <w:p w14:paraId="58DF0D47" w14:textId="7217F3DA" w:rsidR="00296F9D" w:rsidRPr="00F2629D" w:rsidRDefault="00296F9D" w:rsidP="00CA0FB4">
            <w:pPr>
              <w:spacing w:after="120"/>
              <w:rPr>
                <w:bCs/>
                <w:lang w:val="fr-FR"/>
              </w:rPr>
            </w:pPr>
            <w:bookmarkStart w:id="0" w:name="_Hlk133430192"/>
            <w:r w:rsidRPr="00F2629D">
              <w:rPr>
                <w:lang w:val="fr-FR"/>
              </w:rPr>
              <w:t>Système d’éclairage avant adaptatif (AFS)</w:t>
            </w:r>
            <w:r>
              <w:rPr>
                <w:lang w:val="fr-FR"/>
              </w:rPr>
              <w:t> :</w:t>
            </w:r>
          </w:p>
        </w:tc>
        <w:tc>
          <w:tcPr>
            <w:tcW w:w="4737" w:type="dxa"/>
            <w:tcMar>
              <w:left w:w="0" w:type="dxa"/>
              <w:right w:w="0" w:type="dxa"/>
            </w:tcMar>
            <w:hideMark/>
          </w:tcPr>
          <w:p w14:paraId="000D39EF" w14:textId="77777777" w:rsidR="00296F9D" w:rsidRPr="00F2629D" w:rsidRDefault="00296F9D" w:rsidP="00CA0FB4">
            <w:pPr>
              <w:spacing w:after="120"/>
              <w:rPr>
                <w:bCs/>
                <w:lang w:val="fr-FR"/>
              </w:rPr>
            </w:pPr>
            <w:r w:rsidRPr="00F2629D">
              <w:rPr>
                <w:lang w:val="fr-FR"/>
              </w:rPr>
              <w:t>Blanc</w:t>
            </w:r>
          </w:p>
        </w:tc>
        <w:bookmarkEnd w:id="0"/>
      </w:tr>
      <w:tr w:rsidR="00296F9D" w:rsidRPr="00F2629D" w14:paraId="07C1DE39" w14:textId="77777777" w:rsidTr="00CA0FB4">
        <w:trPr>
          <w:cantSplit/>
          <w:trHeight w:val="58"/>
        </w:trPr>
        <w:tc>
          <w:tcPr>
            <w:tcW w:w="3266" w:type="dxa"/>
            <w:tcMar>
              <w:left w:w="0" w:type="dxa"/>
              <w:right w:w="0" w:type="dxa"/>
            </w:tcMar>
          </w:tcPr>
          <w:p w14:paraId="59C1B357" w14:textId="106C63BD" w:rsidR="00296F9D" w:rsidRPr="00F2629D" w:rsidRDefault="00296F9D" w:rsidP="00CA0FB4">
            <w:pPr>
              <w:spacing w:after="120"/>
              <w:rPr>
                <w:rFonts w:asciiTheme="majorBidi" w:eastAsia="MS PMincho" w:hAnsiTheme="majorBidi" w:cstheme="majorBidi"/>
                <w:lang w:val="fr-FR"/>
              </w:rPr>
            </w:pPr>
            <w:r w:rsidRPr="00F2629D">
              <w:rPr>
                <w:lang w:val="fr-FR"/>
              </w:rPr>
              <w:t>Feu de courtoisie extérieur</w:t>
            </w:r>
            <w:r>
              <w:rPr>
                <w:lang w:val="fr-FR"/>
              </w:rPr>
              <w:t> :</w:t>
            </w:r>
          </w:p>
        </w:tc>
        <w:tc>
          <w:tcPr>
            <w:tcW w:w="4737" w:type="dxa"/>
            <w:tcMar>
              <w:left w:w="0" w:type="dxa"/>
              <w:right w:w="0" w:type="dxa"/>
            </w:tcMar>
            <w:hideMark/>
          </w:tcPr>
          <w:p w14:paraId="7709FB9F" w14:textId="77777777" w:rsidR="00296F9D" w:rsidRPr="00F2629D" w:rsidRDefault="00296F9D" w:rsidP="00CA0FB4">
            <w:pPr>
              <w:spacing w:after="120"/>
              <w:rPr>
                <w:rFonts w:asciiTheme="majorBidi" w:eastAsia="MS PMincho" w:hAnsiTheme="majorBidi" w:cstheme="majorBidi"/>
                <w:lang w:val="fr-FR"/>
              </w:rPr>
            </w:pPr>
            <w:r w:rsidRPr="00F2629D">
              <w:rPr>
                <w:lang w:val="fr-FR"/>
              </w:rPr>
              <w:t>Blanc</w:t>
            </w:r>
          </w:p>
          <w:p w14:paraId="5506FA6C" w14:textId="77777777" w:rsidR="00296F9D" w:rsidRPr="00F2629D" w:rsidRDefault="00296F9D" w:rsidP="00CA0FB4">
            <w:pPr>
              <w:spacing w:after="120"/>
              <w:jc w:val="both"/>
              <w:rPr>
                <w:rFonts w:eastAsia="MS PMincho"/>
                <w:lang w:val="fr-FR"/>
              </w:rPr>
            </w:pPr>
            <w:r w:rsidRPr="00F2629D">
              <w:rPr>
                <w:lang w:val="fr-FR"/>
              </w:rPr>
              <w:t xml:space="preserve">En outre, conforme aux spécifications applicables au dispositif d’éclairage ou de signalisation lumineuse utilisé pour le feu de courtoisie extérieur. </w:t>
            </w:r>
          </w:p>
        </w:tc>
      </w:tr>
      <w:tr w:rsidR="00296F9D" w:rsidRPr="00F2629D" w14:paraId="6F4B837C" w14:textId="77777777" w:rsidTr="00CA0FB4">
        <w:trPr>
          <w:cantSplit/>
          <w:trHeight w:val="58"/>
        </w:trPr>
        <w:tc>
          <w:tcPr>
            <w:tcW w:w="3266" w:type="dxa"/>
            <w:tcMar>
              <w:left w:w="0" w:type="dxa"/>
              <w:right w:w="0" w:type="dxa"/>
            </w:tcMar>
            <w:hideMark/>
          </w:tcPr>
          <w:p w14:paraId="3376F425" w14:textId="432095B1" w:rsidR="00296F9D" w:rsidRPr="00F2629D" w:rsidRDefault="00296F9D" w:rsidP="00CA0FB4">
            <w:pPr>
              <w:spacing w:after="120"/>
              <w:rPr>
                <w:rFonts w:asciiTheme="majorBidi" w:eastAsia="MS PMincho" w:hAnsiTheme="majorBidi" w:cstheme="majorBidi"/>
                <w:lang w:val="fr-FR"/>
              </w:rPr>
            </w:pPr>
            <w:r w:rsidRPr="00F2629D">
              <w:rPr>
                <w:lang w:val="fr-FR"/>
              </w:rPr>
              <w:t>Feu de manœuvre</w:t>
            </w:r>
            <w:r>
              <w:rPr>
                <w:lang w:val="fr-FR"/>
              </w:rPr>
              <w:t> :</w:t>
            </w:r>
          </w:p>
        </w:tc>
        <w:tc>
          <w:tcPr>
            <w:tcW w:w="4737" w:type="dxa"/>
            <w:tcMar>
              <w:left w:w="0" w:type="dxa"/>
              <w:right w:w="0" w:type="dxa"/>
            </w:tcMar>
            <w:hideMark/>
          </w:tcPr>
          <w:p w14:paraId="7580F532" w14:textId="77777777" w:rsidR="00296F9D" w:rsidRPr="00F2629D" w:rsidRDefault="00296F9D" w:rsidP="00CA0FB4">
            <w:pPr>
              <w:spacing w:after="120"/>
              <w:rPr>
                <w:rFonts w:asciiTheme="majorBidi" w:eastAsia="MS PMincho" w:hAnsiTheme="majorBidi" w:cstheme="majorBidi"/>
                <w:lang w:val="fr-FR"/>
              </w:rPr>
            </w:pPr>
            <w:r w:rsidRPr="00F2629D">
              <w:rPr>
                <w:lang w:val="fr-FR"/>
              </w:rPr>
              <w:t>Blanc</w:t>
            </w:r>
          </w:p>
        </w:tc>
      </w:tr>
      <w:tr w:rsidR="00296F9D" w:rsidRPr="00F2629D" w14:paraId="7297173D" w14:textId="77777777" w:rsidTr="00CA0FB4">
        <w:trPr>
          <w:cantSplit/>
          <w:trHeight w:val="58"/>
        </w:trPr>
        <w:tc>
          <w:tcPr>
            <w:tcW w:w="3266" w:type="dxa"/>
            <w:tcMar>
              <w:left w:w="0" w:type="dxa"/>
              <w:right w:w="0" w:type="dxa"/>
            </w:tcMar>
            <w:hideMark/>
          </w:tcPr>
          <w:p w14:paraId="3F0023DC" w14:textId="3F63E62C" w:rsidR="00296F9D" w:rsidRPr="00F2629D" w:rsidRDefault="00296F9D" w:rsidP="00CA0FB4">
            <w:pPr>
              <w:spacing w:after="120"/>
              <w:rPr>
                <w:rFonts w:eastAsia="MS Mincho"/>
                <w:iCs/>
                <w:lang w:val="fr-FR"/>
              </w:rPr>
            </w:pPr>
            <w:r w:rsidRPr="00F2629D">
              <w:rPr>
                <w:lang w:val="fr-FR"/>
              </w:rPr>
              <w:t>Signal de réponse</w:t>
            </w:r>
            <w:r>
              <w:rPr>
                <w:lang w:val="fr-FR"/>
              </w:rPr>
              <w:t> :</w:t>
            </w:r>
          </w:p>
        </w:tc>
        <w:tc>
          <w:tcPr>
            <w:tcW w:w="4737" w:type="dxa"/>
            <w:tcMar>
              <w:left w:w="0" w:type="dxa"/>
              <w:right w:w="0" w:type="dxa"/>
            </w:tcMar>
            <w:hideMark/>
          </w:tcPr>
          <w:p w14:paraId="036C737C" w14:textId="77777777" w:rsidR="00296F9D" w:rsidRPr="00F2629D" w:rsidRDefault="00296F9D" w:rsidP="00CA0FB4">
            <w:pPr>
              <w:spacing w:after="120"/>
              <w:jc w:val="both"/>
              <w:rPr>
                <w:lang w:val="fr-FR"/>
              </w:rPr>
            </w:pPr>
            <w:r w:rsidRPr="00F2629D">
              <w:rPr>
                <w:lang w:val="fr-FR"/>
              </w:rPr>
              <w:t>Conforme aux spécifications applicables au dispositif d’éclairage ou de signalisation lumineuse utilisé pour le signal de réponse. ».</w:t>
            </w:r>
          </w:p>
        </w:tc>
      </w:tr>
    </w:tbl>
    <w:p w14:paraId="29636C08" w14:textId="7293C697" w:rsidR="00296F9D" w:rsidRPr="00F2629D" w:rsidRDefault="00296F9D" w:rsidP="00296F9D">
      <w:pPr>
        <w:pStyle w:val="SingleTxtG"/>
        <w:keepNext/>
        <w:rPr>
          <w:lang w:val="fr-FR"/>
        </w:rPr>
      </w:pPr>
      <w:r w:rsidRPr="00F2629D">
        <w:rPr>
          <w:i/>
          <w:iCs/>
          <w:lang w:val="fr-FR"/>
        </w:rPr>
        <w:t>Paragraphe 6.1</w:t>
      </w:r>
      <w:r w:rsidRPr="00F2629D">
        <w:rPr>
          <w:lang w:val="fr-FR"/>
        </w:rPr>
        <w:t>, lire</w:t>
      </w:r>
      <w:r>
        <w:rPr>
          <w:lang w:val="fr-FR"/>
        </w:rPr>
        <w:t> :</w:t>
      </w:r>
    </w:p>
    <w:p w14:paraId="663445E5" w14:textId="77777777" w:rsidR="00296F9D" w:rsidRPr="00F2629D" w:rsidRDefault="00296F9D" w:rsidP="00CA0FB4">
      <w:pPr>
        <w:pStyle w:val="SingleTxtG"/>
        <w:ind w:left="2268" w:hanging="1134"/>
        <w:rPr>
          <w:lang w:val="fr-FR"/>
        </w:rPr>
      </w:pPr>
      <w:r w:rsidRPr="00F2629D">
        <w:rPr>
          <w:lang w:val="fr-FR"/>
        </w:rPr>
        <w:t>« 6.1</w:t>
      </w:r>
      <w:r w:rsidRPr="00F2629D">
        <w:rPr>
          <w:lang w:val="fr-FR"/>
        </w:rPr>
        <w:tab/>
        <w:t>Feu de route ».</w:t>
      </w:r>
    </w:p>
    <w:p w14:paraId="7E6A5DF8" w14:textId="0A154475" w:rsidR="00296F9D" w:rsidRPr="00F2629D" w:rsidRDefault="00296F9D" w:rsidP="00296F9D">
      <w:pPr>
        <w:pStyle w:val="SingleTxtG"/>
        <w:keepNext/>
        <w:rPr>
          <w:lang w:val="fr-FR"/>
        </w:rPr>
      </w:pPr>
      <w:r w:rsidRPr="00F2629D">
        <w:rPr>
          <w:i/>
          <w:iCs/>
          <w:lang w:val="fr-FR"/>
        </w:rPr>
        <w:t>Paragraphe 6.1.2</w:t>
      </w:r>
      <w:r w:rsidRPr="00F2629D">
        <w:rPr>
          <w:lang w:val="fr-FR"/>
        </w:rPr>
        <w:t>, lire</w:t>
      </w:r>
      <w:r>
        <w:rPr>
          <w:lang w:val="fr-FR"/>
        </w:rPr>
        <w:t> :</w:t>
      </w:r>
    </w:p>
    <w:p w14:paraId="51A3F5FE" w14:textId="77777777" w:rsidR="00296F9D" w:rsidRPr="00F2629D" w:rsidRDefault="00296F9D" w:rsidP="00CA0FB4">
      <w:pPr>
        <w:pStyle w:val="SingleTxtG"/>
        <w:keepNext/>
        <w:ind w:left="2268" w:hanging="1134"/>
        <w:rPr>
          <w:lang w:val="fr-FR"/>
        </w:rPr>
      </w:pPr>
      <w:r w:rsidRPr="00F2629D">
        <w:rPr>
          <w:lang w:val="fr-FR"/>
        </w:rPr>
        <w:t>« 6.1.2</w:t>
      </w:r>
      <w:r w:rsidRPr="00F2629D">
        <w:rPr>
          <w:lang w:val="fr-FR"/>
        </w:rPr>
        <w:tab/>
        <w:t>Nombre</w:t>
      </w:r>
    </w:p>
    <w:p w14:paraId="1A20F7B4" w14:textId="3816F383" w:rsidR="00296F9D" w:rsidRPr="00F2629D" w:rsidRDefault="00296F9D" w:rsidP="0035560C">
      <w:pPr>
        <w:pStyle w:val="SingleTxtG"/>
        <w:ind w:left="2268"/>
        <w:rPr>
          <w:lang w:val="fr-FR"/>
        </w:rPr>
      </w:pPr>
      <w:r w:rsidRPr="00F2629D">
        <w:rPr>
          <w:lang w:val="fr-FR"/>
        </w:rPr>
        <w:t>Deux, homologués conformément à la classe B de la série 01 ou d’une série ultérieure d’amendements au Règlement ONU n</w:t>
      </w:r>
      <w:r w:rsidRPr="00F2629D">
        <w:rPr>
          <w:vertAlign w:val="superscript"/>
          <w:lang w:val="fr-FR"/>
        </w:rPr>
        <w:t>o</w:t>
      </w:r>
      <w:r w:rsidR="00CA0FB4">
        <w:rPr>
          <w:lang w:val="fr-FR"/>
        </w:rPr>
        <w:t> </w:t>
      </w:r>
      <w:r w:rsidRPr="00F2629D">
        <w:rPr>
          <w:lang w:val="fr-FR"/>
        </w:rPr>
        <w:t>149.</w:t>
      </w:r>
    </w:p>
    <w:p w14:paraId="7DCB737A" w14:textId="0E13E49B" w:rsidR="00296F9D" w:rsidRPr="00F2629D" w:rsidRDefault="00296F9D" w:rsidP="0035560C">
      <w:pPr>
        <w:pStyle w:val="SingleTxtG"/>
        <w:ind w:left="2268"/>
        <w:rPr>
          <w:lang w:val="fr-FR"/>
        </w:rPr>
      </w:pPr>
      <w:r w:rsidRPr="00F2629D">
        <w:rPr>
          <w:lang w:val="fr-FR"/>
        </w:rPr>
        <w:t>Le véhicule peut éventuellement être équipé d’une ou de deux paire(s) supplémentaire(s) de feux de route, qui doivent être homologués conformément à la classe A ou B ou RA de la série originale ou d’une série ultérieure d’amendements au Règlement ONU n</w:t>
      </w:r>
      <w:r w:rsidRPr="00F2629D">
        <w:rPr>
          <w:vertAlign w:val="superscript"/>
          <w:lang w:val="fr-FR"/>
        </w:rPr>
        <w:t>o</w:t>
      </w:r>
      <w:r w:rsidR="00CA0FB4">
        <w:rPr>
          <w:lang w:val="fr-FR"/>
        </w:rPr>
        <w:t> </w:t>
      </w:r>
      <w:r w:rsidRPr="00F2629D">
        <w:rPr>
          <w:lang w:val="fr-FR"/>
        </w:rPr>
        <w:t>149. ».</w:t>
      </w:r>
    </w:p>
    <w:p w14:paraId="011A0D47" w14:textId="4E0C8861" w:rsidR="00296F9D" w:rsidRPr="00F2629D" w:rsidRDefault="00296F9D" w:rsidP="00296F9D">
      <w:pPr>
        <w:pStyle w:val="SingleTxtG"/>
        <w:keepNext/>
        <w:rPr>
          <w:lang w:val="fr-FR"/>
        </w:rPr>
      </w:pPr>
      <w:r w:rsidRPr="00F2629D">
        <w:rPr>
          <w:i/>
          <w:iCs/>
          <w:lang w:val="fr-FR"/>
        </w:rPr>
        <w:t>Paragraphe 6.2</w:t>
      </w:r>
      <w:r w:rsidRPr="00F2629D">
        <w:rPr>
          <w:lang w:val="fr-FR"/>
        </w:rPr>
        <w:t>, lire</w:t>
      </w:r>
      <w:r>
        <w:rPr>
          <w:lang w:val="fr-FR"/>
        </w:rPr>
        <w:t> :</w:t>
      </w:r>
    </w:p>
    <w:p w14:paraId="5F7C1D4E" w14:textId="77777777" w:rsidR="00296F9D" w:rsidRPr="00F2629D" w:rsidRDefault="00296F9D" w:rsidP="00CA0FB4">
      <w:pPr>
        <w:pStyle w:val="SingleTxtG"/>
        <w:ind w:left="2268" w:hanging="1134"/>
        <w:rPr>
          <w:lang w:val="fr-FR"/>
        </w:rPr>
      </w:pPr>
      <w:r w:rsidRPr="00F2629D">
        <w:rPr>
          <w:lang w:val="fr-FR"/>
        </w:rPr>
        <w:t>« 6.2</w:t>
      </w:r>
      <w:r w:rsidRPr="00F2629D">
        <w:rPr>
          <w:lang w:val="fr-FR"/>
        </w:rPr>
        <w:tab/>
        <w:t>Feu de croisement ».</w:t>
      </w:r>
    </w:p>
    <w:p w14:paraId="377D223D" w14:textId="03F69B52" w:rsidR="00296F9D" w:rsidRPr="00F2629D" w:rsidRDefault="00296F9D" w:rsidP="00296F9D">
      <w:pPr>
        <w:pStyle w:val="SingleTxtG"/>
        <w:keepNext/>
        <w:rPr>
          <w:lang w:val="fr-FR"/>
        </w:rPr>
      </w:pPr>
      <w:r w:rsidRPr="00F2629D">
        <w:rPr>
          <w:i/>
          <w:iCs/>
          <w:lang w:val="fr-FR"/>
        </w:rPr>
        <w:t>Paragraphe 6.2.2</w:t>
      </w:r>
      <w:r w:rsidRPr="00F2629D">
        <w:rPr>
          <w:lang w:val="fr-FR"/>
        </w:rPr>
        <w:t>, lire</w:t>
      </w:r>
      <w:r>
        <w:rPr>
          <w:lang w:val="fr-FR"/>
        </w:rPr>
        <w:t> :</w:t>
      </w:r>
    </w:p>
    <w:p w14:paraId="5697487D" w14:textId="77777777" w:rsidR="00296F9D" w:rsidRPr="00F2629D" w:rsidRDefault="00296F9D" w:rsidP="00CA0FB4">
      <w:pPr>
        <w:pStyle w:val="SingleTxtG"/>
        <w:keepNext/>
        <w:ind w:left="2268" w:right="992" w:hanging="1134"/>
        <w:rPr>
          <w:lang w:val="fr-FR"/>
        </w:rPr>
      </w:pPr>
      <w:r w:rsidRPr="00F2629D">
        <w:rPr>
          <w:lang w:val="fr-FR"/>
        </w:rPr>
        <w:t>« 6.2.2</w:t>
      </w:r>
      <w:r w:rsidRPr="00F2629D">
        <w:rPr>
          <w:lang w:val="fr-FR"/>
        </w:rPr>
        <w:tab/>
        <w:t>Nombre</w:t>
      </w:r>
    </w:p>
    <w:p w14:paraId="04C4C472" w14:textId="001A6A64" w:rsidR="00296F9D" w:rsidRPr="00F2629D" w:rsidRDefault="00296F9D" w:rsidP="0035560C">
      <w:pPr>
        <w:pStyle w:val="SingleTxtG"/>
        <w:ind w:left="2268"/>
        <w:rPr>
          <w:lang w:val="fr-FR"/>
        </w:rPr>
      </w:pPr>
      <w:r w:rsidRPr="00F2629D">
        <w:rPr>
          <w:lang w:val="fr-FR"/>
        </w:rPr>
        <w:t>Deux, homologués conformément à la classe C de la série 01 ou d’une série ultérieure d’amendements au Règlement ONU n</w:t>
      </w:r>
      <w:r w:rsidRPr="00F2629D">
        <w:rPr>
          <w:vertAlign w:val="superscript"/>
          <w:lang w:val="fr-FR"/>
        </w:rPr>
        <w:t>o</w:t>
      </w:r>
      <w:r w:rsidR="00CA0FB4">
        <w:rPr>
          <w:lang w:val="fr-FR"/>
        </w:rPr>
        <w:t> </w:t>
      </w:r>
      <w:r w:rsidRPr="00F2629D">
        <w:rPr>
          <w:lang w:val="fr-FR"/>
        </w:rPr>
        <w:t>149. ».</w:t>
      </w:r>
    </w:p>
    <w:p w14:paraId="0BB10583" w14:textId="7D514125" w:rsidR="00296F9D" w:rsidRPr="00F2629D" w:rsidRDefault="00296F9D" w:rsidP="00296F9D">
      <w:pPr>
        <w:pStyle w:val="SingleTxtG"/>
        <w:keepNext/>
        <w:rPr>
          <w:lang w:val="fr-FR"/>
        </w:rPr>
      </w:pPr>
      <w:r w:rsidRPr="00F2629D">
        <w:rPr>
          <w:i/>
          <w:iCs/>
          <w:lang w:val="fr-FR"/>
        </w:rPr>
        <w:t>Paragraphe 6.2.6.1</w:t>
      </w:r>
      <w:r w:rsidRPr="00F2629D">
        <w:rPr>
          <w:lang w:val="fr-FR"/>
        </w:rPr>
        <w:t>, lire</w:t>
      </w:r>
      <w:r>
        <w:rPr>
          <w:lang w:val="fr-FR"/>
        </w:rPr>
        <w:t> :</w:t>
      </w:r>
    </w:p>
    <w:p w14:paraId="212D19A1" w14:textId="77777777" w:rsidR="00296F9D" w:rsidRPr="00F2629D" w:rsidRDefault="00296F9D" w:rsidP="00CA0FB4">
      <w:pPr>
        <w:pStyle w:val="SingleTxtG"/>
        <w:keepNext/>
        <w:ind w:left="2268" w:hanging="1134"/>
        <w:rPr>
          <w:lang w:val="fr-FR"/>
        </w:rPr>
      </w:pPr>
      <w:r w:rsidRPr="00F2629D">
        <w:rPr>
          <w:lang w:val="fr-FR"/>
        </w:rPr>
        <w:t>« 6.2.6.1</w:t>
      </w:r>
      <w:r w:rsidRPr="00F2629D">
        <w:rPr>
          <w:lang w:val="fr-FR"/>
        </w:rPr>
        <w:tab/>
        <w:t>Inclinaison verticale</w:t>
      </w:r>
    </w:p>
    <w:p w14:paraId="5A3D0150" w14:textId="77777777" w:rsidR="00296F9D" w:rsidRPr="00F2629D" w:rsidRDefault="00296F9D" w:rsidP="00CA0FB4">
      <w:pPr>
        <w:pStyle w:val="SingleTxtG"/>
        <w:keepNext/>
        <w:ind w:left="2268" w:hanging="1134"/>
        <w:rPr>
          <w:lang w:val="fr-FR"/>
        </w:rPr>
      </w:pPr>
      <w:r w:rsidRPr="00F2629D">
        <w:rPr>
          <w:lang w:val="fr-FR"/>
        </w:rPr>
        <w:t>6.2.6.1.1</w:t>
      </w:r>
      <w:r w:rsidRPr="00F2629D">
        <w:rPr>
          <w:lang w:val="fr-FR"/>
        </w:rPr>
        <w:tab/>
      </w:r>
      <w:r w:rsidRPr="00F2629D">
        <w:rPr>
          <w:lang w:val="fr-FR"/>
        </w:rPr>
        <w:tab/>
        <w:t>Inclinaison initiale vers le bas</w:t>
      </w:r>
    </w:p>
    <w:p w14:paraId="7168535E" w14:textId="10A3A6D5" w:rsidR="00296F9D" w:rsidRPr="00F2629D" w:rsidRDefault="00296F9D" w:rsidP="0035560C">
      <w:pPr>
        <w:pStyle w:val="SingleTxtG"/>
        <w:ind w:left="2268"/>
        <w:rPr>
          <w:lang w:val="fr-FR"/>
        </w:rPr>
      </w:pPr>
      <w:r w:rsidRPr="00F2629D">
        <w:rPr>
          <w:lang w:val="fr-FR"/>
        </w:rPr>
        <w:t>La valeur initiale de l’inclinaison vers le bas de la ligne de coupure du faisceau de croisement doit être</w:t>
      </w:r>
      <w:r>
        <w:t> :</w:t>
      </w:r>
    </w:p>
    <w:p w14:paraId="4A534046" w14:textId="4115FD0B" w:rsidR="00296F9D" w:rsidRPr="00F2629D" w:rsidRDefault="00296F9D" w:rsidP="00CA0FB4">
      <w:pPr>
        <w:pStyle w:val="Bullet2G"/>
        <w:ind w:left="2438"/>
        <w:rPr>
          <w:lang w:val="fr-FR"/>
        </w:rPr>
      </w:pPr>
      <w:r w:rsidRPr="00F2629D">
        <w:rPr>
          <w:lang w:val="fr-FR"/>
        </w:rPr>
        <w:t>Définie pour le véhicule à vide avec une personne à la place du conducteur</w:t>
      </w:r>
      <w:r>
        <w:t> ;</w:t>
      </w:r>
    </w:p>
    <w:p w14:paraId="76D59278" w14:textId="301D7323" w:rsidR="00296F9D" w:rsidRPr="00F2629D" w:rsidRDefault="00296F9D" w:rsidP="00CA0FB4">
      <w:pPr>
        <w:pStyle w:val="Bullet2G"/>
        <w:ind w:left="2438"/>
        <w:rPr>
          <w:lang w:val="fr-FR"/>
        </w:rPr>
      </w:pPr>
      <w:r w:rsidRPr="00F2629D">
        <w:rPr>
          <w:lang w:val="fr-FR"/>
        </w:rPr>
        <w:t>Spécifiée à 0,1</w:t>
      </w:r>
      <w:r w:rsidR="0035560C">
        <w:rPr>
          <w:lang w:val="fr-FR"/>
        </w:rPr>
        <w:t> %</w:t>
      </w:r>
      <w:r w:rsidRPr="00F2629D">
        <w:rPr>
          <w:lang w:val="fr-FR"/>
        </w:rPr>
        <w:t xml:space="preserve"> près par le constructeur</w:t>
      </w:r>
      <w:r>
        <w:t> ;</w:t>
      </w:r>
    </w:p>
    <w:p w14:paraId="7A610C03" w14:textId="77777777" w:rsidR="00296F9D" w:rsidRPr="00F2629D" w:rsidRDefault="00296F9D" w:rsidP="00CA0FB4">
      <w:pPr>
        <w:pStyle w:val="Bullet2G"/>
        <w:ind w:left="2438"/>
        <w:rPr>
          <w:lang w:val="fr-FR"/>
        </w:rPr>
      </w:pPr>
      <w:r w:rsidRPr="00F2629D">
        <w:rPr>
          <w:lang w:val="fr-FR"/>
        </w:rPr>
        <w:t>Située dans les limites prescrites au paragraphe 6.2.6.1.2.</w:t>
      </w:r>
    </w:p>
    <w:p w14:paraId="7816CA32" w14:textId="77777777" w:rsidR="00296F9D" w:rsidRPr="00F2629D" w:rsidRDefault="00296F9D" w:rsidP="0035560C">
      <w:pPr>
        <w:pStyle w:val="SingleTxtG"/>
        <w:ind w:left="2268"/>
        <w:rPr>
          <w:lang w:val="fr-FR"/>
        </w:rPr>
      </w:pPr>
      <w:r w:rsidRPr="00F2629D">
        <w:rPr>
          <w:lang w:val="fr-FR"/>
        </w:rPr>
        <w:t>La valeur initiale de l’inclinaison vers le bas spécifiée doit être indiquée d’une manière lisible et indélébile sur chaque véhicule, à proximité soit des projecteurs soit de la plaque du constructeur, au moyen du symbole figurant à l’annexe 7.</w:t>
      </w:r>
    </w:p>
    <w:p w14:paraId="1D57CACA" w14:textId="77777777" w:rsidR="00296F9D" w:rsidRPr="00F2629D" w:rsidRDefault="00296F9D" w:rsidP="0035560C">
      <w:pPr>
        <w:pStyle w:val="SingleTxtG"/>
        <w:ind w:left="2268"/>
        <w:rPr>
          <w:lang w:val="fr-FR"/>
        </w:rPr>
      </w:pPr>
      <w:r w:rsidRPr="00F2629D">
        <w:rPr>
          <w:lang w:val="fr-FR"/>
        </w:rPr>
        <w:t>Des valeurs initiales différentes de l’inclinaison vers le bas peuvent être définies, dans les limites prévues au paragraphe 6.2.6.1.2, pour différentes variantes ou versions d’un même type de véhicule, sous réserve que seule la valeur pertinente soit indiquée sur chaque variante ou version.</w:t>
      </w:r>
    </w:p>
    <w:p w14:paraId="4C0B6D24" w14:textId="77777777" w:rsidR="00296F9D" w:rsidRPr="00F2629D" w:rsidRDefault="00296F9D" w:rsidP="00CA0FB4">
      <w:pPr>
        <w:pStyle w:val="SingleTxtG"/>
        <w:keepNext/>
        <w:ind w:left="2268" w:hanging="1134"/>
        <w:rPr>
          <w:lang w:val="fr-FR"/>
        </w:rPr>
      </w:pPr>
      <w:r w:rsidRPr="00F2629D">
        <w:rPr>
          <w:lang w:val="fr-FR"/>
        </w:rPr>
        <w:lastRenderedPageBreak/>
        <w:t>6.2.6.1.2</w:t>
      </w:r>
      <w:r w:rsidRPr="00F2629D">
        <w:rPr>
          <w:lang w:val="fr-FR"/>
        </w:rPr>
        <w:tab/>
        <w:t>Limites de l’inclinaison verticale de la ligne de coupure</w:t>
      </w:r>
    </w:p>
    <w:p w14:paraId="6D66DC09" w14:textId="77777777" w:rsidR="00296F9D" w:rsidRPr="00F2629D" w:rsidRDefault="00296F9D" w:rsidP="0035560C">
      <w:pPr>
        <w:pStyle w:val="SingleTxtG"/>
        <w:ind w:left="2268"/>
        <w:rPr>
          <w:bCs/>
          <w:lang w:val="fr-FR"/>
        </w:rPr>
      </w:pPr>
      <w:r w:rsidRPr="00F2629D">
        <w:rPr>
          <w:lang w:val="fr-FR"/>
        </w:rPr>
        <w:t>Selon la hauteur en mètres (h) du bord inférieur de la surface apparente dans la direction de l’axe de référence du faisceau de croisement, mesurée sur le véhicule à vide, l’inclinaison verticale de la ligne de coupure du faisceau de croisement, à partir de la valeur initiale de l’inclinaison vers le bas définie par le constructeur conformément au paragraphe 6.2.6.1.1 ci-dessus, doit se situer dans les limites ci-après dans toutes les conditions statiques de charge définies à l’annexe 5.</w:t>
      </w:r>
    </w:p>
    <w:tbl>
      <w:tblPr>
        <w:tblW w:w="6237" w:type="dxa"/>
        <w:tblInd w:w="2268" w:type="dxa"/>
        <w:tblLayout w:type="fixed"/>
        <w:tblCellMar>
          <w:left w:w="0" w:type="dxa"/>
          <w:right w:w="0" w:type="dxa"/>
        </w:tblCellMar>
        <w:tblLook w:val="04A0" w:firstRow="1" w:lastRow="0" w:firstColumn="1" w:lastColumn="0" w:noHBand="0" w:noVBand="1"/>
      </w:tblPr>
      <w:tblGrid>
        <w:gridCol w:w="1939"/>
        <w:gridCol w:w="2149"/>
        <w:gridCol w:w="2149"/>
      </w:tblGrid>
      <w:tr w:rsidR="00CA0FB4" w:rsidRPr="00CA0FB4" w14:paraId="537A4510" w14:textId="77777777" w:rsidTr="00EC52EE">
        <w:trPr>
          <w:tblHeader/>
        </w:trPr>
        <w:tc>
          <w:tcPr>
            <w:tcW w:w="193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E143CEF" w14:textId="77777777" w:rsidR="00296F9D" w:rsidRPr="00CA0FB4" w:rsidRDefault="00296F9D" w:rsidP="00CA0FB4">
            <w:pPr>
              <w:suppressAutoHyphens w:val="0"/>
              <w:spacing w:before="80" w:after="80" w:line="200" w:lineRule="exact"/>
              <w:jc w:val="center"/>
              <w:rPr>
                <w:bCs/>
                <w:i/>
                <w:sz w:val="16"/>
                <w:lang w:val="fr-FR"/>
              </w:rPr>
            </w:pPr>
            <w:r w:rsidRPr="00CA0FB4">
              <w:rPr>
                <w:i/>
                <w:sz w:val="16"/>
                <w:lang w:val="fr-FR"/>
              </w:rPr>
              <w:t>Hauteur de montage h [m]</w:t>
            </w:r>
          </w:p>
        </w:tc>
        <w:tc>
          <w:tcPr>
            <w:tcW w:w="214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01F82638" w14:textId="21AD7144" w:rsidR="00296F9D" w:rsidRPr="00CA0FB4" w:rsidRDefault="00296F9D" w:rsidP="00CA0FB4">
            <w:pPr>
              <w:suppressAutoHyphens w:val="0"/>
              <w:spacing w:before="80" w:after="80" w:line="200" w:lineRule="exact"/>
              <w:jc w:val="center"/>
              <w:rPr>
                <w:bCs/>
                <w:i/>
                <w:sz w:val="16"/>
                <w:lang w:val="fr-FR"/>
              </w:rPr>
            </w:pPr>
            <w:r w:rsidRPr="00CA0FB4">
              <w:rPr>
                <w:i/>
                <w:sz w:val="16"/>
                <w:lang w:val="fr-FR"/>
              </w:rPr>
              <w:t>Limite supérieure d’inclinaison</w:t>
            </w:r>
            <w:r w:rsidR="00CA0FB4">
              <w:rPr>
                <w:i/>
                <w:sz w:val="16"/>
                <w:lang w:val="fr-FR"/>
              </w:rPr>
              <w:br/>
            </w:r>
            <w:r w:rsidRPr="00CA0FB4">
              <w:rPr>
                <w:i/>
                <w:sz w:val="16"/>
                <w:lang w:val="fr-FR"/>
              </w:rPr>
              <w:t>[en pourcentage]</w:t>
            </w:r>
          </w:p>
        </w:tc>
        <w:tc>
          <w:tcPr>
            <w:tcW w:w="214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A211DA0" w14:textId="2495265C" w:rsidR="00296F9D" w:rsidRPr="00CA0FB4" w:rsidRDefault="00296F9D" w:rsidP="00CA0FB4">
            <w:pPr>
              <w:suppressAutoHyphens w:val="0"/>
              <w:spacing w:before="80" w:after="80" w:line="200" w:lineRule="exact"/>
              <w:jc w:val="center"/>
              <w:rPr>
                <w:bCs/>
                <w:i/>
                <w:sz w:val="16"/>
                <w:lang w:val="fr-FR"/>
              </w:rPr>
            </w:pPr>
            <w:r w:rsidRPr="00CA0FB4">
              <w:rPr>
                <w:i/>
                <w:sz w:val="16"/>
                <w:lang w:val="fr-FR"/>
              </w:rPr>
              <w:t>Limite inférieure d’inclinaison</w:t>
            </w:r>
            <w:r w:rsidR="00CA0FB4">
              <w:rPr>
                <w:i/>
                <w:sz w:val="16"/>
                <w:lang w:val="fr-FR"/>
              </w:rPr>
              <w:br/>
            </w:r>
            <w:r w:rsidRPr="00CA0FB4">
              <w:rPr>
                <w:i/>
                <w:sz w:val="16"/>
                <w:lang w:val="fr-FR"/>
              </w:rPr>
              <w:t>[en pourcentage]</w:t>
            </w:r>
          </w:p>
        </w:tc>
      </w:tr>
      <w:tr w:rsidR="00CA0FB4" w:rsidRPr="00CA0FB4" w14:paraId="029536B8" w14:textId="77777777" w:rsidTr="00EC52EE">
        <w:tc>
          <w:tcPr>
            <w:tcW w:w="1939" w:type="dxa"/>
            <w:tcBorders>
              <w:top w:val="single" w:sz="12" w:space="0" w:color="auto"/>
              <w:left w:val="single" w:sz="4" w:space="0" w:color="auto"/>
              <w:right w:val="single" w:sz="4" w:space="0" w:color="auto"/>
            </w:tcBorders>
            <w:shd w:val="clear" w:color="auto" w:fill="auto"/>
            <w:vAlign w:val="center"/>
            <w:hideMark/>
          </w:tcPr>
          <w:p w14:paraId="14B84AA9" w14:textId="77777777" w:rsidR="00296F9D" w:rsidRPr="00CA0FB4" w:rsidRDefault="00296F9D" w:rsidP="00CA0FB4">
            <w:pPr>
              <w:suppressAutoHyphens w:val="0"/>
              <w:spacing w:before="40" w:after="40" w:line="220" w:lineRule="exact"/>
              <w:jc w:val="center"/>
              <w:rPr>
                <w:bCs/>
                <w:sz w:val="18"/>
                <w:szCs w:val="18"/>
                <w:lang w:val="fr-FR"/>
              </w:rPr>
            </w:pPr>
            <w:r w:rsidRPr="00CA0FB4">
              <w:rPr>
                <w:sz w:val="18"/>
                <w:szCs w:val="18"/>
                <w:lang w:val="fr-FR"/>
              </w:rPr>
              <w:t>0,5 ≤ h ≤ 0,9</w:t>
            </w:r>
          </w:p>
        </w:tc>
        <w:tc>
          <w:tcPr>
            <w:tcW w:w="2149" w:type="dxa"/>
            <w:tcBorders>
              <w:top w:val="single" w:sz="12" w:space="0" w:color="auto"/>
              <w:left w:val="single" w:sz="4" w:space="0" w:color="auto"/>
              <w:right w:val="single" w:sz="4" w:space="0" w:color="auto"/>
            </w:tcBorders>
            <w:shd w:val="clear" w:color="auto" w:fill="auto"/>
            <w:vAlign w:val="center"/>
            <w:hideMark/>
          </w:tcPr>
          <w:p w14:paraId="7D14F2AF" w14:textId="77777777" w:rsidR="00296F9D" w:rsidRPr="00CA0FB4" w:rsidRDefault="00296F9D" w:rsidP="00CA0FB4">
            <w:pPr>
              <w:suppressAutoHyphens w:val="0"/>
              <w:spacing w:before="40" w:after="40" w:line="220" w:lineRule="exact"/>
              <w:jc w:val="center"/>
              <w:rPr>
                <w:bCs/>
                <w:sz w:val="18"/>
                <w:szCs w:val="18"/>
                <w:lang w:val="fr-FR"/>
              </w:rPr>
            </w:pPr>
            <w:r w:rsidRPr="00CA0FB4">
              <w:rPr>
                <w:sz w:val="18"/>
                <w:szCs w:val="18"/>
                <w:lang w:val="fr-FR"/>
              </w:rPr>
              <w:t>-0,50</w:t>
            </w:r>
          </w:p>
        </w:tc>
        <w:tc>
          <w:tcPr>
            <w:tcW w:w="2149" w:type="dxa"/>
            <w:tcBorders>
              <w:top w:val="single" w:sz="12" w:space="0" w:color="auto"/>
              <w:left w:val="single" w:sz="4" w:space="0" w:color="auto"/>
              <w:right w:val="single" w:sz="4" w:space="0" w:color="auto"/>
            </w:tcBorders>
            <w:shd w:val="clear" w:color="auto" w:fill="auto"/>
            <w:vAlign w:val="center"/>
            <w:hideMark/>
          </w:tcPr>
          <w:p w14:paraId="27AF13BE" w14:textId="77777777" w:rsidR="00296F9D" w:rsidRPr="00CA0FB4" w:rsidRDefault="00296F9D" w:rsidP="00CA0FB4">
            <w:pPr>
              <w:suppressAutoHyphens w:val="0"/>
              <w:spacing w:before="40" w:after="40" w:line="220" w:lineRule="exact"/>
              <w:jc w:val="center"/>
              <w:rPr>
                <w:bCs/>
                <w:sz w:val="18"/>
                <w:szCs w:val="18"/>
                <w:lang w:val="fr-FR"/>
              </w:rPr>
            </w:pPr>
            <w:r w:rsidRPr="00CA0FB4">
              <w:rPr>
                <w:sz w:val="18"/>
                <w:szCs w:val="18"/>
                <w:lang w:val="fr-FR"/>
              </w:rPr>
              <w:t>- (h + 1,2)</w:t>
            </w:r>
          </w:p>
        </w:tc>
      </w:tr>
      <w:tr w:rsidR="00CA0FB4" w:rsidRPr="00CA0FB4" w14:paraId="159F9A00" w14:textId="77777777" w:rsidTr="00EC52EE">
        <w:tc>
          <w:tcPr>
            <w:tcW w:w="1939" w:type="dxa"/>
            <w:tcBorders>
              <w:left w:val="single" w:sz="4" w:space="0" w:color="auto"/>
              <w:right w:val="single" w:sz="4" w:space="0" w:color="auto"/>
            </w:tcBorders>
            <w:shd w:val="clear" w:color="auto" w:fill="auto"/>
            <w:vAlign w:val="center"/>
            <w:hideMark/>
          </w:tcPr>
          <w:p w14:paraId="3160EA64" w14:textId="77777777" w:rsidR="00296F9D" w:rsidRPr="00CA0FB4" w:rsidRDefault="00296F9D" w:rsidP="00CA0FB4">
            <w:pPr>
              <w:suppressAutoHyphens w:val="0"/>
              <w:spacing w:before="40" w:after="40" w:line="220" w:lineRule="exact"/>
              <w:jc w:val="center"/>
              <w:rPr>
                <w:bCs/>
                <w:sz w:val="18"/>
                <w:szCs w:val="18"/>
                <w:lang w:val="fr-FR"/>
              </w:rPr>
            </w:pPr>
            <w:r w:rsidRPr="00CA0FB4">
              <w:rPr>
                <w:sz w:val="18"/>
                <w:szCs w:val="18"/>
                <w:lang w:val="fr-FR"/>
              </w:rPr>
              <w:t>0,9 &lt; h ≤ 1,2</w:t>
            </w:r>
          </w:p>
        </w:tc>
        <w:tc>
          <w:tcPr>
            <w:tcW w:w="2149" w:type="dxa"/>
            <w:vMerge w:val="restart"/>
            <w:tcBorders>
              <w:left w:val="single" w:sz="4" w:space="0" w:color="auto"/>
              <w:right w:val="single" w:sz="4" w:space="0" w:color="auto"/>
            </w:tcBorders>
            <w:shd w:val="clear" w:color="auto" w:fill="auto"/>
            <w:vAlign w:val="center"/>
          </w:tcPr>
          <w:p w14:paraId="6E0CC4FC" w14:textId="77777777" w:rsidR="00296F9D" w:rsidRPr="00CA0FB4" w:rsidRDefault="00296F9D" w:rsidP="00CA0FB4">
            <w:pPr>
              <w:suppressAutoHyphens w:val="0"/>
              <w:spacing w:before="40" w:after="40" w:line="220" w:lineRule="exact"/>
              <w:jc w:val="center"/>
              <w:rPr>
                <w:bCs/>
                <w:sz w:val="18"/>
                <w:szCs w:val="18"/>
                <w:lang w:val="fr-FR"/>
              </w:rPr>
            </w:pPr>
            <w:r w:rsidRPr="00CA0FB4">
              <w:rPr>
                <w:sz w:val="18"/>
                <w:szCs w:val="18"/>
                <w:lang w:val="fr-FR"/>
              </w:rPr>
              <w:t>- (h x 2,17 - 1,45)</w:t>
            </w:r>
          </w:p>
        </w:tc>
        <w:tc>
          <w:tcPr>
            <w:tcW w:w="2149" w:type="dxa"/>
            <w:vMerge w:val="restart"/>
            <w:tcBorders>
              <w:left w:val="single" w:sz="4" w:space="0" w:color="auto"/>
              <w:right w:val="single" w:sz="4" w:space="0" w:color="auto"/>
            </w:tcBorders>
            <w:shd w:val="clear" w:color="auto" w:fill="auto"/>
            <w:vAlign w:val="center"/>
          </w:tcPr>
          <w:p w14:paraId="7AEDF366" w14:textId="77777777" w:rsidR="00296F9D" w:rsidRPr="00CA0FB4" w:rsidRDefault="00296F9D" w:rsidP="00CA0FB4">
            <w:pPr>
              <w:suppressAutoHyphens w:val="0"/>
              <w:spacing w:before="40" w:after="40" w:line="220" w:lineRule="exact"/>
              <w:jc w:val="center"/>
              <w:rPr>
                <w:bCs/>
                <w:sz w:val="18"/>
                <w:szCs w:val="18"/>
                <w:lang w:val="fr-FR"/>
              </w:rPr>
            </w:pPr>
            <w:r w:rsidRPr="00CA0FB4">
              <w:rPr>
                <w:sz w:val="18"/>
                <w:szCs w:val="18"/>
                <w:lang w:val="fr-FR"/>
              </w:rPr>
              <w:t>- (h x 2,17 + 0,15)</w:t>
            </w:r>
          </w:p>
        </w:tc>
      </w:tr>
      <w:tr w:rsidR="00CA0FB4" w:rsidRPr="00CA0FB4" w14:paraId="34DD50C1" w14:textId="77777777" w:rsidTr="00EC52EE">
        <w:tc>
          <w:tcPr>
            <w:tcW w:w="1939" w:type="dxa"/>
            <w:tcBorders>
              <w:left w:val="single" w:sz="4" w:space="0" w:color="auto"/>
              <w:bottom w:val="single" w:sz="12" w:space="0" w:color="auto"/>
              <w:right w:val="single" w:sz="4" w:space="0" w:color="auto"/>
            </w:tcBorders>
            <w:shd w:val="clear" w:color="auto" w:fill="auto"/>
            <w:hideMark/>
          </w:tcPr>
          <w:p w14:paraId="26E3B4EA" w14:textId="77777777" w:rsidR="00296F9D" w:rsidRPr="00CA0FB4" w:rsidRDefault="00296F9D" w:rsidP="00CA0FB4">
            <w:pPr>
              <w:suppressAutoHyphens w:val="0"/>
              <w:spacing w:before="40" w:after="40" w:line="220" w:lineRule="exact"/>
              <w:jc w:val="center"/>
              <w:rPr>
                <w:sz w:val="18"/>
                <w:szCs w:val="18"/>
                <w:lang w:val="fr-FR"/>
              </w:rPr>
            </w:pPr>
            <w:r w:rsidRPr="00CA0FB4">
              <w:rPr>
                <w:sz w:val="18"/>
                <w:szCs w:val="18"/>
                <w:lang w:val="fr-FR"/>
              </w:rPr>
              <w:t>1,2 &lt; h ≤ 1,5</w:t>
            </w:r>
          </w:p>
        </w:tc>
        <w:tc>
          <w:tcPr>
            <w:tcW w:w="2149" w:type="dxa"/>
            <w:vMerge/>
            <w:tcBorders>
              <w:left w:val="single" w:sz="4" w:space="0" w:color="auto"/>
              <w:bottom w:val="single" w:sz="12" w:space="0" w:color="auto"/>
              <w:right w:val="single" w:sz="4" w:space="0" w:color="auto"/>
            </w:tcBorders>
            <w:shd w:val="clear" w:color="auto" w:fill="auto"/>
            <w:vAlign w:val="bottom"/>
          </w:tcPr>
          <w:p w14:paraId="08A0305B" w14:textId="77777777" w:rsidR="00296F9D" w:rsidRPr="00CA0FB4" w:rsidRDefault="00296F9D" w:rsidP="00CA0FB4">
            <w:pPr>
              <w:suppressAutoHyphens w:val="0"/>
              <w:spacing w:before="40" w:after="40" w:line="220" w:lineRule="exact"/>
              <w:jc w:val="center"/>
              <w:rPr>
                <w:b/>
                <w:bCs/>
                <w:sz w:val="18"/>
                <w:szCs w:val="18"/>
                <w:lang w:val="fr-FR"/>
              </w:rPr>
            </w:pPr>
          </w:p>
        </w:tc>
        <w:tc>
          <w:tcPr>
            <w:tcW w:w="2149" w:type="dxa"/>
            <w:vMerge/>
            <w:tcBorders>
              <w:left w:val="single" w:sz="4" w:space="0" w:color="auto"/>
              <w:bottom w:val="single" w:sz="12" w:space="0" w:color="auto"/>
              <w:right w:val="single" w:sz="4" w:space="0" w:color="auto"/>
            </w:tcBorders>
            <w:shd w:val="clear" w:color="auto" w:fill="auto"/>
            <w:vAlign w:val="bottom"/>
          </w:tcPr>
          <w:p w14:paraId="046BC125" w14:textId="77777777" w:rsidR="00296F9D" w:rsidRPr="00CA0FB4" w:rsidRDefault="00296F9D" w:rsidP="00CA0FB4">
            <w:pPr>
              <w:suppressAutoHyphens w:val="0"/>
              <w:spacing w:before="40" w:after="40" w:line="220" w:lineRule="exact"/>
              <w:jc w:val="center"/>
              <w:rPr>
                <w:b/>
                <w:bCs/>
                <w:sz w:val="18"/>
                <w:szCs w:val="18"/>
                <w:lang w:val="fr-FR"/>
              </w:rPr>
            </w:pPr>
          </w:p>
        </w:tc>
      </w:tr>
    </w:tbl>
    <w:p w14:paraId="296FCB50" w14:textId="77777777" w:rsidR="00296F9D" w:rsidRPr="00F2629D" w:rsidRDefault="00296F9D" w:rsidP="00537707">
      <w:pPr>
        <w:pStyle w:val="SingleTxtG"/>
        <w:spacing w:before="120"/>
        <w:ind w:left="2268"/>
        <w:rPr>
          <w:lang w:val="fr-FR"/>
        </w:rPr>
      </w:pPr>
      <w:r w:rsidRPr="00F2629D">
        <w:rPr>
          <w:lang w:val="fr-FR"/>
        </w:rPr>
        <w:t>Le diagramme ci-dessous illustre ces limites.</w:t>
      </w:r>
    </w:p>
    <w:p w14:paraId="42DD857E" w14:textId="6AA1D4C3" w:rsidR="00537707" w:rsidRDefault="00537707" w:rsidP="0035560C">
      <w:pPr>
        <w:pStyle w:val="SingleTxtG"/>
        <w:ind w:left="2268"/>
        <w:rPr>
          <w:b/>
          <w:bCs/>
          <w:lang w:val="fr-FR"/>
        </w:rPr>
      </w:pPr>
      <w:r>
        <w:rPr>
          <w:b/>
          <w:bCs/>
          <w:noProof/>
          <w:lang w:val="fr-FR"/>
        </w:rPr>
        <w:drawing>
          <wp:inline distT="0" distB="0" distL="0" distR="0" wp14:anchorId="1F3E8F25" wp14:editId="6A8BC741">
            <wp:extent cx="4680000" cy="3599815"/>
            <wp:effectExtent l="0" t="0" r="0" b="0"/>
            <wp:docPr id="226" name="Imag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96"/>
                    <a:stretch/>
                  </pic:blipFill>
                  <pic:spPr bwMode="auto">
                    <a:xfrm>
                      <a:off x="0" y="0"/>
                      <a:ext cx="4680000" cy="3599815"/>
                    </a:xfrm>
                    <a:prstGeom prst="rect">
                      <a:avLst/>
                    </a:prstGeom>
                    <a:noFill/>
                    <a:ln>
                      <a:noFill/>
                    </a:ln>
                    <a:extLst>
                      <a:ext uri="{53640926-AAD7-44D8-BBD7-CCE9431645EC}">
                        <a14:shadowObscured xmlns:a14="http://schemas.microsoft.com/office/drawing/2010/main"/>
                      </a:ext>
                    </a:extLst>
                  </pic:spPr>
                </pic:pic>
              </a:graphicData>
            </a:graphic>
          </wp:inline>
        </w:drawing>
      </w:r>
    </w:p>
    <w:p w14:paraId="784A8C92" w14:textId="77777777" w:rsidR="00296F9D" w:rsidRPr="00F2629D" w:rsidRDefault="00296F9D" w:rsidP="0035560C">
      <w:pPr>
        <w:pStyle w:val="SingleTxtG"/>
        <w:ind w:left="2268"/>
        <w:rPr>
          <w:lang w:val="fr-FR"/>
        </w:rPr>
      </w:pPr>
      <w:r w:rsidRPr="00F2629D">
        <w:rPr>
          <w:lang w:val="fr-FR"/>
        </w:rPr>
        <w:t>La zone située à l’intérieur de la ligne discontinue indique l’extension du diagramme de visée, valable uniquement pour les véhicules des catégories M</w:t>
      </w:r>
      <w:r w:rsidRPr="00F2629D">
        <w:rPr>
          <w:vertAlign w:val="subscript"/>
          <w:lang w:val="fr-FR"/>
        </w:rPr>
        <w:t>2</w:t>
      </w:r>
      <w:r w:rsidRPr="00F2629D">
        <w:rPr>
          <w:lang w:val="fr-FR"/>
        </w:rPr>
        <w:t>G, M</w:t>
      </w:r>
      <w:r w:rsidRPr="00F2629D">
        <w:rPr>
          <w:vertAlign w:val="subscript"/>
          <w:lang w:val="fr-FR"/>
        </w:rPr>
        <w:t>3</w:t>
      </w:r>
      <w:r w:rsidRPr="00F2629D">
        <w:rPr>
          <w:lang w:val="fr-FR"/>
        </w:rPr>
        <w:t>G, N</w:t>
      </w:r>
      <w:r w:rsidRPr="00F2629D">
        <w:rPr>
          <w:vertAlign w:val="subscript"/>
          <w:lang w:val="fr-FR"/>
        </w:rPr>
        <w:t>2</w:t>
      </w:r>
      <w:r w:rsidRPr="00F2629D">
        <w:rPr>
          <w:lang w:val="fr-FR"/>
        </w:rPr>
        <w:t>G et N</w:t>
      </w:r>
      <w:r w:rsidRPr="00F2629D">
        <w:rPr>
          <w:vertAlign w:val="subscript"/>
          <w:lang w:val="fr-FR"/>
        </w:rPr>
        <w:t>3</w:t>
      </w:r>
      <w:r w:rsidRPr="00F2629D">
        <w:rPr>
          <w:lang w:val="fr-FR"/>
        </w:rPr>
        <w:t>G (véhicules tout-terrain). ».</w:t>
      </w:r>
    </w:p>
    <w:p w14:paraId="5EFFB081" w14:textId="0D7ECAD9" w:rsidR="00296F9D" w:rsidRPr="00F2629D" w:rsidRDefault="00296F9D" w:rsidP="005B0C72">
      <w:pPr>
        <w:pStyle w:val="SingleTxtG"/>
        <w:keepNext/>
        <w:rPr>
          <w:lang w:val="fr-FR"/>
        </w:rPr>
      </w:pPr>
      <w:r w:rsidRPr="00F2629D">
        <w:rPr>
          <w:i/>
          <w:iCs/>
          <w:lang w:val="fr-FR"/>
        </w:rPr>
        <w:t>Paragraphe 6.2.6.2</w:t>
      </w:r>
      <w:r w:rsidRPr="00F2629D">
        <w:rPr>
          <w:lang w:val="fr-FR"/>
        </w:rPr>
        <w:t>, lire</w:t>
      </w:r>
      <w:r>
        <w:rPr>
          <w:lang w:val="fr-FR"/>
        </w:rPr>
        <w:t> :</w:t>
      </w:r>
    </w:p>
    <w:p w14:paraId="12231B42" w14:textId="77777777" w:rsidR="00296F9D" w:rsidRPr="00F2629D" w:rsidRDefault="00296F9D" w:rsidP="00537707">
      <w:pPr>
        <w:pStyle w:val="SingleTxtG"/>
        <w:keepNext/>
        <w:ind w:left="2268" w:hanging="1134"/>
        <w:rPr>
          <w:lang w:val="fr-FR"/>
        </w:rPr>
      </w:pPr>
      <w:r w:rsidRPr="00F2629D">
        <w:rPr>
          <w:lang w:val="fr-FR"/>
        </w:rPr>
        <w:t>« 6.2.6.2</w:t>
      </w:r>
      <w:r w:rsidRPr="00F2629D">
        <w:rPr>
          <w:lang w:val="fr-FR"/>
        </w:rPr>
        <w:tab/>
        <w:t>Dispositif de réglage de la portée des projecteurs</w:t>
      </w:r>
    </w:p>
    <w:p w14:paraId="67D97702" w14:textId="77777777" w:rsidR="00296F9D" w:rsidRPr="00F2629D" w:rsidRDefault="00296F9D" w:rsidP="00CA0FB4">
      <w:pPr>
        <w:pStyle w:val="SingleTxtG"/>
        <w:ind w:left="2268" w:hanging="1134"/>
        <w:rPr>
          <w:lang w:val="fr-FR"/>
        </w:rPr>
      </w:pPr>
      <w:r w:rsidRPr="00F2629D">
        <w:rPr>
          <w:lang w:val="fr-FR"/>
        </w:rPr>
        <w:t>6.2.6.2.1</w:t>
      </w:r>
      <w:r w:rsidRPr="00F2629D">
        <w:rPr>
          <w:lang w:val="fr-FR"/>
        </w:rPr>
        <w:tab/>
        <w:t>Lorsqu’un dispositif de réglage de la portée des projecteurs est nécessaire pour satisfaire aux prescriptions des paragraphes 6.2.6.1.1 et 6.2.6.1.2, ce dispositif doit être automatique.</w:t>
      </w:r>
    </w:p>
    <w:p w14:paraId="1CB7853C" w14:textId="77777777" w:rsidR="00296F9D" w:rsidRPr="00F2629D" w:rsidRDefault="00296F9D" w:rsidP="00CA0FB4">
      <w:pPr>
        <w:pStyle w:val="SingleTxtG"/>
        <w:ind w:left="2268" w:hanging="1134"/>
        <w:rPr>
          <w:lang w:val="fr-FR"/>
        </w:rPr>
      </w:pPr>
      <w:r w:rsidRPr="00F2629D">
        <w:rPr>
          <w:lang w:val="fr-FR"/>
        </w:rPr>
        <w:t>6.2.6.2.2</w:t>
      </w:r>
      <w:r w:rsidRPr="00F2629D">
        <w:rPr>
          <w:lang w:val="fr-FR"/>
        </w:rPr>
        <w:tab/>
        <w:t>Les dispositifs de réglage manuel sont toutefois admis pour les véhicules des catégories M</w:t>
      </w:r>
      <w:r w:rsidRPr="00F2629D">
        <w:rPr>
          <w:vertAlign w:val="subscript"/>
          <w:lang w:val="fr-FR"/>
        </w:rPr>
        <w:t>2</w:t>
      </w:r>
      <w:r w:rsidRPr="00F2629D">
        <w:rPr>
          <w:lang w:val="fr-FR"/>
        </w:rPr>
        <w:t>G, M</w:t>
      </w:r>
      <w:r w:rsidRPr="00F2629D">
        <w:rPr>
          <w:vertAlign w:val="subscript"/>
          <w:lang w:val="fr-FR"/>
        </w:rPr>
        <w:t>3</w:t>
      </w:r>
      <w:r w:rsidRPr="00F2629D">
        <w:rPr>
          <w:lang w:val="fr-FR"/>
        </w:rPr>
        <w:t>G, N</w:t>
      </w:r>
      <w:r w:rsidRPr="00F2629D">
        <w:rPr>
          <w:vertAlign w:val="subscript"/>
          <w:lang w:val="fr-FR"/>
        </w:rPr>
        <w:t>2</w:t>
      </w:r>
      <w:r w:rsidRPr="00F2629D">
        <w:rPr>
          <w:lang w:val="fr-FR"/>
        </w:rPr>
        <w:t>G et N</w:t>
      </w:r>
      <w:r w:rsidRPr="00F2629D">
        <w:rPr>
          <w:vertAlign w:val="subscript"/>
          <w:lang w:val="fr-FR"/>
        </w:rPr>
        <w:t>3</w:t>
      </w:r>
      <w:r w:rsidRPr="00F2629D">
        <w:rPr>
          <w:lang w:val="fr-FR"/>
        </w:rPr>
        <w:t>G, à condition qu’il y ait une position de repos permettant de redonner aux projecteurs l’inclinaison initiale indiquée au paragraphe 6.2.6.1.1, au moyen des vis de réglage habituelles ou d’autres dispositifs analogues.</w:t>
      </w:r>
    </w:p>
    <w:p w14:paraId="477F0BCA" w14:textId="34B63A8E" w:rsidR="00296F9D" w:rsidRPr="00F2629D" w:rsidRDefault="00296F9D" w:rsidP="0035560C">
      <w:pPr>
        <w:pStyle w:val="SingleTxtG"/>
        <w:ind w:left="2268"/>
        <w:rPr>
          <w:lang w:val="fr-FR"/>
        </w:rPr>
      </w:pPr>
      <w:r w:rsidRPr="00F2629D">
        <w:rPr>
          <w:lang w:val="fr-FR"/>
        </w:rPr>
        <w:lastRenderedPageBreak/>
        <w:t>Ces dispositifs de réglage manuel doivent être facilement visibles, accessibles et reconnaissables par le conducteur conformément aux prescriptions du Règlement ONU n</w:t>
      </w:r>
      <w:r w:rsidRPr="00F2629D">
        <w:rPr>
          <w:vertAlign w:val="superscript"/>
          <w:lang w:val="fr-FR"/>
        </w:rPr>
        <w:t>o</w:t>
      </w:r>
      <w:r w:rsidR="00537707">
        <w:rPr>
          <w:lang w:val="fr-FR"/>
        </w:rPr>
        <w:t> </w:t>
      </w:r>
      <w:r w:rsidRPr="00F2629D">
        <w:rPr>
          <w:lang w:val="fr-FR"/>
        </w:rPr>
        <w:t>121.</w:t>
      </w:r>
    </w:p>
    <w:p w14:paraId="6FF418AD" w14:textId="77777777" w:rsidR="00296F9D" w:rsidRPr="00F2629D" w:rsidRDefault="00296F9D" w:rsidP="0035560C">
      <w:pPr>
        <w:pStyle w:val="SingleTxtG"/>
        <w:ind w:left="2268"/>
        <w:rPr>
          <w:lang w:val="fr-FR"/>
        </w:rPr>
      </w:pPr>
      <w:r w:rsidRPr="00F2629D">
        <w:rPr>
          <w:lang w:val="fr-FR"/>
        </w:rPr>
        <w:t>Le nombre d’échelons sur les dispositifs de réglage des feux de croisement doit permettre de respecter les limites d’inclinaison prescrites au paragraphe 6.2.6.1.2 dans tous les états de charge définis à l’annexe 5.</w:t>
      </w:r>
    </w:p>
    <w:p w14:paraId="02638BF4" w14:textId="77777777" w:rsidR="00296F9D" w:rsidRPr="00F2629D" w:rsidRDefault="00296F9D" w:rsidP="0035560C">
      <w:pPr>
        <w:pStyle w:val="SingleTxtG"/>
        <w:ind w:left="2268"/>
        <w:rPr>
          <w:lang w:val="fr-FR"/>
        </w:rPr>
      </w:pPr>
      <w:r w:rsidRPr="00F2629D">
        <w:rPr>
          <w:lang w:val="fr-FR"/>
        </w:rPr>
        <w:t>Les prescriptions relatives aux dispositifs de réglage des feux sont énoncées à l’annexe 8.</w:t>
      </w:r>
    </w:p>
    <w:p w14:paraId="3FFCC0B8" w14:textId="77777777" w:rsidR="00296F9D" w:rsidRPr="00F2629D" w:rsidRDefault="00296F9D" w:rsidP="0035560C">
      <w:pPr>
        <w:pStyle w:val="SingleTxtG"/>
        <w:ind w:left="2268"/>
        <w:rPr>
          <w:lang w:val="fr-FR"/>
        </w:rPr>
      </w:pPr>
      <w:r w:rsidRPr="00F2629D">
        <w:rPr>
          <w:lang w:val="fr-FR"/>
        </w:rPr>
        <w:t>Les différentes positions de réglage des feux de croisement doivent être expliquées dans le manuel du conducteur.</w:t>
      </w:r>
    </w:p>
    <w:p w14:paraId="5E7A2BB6" w14:textId="77777777" w:rsidR="00296F9D" w:rsidRPr="00F2629D" w:rsidRDefault="00296F9D" w:rsidP="00CA0FB4">
      <w:pPr>
        <w:pStyle w:val="SingleTxtG"/>
        <w:ind w:left="2268" w:hanging="1134"/>
        <w:rPr>
          <w:lang w:val="fr-FR"/>
        </w:rPr>
      </w:pPr>
      <w:r w:rsidRPr="00F2629D">
        <w:rPr>
          <w:lang w:val="fr-FR"/>
        </w:rPr>
        <w:t>6.2.6.2.3</w:t>
      </w:r>
      <w:r w:rsidRPr="00F2629D">
        <w:rPr>
          <w:lang w:val="fr-FR"/>
        </w:rPr>
        <w:tab/>
        <w:t>En cas de défaillance des dispositifs mentionnés aux paragraphes 6.2.6.2.1 et 6.2.6.2.2, le faisceau de croisement ne doit pas revenir dans une position où l’inclinaison verticale vers le bas est moindre que celle qu’il avait au moment où la défaillance s’est produite. ».</w:t>
      </w:r>
    </w:p>
    <w:p w14:paraId="0FEBBFEF" w14:textId="1C5085AE" w:rsidR="00296F9D" w:rsidRPr="00F2629D" w:rsidRDefault="00296F9D" w:rsidP="005B0C72">
      <w:pPr>
        <w:pStyle w:val="SingleTxtG"/>
        <w:keepNext/>
        <w:rPr>
          <w:lang w:val="fr-FR"/>
        </w:rPr>
      </w:pPr>
      <w:r w:rsidRPr="00F2629D">
        <w:rPr>
          <w:i/>
          <w:iCs/>
          <w:lang w:val="fr-FR"/>
        </w:rPr>
        <w:t>Paragraphe 6.2.6.3</w:t>
      </w:r>
      <w:r w:rsidRPr="00F2629D">
        <w:rPr>
          <w:lang w:val="fr-FR"/>
        </w:rPr>
        <w:t>, lire</w:t>
      </w:r>
      <w:r>
        <w:rPr>
          <w:lang w:val="fr-FR"/>
        </w:rPr>
        <w:t> :</w:t>
      </w:r>
    </w:p>
    <w:p w14:paraId="622EECFE" w14:textId="77777777" w:rsidR="00296F9D" w:rsidRPr="00F2629D" w:rsidRDefault="00296F9D" w:rsidP="00537707">
      <w:pPr>
        <w:pStyle w:val="SingleTxtG"/>
        <w:keepNext/>
        <w:ind w:left="2268" w:right="992" w:hanging="1134"/>
        <w:rPr>
          <w:lang w:val="fr-FR"/>
        </w:rPr>
      </w:pPr>
      <w:r w:rsidRPr="00F2629D">
        <w:rPr>
          <w:lang w:val="fr-FR"/>
        </w:rPr>
        <w:t>« 6.2.6.3</w:t>
      </w:r>
      <w:r w:rsidRPr="00F2629D">
        <w:rPr>
          <w:lang w:val="fr-FR"/>
        </w:rPr>
        <w:tab/>
        <w:t>Méthode de mesure</w:t>
      </w:r>
    </w:p>
    <w:p w14:paraId="3D46BCD1" w14:textId="77777777" w:rsidR="00296F9D" w:rsidRPr="00F2629D" w:rsidRDefault="00296F9D" w:rsidP="00CA0FB4">
      <w:pPr>
        <w:pStyle w:val="SingleTxtG"/>
        <w:ind w:left="2268" w:hanging="1134"/>
        <w:rPr>
          <w:lang w:val="fr-FR"/>
        </w:rPr>
      </w:pPr>
      <w:r w:rsidRPr="00F2629D">
        <w:rPr>
          <w:lang w:val="fr-FR"/>
        </w:rPr>
        <w:t>6.2.6.3.1</w:t>
      </w:r>
      <w:r w:rsidRPr="00F2629D">
        <w:rPr>
          <w:lang w:val="fr-FR"/>
        </w:rPr>
        <w:tab/>
        <w:t>Après le réglage de l’inclinaison initiale vers le bas, l’inclinaison verticale du faisceau de croisement, exprimée en pourcentage, sera mesurée en conditions statiques pour tous les états de charge définis à l’annexe 5.</w:t>
      </w:r>
    </w:p>
    <w:p w14:paraId="5DC67105" w14:textId="77777777" w:rsidR="00296F9D" w:rsidRPr="00F2629D" w:rsidRDefault="00296F9D" w:rsidP="00CA0FB4">
      <w:pPr>
        <w:pStyle w:val="SingleTxtG"/>
        <w:ind w:left="2268" w:hanging="1134"/>
        <w:rPr>
          <w:lang w:val="fr-FR"/>
        </w:rPr>
      </w:pPr>
      <w:r w:rsidRPr="00F2629D">
        <w:rPr>
          <w:lang w:val="fr-FR"/>
        </w:rPr>
        <w:t>6.2.6.3.2</w:t>
      </w:r>
      <w:r w:rsidRPr="00F2629D">
        <w:rPr>
          <w:lang w:val="fr-FR"/>
        </w:rPr>
        <w:tab/>
        <w:t>La variation de l’inclinaison vers le bas du faisceau de croisement en fonction de la charge doit être mesurée conformément à la procédure d’essai de l’annexe 6. ».</w:t>
      </w:r>
    </w:p>
    <w:p w14:paraId="20EAB784" w14:textId="26A51796" w:rsidR="00296F9D" w:rsidRPr="00F2629D" w:rsidRDefault="00296F9D" w:rsidP="005B0C72">
      <w:pPr>
        <w:pStyle w:val="SingleTxtG"/>
        <w:keepNext/>
        <w:rPr>
          <w:lang w:val="fr-FR"/>
        </w:rPr>
      </w:pPr>
      <w:r w:rsidRPr="00F2629D">
        <w:rPr>
          <w:i/>
          <w:iCs/>
          <w:lang w:val="fr-FR"/>
        </w:rPr>
        <w:t>Paragraphe 6.2.7.3</w:t>
      </w:r>
      <w:r w:rsidRPr="00F2629D">
        <w:rPr>
          <w:lang w:val="fr-FR"/>
        </w:rPr>
        <w:t>, lire</w:t>
      </w:r>
      <w:r>
        <w:rPr>
          <w:lang w:val="fr-FR"/>
        </w:rPr>
        <w:t> :</w:t>
      </w:r>
    </w:p>
    <w:p w14:paraId="678F0F9A" w14:textId="77777777" w:rsidR="00296F9D" w:rsidRPr="00F2629D" w:rsidRDefault="00296F9D" w:rsidP="00CA0FB4">
      <w:pPr>
        <w:pStyle w:val="SingleTxtG"/>
        <w:ind w:left="2268" w:hanging="1134"/>
        <w:rPr>
          <w:i/>
          <w:lang w:val="fr-FR"/>
        </w:rPr>
      </w:pPr>
      <w:r w:rsidRPr="00F2629D">
        <w:rPr>
          <w:lang w:val="fr-FR"/>
        </w:rPr>
        <w:t>« 6.2.7.3</w:t>
      </w:r>
      <w:r w:rsidRPr="00F2629D">
        <w:rPr>
          <w:lang w:val="fr-FR"/>
        </w:rPr>
        <w:tab/>
        <w:t>Dans le cas de feux de croisement équipés de sources lumineuses à décharge, ces sources lumineuses doivent rester allumées en même temps que les feux de route. ».</w:t>
      </w:r>
    </w:p>
    <w:p w14:paraId="7656802D" w14:textId="17B0A52D" w:rsidR="00296F9D" w:rsidRPr="00F2629D" w:rsidRDefault="00296F9D" w:rsidP="005B0C72">
      <w:pPr>
        <w:pStyle w:val="SingleTxtG"/>
        <w:keepNext/>
        <w:rPr>
          <w:lang w:val="fr-FR"/>
        </w:rPr>
      </w:pPr>
      <w:r w:rsidRPr="00F2629D">
        <w:rPr>
          <w:i/>
          <w:iCs/>
          <w:lang w:val="fr-FR"/>
        </w:rPr>
        <w:t>Paragraphe 6.2.8.2</w:t>
      </w:r>
      <w:r w:rsidRPr="00F2629D">
        <w:rPr>
          <w:lang w:val="fr-FR"/>
        </w:rPr>
        <w:t>, lire</w:t>
      </w:r>
      <w:r>
        <w:rPr>
          <w:lang w:val="fr-FR"/>
        </w:rPr>
        <w:t> :</w:t>
      </w:r>
    </w:p>
    <w:p w14:paraId="6F803A80" w14:textId="727F4A95" w:rsidR="00296F9D" w:rsidRPr="00F2629D" w:rsidRDefault="00296F9D" w:rsidP="00537707">
      <w:pPr>
        <w:pStyle w:val="SingleTxtG"/>
        <w:keepNext/>
        <w:ind w:left="2268" w:hanging="1134"/>
        <w:rPr>
          <w:lang w:val="fr-FR"/>
        </w:rPr>
      </w:pPr>
      <w:r w:rsidRPr="00F2629D">
        <w:rPr>
          <w:lang w:val="fr-FR"/>
        </w:rPr>
        <w:t>« 6.2.8.2</w:t>
      </w:r>
      <w:r w:rsidRPr="00F2629D">
        <w:rPr>
          <w:lang w:val="fr-FR"/>
        </w:rPr>
        <w:tab/>
        <w:t>La présence d’un témoin optique de défaut de fonctionnement, clignotant ou non, est obligatoire</w:t>
      </w:r>
      <w:r>
        <w:rPr>
          <w:lang w:val="fr-FR"/>
        </w:rPr>
        <w:t> :</w:t>
      </w:r>
    </w:p>
    <w:p w14:paraId="25513FF4" w14:textId="73F6BC96" w:rsidR="00296F9D" w:rsidRPr="00F2629D" w:rsidRDefault="00296F9D" w:rsidP="00296F9D">
      <w:pPr>
        <w:pStyle w:val="SingleTxtG"/>
        <w:spacing w:line="240" w:lineRule="auto"/>
        <w:ind w:left="2835" w:hanging="567"/>
        <w:rPr>
          <w:lang w:val="fr-FR"/>
        </w:rPr>
      </w:pPr>
      <w:r w:rsidRPr="00F2629D">
        <w:rPr>
          <w:lang w:val="fr-FR"/>
        </w:rPr>
        <w:t>a)</w:t>
      </w:r>
      <w:r w:rsidRPr="00F2629D">
        <w:rPr>
          <w:lang w:val="fr-FR"/>
        </w:rPr>
        <w:tab/>
        <w:t>Si l’éclairage de virage est obtenu au moyen d’un déplacement de l’ensemble du faisceau ou du coude de la ligne de coupure</w:t>
      </w:r>
      <w:r>
        <w:rPr>
          <w:lang w:val="fr-FR"/>
        </w:rPr>
        <w:t> ;</w:t>
      </w:r>
      <w:r w:rsidRPr="00F2629D">
        <w:rPr>
          <w:lang w:val="fr-FR"/>
        </w:rPr>
        <w:t xml:space="preserve"> ou</w:t>
      </w:r>
    </w:p>
    <w:p w14:paraId="390F4C6E" w14:textId="77777777" w:rsidR="00296F9D" w:rsidRPr="00F2629D" w:rsidRDefault="00296F9D" w:rsidP="00537707">
      <w:pPr>
        <w:pStyle w:val="SingleTxtG"/>
        <w:spacing w:line="240" w:lineRule="auto"/>
        <w:ind w:left="2835" w:hanging="567"/>
        <w:rPr>
          <w:lang w:val="fr-FR"/>
        </w:rPr>
      </w:pPr>
      <w:r w:rsidRPr="00F2629D">
        <w:rPr>
          <w:lang w:val="fr-FR"/>
        </w:rPr>
        <w:t>b)</w:t>
      </w:r>
      <w:r w:rsidRPr="00F2629D">
        <w:rPr>
          <w:lang w:val="fr-FR"/>
        </w:rPr>
        <w:tab/>
        <w:t>Si le faisceau de croisement principal est produit par un ou plusieurs modules d’éclairage ou par une ou plusieurs sources lumineuses non remplaçables ou s’il est produit par plus d’une source lumineuse faisant l’objet d’une homologation ONU, sauf si leur branchement électrique est tel que la défaillance d’une quelconque des sources lumineuses cause l’extinction de toutes.</w:t>
      </w:r>
    </w:p>
    <w:p w14:paraId="1AF3FB2B" w14:textId="46656164" w:rsidR="00296F9D" w:rsidRPr="00F2629D" w:rsidRDefault="00296F9D" w:rsidP="00537707">
      <w:pPr>
        <w:pStyle w:val="SingleTxtG"/>
        <w:keepNext/>
        <w:ind w:left="2268"/>
        <w:rPr>
          <w:lang w:val="fr-FR"/>
        </w:rPr>
      </w:pPr>
      <w:r w:rsidRPr="00F2629D">
        <w:rPr>
          <w:lang w:val="fr-FR"/>
        </w:rPr>
        <w:t>Il doit s’activer</w:t>
      </w:r>
      <w:r>
        <w:rPr>
          <w:lang w:val="fr-FR"/>
        </w:rPr>
        <w:t> :</w:t>
      </w:r>
    </w:p>
    <w:p w14:paraId="1CF766FB" w14:textId="35BD8033" w:rsidR="00296F9D" w:rsidRPr="00F2629D" w:rsidRDefault="00296F9D" w:rsidP="00296F9D">
      <w:pPr>
        <w:pStyle w:val="SingleTxtG"/>
        <w:spacing w:line="240" w:lineRule="auto"/>
        <w:ind w:left="2835" w:hanging="567"/>
        <w:rPr>
          <w:lang w:val="fr-FR"/>
        </w:rPr>
      </w:pPr>
      <w:r w:rsidRPr="00F2629D">
        <w:rPr>
          <w:lang w:val="fr-FR"/>
        </w:rPr>
        <w:t>a)</w:t>
      </w:r>
      <w:r w:rsidRPr="00F2629D">
        <w:rPr>
          <w:lang w:val="fr-FR"/>
        </w:rPr>
        <w:tab/>
        <w:t>En cas de déplacement incorrect du coude de la ligne de coupure</w:t>
      </w:r>
      <w:r>
        <w:rPr>
          <w:lang w:val="fr-FR"/>
        </w:rPr>
        <w:t> ;</w:t>
      </w:r>
      <w:r w:rsidRPr="00F2629D">
        <w:rPr>
          <w:lang w:val="fr-FR"/>
        </w:rPr>
        <w:t xml:space="preserve"> ou</w:t>
      </w:r>
    </w:p>
    <w:p w14:paraId="5A36742A" w14:textId="77777777" w:rsidR="00296F9D" w:rsidRPr="00F2629D" w:rsidRDefault="00296F9D" w:rsidP="00296F9D">
      <w:pPr>
        <w:pStyle w:val="SingleTxtG"/>
        <w:spacing w:line="240" w:lineRule="auto"/>
        <w:ind w:left="2835" w:hanging="567"/>
        <w:rPr>
          <w:lang w:val="fr-FR"/>
        </w:rPr>
      </w:pPr>
      <w:r w:rsidRPr="00F2629D">
        <w:rPr>
          <w:lang w:val="fr-FR"/>
        </w:rPr>
        <w:t>b)</w:t>
      </w:r>
      <w:r w:rsidRPr="00F2629D">
        <w:rPr>
          <w:lang w:val="fr-FR"/>
        </w:rPr>
        <w:tab/>
        <w:t>En cas de défaillance d’un quelconque des modules d’éclairage, des sources lumineuses non remplaçables ou des sources lumineuses faisant l’objet d’une homologation ONU produisant le faisceau de croisement principal, sauf si leur branchement électrique est tel que la défaillance d’une quelconque des sources lumineuses cause l’extinction de toutes.</w:t>
      </w:r>
    </w:p>
    <w:p w14:paraId="761345F2" w14:textId="77777777" w:rsidR="00296F9D" w:rsidRPr="00F2629D" w:rsidRDefault="00296F9D" w:rsidP="0035560C">
      <w:pPr>
        <w:pStyle w:val="SingleTxtG"/>
        <w:ind w:left="2268"/>
        <w:rPr>
          <w:i/>
          <w:lang w:val="fr-FR"/>
        </w:rPr>
      </w:pPr>
      <w:r w:rsidRPr="00F2629D">
        <w:rPr>
          <w:lang w:val="fr-FR"/>
        </w:rPr>
        <w:t>Il doit rester activé aussi longtemps que dure la défaillance. Il peut être désactivé temporairement, mais il doit se remettre en fonction chaque fois que le dispositif qui met le moteur en marche ou l’arrête est activé ou désactivé. ».</w:t>
      </w:r>
    </w:p>
    <w:p w14:paraId="5C6F5B2F" w14:textId="13274A6D" w:rsidR="00296F9D" w:rsidRPr="00F2629D" w:rsidRDefault="00296F9D" w:rsidP="005B0C72">
      <w:pPr>
        <w:pStyle w:val="SingleTxtG"/>
        <w:keepNext/>
        <w:rPr>
          <w:lang w:val="fr-FR"/>
        </w:rPr>
      </w:pPr>
      <w:r w:rsidRPr="00F2629D">
        <w:rPr>
          <w:i/>
          <w:iCs/>
          <w:lang w:val="fr-FR"/>
        </w:rPr>
        <w:t>Paragraphe 6.2.9.3</w:t>
      </w:r>
      <w:r w:rsidRPr="00F2629D">
        <w:rPr>
          <w:lang w:val="fr-FR"/>
        </w:rPr>
        <w:t>, lire</w:t>
      </w:r>
      <w:r>
        <w:rPr>
          <w:lang w:val="fr-FR"/>
        </w:rPr>
        <w:t> :</w:t>
      </w:r>
    </w:p>
    <w:p w14:paraId="3ECA5549" w14:textId="77777777" w:rsidR="00296F9D" w:rsidRDefault="00296F9D" w:rsidP="00CA0FB4">
      <w:pPr>
        <w:pStyle w:val="SingleTxtG"/>
        <w:ind w:left="2268" w:hanging="1134"/>
        <w:rPr>
          <w:lang w:val="fr-FR"/>
        </w:rPr>
      </w:pPr>
      <w:r w:rsidRPr="00F2629D">
        <w:rPr>
          <w:lang w:val="fr-FR"/>
        </w:rPr>
        <w:t>« 6.2.9.3</w:t>
      </w:r>
      <w:r w:rsidRPr="00F2629D">
        <w:rPr>
          <w:lang w:val="fr-FR"/>
        </w:rPr>
        <w:tab/>
        <w:t xml:space="preserve">Dans le cas des lampes à incandescence pour lesquelles plus d’une tension d’essai est prescrite, on applique la valeur du flux lumineux normal </w:t>
      </w:r>
      <w:r w:rsidRPr="00F2629D">
        <w:rPr>
          <w:lang w:val="fr-FR"/>
        </w:rPr>
        <w:lastRenderedPageBreak/>
        <w:t>correspondant au faisceau de croisement principal, indiquée sur la fiche de communication relative à l’homologation de type du dispositif.</w:t>
      </w:r>
    </w:p>
    <w:p w14:paraId="16BF0893" w14:textId="49F107F0" w:rsidR="00296F9D" w:rsidRPr="00F2629D" w:rsidRDefault="00296F9D" w:rsidP="00296F9D">
      <w:pPr>
        <w:tabs>
          <w:tab w:val="left" w:pos="6374"/>
        </w:tabs>
        <w:spacing w:after="120"/>
        <w:ind w:left="2268" w:right="1134"/>
        <w:jc w:val="both"/>
        <w:rPr>
          <w:bCs/>
          <w:lang w:val="fr-FR"/>
        </w:rPr>
      </w:pPr>
      <w:r w:rsidRPr="00F2629D">
        <w:rPr>
          <w:lang w:val="fr-FR"/>
        </w:rPr>
        <w:t>Dans le cas de feux de croisement équipés d’une source lumineuse homologuée, le flux lumineux normal applicable est celui qui, à la tension d’essai pertinente, figure dans la fiche de renseignements pertinente du Règlement ONU, en vertu duquel la source lumineuse appliquée a été homologuée, sans tenir compte des tolérances applicables au flux lumineux normal prescrit dans cette fiche de renseignements. ».</w:t>
      </w:r>
    </w:p>
    <w:p w14:paraId="39B8B59C" w14:textId="05F9E33E" w:rsidR="00296F9D" w:rsidRPr="00F2629D" w:rsidRDefault="00296F9D" w:rsidP="005B0C72">
      <w:pPr>
        <w:pStyle w:val="SingleTxtG"/>
        <w:keepNext/>
        <w:rPr>
          <w:lang w:val="fr-FR"/>
        </w:rPr>
      </w:pPr>
      <w:r w:rsidRPr="00F2629D">
        <w:rPr>
          <w:i/>
          <w:iCs/>
          <w:lang w:val="fr-FR"/>
        </w:rPr>
        <w:t>Paragraphe 6.2.9.4</w:t>
      </w:r>
      <w:r w:rsidRPr="00F2629D">
        <w:rPr>
          <w:lang w:val="fr-FR"/>
        </w:rPr>
        <w:t>, lire</w:t>
      </w:r>
      <w:r>
        <w:rPr>
          <w:lang w:val="fr-FR"/>
        </w:rPr>
        <w:t> :</w:t>
      </w:r>
    </w:p>
    <w:p w14:paraId="101FBF37" w14:textId="77777777" w:rsidR="00296F9D" w:rsidRDefault="00296F9D" w:rsidP="00CA0FB4">
      <w:pPr>
        <w:pStyle w:val="SingleTxtG"/>
        <w:ind w:left="2268" w:hanging="1134"/>
      </w:pPr>
      <w:r w:rsidRPr="00F2629D">
        <w:rPr>
          <w:lang w:val="fr-FR"/>
        </w:rPr>
        <w:t>« 6.2.9.4</w:t>
      </w:r>
      <w:r w:rsidRPr="00F2629D">
        <w:rPr>
          <w:lang w:val="fr-FR"/>
        </w:rPr>
        <w:tab/>
      </w:r>
      <w:r w:rsidRPr="00F2629D">
        <w:rPr>
          <w:lang w:val="fr-FR"/>
        </w:rPr>
        <w:tab/>
        <w:t>Si l’éclairage de virage est obtenu au moyen d’un mouvement horizontal de l’ensemble du faisceau ou du coude de la ligne de coupure, il ne doit pouvoir fonctionner que si le véhicule est en marche avant, sauf lors d’un virage à droite dans la circulation à droite (ou d’un virage à gauche dans la circulation à gauche). ».</w:t>
      </w:r>
    </w:p>
    <w:p w14:paraId="13AEF534" w14:textId="733695DA" w:rsidR="00296F9D" w:rsidRPr="00F2629D" w:rsidRDefault="00296F9D" w:rsidP="005B0C72">
      <w:pPr>
        <w:pStyle w:val="SingleTxtG"/>
        <w:keepNext/>
        <w:rPr>
          <w:lang w:val="fr-FR"/>
        </w:rPr>
      </w:pPr>
      <w:r w:rsidRPr="00F2629D">
        <w:rPr>
          <w:i/>
          <w:iCs/>
          <w:lang w:val="fr-FR"/>
        </w:rPr>
        <w:t>Paragraphe 6.3</w:t>
      </w:r>
      <w:r w:rsidRPr="00F2629D">
        <w:rPr>
          <w:lang w:val="fr-FR"/>
        </w:rPr>
        <w:t>, lire</w:t>
      </w:r>
      <w:r>
        <w:rPr>
          <w:lang w:val="fr-FR"/>
        </w:rPr>
        <w:t> :</w:t>
      </w:r>
    </w:p>
    <w:p w14:paraId="3A0184C3" w14:textId="77777777" w:rsidR="00296F9D" w:rsidRPr="00F2629D" w:rsidRDefault="00296F9D" w:rsidP="00F4358F">
      <w:pPr>
        <w:pStyle w:val="SingleTxtG"/>
        <w:ind w:left="2268" w:right="992" w:hanging="1134"/>
        <w:rPr>
          <w:iCs/>
          <w:lang w:val="fr-FR"/>
        </w:rPr>
      </w:pPr>
      <w:r w:rsidRPr="00F2629D">
        <w:rPr>
          <w:lang w:val="fr-FR"/>
        </w:rPr>
        <w:t>« 6.3</w:t>
      </w:r>
      <w:r w:rsidRPr="00F2629D">
        <w:rPr>
          <w:lang w:val="fr-FR"/>
        </w:rPr>
        <w:tab/>
        <w:t>Feu de brouillard avant ».</w:t>
      </w:r>
    </w:p>
    <w:p w14:paraId="674F0182" w14:textId="605A5802" w:rsidR="00296F9D" w:rsidRPr="00F2629D" w:rsidRDefault="00296F9D" w:rsidP="005B0C72">
      <w:pPr>
        <w:pStyle w:val="SingleTxtG"/>
        <w:keepNext/>
        <w:rPr>
          <w:lang w:val="fr-FR"/>
        </w:rPr>
      </w:pPr>
      <w:r w:rsidRPr="00F2629D">
        <w:rPr>
          <w:i/>
          <w:iCs/>
          <w:lang w:val="fr-FR"/>
        </w:rPr>
        <w:t>Paragraphe 6.3.2</w:t>
      </w:r>
      <w:r w:rsidRPr="00F2629D">
        <w:rPr>
          <w:lang w:val="fr-FR"/>
        </w:rPr>
        <w:t>, lire</w:t>
      </w:r>
      <w:r>
        <w:rPr>
          <w:lang w:val="fr-FR"/>
        </w:rPr>
        <w:t> :</w:t>
      </w:r>
    </w:p>
    <w:p w14:paraId="5CF9BBCE" w14:textId="77777777" w:rsidR="00296F9D" w:rsidRPr="00F2629D" w:rsidRDefault="00296F9D" w:rsidP="00F4358F">
      <w:pPr>
        <w:pStyle w:val="SingleTxtG"/>
        <w:ind w:left="2268" w:right="992" w:hanging="1134"/>
        <w:rPr>
          <w:iCs/>
          <w:lang w:val="fr-FR"/>
        </w:rPr>
      </w:pPr>
      <w:r w:rsidRPr="00F2629D">
        <w:rPr>
          <w:lang w:val="fr-FR"/>
        </w:rPr>
        <w:t>« 6.3.2</w:t>
      </w:r>
      <w:r w:rsidRPr="00F2629D">
        <w:rPr>
          <w:lang w:val="fr-FR"/>
        </w:rPr>
        <w:tab/>
        <w:t>Nombre</w:t>
      </w:r>
    </w:p>
    <w:p w14:paraId="73A6B708" w14:textId="78F269F6" w:rsidR="00296F9D" w:rsidRPr="00F2629D" w:rsidRDefault="00296F9D" w:rsidP="0035560C">
      <w:pPr>
        <w:pStyle w:val="SingleTxtG"/>
        <w:ind w:left="2268"/>
        <w:rPr>
          <w:bCs/>
          <w:lang w:val="fr-FR"/>
        </w:rPr>
      </w:pPr>
      <w:r w:rsidRPr="00F2629D">
        <w:rPr>
          <w:lang w:val="fr-FR"/>
        </w:rPr>
        <w:t>Deux, de la classe “F3”, homologués conformément à la série 03 ou à une série ultérieure d’amendements au Règlement ONU n</w:t>
      </w:r>
      <w:r w:rsidRPr="00F2629D">
        <w:rPr>
          <w:vertAlign w:val="superscript"/>
          <w:lang w:val="fr-FR"/>
        </w:rPr>
        <w:t>o</w:t>
      </w:r>
      <w:r w:rsidR="00537707">
        <w:rPr>
          <w:lang w:val="fr-FR"/>
        </w:rPr>
        <w:t> </w:t>
      </w:r>
      <w:r w:rsidRPr="00F2629D">
        <w:rPr>
          <w:lang w:val="fr-FR"/>
        </w:rPr>
        <w:t>19, ou à la série originale ou à une série ultérieure d’amendements au Règlement ONU n</w:t>
      </w:r>
      <w:r w:rsidRPr="00F2629D">
        <w:rPr>
          <w:vertAlign w:val="superscript"/>
          <w:lang w:val="fr-FR"/>
        </w:rPr>
        <w:t>o</w:t>
      </w:r>
      <w:r w:rsidR="00537707">
        <w:rPr>
          <w:lang w:val="fr-FR"/>
        </w:rPr>
        <w:t> </w:t>
      </w:r>
      <w:r w:rsidRPr="00F2629D">
        <w:rPr>
          <w:lang w:val="fr-FR"/>
        </w:rPr>
        <w:t>149. ».</w:t>
      </w:r>
    </w:p>
    <w:p w14:paraId="26676A13" w14:textId="77777777" w:rsidR="00296F9D" w:rsidRDefault="00296F9D" w:rsidP="005B0C72">
      <w:pPr>
        <w:pStyle w:val="SingleTxtG"/>
        <w:keepNext/>
        <w:rPr>
          <w:lang w:val="fr-FR"/>
        </w:rPr>
      </w:pPr>
      <w:r w:rsidRPr="00F2629D">
        <w:rPr>
          <w:i/>
          <w:iCs/>
          <w:lang w:val="fr-FR"/>
        </w:rPr>
        <w:t>Paragraphe 6.3.6</w:t>
      </w:r>
      <w:r w:rsidRPr="00F2629D">
        <w:rPr>
          <w:lang w:val="fr-FR"/>
        </w:rPr>
        <w:t>, lire</w:t>
      </w:r>
      <w:r>
        <w:rPr>
          <w:lang w:val="fr-FR"/>
        </w:rPr>
        <w:t> :</w:t>
      </w:r>
    </w:p>
    <w:p w14:paraId="206641CE" w14:textId="77777777" w:rsidR="0035560C" w:rsidRDefault="00296F9D" w:rsidP="00537707">
      <w:pPr>
        <w:pStyle w:val="SingleTxtG"/>
        <w:keepNext/>
        <w:ind w:left="2268" w:hanging="1134"/>
        <w:rPr>
          <w:u w:val="single"/>
          <w:lang w:val="fr-FR"/>
        </w:rPr>
      </w:pPr>
      <w:r w:rsidRPr="00F2629D">
        <w:rPr>
          <w:lang w:val="fr-FR"/>
        </w:rPr>
        <w:t>« 6.3.6</w:t>
      </w:r>
      <w:r w:rsidRPr="00F2629D">
        <w:rPr>
          <w:lang w:val="fr-FR"/>
        </w:rPr>
        <w:tab/>
        <w:t>Orientation</w:t>
      </w:r>
    </w:p>
    <w:p w14:paraId="3F23C36B" w14:textId="6CCD709E" w:rsidR="00296F9D" w:rsidRPr="00F2629D" w:rsidRDefault="00296F9D" w:rsidP="0035560C">
      <w:pPr>
        <w:pStyle w:val="SingleTxtG"/>
        <w:ind w:left="2268"/>
        <w:rPr>
          <w:bCs/>
          <w:lang w:val="fr-FR"/>
        </w:rPr>
      </w:pPr>
      <w:r w:rsidRPr="00F2629D">
        <w:rPr>
          <w:lang w:val="fr-FR"/>
        </w:rPr>
        <w:t>Vers l’avant.</w:t>
      </w:r>
    </w:p>
    <w:p w14:paraId="5A0CAE9F" w14:textId="77777777" w:rsidR="00296F9D" w:rsidRPr="00F2629D" w:rsidRDefault="00296F9D" w:rsidP="00537707">
      <w:pPr>
        <w:pStyle w:val="SingleTxtG"/>
        <w:keepNext/>
        <w:ind w:left="2268" w:hanging="1134"/>
        <w:rPr>
          <w:bCs/>
          <w:lang w:val="fr-FR"/>
        </w:rPr>
      </w:pPr>
      <w:r w:rsidRPr="00F2629D">
        <w:rPr>
          <w:lang w:val="fr-FR"/>
        </w:rPr>
        <w:t>6.3.6.1</w:t>
      </w:r>
      <w:r w:rsidRPr="00F2629D">
        <w:rPr>
          <w:lang w:val="fr-FR"/>
        </w:rPr>
        <w:tab/>
        <w:t>Orientation verticale</w:t>
      </w:r>
    </w:p>
    <w:p w14:paraId="3393DFEE" w14:textId="092D8840" w:rsidR="00296F9D" w:rsidRPr="00F2629D" w:rsidRDefault="00296F9D" w:rsidP="00CA0FB4">
      <w:pPr>
        <w:pStyle w:val="SingleTxtG"/>
        <w:ind w:left="2268" w:hanging="1134"/>
        <w:rPr>
          <w:lang w:val="fr-FR"/>
        </w:rPr>
      </w:pPr>
      <w:r w:rsidRPr="00F2629D">
        <w:rPr>
          <w:lang w:val="fr-FR"/>
        </w:rPr>
        <w:t>6.3.6.1.1</w:t>
      </w:r>
      <w:r w:rsidRPr="00F2629D">
        <w:rPr>
          <w:lang w:val="fr-FR"/>
        </w:rPr>
        <w:tab/>
        <w:t>Lorsque le flux lumineux normal total de la source lumineuse n’excède pas 2 000 lm pour chaque feu de brouillard avant</w:t>
      </w:r>
      <w:r>
        <w:t> :</w:t>
      </w:r>
    </w:p>
    <w:p w14:paraId="4B0282F4" w14:textId="7322B28E" w:rsidR="00296F9D" w:rsidRPr="00F2629D" w:rsidRDefault="00296F9D" w:rsidP="00CA0FB4">
      <w:pPr>
        <w:pStyle w:val="SingleTxtG"/>
        <w:ind w:left="2268" w:hanging="1134"/>
        <w:rPr>
          <w:lang w:val="fr-FR"/>
        </w:rPr>
      </w:pPr>
      <w:r w:rsidRPr="00F2629D">
        <w:rPr>
          <w:lang w:val="fr-FR"/>
        </w:rPr>
        <w:t>6.3.6.1.1.1</w:t>
      </w:r>
      <w:r w:rsidRPr="00F2629D">
        <w:rPr>
          <w:lang w:val="fr-FR"/>
        </w:rPr>
        <w:tab/>
        <w:t>L’inclinaison verticale de la ligne de coupure, qui doit être déterminée véhicule à vide avec une personne sur le siège du conducteur, doit être inférieure ou égale à -1,0</w:t>
      </w:r>
      <w:r w:rsidR="0035560C">
        <w:rPr>
          <w:lang w:val="fr-FR"/>
        </w:rPr>
        <w:t> %</w:t>
      </w:r>
      <w:r w:rsidRPr="00F2629D">
        <w:rPr>
          <w:lang w:val="fr-FR"/>
        </w:rPr>
        <w:t>.</w:t>
      </w:r>
    </w:p>
    <w:p w14:paraId="3A66AE25" w14:textId="0E95B684" w:rsidR="00296F9D" w:rsidRPr="00F2629D" w:rsidRDefault="00296F9D" w:rsidP="00CA0FB4">
      <w:pPr>
        <w:pStyle w:val="SingleTxtG"/>
        <w:ind w:left="2268" w:hanging="1134"/>
        <w:rPr>
          <w:lang w:val="fr-FR"/>
        </w:rPr>
      </w:pPr>
      <w:r w:rsidRPr="00F2629D">
        <w:rPr>
          <w:lang w:val="fr-FR"/>
        </w:rPr>
        <w:t>6.3.6.1.2</w:t>
      </w:r>
      <w:r w:rsidRPr="00F2629D">
        <w:rPr>
          <w:lang w:val="fr-FR"/>
        </w:rPr>
        <w:tab/>
        <w:t>Lorsque le flux lumineux normal total de la source lumineuse excède 2 000 lm pour chaque feu de brouillard avant</w:t>
      </w:r>
      <w:r>
        <w:t> :</w:t>
      </w:r>
    </w:p>
    <w:p w14:paraId="6129475A" w14:textId="77777777" w:rsidR="0035560C" w:rsidRDefault="00296F9D" w:rsidP="00CA0FB4">
      <w:pPr>
        <w:pStyle w:val="SingleTxtG"/>
        <w:ind w:left="2268" w:hanging="1134"/>
      </w:pPr>
      <w:r w:rsidRPr="00F2629D">
        <w:rPr>
          <w:lang w:val="fr-FR"/>
        </w:rPr>
        <w:t>6.3.6.1.2.1</w:t>
      </w:r>
      <w:r w:rsidRPr="00F2629D">
        <w:rPr>
          <w:lang w:val="fr-FR"/>
        </w:rPr>
        <w:tab/>
        <w:t>Selon la hauteur (h) en m du bord inférieur de la surface apparente dans la direction de l’axe de référence du feu de brouillard avant, mesurée sur le véhicule à vide, l’inclinaison verticale de la ligne de coupure, dans toutes les conditions statiques de charge définies à l’annexe 5, doit demeurer automatiquement dans les limites suivantes</w:t>
      </w:r>
      <w:r>
        <w:t> :</w:t>
      </w:r>
    </w:p>
    <w:p w14:paraId="3B31A38F" w14:textId="3154A5A8" w:rsidR="0035560C" w:rsidRDefault="00296F9D" w:rsidP="0035560C">
      <w:pPr>
        <w:pStyle w:val="SingleTxtG"/>
        <w:ind w:left="2268"/>
        <w:rPr>
          <w:lang w:val="fr-FR"/>
        </w:rPr>
      </w:pPr>
      <w:r w:rsidRPr="00F2629D">
        <w:rPr>
          <w:lang w:val="fr-FR"/>
        </w:rPr>
        <w:t>h ≤ 0,8</w:t>
      </w:r>
      <w:r w:rsidR="0085417F">
        <w:rPr>
          <w:lang w:val="fr-FR"/>
        </w:rPr>
        <w:tab/>
      </w:r>
    </w:p>
    <w:p w14:paraId="479BB286" w14:textId="6B96FE4E" w:rsidR="0035560C" w:rsidRDefault="00296F9D" w:rsidP="00537707">
      <w:pPr>
        <w:pStyle w:val="SingleTxtG"/>
        <w:tabs>
          <w:tab w:val="left" w:pos="4536"/>
        </w:tabs>
        <w:ind w:left="2268"/>
        <w:rPr>
          <w:lang w:val="fr-FR"/>
        </w:rPr>
      </w:pPr>
      <w:r w:rsidRPr="00F2629D">
        <w:rPr>
          <w:lang w:val="fr-FR"/>
        </w:rPr>
        <w:t>Limites</w:t>
      </w:r>
      <w:r>
        <w:t> :</w:t>
      </w:r>
      <w:r w:rsidR="0085417F">
        <w:rPr>
          <w:lang w:val="fr-FR"/>
        </w:rPr>
        <w:tab/>
      </w:r>
      <w:r w:rsidRPr="00F2629D">
        <w:rPr>
          <w:lang w:val="fr-FR"/>
        </w:rPr>
        <w:t>entre -1,0</w:t>
      </w:r>
      <w:r w:rsidR="0035560C">
        <w:rPr>
          <w:lang w:val="fr-FR"/>
        </w:rPr>
        <w:t> %</w:t>
      </w:r>
      <w:r w:rsidRPr="00F2629D">
        <w:rPr>
          <w:lang w:val="fr-FR"/>
        </w:rPr>
        <w:t xml:space="preserve"> et -3,0</w:t>
      </w:r>
      <w:r w:rsidR="0035560C">
        <w:rPr>
          <w:lang w:val="fr-FR"/>
        </w:rPr>
        <w:t> %</w:t>
      </w:r>
    </w:p>
    <w:p w14:paraId="463A9AB7" w14:textId="06D7ECB2" w:rsidR="00296F9D" w:rsidRPr="00F2629D" w:rsidRDefault="00296F9D" w:rsidP="00537707">
      <w:pPr>
        <w:pStyle w:val="SingleTxtG"/>
        <w:tabs>
          <w:tab w:val="left" w:pos="4536"/>
        </w:tabs>
        <w:ind w:left="2268"/>
        <w:rPr>
          <w:lang w:val="fr-FR"/>
        </w:rPr>
      </w:pPr>
      <w:r w:rsidRPr="00F2629D">
        <w:rPr>
          <w:lang w:val="fr-FR"/>
        </w:rPr>
        <w:t>Orientation initiale</w:t>
      </w:r>
      <w:r>
        <w:t> :</w:t>
      </w:r>
      <w:r w:rsidRPr="00F2629D">
        <w:rPr>
          <w:lang w:val="fr-FR"/>
        </w:rPr>
        <w:tab/>
        <w:t>entre -1,5</w:t>
      </w:r>
      <w:r w:rsidR="0035560C">
        <w:rPr>
          <w:lang w:val="fr-FR"/>
        </w:rPr>
        <w:t> %</w:t>
      </w:r>
      <w:r w:rsidRPr="00F2629D">
        <w:rPr>
          <w:lang w:val="fr-FR"/>
        </w:rPr>
        <w:t xml:space="preserve"> et -2,0</w:t>
      </w:r>
      <w:r w:rsidR="0035560C">
        <w:rPr>
          <w:lang w:val="fr-FR"/>
        </w:rPr>
        <w:t> %</w:t>
      </w:r>
    </w:p>
    <w:p w14:paraId="520B83E3" w14:textId="77777777" w:rsidR="0035560C" w:rsidRDefault="00296F9D" w:rsidP="0035560C">
      <w:pPr>
        <w:pStyle w:val="SingleTxtG"/>
        <w:ind w:left="2268"/>
        <w:rPr>
          <w:lang w:val="fr-FR"/>
        </w:rPr>
      </w:pPr>
      <w:r w:rsidRPr="00F2629D">
        <w:rPr>
          <w:lang w:val="fr-FR"/>
        </w:rPr>
        <w:t>h &gt; 0,8</w:t>
      </w:r>
    </w:p>
    <w:p w14:paraId="17164B8C" w14:textId="11EB2248" w:rsidR="0035560C" w:rsidRDefault="00296F9D" w:rsidP="00537707">
      <w:pPr>
        <w:pStyle w:val="SingleTxtG"/>
        <w:tabs>
          <w:tab w:val="left" w:pos="4536"/>
        </w:tabs>
        <w:ind w:left="2268"/>
        <w:rPr>
          <w:lang w:val="fr-FR"/>
        </w:rPr>
      </w:pPr>
      <w:r w:rsidRPr="00F2629D">
        <w:rPr>
          <w:lang w:val="fr-FR"/>
        </w:rPr>
        <w:t>Limites</w:t>
      </w:r>
      <w:r>
        <w:t> :</w:t>
      </w:r>
      <w:r w:rsidR="0085417F">
        <w:rPr>
          <w:lang w:val="fr-FR"/>
        </w:rPr>
        <w:tab/>
      </w:r>
      <w:r w:rsidRPr="00F2629D">
        <w:rPr>
          <w:lang w:val="fr-FR"/>
        </w:rPr>
        <w:t>entre -1,5</w:t>
      </w:r>
      <w:r w:rsidR="0035560C">
        <w:rPr>
          <w:lang w:val="fr-FR"/>
        </w:rPr>
        <w:t> %</w:t>
      </w:r>
      <w:r w:rsidRPr="00F2629D">
        <w:rPr>
          <w:lang w:val="fr-FR"/>
        </w:rPr>
        <w:t xml:space="preserve"> et -3,5</w:t>
      </w:r>
      <w:r w:rsidR="0035560C">
        <w:rPr>
          <w:lang w:val="fr-FR"/>
        </w:rPr>
        <w:t> %</w:t>
      </w:r>
    </w:p>
    <w:p w14:paraId="1483C394" w14:textId="048ED0D1" w:rsidR="00296F9D" w:rsidRPr="00F2629D" w:rsidRDefault="00296F9D" w:rsidP="00537707">
      <w:pPr>
        <w:pStyle w:val="SingleTxtG"/>
        <w:tabs>
          <w:tab w:val="left" w:pos="4536"/>
        </w:tabs>
        <w:ind w:left="2268"/>
        <w:rPr>
          <w:lang w:val="fr-FR"/>
        </w:rPr>
      </w:pPr>
      <w:r w:rsidRPr="00F2629D">
        <w:rPr>
          <w:lang w:val="fr-FR"/>
        </w:rPr>
        <w:t>Orientation initiale</w:t>
      </w:r>
      <w:r>
        <w:t> :</w:t>
      </w:r>
      <w:r w:rsidRPr="00F2629D">
        <w:rPr>
          <w:lang w:val="fr-FR"/>
        </w:rPr>
        <w:tab/>
        <w:t>entre -2,0</w:t>
      </w:r>
      <w:r w:rsidR="0035560C">
        <w:rPr>
          <w:lang w:val="fr-FR"/>
        </w:rPr>
        <w:t> %</w:t>
      </w:r>
      <w:r w:rsidRPr="00F2629D">
        <w:rPr>
          <w:lang w:val="fr-FR"/>
        </w:rPr>
        <w:t xml:space="preserve"> et -2,5</w:t>
      </w:r>
      <w:r w:rsidR="0035560C">
        <w:rPr>
          <w:lang w:val="fr-FR"/>
        </w:rPr>
        <w:t> %</w:t>
      </w:r>
      <w:r w:rsidRPr="00F2629D">
        <w:rPr>
          <w:lang w:val="fr-FR"/>
        </w:rPr>
        <w:t>.</w:t>
      </w:r>
    </w:p>
    <w:p w14:paraId="1DF2C9B4" w14:textId="48DF4650" w:rsidR="00296F9D" w:rsidRPr="00F2629D" w:rsidRDefault="00296F9D" w:rsidP="00CA0FB4">
      <w:pPr>
        <w:pStyle w:val="SingleTxtG"/>
        <w:ind w:left="2268" w:hanging="1134"/>
        <w:rPr>
          <w:bCs/>
          <w:lang w:val="fr-FR"/>
        </w:rPr>
      </w:pPr>
      <w:r w:rsidRPr="00F2629D">
        <w:rPr>
          <w:lang w:val="fr-FR"/>
        </w:rPr>
        <w:t>6.3.6.1.2.2</w:t>
      </w:r>
      <w:r w:rsidRPr="00F2629D">
        <w:rPr>
          <w:lang w:val="fr-FR"/>
        </w:rPr>
        <w:tab/>
        <w:t>La valeur initiale de l’inclinaison vers le bas de la ligne de coupure, qui doit être déterminée véhicule à vide avec une personne sur le siège du conducteur, doit être spécifiée à 0,1</w:t>
      </w:r>
      <w:r w:rsidR="0035560C">
        <w:rPr>
          <w:lang w:val="fr-FR"/>
        </w:rPr>
        <w:t> %</w:t>
      </w:r>
      <w:r w:rsidRPr="00F2629D">
        <w:rPr>
          <w:lang w:val="fr-FR"/>
        </w:rPr>
        <w:t xml:space="preserve"> près par le constructeur et être indiquée d’une manière lisible et indélébile sur chaque véhicule, à proximité soit du feu de brouillard avant soit de la plaque du constructeur ou en combinaison avec </w:t>
      </w:r>
      <w:r w:rsidRPr="00F2629D">
        <w:rPr>
          <w:lang w:val="fr-FR"/>
        </w:rPr>
        <w:lastRenderedPageBreak/>
        <w:t>l’indication mentionnée au paragraphe</w:t>
      </w:r>
      <w:r w:rsidR="00E30C23">
        <w:rPr>
          <w:lang w:val="fr-FR"/>
        </w:rPr>
        <w:t xml:space="preserve"> </w:t>
      </w:r>
      <w:r w:rsidRPr="00F2629D">
        <w:rPr>
          <w:lang w:val="fr-FR"/>
        </w:rPr>
        <w:t>6.2.6.1.1, au moyen du symbole représenté à l’annexe</w:t>
      </w:r>
      <w:r w:rsidR="005429BD">
        <w:rPr>
          <w:lang w:val="fr-FR"/>
        </w:rPr>
        <w:t xml:space="preserve"> </w:t>
      </w:r>
      <w:r w:rsidRPr="00F2629D">
        <w:rPr>
          <w:lang w:val="fr-FR"/>
        </w:rPr>
        <w:t>7 du présent Règlement. La valeur de cette inclinaison vers le bas est définie conformément au paragraphe 6.3.6.1.2.1.</w:t>
      </w:r>
    </w:p>
    <w:p w14:paraId="0630B611" w14:textId="77777777" w:rsidR="00296F9D" w:rsidRPr="00F2629D" w:rsidRDefault="00296F9D" w:rsidP="00CA0FB4">
      <w:pPr>
        <w:pStyle w:val="SingleTxtG"/>
        <w:ind w:left="2268" w:hanging="1134"/>
        <w:rPr>
          <w:bCs/>
          <w:lang w:val="fr-FR"/>
        </w:rPr>
      </w:pPr>
      <w:r w:rsidRPr="00F2629D">
        <w:rPr>
          <w:lang w:val="fr-FR"/>
        </w:rPr>
        <w:t>6.3.6.2</w:t>
      </w:r>
      <w:r w:rsidRPr="00F2629D">
        <w:rPr>
          <w:lang w:val="fr-FR"/>
        </w:rPr>
        <w:tab/>
        <w:t>Dispositif de réglage de la portée des feux de brouillard avant</w:t>
      </w:r>
    </w:p>
    <w:p w14:paraId="15C55C15" w14:textId="77777777" w:rsidR="00296F9D" w:rsidRPr="00F2629D" w:rsidRDefault="00296F9D" w:rsidP="00CA0FB4">
      <w:pPr>
        <w:pStyle w:val="SingleTxtG"/>
        <w:ind w:left="2268" w:hanging="1134"/>
        <w:rPr>
          <w:bCs/>
          <w:lang w:val="fr-FR"/>
        </w:rPr>
      </w:pPr>
      <w:r w:rsidRPr="00F2629D">
        <w:rPr>
          <w:lang w:val="fr-FR"/>
        </w:rPr>
        <w:t>6.3.6.2.1</w:t>
      </w:r>
      <w:r w:rsidRPr="00F2629D">
        <w:rPr>
          <w:lang w:val="fr-FR"/>
        </w:rPr>
        <w:tab/>
        <w:t>Si un dispositif de réglage en site est installé sur un feu de brouillard avant, indépendant ou groupé avec d’autres dispositifs d’éclairage et de signalisation lumineuse avant, il doit être tel que, dans toutes les conditions statiques de charge définies à l’annexe 5 du présent Règlement, l’inclinaison verticale reste dans les limites prescrites au paragraphe 6.3.6.1.2.1.</w:t>
      </w:r>
    </w:p>
    <w:p w14:paraId="36933E01" w14:textId="77777777" w:rsidR="0035560C" w:rsidRDefault="00296F9D" w:rsidP="005429BD">
      <w:pPr>
        <w:pStyle w:val="SingleTxtG"/>
        <w:ind w:left="2268" w:hanging="1134"/>
        <w:rPr>
          <w:bCs/>
          <w:lang w:val="fr-FR"/>
        </w:rPr>
      </w:pPr>
      <w:r w:rsidRPr="00F2629D">
        <w:rPr>
          <w:lang w:val="fr-FR"/>
        </w:rPr>
        <w:t>6.3.6.2.2</w:t>
      </w:r>
      <w:r w:rsidRPr="00F2629D">
        <w:rPr>
          <w:lang w:val="fr-FR"/>
        </w:rPr>
        <w:tab/>
        <w:t>Si le feu de brouillard avant fait partie du feu de croisement ou d’un système d’éclairage avant adaptatif, les prescriptions du paragraphe 6.2.6 s’appliquent pendant l’utilisation du faisceau de brouillard avant en tant que partie du faisceau de croisement.</w:t>
      </w:r>
    </w:p>
    <w:p w14:paraId="3AC1B04B" w14:textId="0C6BB28B" w:rsidR="00296F9D" w:rsidRPr="00F2629D" w:rsidRDefault="00296F9D" w:rsidP="0035560C">
      <w:pPr>
        <w:pStyle w:val="SingleTxtG"/>
        <w:ind w:left="2268"/>
        <w:rPr>
          <w:bCs/>
          <w:lang w:val="fr-FR"/>
        </w:rPr>
      </w:pPr>
      <w:r w:rsidRPr="00F2629D">
        <w:rPr>
          <w:lang w:val="fr-FR"/>
        </w:rPr>
        <w:t>Dans ce cas, les valeurs limites définies au paragraphe 6.2.6 peuvent s’appliquer également lorsque ce feu de brouillard avant est utilisé en tant que</w:t>
      </w:r>
      <w:r w:rsidR="005429BD">
        <w:rPr>
          <w:lang w:val="fr-FR"/>
        </w:rPr>
        <w:t> </w:t>
      </w:r>
      <w:r w:rsidRPr="00F2629D">
        <w:rPr>
          <w:lang w:val="fr-FR"/>
        </w:rPr>
        <w:t>tel.</w:t>
      </w:r>
    </w:p>
    <w:p w14:paraId="3394F39B" w14:textId="77777777" w:rsidR="00296F9D" w:rsidRPr="00F2629D" w:rsidRDefault="00296F9D" w:rsidP="005429BD">
      <w:pPr>
        <w:pStyle w:val="SingleTxtG"/>
        <w:ind w:left="2268" w:hanging="1134"/>
        <w:rPr>
          <w:bCs/>
          <w:lang w:val="fr-FR"/>
        </w:rPr>
      </w:pPr>
      <w:r w:rsidRPr="00F2629D">
        <w:rPr>
          <w:lang w:val="fr-FR"/>
        </w:rPr>
        <w:t>6.3.6.2.3</w:t>
      </w:r>
      <w:r w:rsidRPr="00F2629D">
        <w:rPr>
          <w:lang w:val="fr-FR"/>
        </w:rPr>
        <w:tab/>
        <w:t>Le dispositif de réglage peut aussi être utilisé pour ajuster automatiquement l’inclinaison du faisceau de brouillard avant en fonction des conditions ambiantes, pour autant que la valeur de l’inclinaison vers le bas reste dans les limites indiquées au paragraphe 6.3.6.1.2.1.</w:t>
      </w:r>
    </w:p>
    <w:p w14:paraId="74524A49" w14:textId="77777777" w:rsidR="00296F9D" w:rsidRPr="00F2629D" w:rsidRDefault="00296F9D" w:rsidP="005429BD">
      <w:pPr>
        <w:pStyle w:val="SingleTxtG"/>
        <w:ind w:left="2268" w:hanging="1134"/>
        <w:rPr>
          <w:i/>
          <w:lang w:val="fr-FR"/>
        </w:rPr>
      </w:pPr>
      <w:r w:rsidRPr="00F2629D">
        <w:rPr>
          <w:lang w:val="fr-FR"/>
        </w:rPr>
        <w:t>6.3.6.2.4</w:t>
      </w:r>
      <w:r w:rsidRPr="00F2629D">
        <w:rPr>
          <w:lang w:val="fr-FR"/>
        </w:rPr>
        <w:tab/>
        <w:t>En cas de défaillance du dispositif de réglage, le faisceau de brouillard avant ne doit pas se retrouver dans une position dans laquelle la ligne de coupure soit moins inclinée qu’elle ne l’était au moment où la défaillance s’est produite. ».</w:t>
      </w:r>
    </w:p>
    <w:p w14:paraId="13F8CF94" w14:textId="0945EE4D" w:rsidR="00296F9D" w:rsidRPr="00F2629D" w:rsidRDefault="00296F9D" w:rsidP="005B0C72">
      <w:pPr>
        <w:pStyle w:val="SingleTxtG"/>
        <w:keepNext/>
        <w:rPr>
          <w:rFonts w:eastAsia="MS Mincho"/>
          <w:lang w:val="fr-FR"/>
        </w:rPr>
      </w:pPr>
      <w:r w:rsidRPr="00F2629D">
        <w:rPr>
          <w:i/>
          <w:iCs/>
          <w:lang w:val="fr-FR"/>
        </w:rPr>
        <w:t>Paragraphe 6.3.9</w:t>
      </w:r>
      <w:r w:rsidRPr="00F2629D">
        <w:rPr>
          <w:lang w:val="fr-FR"/>
        </w:rPr>
        <w:t>, lire</w:t>
      </w:r>
      <w:r>
        <w:rPr>
          <w:lang w:val="fr-FR"/>
        </w:rPr>
        <w:t> :</w:t>
      </w:r>
    </w:p>
    <w:p w14:paraId="2EAD995D" w14:textId="77777777" w:rsidR="0035560C" w:rsidRDefault="00296F9D" w:rsidP="00CA0FB4">
      <w:pPr>
        <w:pStyle w:val="SingleTxtG"/>
        <w:keepNext/>
        <w:ind w:left="2268" w:right="992" w:hanging="1134"/>
        <w:rPr>
          <w:u w:val="single"/>
          <w:lang w:val="fr-FR"/>
        </w:rPr>
      </w:pPr>
      <w:r w:rsidRPr="00F2629D">
        <w:rPr>
          <w:lang w:val="fr-FR"/>
        </w:rPr>
        <w:t>« 6.3.9</w:t>
      </w:r>
      <w:r w:rsidRPr="00F2629D">
        <w:rPr>
          <w:lang w:val="fr-FR"/>
        </w:rPr>
        <w:tab/>
        <w:t>Autres prescriptions</w:t>
      </w:r>
    </w:p>
    <w:p w14:paraId="75411596" w14:textId="6BFAB7D2" w:rsidR="00296F9D" w:rsidRPr="00F2629D" w:rsidRDefault="00296F9D" w:rsidP="005429BD">
      <w:pPr>
        <w:pStyle w:val="SingleTxtG"/>
        <w:ind w:left="2268"/>
        <w:rPr>
          <w:lang w:val="fr-FR"/>
        </w:rPr>
      </w:pPr>
      <w:r w:rsidRPr="00F2629D">
        <w:rPr>
          <w:lang w:val="fr-FR"/>
        </w:rPr>
        <w:t>En cas de réponse affirmative à la question “</w:t>
      </w:r>
      <w:r w:rsidRPr="00E30C23">
        <w:rPr>
          <w:i/>
          <w:iCs/>
          <w:lang w:val="fr-FR"/>
        </w:rPr>
        <w:t>L’intensité lumineuse est variable</w:t>
      </w:r>
      <w:r w:rsidRPr="00F2629D">
        <w:rPr>
          <w:lang w:val="fr-FR"/>
        </w:rPr>
        <w:t>” dans la fiche de communication figurant à l’annexe</w:t>
      </w:r>
      <w:r w:rsidR="00E30C23">
        <w:rPr>
          <w:lang w:val="fr-FR"/>
        </w:rPr>
        <w:t xml:space="preserve"> </w:t>
      </w:r>
      <w:r w:rsidRPr="00F2629D">
        <w:rPr>
          <w:lang w:val="fr-FR"/>
        </w:rPr>
        <w:t>1 du Règlement ONU n</w:t>
      </w:r>
      <w:r w:rsidRPr="00F2629D">
        <w:rPr>
          <w:vertAlign w:val="superscript"/>
          <w:lang w:val="fr-FR"/>
        </w:rPr>
        <w:t>o</w:t>
      </w:r>
      <w:r w:rsidRPr="00F2629D">
        <w:rPr>
          <w:lang w:val="fr-FR"/>
        </w:rPr>
        <w:t> 19 ou 149, l’alignement et les intensités lumineuses du faisceau de brouillard avant peuvent être ajustés automatiquement en fonction des conditions ambiantes. Toute modification des intensités lumineuses ou de l’alignement doit s’effectuer automatiquement et sans aucune gêne, ni pour le conducteur ni pour les autres usagers de la route. ».</w:t>
      </w:r>
    </w:p>
    <w:p w14:paraId="5CE62296" w14:textId="06F9D00E" w:rsidR="00296F9D" w:rsidRPr="00F2629D" w:rsidRDefault="00296F9D" w:rsidP="005B0C72">
      <w:pPr>
        <w:pStyle w:val="SingleTxtG"/>
        <w:keepNext/>
        <w:rPr>
          <w:lang w:val="fr-FR"/>
        </w:rPr>
      </w:pPr>
      <w:r w:rsidRPr="00F2629D">
        <w:rPr>
          <w:i/>
          <w:iCs/>
          <w:lang w:val="fr-FR"/>
        </w:rPr>
        <w:t>Paragraphe 6.4</w:t>
      </w:r>
      <w:r w:rsidRPr="00F2629D">
        <w:rPr>
          <w:lang w:val="fr-FR"/>
        </w:rPr>
        <w:t>, lire</w:t>
      </w:r>
      <w:r>
        <w:rPr>
          <w:lang w:val="fr-FR"/>
        </w:rPr>
        <w:t> :</w:t>
      </w:r>
    </w:p>
    <w:p w14:paraId="03C9C184" w14:textId="77777777" w:rsidR="00296F9D" w:rsidRPr="00F2629D" w:rsidRDefault="00296F9D" w:rsidP="00F4358F">
      <w:pPr>
        <w:pStyle w:val="SingleTxtG"/>
        <w:ind w:left="2268" w:right="992" w:hanging="1134"/>
        <w:rPr>
          <w:lang w:val="fr-FR"/>
        </w:rPr>
      </w:pPr>
      <w:r w:rsidRPr="00F2629D">
        <w:rPr>
          <w:lang w:val="fr-FR"/>
        </w:rPr>
        <w:t>« 6.4</w:t>
      </w:r>
      <w:r w:rsidRPr="00F2629D">
        <w:rPr>
          <w:lang w:val="fr-FR"/>
        </w:rPr>
        <w:tab/>
        <w:t>Feu de marche arrière ».</w:t>
      </w:r>
    </w:p>
    <w:p w14:paraId="6E11A371" w14:textId="3C6D3BBE" w:rsidR="00296F9D" w:rsidRPr="00F2629D" w:rsidRDefault="00296F9D" w:rsidP="005B0C72">
      <w:pPr>
        <w:pStyle w:val="SingleTxtG"/>
        <w:keepNext/>
        <w:rPr>
          <w:lang w:val="fr-FR"/>
        </w:rPr>
      </w:pPr>
      <w:r w:rsidRPr="00F2629D">
        <w:rPr>
          <w:i/>
          <w:iCs/>
          <w:lang w:val="fr-FR"/>
        </w:rPr>
        <w:t>Ajouter le nouveau paragraphe 6.4.2.3</w:t>
      </w:r>
      <w:r w:rsidRPr="00F2629D">
        <w:rPr>
          <w:lang w:val="fr-FR"/>
        </w:rPr>
        <w:t>, libellé comme suit</w:t>
      </w:r>
      <w:r>
        <w:rPr>
          <w:lang w:val="fr-FR"/>
        </w:rPr>
        <w:t> :</w:t>
      </w:r>
    </w:p>
    <w:p w14:paraId="35B8129F" w14:textId="6F8D543D" w:rsidR="00296F9D" w:rsidRPr="00F2629D" w:rsidRDefault="00296F9D" w:rsidP="005429BD">
      <w:pPr>
        <w:pStyle w:val="SingleTxtG"/>
        <w:ind w:left="2268" w:hanging="1134"/>
        <w:rPr>
          <w:lang w:val="fr-FR"/>
        </w:rPr>
      </w:pPr>
      <w:r w:rsidRPr="00F2629D">
        <w:rPr>
          <w:lang w:val="fr-FR"/>
        </w:rPr>
        <w:t>« 6.4.2.3</w:t>
      </w:r>
      <w:r w:rsidRPr="00F2629D">
        <w:rPr>
          <w:lang w:val="fr-FR"/>
        </w:rPr>
        <w:tab/>
        <w:t>Ces feux doivent être homologués conformément à la série originale ou à une série ultérieure d’amendements au Règlement ONU n</w:t>
      </w:r>
      <w:r w:rsidRPr="00F2629D">
        <w:rPr>
          <w:vertAlign w:val="superscript"/>
          <w:lang w:val="fr-FR"/>
        </w:rPr>
        <w:t>o</w:t>
      </w:r>
      <w:r w:rsidR="00CA0FB4">
        <w:rPr>
          <w:lang w:val="fr-FR"/>
        </w:rPr>
        <w:t> </w:t>
      </w:r>
      <w:r w:rsidRPr="00F2629D">
        <w:rPr>
          <w:lang w:val="fr-FR"/>
        </w:rPr>
        <w:t>23, ou à la série originale ou à une série ultérieure d’amendements au Règlement ONU n</w:t>
      </w:r>
      <w:r w:rsidRPr="00F2629D">
        <w:rPr>
          <w:vertAlign w:val="superscript"/>
          <w:lang w:val="fr-FR"/>
        </w:rPr>
        <w:t>o</w:t>
      </w:r>
      <w:r w:rsidRPr="00F2629D">
        <w:rPr>
          <w:lang w:val="fr-FR"/>
        </w:rPr>
        <w:t> 148. ».</w:t>
      </w:r>
      <w:bookmarkStart w:id="1" w:name="_Hlk153450345"/>
      <w:bookmarkEnd w:id="1"/>
    </w:p>
    <w:p w14:paraId="71AF3F3E" w14:textId="33E06D4A" w:rsidR="00296F9D" w:rsidRPr="00F2629D" w:rsidRDefault="00296F9D" w:rsidP="005B0C72">
      <w:pPr>
        <w:pStyle w:val="SingleTxtG"/>
        <w:keepNext/>
        <w:rPr>
          <w:lang w:val="fr-FR"/>
        </w:rPr>
      </w:pPr>
      <w:r w:rsidRPr="00F2629D">
        <w:rPr>
          <w:i/>
          <w:iCs/>
          <w:lang w:val="fr-FR"/>
        </w:rPr>
        <w:t>Paragraphe 6.5</w:t>
      </w:r>
      <w:r w:rsidRPr="00F2629D">
        <w:rPr>
          <w:lang w:val="fr-FR"/>
        </w:rPr>
        <w:t>, lire</w:t>
      </w:r>
      <w:r>
        <w:rPr>
          <w:lang w:val="fr-FR"/>
        </w:rPr>
        <w:t> :</w:t>
      </w:r>
    </w:p>
    <w:p w14:paraId="6B1A136C" w14:textId="77777777" w:rsidR="00296F9D" w:rsidRPr="00F2629D" w:rsidRDefault="00296F9D" w:rsidP="00F4358F">
      <w:pPr>
        <w:pStyle w:val="SingleTxtG"/>
        <w:ind w:left="2268" w:right="992" w:hanging="1134"/>
        <w:rPr>
          <w:lang w:val="fr-FR"/>
        </w:rPr>
      </w:pPr>
      <w:r w:rsidRPr="00F2629D">
        <w:rPr>
          <w:lang w:val="fr-FR"/>
        </w:rPr>
        <w:t>« 6.5</w:t>
      </w:r>
      <w:r w:rsidRPr="00F2629D">
        <w:rPr>
          <w:lang w:val="fr-FR"/>
        </w:rPr>
        <w:tab/>
        <w:t>Feu indicateur de direction ».</w:t>
      </w:r>
    </w:p>
    <w:p w14:paraId="626817A2" w14:textId="3E435A3A" w:rsidR="00296F9D" w:rsidRPr="00F2629D" w:rsidRDefault="00296F9D" w:rsidP="005B0C72">
      <w:pPr>
        <w:pStyle w:val="SingleTxtG"/>
        <w:keepNext/>
        <w:rPr>
          <w:lang w:val="fr-FR"/>
        </w:rPr>
      </w:pPr>
      <w:r w:rsidRPr="00F2629D">
        <w:rPr>
          <w:i/>
          <w:iCs/>
          <w:lang w:val="fr-FR"/>
        </w:rPr>
        <w:t>Paragraphe 6.5.2</w:t>
      </w:r>
      <w:r w:rsidRPr="00F2629D">
        <w:rPr>
          <w:lang w:val="fr-FR"/>
        </w:rPr>
        <w:t>, lire</w:t>
      </w:r>
      <w:r>
        <w:rPr>
          <w:lang w:val="fr-FR"/>
        </w:rPr>
        <w:t> :</w:t>
      </w:r>
    </w:p>
    <w:p w14:paraId="4E5F965D" w14:textId="77777777" w:rsidR="00296F9D" w:rsidRPr="00F2629D" w:rsidRDefault="00296F9D" w:rsidP="00CA0FB4">
      <w:pPr>
        <w:pStyle w:val="SingleTxtG"/>
        <w:keepNext/>
        <w:ind w:left="2268" w:right="992" w:hanging="1134"/>
        <w:rPr>
          <w:lang w:val="fr-FR"/>
        </w:rPr>
      </w:pPr>
      <w:r w:rsidRPr="00F2629D">
        <w:rPr>
          <w:lang w:val="fr-FR"/>
        </w:rPr>
        <w:t>« 6.5.2</w:t>
      </w:r>
      <w:r w:rsidRPr="00F2629D">
        <w:rPr>
          <w:lang w:val="fr-FR"/>
        </w:rPr>
        <w:tab/>
        <w:t>Nombre</w:t>
      </w:r>
    </w:p>
    <w:p w14:paraId="441858EF" w14:textId="77777777" w:rsidR="00296F9D" w:rsidRPr="00F2629D" w:rsidRDefault="00296F9D" w:rsidP="00CA0FB4">
      <w:pPr>
        <w:pStyle w:val="SingleTxtG"/>
        <w:keepNext/>
        <w:ind w:left="2268"/>
        <w:rPr>
          <w:lang w:val="fr-FR"/>
        </w:rPr>
      </w:pPr>
      <w:r w:rsidRPr="00F2629D">
        <w:rPr>
          <w:lang w:val="fr-FR"/>
        </w:rPr>
        <w:t>Selon le schéma de montage.</w:t>
      </w:r>
    </w:p>
    <w:p w14:paraId="751898EB" w14:textId="343AB979" w:rsidR="00296F9D" w:rsidRPr="00F2629D" w:rsidRDefault="00296F9D" w:rsidP="0035560C">
      <w:pPr>
        <w:pStyle w:val="SingleTxtG"/>
        <w:ind w:left="2268"/>
        <w:rPr>
          <w:lang w:val="fr-FR"/>
        </w:rPr>
      </w:pPr>
      <w:r w:rsidRPr="00F2629D">
        <w:rPr>
          <w:lang w:val="fr-FR"/>
        </w:rPr>
        <w:t>Les feux doivent être homologués conformément à la série 01 ou à une série ultérieure d’amendements au Règlement ONU n</w:t>
      </w:r>
      <w:r w:rsidRPr="00F2629D">
        <w:rPr>
          <w:vertAlign w:val="superscript"/>
          <w:lang w:val="fr-FR"/>
        </w:rPr>
        <w:t>o</w:t>
      </w:r>
      <w:r w:rsidR="00CA0FB4">
        <w:rPr>
          <w:lang w:val="fr-FR"/>
        </w:rPr>
        <w:t> </w:t>
      </w:r>
      <w:r w:rsidRPr="00F2629D">
        <w:rPr>
          <w:lang w:val="fr-FR"/>
        </w:rPr>
        <w:t>6, ou à la série originale ou à une série ultérieure d’amendements au Règlement ONU n</w:t>
      </w:r>
      <w:r w:rsidRPr="00F2629D">
        <w:rPr>
          <w:vertAlign w:val="superscript"/>
          <w:lang w:val="fr-FR"/>
        </w:rPr>
        <w:t>o</w:t>
      </w:r>
      <w:r w:rsidR="00CA0FB4">
        <w:rPr>
          <w:lang w:val="fr-FR"/>
        </w:rPr>
        <w:t> </w:t>
      </w:r>
      <w:r w:rsidRPr="00F2629D">
        <w:rPr>
          <w:lang w:val="fr-FR"/>
        </w:rPr>
        <w:t>148. ».</w:t>
      </w:r>
    </w:p>
    <w:p w14:paraId="4BAF763E" w14:textId="646B63FD" w:rsidR="00296F9D" w:rsidRPr="00F2629D" w:rsidRDefault="00296F9D" w:rsidP="005B0C72">
      <w:pPr>
        <w:pStyle w:val="SingleTxtG"/>
        <w:keepNext/>
        <w:rPr>
          <w:lang w:val="fr-FR"/>
        </w:rPr>
      </w:pPr>
      <w:r w:rsidRPr="00F2629D">
        <w:rPr>
          <w:i/>
          <w:iCs/>
          <w:lang w:val="fr-FR"/>
        </w:rPr>
        <w:lastRenderedPageBreak/>
        <w:t>Paragraphe 6.5.8</w:t>
      </w:r>
      <w:r w:rsidRPr="00F2629D">
        <w:rPr>
          <w:lang w:val="fr-FR"/>
        </w:rPr>
        <w:t>, lire</w:t>
      </w:r>
      <w:r>
        <w:t> :</w:t>
      </w:r>
    </w:p>
    <w:p w14:paraId="25580091" w14:textId="77777777" w:rsidR="00296F9D" w:rsidRPr="00F2629D" w:rsidRDefault="00296F9D" w:rsidP="00CA0FB4">
      <w:pPr>
        <w:pStyle w:val="SingleTxtG"/>
        <w:keepNext/>
        <w:ind w:left="2268" w:right="992" w:hanging="1134"/>
        <w:rPr>
          <w:lang w:val="fr-FR"/>
        </w:rPr>
      </w:pPr>
      <w:r w:rsidRPr="00F2629D">
        <w:rPr>
          <w:lang w:val="fr-FR"/>
        </w:rPr>
        <w:t>« 6.5.8</w:t>
      </w:r>
      <w:r w:rsidRPr="00F2629D">
        <w:rPr>
          <w:lang w:val="fr-FR"/>
        </w:rPr>
        <w:tab/>
        <w:t>Témoin</w:t>
      </w:r>
    </w:p>
    <w:p w14:paraId="382105EE" w14:textId="77777777" w:rsidR="00296F9D" w:rsidRDefault="00296F9D" w:rsidP="0035560C">
      <w:pPr>
        <w:pStyle w:val="SingleTxtG"/>
        <w:ind w:left="2268"/>
      </w:pPr>
      <w:r w:rsidRPr="00F2629D">
        <w:rPr>
          <w:lang w:val="fr-FR"/>
        </w:rPr>
        <w:t>Témoin de fonctionnement obligatoire pour les feux indicateurs de direction des catégories 1, 1a, 1b, 2a et 2b. Il peut être optique ou acoustique, ou l’un et l’autre. S’il est optique, il doit être clignotant et s’éteindre ou rester allumé sans clignoter ou doit présenter un changement de fréquence marqué au moins en cas de fonctionnement défectueux de l’un quelconque de ces feux indicateurs de direction. S’il est exclusivement acoustique, il doit être nettement audible et présenter un changement de fréquence marqué au moins en cas de fonctionnement défectueux de l’un quelconque de ces feux indicateurs de direction.</w:t>
      </w:r>
    </w:p>
    <w:p w14:paraId="5F762384" w14:textId="388DEF45" w:rsidR="00296F9D" w:rsidRPr="00F2629D" w:rsidRDefault="00296F9D" w:rsidP="00CA0FB4">
      <w:pPr>
        <w:pStyle w:val="SingleTxtG"/>
        <w:keepNext/>
        <w:ind w:left="2268"/>
        <w:rPr>
          <w:lang w:val="fr-FR"/>
        </w:rPr>
      </w:pPr>
      <w:r w:rsidRPr="00F2629D">
        <w:rPr>
          <w:lang w:val="fr-FR"/>
        </w:rPr>
        <w:t>Il doit être activé par le signal produit conformément</w:t>
      </w:r>
      <w:r>
        <w:t> :</w:t>
      </w:r>
    </w:p>
    <w:p w14:paraId="523D6A8D" w14:textId="79858E8F" w:rsidR="00296F9D" w:rsidRPr="00F2629D" w:rsidRDefault="00E30C23" w:rsidP="00CA0FB4">
      <w:pPr>
        <w:pStyle w:val="Bullet2G"/>
        <w:ind w:left="2438"/>
        <w:rPr>
          <w:lang w:val="fr-FR"/>
        </w:rPr>
      </w:pPr>
      <w:r w:rsidRPr="00F2629D">
        <w:rPr>
          <w:lang w:val="fr-FR"/>
        </w:rPr>
        <w:t xml:space="preserve">Au </w:t>
      </w:r>
      <w:r w:rsidR="00296F9D" w:rsidRPr="00F2629D">
        <w:rPr>
          <w:lang w:val="fr-FR"/>
        </w:rPr>
        <w:t>paragraphe 6.2.2 du Règlement ONU n</w:t>
      </w:r>
      <w:r w:rsidR="00296F9D" w:rsidRPr="00F2629D">
        <w:rPr>
          <w:vertAlign w:val="superscript"/>
          <w:lang w:val="fr-FR"/>
        </w:rPr>
        <w:t>o</w:t>
      </w:r>
      <w:r w:rsidR="00CA0FB4">
        <w:rPr>
          <w:lang w:val="fr-FR"/>
        </w:rPr>
        <w:t> </w:t>
      </w:r>
      <w:r w:rsidR="00296F9D" w:rsidRPr="00F2629D">
        <w:rPr>
          <w:lang w:val="fr-FR"/>
        </w:rPr>
        <w:t>6 ou</w:t>
      </w:r>
    </w:p>
    <w:p w14:paraId="192D76C5" w14:textId="0A362B80" w:rsidR="00296F9D" w:rsidRPr="00F2629D" w:rsidRDefault="00E30C23" w:rsidP="00CA0FB4">
      <w:pPr>
        <w:pStyle w:val="Bullet2G"/>
        <w:ind w:left="2438"/>
        <w:rPr>
          <w:lang w:val="fr-FR"/>
        </w:rPr>
      </w:pPr>
      <w:r w:rsidRPr="00F2629D">
        <w:rPr>
          <w:lang w:val="fr-FR"/>
        </w:rPr>
        <w:t xml:space="preserve">Au </w:t>
      </w:r>
      <w:r w:rsidR="00296F9D" w:rsidRPr="00F2629D">
        <w:rPr>
          <w:lang w:val="fr-FR"/>
        </w:rPr>
        <w:t>paragraphe 5.6.3 de la série originale d’amendements au Règlement ONU n</w:t>
      </w:r>
      <w:r w:rsidR="00296F9D" w:rsidRPr="00F2629D">
        <w:rPr>
          <w:vertAlign w:val="superscript"/>
          <w:lang w:val="fr-FR"/>
        </w:rPr>
        <w:t>o</w:t>
      </w:r>
      <w:r w:rsidR="00CA0FB4">
        <w:rPr>
          <w:lang w:val="fr-FR"/>
        </w:rPr>
        <w:t> </w:t>
      </w:r>
      <w:r w:rsidR="00296F9D" w:rsidRPr="00F2629D">
        <w:rPr>
          <w:lang w:val="fr-FR"/>
        </w:rPr>
        <w:t>148 ou</w:t>
      </w:r>
    </w:p>
    <w:p w14:paraId="5B281114" w14:textId="48656923" w:rsidR="00296F9D" w:rsidRDefault="00E30C23" w:rsidP="00CA0FB4">
      <w:pPr>
        <w:pStyle w:val="Bullet2G"/>
        <w:ind w:left="2438"/>
      </w:pPr>
      <w:r w:rsidRPr="00F2629D">
        <w:rPr>
          <w:lang w:val="fr-FR"/>
        </w:rPr>
        <w:t xml:space="preserve">Au </w:t>
      </w:r>
      <w:r w:rsidR="00296F9D" w:rsidRPr="00F2629D">
        <w:rPr>
          <w:lang w:val="fr-FR"/>
        </w:rPr>
        <w:t>paragraphe 4.6.1.4 de la série 01 d’amendements au Règlement ONU n</w:t>
      </w:r>
      <w:r w:rsidR="00296F9D" w:rsidRPr="00F2629D">
        <w:rPr>
          <w:vertAlign w:val="superscript"/>
          <w:lang w:val="fr-FR"/>
        </w:rPr>
        <w:t>o</w:t>
      </w:r>
      <w:r w:rsidR="00296F9D" w:rsidRPr="00F2629D">
        <w:rPr>
          <w:lang w:val="fr-FR"/>
        </w:rPr>
        <w:t> 148 ou</w:t>
      </w:r>
    </w:p>
    <w:p w14:paraId="1FB5CF9F" w14:textId="10A0D781" w:rsidR="00296F9D" w:rsidRPr="00F2629D" w:rsidRDefault="00E30C23" w:rsidP="00CA0FB4">
      <w:pPr>
        <w:pStyle w:val="Bullet2G"/>
        <w:ind w:left="2438"/>
        <w:rPr>
          <w:lang w:val="fr-FR"/>
        </w:rPr>
      </w:pPr>
      <w:r w:rsidRPr="00F2629D">
        <w:rPr>
          <w:lang w:val="fr-FR"/>
        </w:rPr>
        <w:t xml:space="preserve">D’une </w:t>
      </w:r>
      <w:r w:rsidR="00296F9D" w:rsidRPr="00F2629D">
        <w:rPr>
          <w:lang w:val="fr-FR"/>
        </w:rPr>
        <w:t>autre manière qui convient.</w:t>
      </w:r>
    </w:p>
    <w:p w14:paraId="1FD18E12" w14:textId="77777777" w:rsidR="00296F9D" w:rsidRDefault="00296F9D" w:rsidP="0035560C">
      <w:pPr>
        <w:pStyle w:val="SingleTxtG"/>
        <w:ind w:left="2268"/>
      </w:pPr>
      <w:r w:rsidRPr="00F2629D">
        <w:rPr>
          <w:lang w:val="fr-FR"/>
        </w:rPr>
        <w:t>Lorsqu’un véhicule à moteur est équipé pour tracter une remorque, il doit être équipé d’un témoin lumineux spécial de fonctionnement pour les feux indicateurs de direction de la remorque, sauf si le témoin du véhicule tracteur permet de détecter la défaillance de l’un quelconque des feux indicateurs de direction de l’ensemble du véhicule ainsi formé.</w:t>
      </w:r>
    </w:p>
    <w:p w14:paraId="79023C26" w14:textId="2B24049C" w:rsidR="00296F9D" w:rsidRPr="00F2629D" w:rsidRDefault="00296F9D" w:rsidP="0035560C">
      <w:pPr>
        <w:pStyle w:val="SingleTxtG"/>
        <w:ind w:left="2268"/>
        <w:rPr>
          <w:lang w:val="fr-FR"/>
        </w:rPr>
      </w:pPr>
      <w:r w:rsidRPr="00F2629D">
        <w:rPr>
          <w:lang w:val="fr-FR"/>
        </w:rPr>
        <w:t>Pour les feux indicateurs de direction facultatifs des véhicules automobiles et des remorques, un témoin détecteur de défaillance n’est pas obligatoire. ».</w:t>
      </w:r>
    </w:p>
    <w:p w14:paraId="65CA6FD8" w14:textId="5FE686BB" w:rsidR="00296F9D" w:rsidRPr="00F2629D" w:rsidRDefault="00296F9D" w:rsidP="005B0C72">
      <w:pPr>
        <w:pStyle w:val="SingleTxtG"/>
        <w:keepNext/>
        <w:rPr>
          <w:lang w:val="fr-FR"/>
        </w:rPr>
      </w:pPr>
      <w:r w:rsidRPr="00F2629D">
        <w:rPr>
          <w:i/>
          <w:iCs/>
          <w:lang w:val="fr-FR"/>
        </w:rPr>
        <w:t>Paragraphe 6.7</w:t>
      </w:r>
      <w:r w:rsidRPr="00F2629D">
        <w:rPr>
          <w:lang w:val="fr-FR"/>
        </w:rPr>
        <w:t>, lire</w:t>
      </w:r>
      <w:r>
        <w:rPr>
          <w:lang w:val="fr-FR"/>
        </w:rPr>
        <w:t> :</w:t>
      </w:r>
    </w:p>
    <w:p w14:paraId="22319CFE" w14:textId="77777777" w:rsidR="00296F9D" w:rsidRPr="00F2629D" w:rsidRDefault="00296F9D" w:rsidP="00F4358F">
      <w:pPr>
        <w:pStyle w:val="SingleTxtG"/>
        <w:ind w:left="2268" w:right="992" w:hanging="1134"/>
        <w:rPr>
          <w:lang w:val="fr-FR"/>
        </w:rPr>
      </w:pPr>
      <w:r w:rsidRPr="00F2629D">
        <w:rPr>
          <w:lang w:val="fr-FR"/>
        </w:rPr>
        <w:t>« 6.7</w:t>
      </w:r>
      <w:r w:rsidRPr="00F2629D">
        <w:rPr>
          <w:lang w:val="fr-FR"/>
        </w:rPr>
        <w:tab/>
        <w:t>Feu-stop ».</w:t>
      </w:r>
    </w:p>
    <w:p w14:paraId="646088D9" w14:textId="054385FB" w:rsidR="00296F9D" w:rsidRPr="00F2629D" w:rsidRDefault="00296F9D" w:rsidP="005B0C72">
      <w:pPr>
        <w:pStyle w:val="SingleTxtG"/>
        <w:keepNext/>
        <w:rPr>
          <w:lang w:val="fr-FR"/>
        </w:rPr>
      </w:pPr>
      <w:r w:rsidRPr="00F2629D">
        <w:rPr>
          <w:i/>
          <w:iCs/>
          <w:lang w:val="fr-FR"/>
        </w:rPr>
        <w:t>Paragraphe 6.7.2</w:t>
      </w:r>
      <w:r w:rsidRPr="00F2629D">
        <w:rPr>
          <w:lang w:val="fr-FR"/>
        </w:rPr>
        <w:t>, lire</w:t>
      </w:r>
      <w:r>
        <w:rPr>
          <w:lang w:val="fr-FR"/>
        </w:rPr>
        <w:t> :</w:t>
      </w:r>
    </w:p>
    <w:p w14:paraId="63402595" w14:textId="77777777" w:rsidR="0035560C" w:rsidRDefault="00296F9D" w:rsidP="00A923D8">
      <w:pPr>
        <w:pStyle w:val="SingleTxtG"/>
        <w:keepNext/>
        <w:ind w:left="2268" w:right="992" w:hanging="1134"/>
        <w:rPr>
          <w:u w:val="single"/>
          <w:lang w:val="fr-FR"/>
        </w:rPr>
      </w:pPr>
      <w:r w:rsidRPr="00F2629D">
        <w:rPr>
          <w:lang w:val="fr-FR"/>
        </w:rPr>
        <w:t>« 6.7.2</w:t>
      </w:r>
      <w:r w:rsidRPr="00F2629D">
        <w:rPr>
          <w:lang w:val="fr-FR"/>
        </w:rPr>
        <w:tab/>
        <w:t>Nombre</w:t>
      </w:r>
    </w:p>
    <w:p w14:paraId="46719BFF" w14:textId="54E15329" w:rsidR="00296F9D" w:rsidRPr="00F2629D" w:rsidRDefault="00296F9D" w:rsidP="0035560C">
      <w:pPr>
        <w:pStyle w:val="SingleTxtG"/>
        <w:ind w:left="2268"/>
        <w:rPr>
          <w:lang w:val="fr-FR"/>
        </w:rPr>
      </w:pPr>
      <w:r w:rsidRPr="00F2629D">
        <w:rPr>
          <w:lang w:val="fr-FR"/>
        </w:rPr>
        <w:t>Deux dispositifs des catégories S1 ou S2 et un dispositif de la catégorie S3 ou S4, sur toutes les catégories de véhicules.</w:t>
      </w:r>
    </w:p>
    <w:p w14:paraId="0F7A5E48" w14:textId="26657340" w:rsidR="00296F9D" w:rsidRPr="00F2629D" w:rsidRDefault="00296F9D" w:rsidP="0035560C">
      <w:pPr>
        <w:pStyle w:val="SingleTxtG"/>
        <w:ind w:left="2268"/>
        <w:rPr>
          <w:lang w:val="fr-FR"/>
        </w:rPr>
      </w:pPr>
      <w:r w:rsidRPr="00F2629D">
        <w:rPr>
          <w:lang w:val="fr-FR"/>
        </w:rPr>
        <w:t>Les dispositifs doivent être homologués conformément à la série 02 ou à une série ultérieure d’amendements au Règlement ONU n</w:t>
      </w:r>
      <w:r w:rsidRPr="00F2629D">
        <w:rPr>
          <w:vertAlign w:val="superscript"/>
          <w:lang w:val="fr-FR"/>
        </w:rPr>
        <w:t>o</w:t>
      </w:r>
      <w:r w:rsidR="00A923D8">
        <w:rPr>
          <w:lang w:val="fr-FR"/>
        </w:rPr>
        <w:t> </w:t>
      </w:r>
      <w:r w:rsidRPr="00F2629D">
        <w:rPr>
          <w:lang w:val="fr-FR"/>
        </w:rPr>
        <w:t>7, ou à la série originale ou à une série ultérieure d’amendements au Règlement ONU n</w:t>
      </w:r>
      <w:r w:rsidRPr="00F2629D">
        <w:rPr>
          <w:vertAlign w:val="superscript"/>
          <w:lang w:val="fr-FR"/>
        </w:rPr>
        <w:t>o</w:t>
      </w:r>
      <w:r w:rsidR="00A923D8">
        <w:rPr>
          <w:lang w:val="fr-FR"/>
        </w:rPr>
        <w:t> </w:t>
      </w:r>
      <w:r w:rsidRPr="00F2629D">
        <w:rPr>
          <w:lang w:val="fr-FR"/>
        </w:rPr>
        <w:t>148. ».</w:t>
      </w:r>
    </w:p>
    <w:p w14:paraId="647F9F0F" w14:textId="28317CB6" w:rsidR="00296F9D" w:rsidRPr="00F2629D" w:rsidRDefault="00296F9D" w:rsidP="005B0C72">
      <w:pPr>
        <w:pStyle w:val="SingleTxtG"/>
        <w:keepNext/>
        <w:rPr>
          <w:lang w:val="fr-FR"/>
        </w:rPr>
      </w:pPr>
      <w:r w:rsidRPr="00F2629D">
        <w:rPr>
          <w:i/>
          <w:iCs/>
          <w:lang w:val="fr-FR"/>
        </w:rPr>
        <w:t>Paragraphe 6.8</w:t>
      </w:r>
      <w:r w:rsidRPr="00F2629D">
        <w:rPr>
          <w:lang w:val="fr-FR"/>
        </w:rPr>
        <w:t>, lire</w:t>
      </w:r>
      <w:r>
        <w:rPr>
          <w:lang w:val="fr-FR"/>
        </w:rPr>
        <w:t> :</w:t>
      </w:r>
    </w:p>
    <w:p w14:paraId="0F05F76A" w14:textId="77777777" w:rsidR="00296F9D" w:rsidRPr="00F2629D" w:rsidRDefault="00296F9D" w:rsidP="00F4358F">
      <w:pPr>
        <w:pStyle w:val="SingleTxtG"/>
        <w:ind w:left="2268" w:right="992" w:hanging="1134"/>
        <w:rPr>
          <w:lang w:val="fr-FR"/>
        </w:rPr>
      </w:pPr>
      <w:r w:rsidRPr="00F2629D">
        <w:rPr>
          <w:lang w:val="fr-FR"/>
        </w:rPr>
        <w:t>« 6.8</w:t>
      </w:r>
      <w:r w:rsidRPr="00F2629D">
        <w:rPr>
          <w:lang w:val="fr-FR"/>
        </w:rPr>
        <w:tab/>
        <w:t>Dispositif d’éclairage de la plaque d’immatriculation arrière ».</w:t>
      </w:r>
    </w:p>
    <w:p w14:paraId="72F165BC" w14:textId="03B1E223" w:rsidR="00296F9D" w:rsidRPr="00F2629D" w:rsidRDefault="00296F9D" w:rsidP="005B0C72">
      <w:pPr>
        <w:pStyle w:val="SingleTxtG"/>
        <w:keepNext/>
        <w:rPr>
          <w:lang w:val="fr-FR"/>
        </w:rPr>
      </w:pPr>
      <w:r w:rsidRPr="00F2629D">
        <w:rPr>
          <w:i/>
          <w:iCs/>
          <w:lang w:val="fr-FR"/>
        </w:rPr>
        <w:t>Paragraphe 6.8.2</w:t>
      </w:r>
      <w:r w:rsidRPr="00F2629D">
        <w:rPr>
          <w:lang w:val="fr-FR"/>
        </w:rPr>
        <w:t>, lire</w:t>
      </w:r>
      <w:r>
        <w:rPr>
          <w:lang w:val="fr-FR"/>
        </w:rPr>
        <w:t> :</w:t>
      </w:r>
    </w:p>
    <w:p w14:paraId="15C525B4" w14:textId="77777777" w:rsidR="0035560C" w:rsidRDefault="00296F9D" w:rsidP="00A923D8">
      <w:pPr>
        <w:pStyle w:val="SingleTxtG"/>
        <w:keepNext/>
        <w:ind w:left="2268" w:right="992" w:hanging="1134"/>
        <w:rPr>
          <w:lang w:val="fr-FR"/>
        </w:rPr>
      </w:pPr>
      <w:r w:rsidRPr="00F2629D">
        <w:rPr>
          <w:lang w:val="fr-FR"/>
        </w:rPr>
        <w:t>« 6.8.2</w:t>
      </w:r>
      <w:r w:rsidRPr="00F2629D">
        <w:rPr>
          <w:lang w:val="fr-FR"/>
        </w:rPr>
        <w:tab/>
        <w:t>Nombre</w:t>
      </w:r>
    </w:p>
    <w:p w14:paraId="5CF12E12" w14:textId="2EEEAF3B" w:rsidR="00296F9D" w:rsidRDefault="00296F9D" w:rsidP="0035560C">
      <w:pPr>
        <w:pStyle w:val="SingleTxtG"/>
        <w:ind w:left="2268"/>
      </w:pPr>
      <w:r w:rsidRPr="00F2629D">
        <w:rPr>
          <w:lang w:val="fr-FR"/>
        </w:rPr>
        <w:t>Tel que le dispositif éclaire l’emplacement de la plaque conformément au dossier d’homologation de type du dispositif.</w:t>
      </w:r>
    </w:p>
    <w:p w14:paraId="3D72588F" w14:textId="6E3E0346" w:rsidR="00296F9D" w:rsidRPr="00F2629D" w:rsidRDefault="00296F9D" w:rsidP="0035560C">
      <w:pPr>
        <w:pStyle w:val="SingleTxtG"/>
        <w:ind w:left="2268"/>
        <w:rPr>
          <w:lang w:val="fr-FR"/>
        </w:rPr>
      </w:pPr>
      <w:r w:rsidRPr="00F2629D">
        <w:rPr>
          <w:lang w:val="fr-FR"/>
        </w:rPr>
        <w:t>Les dispositifs doivent être homologués conformément à la série originale ou à une série ultérieure d’amendements au Règlement ONU n</w:t>
      </w:r>
      <w:r w:rsidRPr="00F2629D">
        <w:rPr>
          <w:vertAlign w:val="superscript"/>
          <w:lang w:val="fr-FR"/>
        </w:rPr>
        <w:t>o</w:t>
      </w:r>
      <w:r w:rsidR="00E30C23">
        <w:rPr>
          <w:lang w:val="fr-FR"/>
        </w:rPr>
        <w:t> </w:t>
      </w:r>
      <w:r w:rsidRPr="00F2629D">
        <w:rPr>
          <w:lang w:val="fr-FR"/>
        </w:rPr>
        <w:t>4, ou à la série originale ou à une série ultérieure d’amendements au Règlement ONU n</w:t>
      </w:r>
      <w:r w:rsidRPr="00F2629D">
        <w:rPr>
          <w:vertAlign w:val="superscript"/>
          <w:lang w:val="fr-FR"/>
        </w:rPr>
        <w:t>o</w:t>
      </w:r>
      <w:r w:rsidR="00A923D8">
        <w:rPr>
          <w:lang w:val="fr-FR"/>
        </w:rPr>
        <w:t> </w:t>
      </w:r>
      <w:r w:rsidRPr="00F2629D">
        <w:rPr>
          <w:lang w:val="fr-FR"/>
        </w:rPr>
        <w:t>148.</w:t>
      </w:r>
      <w:r w:rsidR="00A923D8">
        <w:rPr>
          <w:lang w:val="fr-FR"/>
        </w:rPr>
        <w:t> ».</w:t>
      </w:r>
    </w:p>
    <w:p w14:paraId="66BC4388" w14:textId="7068E3BB" w:rsidR="00296F9D" w:rsidRPr="00F2629D" w:rsidRDefault="00296F9D" w:rsidP="005B0C72">
      <w:pPr>
        <w:pStyle w:val="SingleTxtG"/>
        <w:keepNext/>
        <w:rPr>
          <w:lang w:val="fr-FR"/>
        </w:rPr>
      </w:pPr>
      <w:r w:rsidRPr="00F2629D">
        <w:rPr>
          <w:i/>
          <w:iCs/>
          <w:lang w:val="fr-FR"/>
        </w:rPr>
        <w:t>Paragraphe 6.9</w:t>
      </w:r>
      <w:r w:rsidRPr="00F2629D">
        <w:rPr>
          <w:lang w:val="fr-FR"/>
        </w:rPr>
        <w:t>, lire</w:t>
      </w:r>
      <w:r>
        <w:rPr>
          <w:lang w:val="fr-FR"/>
        </w:rPr>
        <w:t> :</w:t>
      </w:r>
    </w:p>
    <w:p w14:paraId="5F77B396" w14:textId="77777777" w:rsidR="00296F9D" w:rsidRPr="00F2629D" w:rsidRDefault="00296F9D" w:rsidP="00F4358F">
      <w:pPr>
        <w:pStyle w:val="SingleTxtG"/>
        <w:ind w:left="2268" w:right="992" w:hanging="1134"/>
        <w:rPr>
          <w:lang w:val="fr-FR"/>
        </w:rPr>
      </w:pPr>
      <w:r w:rsidRPr="00F2629D">
        <w:rPr>
          <w:lang w:val="fr-FR"/>
        </w:rPr>
        <w:t>« 6.9</w:t>
      </w:r>
      <w:r w:rsidRPr="00F2629D">
        <w:rPr>
          <w:lang w:val="fr-FR"/>
        </w:rPr>
        <w:tab/>
        <w:t>Feu de position avant ».</w:t>
      </w:r>
    </w:p>
    <w:p w14:paraId="0E317303" w14:textId="1F867130" w:rsidR="00296F9D" w:rsidRPr="00F2629D" w:rsidRDefault="00296F9D" w:rsidP="005B0C72">
      <w:pPr>
        <w:pStyle w:val="SingleTxtG"/>
        <w:keepNext/>
        <w:rPr>
          <w:lang w:val="fr-FR"/>
        </w:rPr>
      </w:pPr>
      <w:r w:rsidRPr="00F2629D">
        <w:rPr>
          <w:i/>
          <w:iCs/>
          <w:lang w:val="fr-FR"/>
        </w:rPr>
        <w:lastRenderedPageBreak/>
        <w:t>Paragraphe 6.9.2</w:t>
      </w:r>
      <w:r w:rsidRPr="00F2629D">
        <w:rPr>
          <w:lang w:val="fr-FR"/>
        </w:rPr>
        <w:t>, lire</w:t>
      </w:r>
      <w:r>
        <w:rPr>
          <w:lang w:val="fr-FR"/>
        </w:rPr>
        <w:t> :</w:t>
      </w:r>
    </w:p>
    <w:p w14:paraId="1F201272" w14:textId="77777777" w:rsidR="0035560C" w:rsidRDefault="00296F9D" w:rsidP="00A923D8">
      <w:pPr>
        <w:pStyle w:val="SingleTxtG"/>
        <w:keepNext/>
        <w:ind w:left="2268" w:right="992" w:hanging="1134"/>
        <w:rPr>
          <w:lang w:val="fr-FR"/>
        </w:rPr>
      </w:pPr>
      <w:r w:rsidRPr="00F2629D">
        <w:rPr>
          <w:lang w:val="fr-FR"/>
        </w:rPr>
        <w:t>« 6.9.2</w:t>
      </w:r>
      <w:r w:rsidRPr="00F2629D">
        <w:rPr>
          <w:lang w:val="fr-FR"/>
        </w:rPr>
        <w:tab/>
        <w:t>Nombre</w:t>
      </w:r>
    </w:p>
    <w:p w14:paraId="5758B910" w14:textId="2EFD471F" w:rsidR="00296F9D" w:rsidRPr="00F2629D" w:rsidRDefault="00296F9D" w:rsidP="0035560C">
      <w:pPr>
        <w:pStyle w:val="SingleTxtG"/>
        <w:ind w:left="2268"/>
        <w:rPr>
          <w:lang w:val="fr-FR"/>
        </w:rPr>
      </w:pPr>
      <w:r w:rsidRPr="00F2629D">
        <w:rPr>
          <w:lang w:val="fr-FR"/>
        </w:rPr>
        <w:t>Deux, homologués conformément à la série 02 ou à une série ultérieure d’amendements au Règlement ONU n</w:t>
      </w:r>
      <w:r w:rsidRPr="00F2629D">
        <w:rPr>
          <w:vertAlign w:val="superscript"/>
          <w:lang w:val="fr-FR"/>
        </w:rPr>
        <w:t>o</w:t>
      </w:r>
      <w:r w:rsidR="00A923D8">
        <w:rPr>
          <w:lang w:val="fr-FR"/>
        </w:rPr>
        <w:t> </w:t>
      </w:r>
      <w:r w:rsidRPr="00F2629D">
        <w:rPr>
          <w:lang w:val="fr-FR"/>
        </w:rPr>
        <w:t>7, ou à la série originale ou à une série ultérieure d’amendements au Règlement ONU n</w:t>
      </w:r>
      <w:r w:rsidRPr="00F2629D">
        <w:rPr>
          <w:vertAlign w:val="superscript"/>
          <w:lang w:val="fr-FR"/>
        </w:rPr>
        <w:t>o</w:t>
      </w:r>
      <w:r w:rsidR="00A923D8">
        <w:rPr>
          <w:lang w:val="fr-FR"/>
        </w:rPr>
        <w:t> </w:t>
      </w:r>
      <w:r w:rsidRPr="00F2629D">
        <w:rPr>
          <w:lang w:val="fr-FR"/>
        </w:rPr>
        <w:t>148. ».</w:t>
      </w:r>
    </w:p>
    <w:p w14:paraId="01C06C57" w14:textId="37EF9328" w:rsidR="00296F9D" w:rsidRPr="00F2629D" w:rsidRDefault="00296F9D" w:rsidP="005B0C72">
      <w:pPr>
        <w:pStyle w:val="SingleTxtG"/>
        <w:keepNext/>
        <w:rPr>
          <w:lang w:val="fr-FR"/>
        </w:rPr>
      </w:pPr>
      <w:r w:rsidRPr="00F2629D">
        <w:rPr>
          <w:i/>
          <w:iCs/>
          <w:lang w:val="fr-FR"/>
        </w:rPr>
        <w:t>Paragraphe 6.10</w:t>
      </w:r>
      <w:r w:rsidRPr="00F2629D">
        <w:rPr>
          <w:lang w:val="fr-FR"/>
        </w:rPr>
        <w:t>, lire</w:t>
      </w:r>
      <w:r>
        <w:rPr>
          <w:lang w:val="fr-FR"/>
        </w:rPr>
        <w:t> :</w:t>
      </w:r>
    </w:p>
    <w:p w14:paraId="4E08EAB2" w14:textId="77777777" w:rsidR="00296F9D" w:rsidRPr="00F2629D" w:rsidRDefault="00296F9D" w:rsidP="00F4358F">
      <w:pPr>
        <w:pStyle w:val="SingleTxtG"/>
        <w:ind w:left="2268" w:right="992" w:hanging="1134"/>
        <w:rPr>
          <w:lang w:val="fr-FR"/>
        </w:rPr>
      </w:pPr>
      <w:r w:rsidRPr="00F2629D">
        <w:rPr>
          <w:lang w:val="fr-FR"/>
        </w:rPr>
        <w:t>« 6.10</w:t>
      </w:r>
      <w:r w:rsidRPr="00F2629D">
        <w:rPr>
          <w:lang w:val="fr-FR"/>
        </w:rPr>
        <w:tab/>
        <w:t>Feu de position arrière ».</w:t>
      </w:r>
    </w:p>
    <w:p w14:paraId="47208522" w14:textId="31F31039" w:rsidR="00296F9D" w:rsidRPr="00F2629D" w:rsidRDefault="00296F9D" w:rsidP="005B0C72">
      <w:pPr>
        <w:pStyle w:val="SingleTxtG"/>
        <w:keepNext/>
        <w:rPr>
          <w:snapToGrid w:val="0"/>
          <w:lang w:val="fr-FR"/>
        </w:rPr>
      </w:pPr>
      <w:r w:rsidRPr="00F2629D">
        <w:rPr>
          <w:i/>
          <w:iCs/>
          <w:lang w:val="fr-FR"/>
        </w:rPr>
        <w:t>Paragraphe 6.10.2</w:t>
      </w:r>
      <w:r w:rsidRPr="00F2629D">
        <w:rPr>
          <w:lang w:val="fr-FR"/>
        </w:rPr>
        <w:t>, lire</w:t>
      </w:r>
      <w:r>
        <w:rPr>
          <w:lang w:val="fr-FR"/>
        </w:rPr>
        <w:t> :</w:t>
      </w:r>
    </w:p>
    <w:p w14:paraId="7041F74B" w14:textId="77777777" w:rsidR="0035560C" w:rsidRDefault="00296F9D" w:rsidP="00A923D8">
      <w:pPr>
        <w:pStyle w:val="SingleTxtG"/>
        <w:keepNext/>
        <w:ind w:left="2268" w:right="992" w:hanging="1134"/>
        <w:rPr>
          <w:lang w:val="fr-FR"/>
        </w:rPr>
      </w:pPr>
      <w:r w:rsidRPr="00F2629D">
        <w:rPr>
          <w:lang w:val="fr-FR"/>
        </w:rPr>
        <w:t>« 6.10.2</w:t>
      </w:r>
      <w:r w:rsidRPr="00F2629D">
        <w:rPr>
          <w:lang w:val="fr-FR"/>
        </w:rPr>
        <w:tab/>
        <w:t>Nombre</w:t>
      </w:r>
    </w:p>
    <w:p w14:paraId="3177D261" w14:textId="6CF1717D" w:rsidR="00296F9D" w:rsidRPr="00F2629D" w:rsidRDefault="00296F9D" w:rsidP="0035560C">
      <w:pPr>
        <w:pStyle w:val="SingleTxtG"/>
        <w:ind w:left="2268"/>
        <w:rPr>
          <w:lang w:val="fr-FR"/>
        </w:rPr>
      </w:pPr>
      <w:r w:rsidRPr="00F2629D">
        <w:rPr>
          <w:lang w:val="fr-FR"/>
        </w:rPr>
        <w:t>Deux, homologués conformément à la série 02 ou à une série ultérieure d’amendements au Règlement ONU n</w:t>
      </w:r>
      <w:r w:rsidRPr="00F2629D">
        <w:rPr>
          <w:vertAlign w:val="superscript"/>
          <w:lang w:val="fr-FR"/>
        </w:rPr>
        <w:t>o</w:t>
      </w:r>
      <w:r w:rsidR="00A923D8">
        <w:rPr>
          <w:lang w:val="fr-FR"/>
        </w:rPr>
        <w:t> </w:t>
      </w:r>
      <w:r w:rsidRPr="00F2629D">
        <w:rPr>
          <w:lang w:val="fr-FR"/>
        </w:rPr>
        <w:t>7, ou à la série originale ou à une série ultérieure d’amendements au Règlement ONU n</w:t>
      </w:r>
      <w:r w:rsidRPr="00F2629D">
        <w:rPr>
          <w:vertAlign w:val="superscript"/>
          <w:lang w:val="fr-FR"/>
        </w:rPr>
        <w:t>o</w:t>
      </w:r>
      <w:r w:rsidR="00A923D8">
        <w:rPr>
          <w:lang w:val="fr-FR"/>
        </w:rPr>
        <w:t> </w:t>
      </w:r>
      <w:r w:rsidRPr="00F2629D">
        <w:rPr>
          <w:lang w:val="fr-FR"/>
        </w:rPr>
        <w:t>148. ».</w:t>
      </w:r>
    </w:p>
    <w:p w14:paraId="5CCE916D" w14:textId="38193F89" w:rsidR="00296F9D" w:rsidRPr="00F2629D" w:rsidRDefault="00296F9D" w:rsidP="005B0C72">
      <w:pPr>
        <w:pStyle w:val="SingleTxtG"/>
        <w:keepNext/>
        <w:rPr>
          <w:lang w:val="fr-FR"/>
        </w:rPr>
      </w:pPr>
      <w:r w:rsidRPr="00F2629D">
        <w:rPr>
          <w:i/>
          <w:iCs/>
          <w:lang w:val="fr-FR"/>
        </w:rPr>
        <w:t>Paragraphe 6.11</w:t>
      </w:r>
      <w:r w:rsidRPr="00F2629D">
        <w:rPr>
          <w:lang w:val="fr-FR"/>
        </w:rPr>
        <w:t>, lire</w:t>
      </w:r>
      <w:r>
        <w:rPr>
          <w:lang w:val="fr-FR"/>
        </w:rPr>
        <w:t> :</w:t>
      </w:r>
    </w:p>
    <w:p w14:paraId="7BADF9A8" w14:textId="77777777" w:rsidR="00296F9D" w:rsidRPr="00F2629D" w:rsidRDefault="00296F9D" w:rsidP="00F4358F">
      <w:pPr>
        <w:pStyle w:val="SingleTxtG"/>
        <w:ind w:left="2268" w:right="992" w:hanging="1134"/>
        <w:rPr>
          <w:lang w:val="fr-FR"/>
        </w:rPr>
      </w:pPr>
      <w:r w:rsidRPr="00F2629D">
        <w:rPr>
          <w:lang w:val="fr-FR"/>
        </w:rPr>
        <w:t>« 6.11</w:t>
      </w:r>
      <w:r w:rsidRPr="00F2629D">
        <w:rPr>
          <w:lang w:val="fr-FR"/>
        </w:rPr>
        <w:tab/>
        <w:t>Feu de brouillard arrière ».</w:t>
      </w:r>
    </w:p>
    <w:p w14:paraId="5C4F93EC" w14:textId="17D54AD1" w:rsidR="00296F9D" w:rsidRPr="00F2629D" w:rsidRDefault="00296F9D" w:rsidP="005B0C72">
      <w:pPr>
        <w:pStyle w:val="SingleTxtG"/>
        <w:keepNext/>
        <w:rPr>
          <w:lang w:val="fr-FR"/>
        </w:rPr>
      </w:pPr>
      <w:r w:rsidRPr="00F2629D">
        <w:rPr>
          <w:i/>
          <w:iCs/>
          <w:lang w:val="fr-FR"/>
        </w:rPr>
        <w:t>Paragraphe 6.11.2</w:t>
      </w:r>
      <w:r w:rsidRPr="00F2629D">
        <w:rPr>
          <w:lang w:val="fr-FR"/>
        </w:rPr>
        <w:t>, lire</w:t>
      </w:r>
      <w:r>
        <w:rPr>
          <w:lang w:val="fr-FR"/>
        </w:rPr>
        <w:t> :</w:t>
      </w:r>
    </w:p>
    <w:p w14:paraId="2ADB5437" w14:textId="77777777" w:rsidR="0035560C" w:rsidRDefault="00296F9D" w:rsidP="00A923D8">
      <w:pPr>
        <w:pStyle w:val="SingleTxtG"/>
        <w:keepNext/>
        <w:ind w:left="2268" w:right="992" w:hanging="1134"/>
        <w:rPr>
          <w:lang w:val="fr-FR"/>
        </w:rPr>
      </w:pPr>
      <w:r w:rsidRPr="00F2629D">
        <w:rPr>
          <w:lang w:val="fr-FR"/>
        </w:rPr>
        <w:t>« 6.11.2</w:t>
      </w:r>
      <w:r w:rsidRPr="00F2629D">
        <w:rPr>
          <w:lang w:val="fr-FR"/>
        </w:rPr>
        <w:tab/>
        <w:t>Nombre</w:t>
      </w:r>
    </w:p>
    <w:p w14:paraId="0B5C38DF" w14:textId="5A61ED21" w:rsidR="00296F9D" w:rsidRPr="00F2629D" w:rsidRDefault="00296F9D" w:rsidP="0035560C">
      <w:pPr>
        <w:pStyle w:val="SingleTxtG"/>
        <w:ind w:left="2268"/>
        <w:rPr>
          <w:lang w:val="fr-FR"/>
        </w:rPr>
      </w:pPr>
      <w:r w:rsidRPr="00F2629D">
        <w:rPr>
          <w:lang w:val="fr-FR"/>
        </w:rPr>
        <w:t>Un ou deux, homologués conformément à la série originale ou à une série ultérieure d’amendements au Règlement ONU n</w:t>
      </w:r>
      <w:r w:rsidRPr="00F2629D">
        <w:rPr>
          <w:vertAlign w:val="superscript"/>
          <w:lang w:val="fr-FR"/>
        </w:rPr>
        <w:t>o</w:t>
      </w:r>
      <w:r w:rsidR="00A923D8">
        <w:rPr>
          <w:lang w:val="fr-FR"/>
        </w:rPr>
        <w:t> </w:t>
      </w:r>
      <w:r w:rsidRPr="00F2629D">
        <w:rPr>
          <w:lang w:val="fr-FR"/>
        </w:rPr>
        <w:t>38, ou à la série originale ou à une série ultérieure d’amendements au Règlement ONU n</w:t>
      </w:r>
      <w:r w:rsidRPr="00F2629D">
        <w:rPr>
          <w:vertAlign w:val="superscript"/>
          <w:lang w:val="fr-FR"/>
        </w:rPr>
        <w:t>o</w:t>
      </w:r>
      <w:r w:rsidR="00A923D8">
        <w:rPr>
          <w:lang w:val="fr-FR"/>
        </w:rPr>
        <w:t> </w:t>
      </w:r>
      <w:r w:rsidRPr="00F2629D">
        <w:rPr>
          <w:lang w:val="fr-FR"/>
        </w:rPr>
        <w:t>148. ».</w:t>
      </w:r>
    </w:p>
    <w:p w14:paraId="6BFE7031" w14:textId="688F1977" w:rsidR="00296F9D" w:rsidRPr="00F2629D" w:rsidRDefault="00296F9D" w:rsidP="005B0C72">
      <w:pPr>
        <w:pStyle w:val="SingleTxtG"/>
        <w:keepNext/>
        <w:rPr>
          <w:lang w:val="fr-FR"/>
        </w:rPr>
      </w:pPr>
      <w:r w:rsidRPr="00F2629D">
        <w:rPr>
          <w:i/>
          <w:iCs/>
          <w:lang w:val="fr-FR"/>
        </w:rPr>
        <w:t>Paragraphe 6.12</w:t>
      </w:r>
      <w:r w:rsidRPr="00F2629D">
        <w:rPr>
          <w:lang w:val="fr-FR"/>
        </w:rPr>
        <w:t>, lire</w:t>
      </w:r>
      <w:r>
        <w:rPr>
          <w:lang w:val="fr-FR"/>
        </w:rPr>
        <w:t> :</w:t>
      </w:r>
    </w:p>
    <w:p w14:paraId="1B22F5F3" w14:textId="77777777" w:rsidR="00296F9D" w:rsidRPr="00F2629D" w:rsidRDefault="00296F9D" w:rsidP="00F4358F">
      <w:pPr>
        <w:pStyle w:val="SingleTxtG"/>
        <w:ind w:left="2268" w:right="992" w:hanging="1134"/>
        <w:rPr>
          <w:lang w:val="fr-FR"/>
        </w:rPr>
      </w:pPr>
      <w:r w:rsidRPr="00F2629D">
        <w:rPr>
          <w:lang w:val="fr-FR"/>
        </w:rPr>
        <w:t>« 6.12</w:t>
      </w:r>
      <w:r w:rsidRPr="00F2629D">
        <w:rPr>
          <w:lang w:val="fr-FR"/>
        </w:rPr>
        <w:tab/>
        <w:t>Feu de stationnement ».</w:t>
      </w:r>
    </w:p>
    <w:p w14:paraId="27421F5B" w14:textId="6B01158D" w:rsidR="00296F9D" w:rsidRPr="00F2629D" w:rsidRDefault="00296F9D" w:rsidP="005B0C72">
      <w:pPr>
        <w:pStyle w:val="SingleTxtG"/>
        <w:keepNext/>
        <w:rPr>
          <w:lang w:val="fr-FR"/>
        </w:rPr>
      </w:pPr>
      <w:r w:rsidRPr="00F2629D">
        <w:rPr>
          <w:i/>
          <w:iCs/>
          <w:lang w:val="fr-FR"/>
        </w:rPr>
        <w:t>Paragraphe 6.12.2</w:t>
      </w:r>
      <w:r w:rsidRPr="00F2629D">
        <w:rPr>
          <w:lang w:val="fr-FR"/>
        </w:rPr>
        <w:t>, lire</w:t>
      </w:r>
      <w:r>
        <w:rPr>
          <w:lang w:val="fr-FR"/>
        </w:rPr>
        <w:t> :</w:t>
      </w:r>
    </w:p>
    <w:p w14:paraId="4F8A5AB7" w14:textId="77777777" w:rsidR="0035560C" w:rsidRDefault="00296F9D" w:rsidP="00A923D8">
      <w:pPr>
        <w:pStyle w:val="SingleTxtG"/>
        <w:keepNext/>
        <w:ind w:left="2268" w:right="992" w:hanging="1134"/>
        <w:rPr>
          <w:lang w:val="fr-FR"/>
        </w:rPr>
      </w:pPr>
      <w:r w:rsidRPr="00F2629D">
        <w:rPr>
          <w:lang w:val="fr-FR"/>
        </w:rPr>
        <w:t>« 6.12.2</w:t>
      </w:r>
      <w:r w:rsidRPr="00F2629D">
        <w:rPr>
          <w:lang w:val="fr-FR"/>
        </w:rPr>
        <w:tab/>
        <w:t>Nombre</w:t>
      </w:r>
    </w:p>
    <w:p w14:paraId="1B8E35E0" w14:textId="3B3A8844" w:rsidR="00296F9D" w:rsidRDefault="00296F9D" w:rsidP="00A923D8">
      <w:pPr>
        <w:pStyle w:val="SingleTxtG"/>
        <w:keepNext/>
        <w:ind w:left="2268"/>
      </w:pPr>
      <w:r w:rsidRPr="00F2629D">
        <w:rPr>
          <w:lang w:val="fr-FR"/>
        </w:rPr>
        <w:t>Selon le schéma de montage.</w:t>
      </w:r>
    </w:p>
    <w:p w14:paraId="41F41EFE" w14:textId="4699D0E5" w:rsidR="00296F9D" w:rsidRPr="00F2629D" w:rsidRDefault="00296F9D" w:rsidP="0035560C">
      <w:pPr>
        <w:pStyle w:val="SingleTxtG"/>
        <w:ind w:left="2268"/>
        <w:rPr>
          <w:lang w:val="fr-FR"/>
        </w:rPr>
      </w:pPr>
      <w:r w:rsidRPr="00F2629D">
        <w:rPr>
          <w:lang w:val="fr-FR"/>
        </w:rPr>
        <w:t>Les feux doivent être homologués conformément à la série originale ou à une série ultérieure d’amendements au Règlement ONU n</w:t>
      </w:r>
      <w:r w:rsidRPr="00F2629D">
        <w:rPr>
          <w:vertAlign w:val="superscript"/>
          <w:lang w:val="fr-FR"/>
        </w:rPr>
        <w:t>o</w:t>
      </w:r>
      <w:r w:rsidR="00A923D8">
        <w:rPr>
          <w:lang w:val="fr-FR"/>
        </w:rPr>
        <w:t> </w:t>
      </w:r>
      <w:r w:rsidRPr="00F2629D">
        <w:rPr>
          <w:lang w:val="fr-FR"/>
        </w:rPr>
        <w:t>77, ou à la série 02 ou à une série ultérieure d’amendements au Règlement ONU n</w:t>
      </w:r>
      <w:r w:rsidRPr="00F2629D">
        <w:rPr>
          <w:vertAlign w:val="superscript"/>
          <w:lang w:val="fr-FR"/>
        </w:rPr>
        <w:t>o</w:t>
      </w:r>
      <w:r w:rsidR="00A923D8">
        <w:rPr>
          <w:lang w:val="fr-FR"/>
        </w:rPr>
        <w:t> </w:t>
      </w:r>
      <w:r w:rsidRPr="00F2629D">
        <w:rPr>
          <w:lang w:val="fr-FR"/>
        </w:rPr>
        <w:t>7, ou encore à la série originale ou à une série ultérieure d’amendements au Règlement ONU n</w:t>
      </w:r>
      <w:r w:rsidRPr="00F2629D">
        <w:rPr>
          <w:vertAlign w:val="superscript"/>
          <w:lang w:val="fr-FR"/>
        </w:rPr>
        <w:t>o</w:t>
      </w:r>
      <w:r w:rsidRPr="00F2629D">
        <w:rPr>
          <w:lang w:val="fr-FR"/>
        </w:rPr>
        <w:t> 148. ».</w:t>
      </w:r>
    </w:p>
    <w:p w14:paraId="4D55CC37" w14:textId="7E29165D" w:rsidR="00296F9D" w:rsidRPr="00F2629D" w:rsidRDefault="00296F9D" w:rsidP="005B0C72">
      <w:pPr>
        <w:pStyle w:val="SingleTxtG"/>
        <w:keepNext/>
        <w:rPr>
          <w:lang w:val="fr-FR"/>
        </w:rPr>
      </w:pPr>
      <w:r w:rsidRPr="00F2629D">
        <w:rPr>
          <w:i/>
          <w:iCs/>
          <w:lang w:val="fr-FR"/>
        </w:rPr>
        <w:t>Paragraphe 6.13</w:t>
      </w:r>
      <w:r w:rsidRPr="00F2629D">
        <w:rPr>
          <w:lang w:val="fr-FR"/>
        </w:rPr>
        <w:t>, lire</w:t>
      </w:r>
      <w:r>
        <w:rPr>
          <w:lang w:val="fr-FR"/>
        </w:rPr>
        <w:t> :</w:t>
      </w:r>
    </w:p>
    <w:p w14:paraId="6F8840EE" w14:textId="77777777" w:rsidR="00296F9D" w:rsidRPr="00F2629D" w:rsidRDefault="00296F9D" w:rsidP="00F4358F">
      <w:pPr>
        <w:pStyle w:val="SingleTxtG"/>
        <w:ind w:left="2268" w:right="992" w:hanging="1134"/>
        <w:rPr>
          <w:lang w:val="fr-FR"/>
        </w:rPr>
      </w:pPr>
      <w:r w:rsidRPr="00F2629D">
        <w:rPr>
          <w:lang w:val="fr-FR"/>
        </w:rPr>
        <w:t>« 6.13</w:t>
      </w:r>
      <w:r w:rsidRPr="00F2629D">
        <w:rPr>
          <w:lang w:val="fr-FR"/>
        </w:rPr>
        <w:tab/>
        <w:t>Feu d’encombrement (feu de gabarit) ».</w:t>
      </w:r>
    </w:p>
    <w:p w14:paraId="592FDA54" w14:textId="422F267C" w:rsidR="00296F9D" w:rsidRPr="00F2629D" w:rsidRDefault="00296F9D" w:rsidP="005B0C72">
      <w:pPr>
        <w:pStyle w:val="SingleTxtG"/>
        <w:keepNext/>
        <w:rPr>
          <w:lang w:val="fr-FR"/>
        </w:rPr>
      </w:pPr>
      <w:r w:rsidRPr="00F2629D">
        <w:rPr>
          <w:i/>
          <w:iCs/>
          <w:lang w:val="fr-FR"/>
        </w:rPr>
        <w:t>Paragraphe 6.13.2</w:t>
      </w:r>
      <w:r w:rsidRPr="00F2629D">
        <w:rPr>
          <w:lang w:val="fr-FR"/>
        </w:rPr>
        <w:t>, lire</w:t>
      </w:r>
      <w:r>
        <w:rPr>
          <w:lang w:val="fr-FR"/>
        </w:rPr>
        <w:t> :</w:t>
      </w:r>
    </w:p>
    <w:p w14:paraId="1BD7A9B3" w14:textId="77777777" w:rsidR="00296F9D" w:rsidRPr="00F2629D" w:rsidRDefault="00296F9D" w:rsidP="00A923D8">
      <w:pPr>
        <w:pStyle w:val="SingleTxtG"/>
        <w:keepNext/>
        <w:ind w:left="2268" w:right="992" w:hanging="1134"/>
        <w:rPr>
          <w:u w:val="single"/>
          <w:lang w:val="fr-FR"/>
        </w:rPr>
      </w:pPr>
      <w:r w:rsidRPr="00F2629D">
        <w:rPr>
          <w:lang w:val="fr-FR"/>
        </w:rPr>
        <w:t>« 6.13.2</w:t>
      </w:r>
      <w:r w:rsidRPr="00F2629D">
        <w:rPr>
          <w:lang w:val="fr-FR"/>
        </w:rPr>
        <w:tab/>
        <w:t>Nombre</w:t>
      </w:r>
    </w:p>
    <w:p w14:paraId="3B96020F" w14:textId="77777777" w:rsidR="00296F9D" w:rsidRPr="00F2629D" w:rsidRDefault="00296F9D" w:rsidP="0035560C">
      <w:pPr>
        <w:pStyle w:val="SingleTxtG"/>
        <w:ind w:left="2268"/>
        <w:rPr>
          <w:lang w:val="fr-FR"/>
        </w:rPr>
      </w:pPr>
      <w:r w:rsidRPr="00F2629D">
        <w:rPr>
          <w:lang w:val="fr-FR"/>
        </w:rPr>
        <w:t>Deux visibles de l’avant et deux visibles de l’arrière.</w:t>
      </w:r>
    </w:p>
    <w:p w14:paraId="04D9BE9D" w14:textId="419BAFA5" w:rsidR="00296F9D" w:rsidRPr="00F2629D" w:rsidRDefault="00296F9D" w:rsidP="00A923D8">
      <w:pPr>
        <w:pStyle w:val="SingleTxtG"/>
        <w:keepNext/>
        <w:ind w:left="2268"/>
        <w:rPr>
          <w:lang w:val="fr-FR"/>
        </w:rPr>
      </w:pPr>
      <w:r w:rsidRPr="00F2629D">
        <w:rPr>
          <w:lang w:val="fr-FR"/>
        </w:rPr>
        <w:t>Des feux supplémentaires peuvent être montés comme suit</w:t>
      </w:r>
      <w:r>
        <w:t> :</w:t>
      </w:r>
    </w:p>
    <w:p w14:paraId="30723340" w14:textId="1661C420" w:rsidR="00296F9D" w:rsidRPr="00F2629D" w:rsidRDefault="00296F9D" w:rsidP="0035560C">
      <w:pPr>
        <w:pStyle w:val="SingleTxtG"/>
        <w:ind w:left="2268"/>
        <w:rPr>
          <w:lang w:val="fr-FR"/>
        </w:rPr>
      </w:pPr>
      <w:r w:rsidRPr="00F2629D">
        <w:rPr>
          <w:lang w:val="fr-FR"/>
        </w:rPr>
        <w:t>a)</w:t>
      </w:r>
      <w:r w:rsidRPr="00F2629D">
        <w:rPr>
          <w:lang w:val="fr-FR"/>
        </w:rPr>
        <w:tab/>
        <w:t>Deux visibles de l’avant</w:t>
      </w:r>
      <w:r>
        <w:rPr>
          <w:lang w:val="fr-FR"/>
        </w:rPr>
        <w:t> ;</w:t>
      </w:r>
    </w:p>
    <w:p w14:paraId="2824EA27" w14:textId="77777777" w:rsidR="00296F9D" w:rsidRPr="00F2629D" w:rsidRDefault="00296F9D" w:rsidP="0035560C">
      <w:pPr>
        <w:pStyle w:val="SingleTxtG"/>
        <w:ind w:left="2268"/>
        <w:rPr>
          <w:lang w:val="fr-FR"/>
        </w:rPr>
      </w:pPr>
      <w:r w:rsidRPr="00F2629D">
        <w:rPr>
          <w:lang w:val="fr-FR"/>
        </w:rPr>
        <w:t>b)</w:t>
      </w:r>
      <w:r w:rsidRPr="00F2629D">
        <w:rPr>
          <w:lang w:val="fr-FR"/>
        </w:rPr>
        <w:tab/>
        <w:t>Deux visibles de l’arrière.</w:t>
      </w:r>
    </w:p>
    <w:p w14:paraId="2B37B415" w14:textId="2D145DDE" w:rsidR="00296F9D" w:rsidRPr="00F2629D" w:rsidRDefault="00296F9D" w:rsidP="00296F9D">
      <w:pPr>
        <w:pStyle w:val="a"/>
        <w:ind w:left="2268" w:firstLine="0"/>
        <w:rPr>
          <w:lang w:val="fr-FR"/>
        </w:rPr>
      </w:pPr>
      <w:r w:rsidRPr="00F2629D">
        <w:rPr>
          <w:lang w:val="fr-FR"/>
        </w:rPr>
        <w:t>Les dispositifs doivent être homologués conformément à la série 02 ou à une série ultérieure d’amendements au Règlement ONU n</w:t>
      </w:r>
      <w:r w:rsidRPr="00F2629D">
        <w:rPr>
          <w:vertAlign w:val="superscript"/>
          <w:lang w:val="fr-FR"/>
        </w:rPr>
        <w:t>o</w:t>
      </w:r>
      <w:r w:rsidR="00A923D8">
        <w:rPr>
          <w:lang w:val="fr-FR"/>
        </w:rPr>
        <w:t> </w:t>
      </w:r>
      <w:r w:rsidRPr="00F2629D">
        <w:rPr>
          <w:lang w:val="fr-FR"/>
        </w:rPr>
        <w:t>7, ou à la série originale ou à une série ultérieure d’amendements au Règlement ONU n</w:t>
      </w:r>
      <w:r w:rsidRPr="00F2629D">
        <w:rPr>
          <w:vertAlign w:val="superscript"/>
          <w:lang w:val="fr-FR"/>
        </w:rPr>
        <w:t>o</w:t>
      </w:r>
      <w:r w:rsidR="00A923D8">
        <w:rPr>
          <w:lang w:val="fr-FR"/>
        </w:rPr>
        <w:t> </w:t>
      </w:r>
      <w:r w:rsidRPr="00F2629D">
        <w:rPr>
          <w:lang w:val="fr-FR"/>
        </w:rPr>
        <w:t>148. ».</w:t>
      </w:r>
    </w:p>
    <w:p w14:paraId="13046246" w14:textId="0DED9108" w:rsidR="00296F9D" w:rsidRPr="00F2629D" w:rsidRDefault="00296F9D" w:rsidP="005B0C72">
      <w:pPr>
        <w:pStyle w:val="SingleTxtG"/>
        <w:keepNext/>
        <w:rPr>
          <w:lang w:val="fr-FR"/>
        </w:rPr>
      </w:pPr>
      <w:r w:rsidRPr="00F2629D">
        <w:rPr>
          <w:i/>
          <w:iCs/>
          <w:lang w:val="fr-FR"/>
        </w:rPr>
        <w:t>Paragraphe 6.14</w:t>
      </w:r>
      <w:r w:rsidRPr="00F2629D">
        <w:rPr>
          <w:lang w:val="fr-FR"/>
        </w:rPr>
        <w:t>, lire</w:t>
      </w:r>
      <w:r>
        <w:rPr>
          <w:lang w:val="fr-FR"/>
        </w:rPr>
        <w:t> :</w:t>
      </w:r>
    </w:p>
    <w:p w14:paraId="2A3AC656" w14:textId="77777777" w:rsidR="00296F9D" w:rsidRPr="00F2629D" w:rsidRDefault="00296F9D" w:rsidP="00F4358F">
      <w:pPr>
        <w:pStyle w:val="SingleTxtG"/>
        <w:ind w:left="2268" w:right="992" w:hanging="1134"/>
        <w:rPr>
          <w:lang w:val="fr-FR"/>
        </w:rPr>
      </w:pPr>
      <w:r w:rsidRPr="00F2629D">
        <w:rPr>
          <w:lang w:val="fr-FR"/>
        </w:rPr>
        <w:t>« 6.14</w:t>
      </w:r>
      <w:r w:rsidRPr="00F2629D">
        <w:rPr>
          <w:lang w:val="fr-FR"/>
        </w:rPr>
        <w:tab/>
        <w:t>Catadioptre arrière, non triangulaire ».</w:t>
      </w:r>
    </w:p>
    <w:p w14:paraId="2BD79FD8" w14:textId="04C866C8" w:rsidR="00296F9D" w:rsidRPr="00F2629D" w:rsidRDefault="00296F9D" w:rsidP="005B0C72">
      <w:pPr>
        <w:pStyle w:val="SingleTxtG"/>
        <w:keepNext/>
        <w:rPr>
          <w:lang w:val="fr-FR"/>
        </w:rPr>
      </w:pPr>
      <w:r w:rsidRPr="00F2629D">
        <w:rPr>
          <w:i/>
          <w:iCs/>
          <w:lang w:val="fr-FR"/>
        </w:rPr>
        <w:lastRenderedPageBreak/>
        <w:t>Paragraphe 6.14.2</w:t>
      </w:r>
      <w:r w:rsidRPr="00F2629D">
        <w:rPr>
          <w:lang w:val="fr-FR"/>
        </w:rPr>
        <w:t>, lire</w:t>
      </w:r>
      <w:r>
        <w:rPr>
          <w:lang w:val="fr-FR"/>
        </w:rPr>
        <w:t> :</w:t>
      </w:r>
    </w:p>
    <w:p w14:paraId="0A1BE9B4" w14:textId="77777777" w:rsidR="00296F9D" w:rsidRPr="00F2629D" w:rsidRDefault="00296F9D" w:rsidP="00A923D8">
      <w:pPr>
        <w:pStyle w:val="SingleTxtG"/>
        <w:keepNext/>
        <w:ind w:left="2268" w:right="992" w:hanging="1134"/>
        <w:rPr>
          <w:u w:val="single"/>
          <w:lang w:val="fr-FR"/>
        </w:rPr>
      </w:pPr>
      <w:r w:rsidRPr="00F2629D">
        <w:rPr>
          <w:lang w:val="fr-FR"/>
        </w:rPr>
        <w:t>« 6.14.2</w:t>
      </w:r>
      <w:r w:rsidRPr="00F2629D">
        <w:rPr>
          <w:lang w:val="fr-FR"/>
        </w:rPr>
        <w:tab/>
        <w:t>Nombre</w:t>
      </w:r>
    </w:p>
    <w:p w14:paraId="6BE155C3" w14:textId="55E51736" w:rsidR="00296F9D" w:rsidRPr="00F2629D" w:rsidRDefault="00296F9D" w:rsidP="0035560C">
      <w:pPr>
        <w:pStyle w:val="SingleTxtG"/>
        <w:ind w:left="2268"/>
        <w:rPr>
          <w:lang w:val="fr-FR"/>
        </w:rPr>
      </w:pPr>
      <w:r w:rsidRPr="00F2629D">
        <w:rPr>
          <w:lang w:val="fr-FR"/>
        </w:rPr>
        <w:t>Deux, homologués conformément aux prescriptions concernant les catadioptres de la classe IA ou IB, énoncées dans la série 02 ou une série ultérieure d’amendements au Règlement ONU n</w:t>
      </w:r>
      <w:r w:rsidRPr="00F2629D">
        <w:rPr>
          <w:vertAlign w:val="superscript"/>
          <w:lang w:val="fr-FR"/>
        </w:rPr>
        <w:t>o</w:t>
      </w:r>
      <w:r w:rsidR="00A923D8">
        <w:rPr>
          <w:lang w:val="fr-FR"/>
        </w:rPr>
        <w:t> </w:t>
      </w:r>
      <w:r w:rsidRPr="00F2629D">
        <w:rPr>
          <w:lang w:val="fr-FR"/>
        </w:rPr>
        <w:t>3, ou dans la série originale ou une série ultérieure d’amendements au Règlement ONU n</w:t>
      </w:r>
      <w:r w:rsidRPr="00F2629D">
        <w:rPr>
          <w:vertAlign w:val="superscript"/>
          <w:lang w:val="fr-FR"/>
        </w:rPr>
        <w:t>o</w:t>
      </w:r>
      <w:r w:rsidR="00A923D8">
        <w:rPr>
          <w:lang w:val="fr-FR"/>
        </w:rPr>
        <w:t> </w:t>
      </w:r>
      <w:r w:rsidRPr="00F2629D">
        <w:rPr>
          <w:lang w:val="fr-FR"/>
        </w:rPr>
        <w:t>150. Les dispositifs et matériaux réfléchissants supplémentaires (y compris deux catadioptres ne répondant pas au paragraphe 6.14.4 ci-dessous) sont autorisés à condition qu’ils ne nuisent pas à l’efficacité des dispositifs obligatoires d’éclairage et de signalisation lumineuse. ».</w:t>
      </w:r>
    </w:p>
    <w:p w14:paraId="3EA3FC99" w14:textId="1EB7B0E7" w:rsidR="00296F9D" w:rsidRPr="00F2629D" w:rsidRDefault="00296F9D" w:rsidP="005B0C72">
      <w:pPr>
        <w:pStyle w:val="SingleTxtG"/>
        <w:keepNext/>
        <w:rPr>
          <w:lang w:val="fr-FR"/>
        </w:rPr>
      </w:pPr>
      <w:r w:rsidRPr="00F2629D">
        <w:rPr>
          <w:i/>
          <w:iCs/>
          <w:lang w:val="fr-FR"/>
        </w:rPr>
        <w:t>Paragraphe 6.15</w:t>
      </w:r>
      <w:r w:rsidRPr="00F2629D">
        <w:rPr>
          <w:lang w:val="fr-FR"/>
        </w:rPr>
        <w:t>, lire</w:t>
      </w:r>
      <w:r>
        <w:rPr>
          <w:lang w:val="fr-FR"/>
        </w:rPr>
        <w:t> :</w:t>
      </w:r>
    </w:p>
    <w:p w14:paraId="341E3CA5" w14:textId="25754D0D" w:rsidR="00296F9D" w:rsidRPr="00F2629D" w:rsidRDefault="00296F9D" w:rsidP="00F4358F">
      <w:pPr>
        <w:pStyle w:val="SingleTxtG"/>
        <w:ind w:left="2268" w:right="992" w:hanging="1134"/>
        <w:rPr>
          <w:lang w:val="fr-FR"/>
        </w:rPr>
      </w:pPr>
      <w:r w:rsidRPr="00F2629D">
        <w:rPr>
          <w:lang w:val="fr-FR"/>
        </w:rPr>
        <w:t>« 6.15</w:t>
      </w:r>
      <w:r w:rsidRPr="00F2629D">
        <w:rPr>
          <w:lang w:val="fr-FR"/>
        </w:rPr>
        <w:tab/>
        <w:t>Catadioptre arrière, triangulaire</w:t>
      </w:r>
      <w:r w:rsidR="005245F0">
        <w:rPr>
          <w:lang w:val="fr-FR"/>
        </w:rPr>
        <w:t> </w:t>
      </w:r>
      <w:r w:rsidRPr="00F2629D">
        <w:rPr>
          <w:lang w:val="fr-FR"/>
        </w:rPr>
        <w:t>».</w:t>
      </w:r>
    </w:p>
    <w:p w14:paraId="07094F3A" w14:textId="10CB5FB5" w:rsidR="00296F9D" w:rsidRPr="00F2629D" w:rsidRDefault="00296F9D" w:rsidP="005B0C72">
      <w:pPr>
        <w:pStyle w:val="SingleTxtG"/>
        <w:keepNext/>
        <w:rPr>
          <w:lang w:val="fr-FR"/>
        </w:rPr>
      </w:pPr>
      <w:r w:rsidRPr="00F2629D">
        <w:rPr>
          <w:i/>
          <w:iCs/>
          <w:lang w:val="fr-FR"/>
        </w:rPr>
        <w:t>Paragraphe 6.15.2</w:t>
      </w:r>
      <w:r w:rsidRPr="00F2629D">
        <w:rPr>
          <w:lang w:val="fr-FR"/>
        </w:rPr>
        <w:t>, lire</w:t>
      </w:r>
      <w:r>
        <w:rPr>
          <w:lang w:val="fr-FR"/>
        </w:rPr>
        <w:t> :</w:t>
      </w:r>
    </w:p>
    <w:p w14:paraId="0B3109EA" w14:textId="77777777" w:rsidR="00296F9D" w:rsidRPr="00F2629D" w:rsidRDefault="00296F9D" w:rsidP="00A923D8">
      <w:pPr>
        <w:pStyle w:val="SingleTxtG"/>
        <w:keepNext/>
        <w:ind w:left="2268" w:right="992" w:hanging="1134"/>
        <w:rPr>
          <w:lang w:val="fr-FR"/>
        </w:rPr>
      </w:pPr>
      <w:r w:rsidRPr="00F2629D">
        <w:rPr>
          <w:lang w:val="fr-FR"/>
        </w:rPr>
        <w:t>« 6.15.2</w:t>
      </w:r>
      <w:r w:rsidRPr="00F2629D">
        <w:rPr>
          <w:lang w:val="fr-FR"/>
        </w:rPr>
        <w:tab/>
        <w:t>Nombre</w:t>
      </w:r>
    </w:p>
    <w:p w14:paraId="7355FF11" w14:textId="220D50DF" w:rsidR="00296F9D" w:rsidRPr="00F2629D" w:rsidRDefault="00296F9D" w:rsidP="0035560C">
      <w:pPr>
        <w:pStyle w:val="SingleTxtG"/>
        <w:ind w:left="2268"/>
        <w:rPr>
          <w:lang w:val="fr-FR"/>
        </w:rPr>
      </w:pPr>
      <w:r w:rsidRPr="00F2629D">
        <w:rPr>
          <w:lang w:val="fr-FR"/>
        </w:rPr>
        <w:t>Deux, homologués conformément aux prescriptions concernant les catadioptres de la classe IIIA ou IIIB, énoncées dans la série 02 ou une série ultérieure d’amendements au Règlement ONU n</w:t>
      </w:r>
      <w:r w:rsidRPr="00F2629D">
        <w:rPr>
          <w:vertAlign w:val="superscript"/>
          <w:lang w:val="fr-FR"/>
        </w:rPr>
        <w:t>o</w:t>
      </w:r>
      <w:r w:rsidR="00A923D8">
        <w:rPr>
          <w:lang w:val="fr-FR"/>
        </w:rPr>
        <w:t> </w:t>
      </w:r>
      <w:r w:rsidRPr="00F2629D">
        <w:rPr>
          <w:lang w:val="fr-FR"/>
        </w:rPr>
        <w:t>3, ou dans la série originale ou une série ultérieure d’amendements au Règlement ONU n</w:t>
      </w:r>
      <w:r w:rsidRPr="00F2629D">
        <w:rPr>
          <w:vertAlign w:val="superscript"/>
          <w:lang w:val="fr-FR"/>
        </w:rPr>
        <w:t>o</w:t>
      </w:r>
      <w:r w:rsidR="00A923D8">
        <w:rPr>
          <w:lang w:val="fr-FR"/>
        </w:rPr>
        <w:t> </w:t>
      </w:r>
      <w:r w:rsidRPr="00F2629D">
        <w:rPr>
          <w:lang w:val="fr-FR"/>
        </w:rPr>
        <w:t>150. Les dispositifs et matériaux réfléchissants supplémentaires (y compris deux catadioptres ne répondant pas au paragraphe 6.15.4 ci-dessous) sont autorisés à condition qu’ils ne nuisent pas à l’efficacité des dispositifs obligatoires d’éclairage et de signalisation lumineuse. ».</w:t>
      </w:r>
    </w:p>
    <w:p w14:paraId="45271DB2" w14:textId="162EB870" w:rsidR="00296F9D" w:rsidRPr="00F2629D" w:rsidRDefault="00296F9D" w:rsidP="005B0C72">
      <w:pPr>
        <w:pStyle w:val="SingleTxtG"/>
        <w:keepNext/>
        <w:rPr>
          <w:lang w:val="fr-FR"/>
        </w:rPr>
      </w:pPr>
      <w:r w:rsidRPr="00F2629D">
        <w:rPr>
          <w:i/>
          <w:iCs/>
          <w:lang w:val="fr-FR"/>
        </w:rPr>
        <w:t>Paragraphe 6.16</w:t>
      </w:r>
      <w:r w:rsidRPr="00F2629D">
        <w:rPr>
          <w:lang w:val="fr-FR"/>
        </w:rPr>
        <w:t>, lire</w:t>
      </w:r>
      <w:r>
        <w:rPr>
          <w:lang w:val="fr-FR"/>
        </w:rPr>
        <w:t> :</w:t>
      </w:r>
    </w:p>
    <w:p w14:paraId="08AB0C82" w14:textId="15643204" w:rsidR="00296F9D" w:rsidRPr="00F2629D" w:rsidRDefault="00296F9D" w:rsidP="00F4358F">
      <w:pPr>
        <w:pStyle w:val="SingleTxtG"/>
        <w:ind w:left="2268" w:right="992" w:hanging="1134"/>
        <w:rPr>
          <w:lang w:val="fr-FR"/>
        </w:rPr>
      </w:pPr>
      <w:r w:rsidRPr="00F2629D">
        <w:rPr>
          <w:lang w:val="fr-FR"/>
        </w:rPr>
        <w:t>« 6.16</w:t>
      </w:r>
      <w:r w:rsidRPr="00F2629D">
        <w:rPr>
          <w:lang w:val="fr-FR"/>
        </w:rPr>
        <w:tab/>
        <w:t>Catadioptre avant, non triangulaire</w:t>
      </w:r>
      <w:r w:rsidR="005245F0">
        <w:rPr>
          <w:lang w:val="fr-FR"/>
        </w:rPr>
        <w:t> </w:t>
      </w:r>
      <w:r w:rsidRPr="00F2629D">
        <w:rPr>
          <w:lang w:val="fr-FR"/>
        </w:rPr>
        <w:t>».</w:t>
      </w:r>
    </w:p>
    <w:p w14:paraId="250B9EB6" w14:textId="07EB0796" w:rsidR="00296F9D" w:rsidRPr="00F2629D" w:rsidRDefault="00296F9D" w:rsidP="005B0C72">
      <w:pPr>
        <w:pStyle w:val="SingleTxtG"/>
        <w:keepNext/>
        <w:rPr>
          <w:snapToGrid w:val="0"/>
          <w:lang w:val="fr-FR"/>
        </w:rPr>
      </w:pPr>
      <w:r w:rsidRPr="00F2629D">
        <w:rPr>
          <w:i/>
          <w:iCs/>
          <w:lang w:val="fr-FR"/>
        </w:rPr>
        <w:t>Paragraphe 6.16.2</w:t>
      </w:r>
      <w:r w:rsidRPr="00F2629D">
        <w:rPr>
          <w:lang w:val="fr-FR"/>
        </w:rPr>
        <w:t>, lire</w:t>
      </w:r>
      <w:r>
        <w:rPr>
          <w:lang w:val="fr-FR"/>
        </w:rPr>
        <w:t> :</w:t>
      </w:r>
    </w:p>
    <w:p w14:paraId="49D46A88" w14:textId="77777777" w:rsidR="00296F9D" w:rsidRPr="00F2629D" w:rsidRDefault="00296F9D" w:rsidP="00A923D8">
      <w:pPr>
        <w:pStyle w:val="SingleTxtG"/>
        <w:keepNext/>
        <w:ind w:left="2268" w:right="992" w:hanging="1134"/>
        <w:rPr>
          <w:lang w:val="fr-FR"/>
        </w:rPr>
      </w:pPr>
      <w:r w:rsidRPr="00F2629D">
        <w:rPr>
          <w:lang w:val="fr-FR"/>
        </w:rPr>
        <w:t>« 6.16.2</w:t>
      </w:r>
      <w:r w:rsidRPr="00F2629D">
        <w:rPr>
          <w:lang w:val="fr-FR"/>
        </w:rPr>
        <w:tab/>
        <w:t>Nombre</w:t>
      </w:r>
    </w:p>
    <w:p w14:paraId="7507C902" w14:textId="0AD09399" w:rsidR="00296F9D" w:rsidRPr="00F2629D" w:rsidRDefault="00296F9D" w:rsidP="0035560C">
      <w:pPr>
        <w:pStyle w:val="SingleTxtG"/>
        <w:ind w:left="2268"/>
        <w:rPr>
          <w:lang w:val="fr-FR"/>
        </w:rPr>
      </w:pPr>
      <w:r w:rsidRPr="00F2629D">
        <w:rPr>
          <w:lang w:val="fr-FR"/>
        </w:rPr>
        <w:t>Deux, homologués conformément aux prescriptions concernant les catadioptres de la classe IA ou IB, énoncées dans la série 02 ou une série ultérieure d’amendements au Règlement ONU n</w:t>
      </w:r>
      <w:r w:rsidRPr="00F2629D">
        <w:rPr>
          <w:vertAlign w:val="superscript"/>
          <w:lang w:val="fr-FR"/>
        </w:rPr>
        <w:t>o</w:t>
      </w:r>
      <w:r w:rsidR="00A923D8">
        <w:rPr>
          <w:lang w:val="fr-FR"/>
        </w:rPr>
        <w:t> </w:t>
      </w:r>
      <w:r w:rsidRPr="00F2629D">
        <w:rPr>
          <w:lang w:val="fr-FR"/>
        </w:rPr>
        <w:t>3, ou dans la série originale ou une série ultérieure d’amendements au Règlement ONU n</w:t>
      </w:r>
      <w:r w:rsidRPr="00F2629D">
        <w:rPr>
          <w:vertAlign w:val="superscript"/>
          <w:lang w:val="fr-FR"/>
        </w:rPr>
        <w:t>o</w:t>
      </w:r>
      <w:r w:rsidR="00A923D8">
        <w:rPr>
          <w:lang w:val="fr-FR"/>
        </w:rPr>
        <w:t> </w:t>
      </w:r>
      <w:r w:rsidRPr="00F2629D">
        <w:rPr>
          <w:lang w:val="fr-FR"/>
        </w:rPr>
        <w:t>150. Les dispositifs et matériaux réfléchissants supplémentaires (y compris deux catadioptres ne satisfaisant pas aux dispositions du paragraphe 6.16.4 ci</w:t>
      </w:r>
      <w:r w:rsidR="00A923D8">
        <w:rPr>
          <w:lang w:val="fr-FR"/>
        </w:rPr>
        <w:noBreakHyphen/>
      </w:r>
      <w:r w:rsidRPr="00F2629D">
        <w:rPr>
          <w:lang w:val="fr-FR"/>
        </w:rPr>
        <w:t>dessous) sont autorisés à condition qu’ils ne nuisent pas à l’efficacité des dispositifs obligatoires d’éclairage et de signalisation lumineuse. ».</w:t>
      </w:r>
    </w:p>
    <w:p w14:paraId="46B73741" w14:textId="23F9182A" w:rsidR="00296F9D" w:rsidRPr="00F2629D" w:rsidRDefault="00296F9D" w:rsidP="005B0C72">
      <w:pPr>
        <w:pStyle w:val="SingleTxtG"/>
        <w:keepNext/>
        <w:rPr>
          <w:lang w:val="fr-FR"/>
        </w:rPr>
      </w:pPr>
      <w:r w:rsidRPr="00F2629D">
        <w:rPr>
          <w:i/>
          <w:iCs/>
          <w:lang w:val="fr-FR"/>
        </w:rPr>
        <w:t>Paragraphe 6.17</w:t>
      </w:r>
      <w:r w:rsidRPr="00F2629D">
        <w:rPr>
          <w:lang w:val="fr-FR"/>
        </w:rPr>
        <w:t>, lire</w:t>
      </w:r>
      <w:r>
        <w:rPr>
          <w:lang w:val="fr-FR"/>
        </w:rPr>
        <w:t> :</w:t>
      </w:r>
    </w:p>
    <w:p w14:paraId="7DCF973F" w14:textId="77777777" w:rsidR="00296F9D" w:rsidRPr="00F2629D" w:rsidRDefault="00296F9D" w:rsidP="00F4358F">
      <w:pPr>
        <w:pStyle w:val="SingleTxtG"/>
        <w:ind w:left="2268" w:right="992" w:hanging="1134"/>
        <w:rPr>
          <w:lang w:val="fr-FR"/>
        </w:rPr>
      </w:pPr>
      <w:r w:rsidRPr="00F2629D">
        <w:rPr>
          <w:lang w:val="fr-FR"/>
        </w:rPr>
        <w:t>« 6.17</w:t>
      </w:r>
      <w:r w:rsidRPr="00F2629D">
        <w:rPr>
          <w:lang w:val="fr-FR"/>
        </w:rPr>
        <w:tab/>
        <w:t>Catadioptre latéral, non triangulaire ».</w:t>
      </w:r>
    </w:p>
    <w:p w14:paraId="1FEA358A" w14:textId="53BDF18D" w:rsidR="00296F9D" w:rsidRPr="00F2629D" w:rsidRDefault="00296F9D" w:rsidP="005B0C72">
      <w:pPr>
        <w:pStyle w:val="SingleTxtG"/>
        <w:keepNext/>
        <w:rPr>
          <w:lang w:val="fr-FR"/>
        </w:rPr>
      </w:pPr>
      <w:r w:rsidRPr="00F2629D">
        <w:rPr>
          <w:i/>
          <w:iCs/>
          <w:lang w:val="fr-FR"/>
        </w:rPr>
        <w:t>Paragraphe 6.17.2</w:t>
      </w:r>
      <w:r w:rsidRPr="00F2629D">
        <w:rPr>
          <w:lang w:val="fr-FR"/>
        </w:rPr>
        <w:t>, lire</w:t>
      </w:r>
      <w:r>
        <w:rPr>
          <w:lang w:val="fr-FR"/>
        </w:rPr>
        <w:t> :</w:t>
      </w:r>
    </w:p>
    <w:p w14:paraId="7714A71A" w14:textId="77777777" w:rsidR="00296F9D" w:rsidRPr="00F2629D" w:rsidRDefault="00296F9D" w:rsidP="00A923D8">
      <w:pPr>
        <w:pStyle w:val="SingleTxtG"/>
        <w:keepNext/>
        <w:ind w:left="2268" w:right="992" w:hanging="1134"/>
        <w:rPr>
          <w:lang w:val="fr-FR"/>
        </w:rPr>
      </w:pPr>
      <w:r w:rsidRPr="00F2629D">
        <w:rPr>
          <w:lang w:val="fr-FR"/>
        </w:rPr>
        <w:t>« 6.17.2</w:t>
      </w:r>
      <w:r w:rsidRPr="00F2629D">
        <w:rPr>
          <w:lang w:val="fr-FR"/>
        </w:rPr>
        <w:tab/>
        <w:t>Nombre</w:t>
      </w:r>
    </w:p>
    <w:p w14:paraId="6E5B8495" w14:textId="2066DECA" w:rsidR="00296F9D" w:rsidRPr="00F2629D" w:rsidRDefault="00296F9D" w:rsidP="0035560C">
      <w:pPr>
        <w:pStyle w:val="SingleTxtG"/>
        <w:ind w:left="2268"/>
        <w:rPr>
          <w:lang w:val="fr-FR"/>
        </w:rPr>
      </w:pPr>
      <w:r w:rsidRPr="00F2629D">
        <w:rPr>
          <w:lang w:val="fr-FR"/>
        </w:rPr>
        <w:t>Tel que les prescriptions relatives à l’emplacement en longueur soient respectées. Ces dispositifs doivent être homologués conformément aux prescriptions concernant les catadioptres de la classe IA ou IB, énoncées dans la série 02 ou une série ultérieure d’amendements au Règlement ONU n</w:t>
      </w:r>
      <w:r w:rsidRPr="00F2629D">
        <w:rPr>
          <w:vertAlign w:val="superscript"/>
          <w:lang w:val="fr-FR"/>
        </w:rPr>
        <w:t>o</w:t>
      </w:r>
      <w:r w:rsidR="00A923D8">
        <w:rPr>
          <w:lang w:val="fr-FR"/>
        </w:rPr>
        <w:t> </w:t>
      </w:r>
      <w:r w:rsidRPr="00F2629D">
        <w:rPr>
          <w:lang w:val="fr-FR"/>
        </w:rPr>
        <w:t>3, ou dans la série originale ou une série ultérieure d’amendements au Règlement ONU n</w:t>
      </w:r>
      <w:r w:rsidRPr="00F2629D">
        <w:rPr>
          <w:vertAlign w:val="superscript"/>
          <w:lang w:val="fr-FR"/>
        </w:rPr>
        <w:t>o</w:t>
      </w:r>
      <w:r w:rsidR="00A923D8">
        <w:rPr>
          <w:lang w:val="fr-FR"/>
        </w:rPr>
        <w:t> </w:t>
      </w:r>
      <w:r w:rsidRPr="00F2629D">
        <w:rPr>
          <w:lang w:val="fr-FR"/>
        </w:rPr>
        <w:t>150. Les dispositifs et matériaux réfléchissants supplémentaires (y</w:t>
      </w:r>
      <w:r w:rsidR="00A923D8">
        <w:rPr>
          <w:lang w:val="fr-FR"/>
        </w:rPr>
        <w:t> </w:t>
      </w:r>
      <w:r w:rsidRPr="00F2629D">
        <w:rPr>
          <w:lang w:val="fr-FR"/>
        </w:rPr>
        <w:t>compris deux catadioptres ne satisfaisant pas aux dispositions du paragraphe 6.17.4 ci-dessous) sont autorisés à condition qu’ils ne nuisent pas à l’efficacité des dispositifs obligatoires d’éclairage et de signalisation lumineuse. ».</w:t>
      </w:r>
    </w:p>
    <w:p w14:paraId="47FA36F3" w14:textId="4A4E6FC7" w:rsidR="00296F9D" w:rsidRPr="00F2629D" w:rsidRDefault="00296F9D" w:rsidP="005B0C72">
      <w:pPr>
        <w:pStyle w:val="SingleTxtG"/>
        <w:keepNext/>
        <w:rPr>
          <w:lang w:val="fr-FR"/>
        </w:rPr>
      </w:pPr>
      <w:r w:rsidRPr="00F2629D">
        <w:rPr>
          <w:i/>
          <w:iCs/>
          <w:lang w:val="fr-FR"/>
        </w:rPr>
        <w:t>Paragraphe 6.18</w:t>
      </w:r>
      <w:r w:rsidRPr="00F2629D">
        <w:rPr>
          <w:lang w:val="fr-FR"/>
        </w:rPr>
        <w:t>, lire</w:t>
      </w:r>
      <w:r>
        <w:rPr>
          <w:lang w:val="fr-FR"/>
        </w:rPr>
        <w:t> :</w:t>
      </w:r>
    </w:p>
    <w:p w14:paraId="651AD4A1" w14:textId="77777777" w:rsidR="00296F9D" w:rsidRPr="00F2629D" w:rsidRDefault="00296F9D" w:rsidP="00F4358F">
      <w:pPr>
        <w:pStyle w:val="SingleTxtG"/>
        <w:ind w:left="2268" w:right="992" w:hanging="1134"/>
        <w:rPr>
          <w:lang w:val="fr-FR"/>
        </w:rPr>
      </w:pPr>
      <w:r w:rsidRPr="00F2629D">
        <w:rPr>
          <w:lang w:val="fr-FR"/>
        </w:rPr>
        <w:t>« 6.18</w:t>
      </w:r>
      <w:r w:rsidRPr="00F2629D">
        <w:rPr>
          <w:lang w:val="fr-FR"/>
        </w:rPr>
        <w:tab/>
        <w:t>Feux de position latéraux ».</w:t>
      </w:r>
    </w:p>
    <w:p w14:paraId="515C01D9" w14:textId="62A4EA5D" w:rsidR="00296F9D" w:rsidRPr="00F2629D" w:rsidRDefault="00296F9D" w:rsidP="005B0C72">
      <w:pPr>
        <w:pStyle w:val="SingleTxtG"/>
        <w:keepNext/>
        <w:rPr>
          <w:lang w:val="fr-FR"/>
        </w:rPr>
      </w:pPr>
      <w:r w:rsidRPr="00F2629D">
        <w:rPr>
          <w:i/>
          <w:iCs/>
          <w:lang w:val="fr-FR"/>
        </w:rPr>
        <w:lastRenderedPageBreak/>
        <w:t>Paragraphe 6.18.2</w:t>
      </w:r>
      <w:r w:rsidRPr="00F2629D">
        <w:rPr>
          <w:lang w:val="fr-FR"/>
        </w:rPr>
        <w:t>, lire</w:t>
      </w:r>
      <w:r>
        <w:rPr>
          <w:lang w:val="fr-FR"/>
        </w:rPr>
        <w:t> :</w:t>
      </w:r>
    </w:p>
    <w:p w14:paraId="315691C8" w14:textId="77777777" w:rsidR="0035560C" w:rsidRDefault="00296F9D" w:rsidP="00A923D8">
      <w:pPr>
        <w:pStyle w:val="SingleTxtG"/>
        <w:keepNext/>
        <w:ind w:left="2268" w:right="992" w:hanging="1134"/>
        <w:rPr>
          <w:lang w:val="fr-FR"/>
        </w:rPr>
      </w:pPr>
      <w:r w:rsidRPr="00F2629D">
        <w:rPr>
          <w:lang w:val="fr-FR"/>
        </w:rPr>
        <w:t>« 6.18.2</w:t>
      </w:r>
      <w:r w:rsidRPr="00F2629D">
        <w:rPr>
          <w:lang w:val="fr-FR"/>
        </w:rPr>
        <w:tab/>
        <w:t>Nombre minimal par côté</w:t>
      </w:r>
    </w:p>
    <w:p w14:paraId="456CB1B0" w14:textId="09C6F94C" w:rsidR="00296F9D" w:rsidRPr="00F2629D" w:rsidRDefault="00296F9D" w:rsidP="0035560C">
      <w:pPr>
        <w:pStyle w:val="SingleTxtG"/>
        <w:ind w:left="2268"/>
        <w:rPr>
          <w:lang w:val="fr-FR"/>
        </w:rPr>
      </w:pPr>
      <w:r w:rsidRPr="00F2629D">
        <w:rPr>
          <w:lang w:val="fr-FR"/>
        </w:rPr>
        <w:t>Tel que les prescriptions relatives à l’emplacement en longueur soient respectées.</w:t>
      </w:r>
    </w:p>
    <w:p w14:paraId="75E98CC5" w14:textId="12516873" w:rsidR="00296F9D" w:rsidRPr="00F2629D" w:rsidRDefault="00296F9D" w:rsidP="0035560C">
      <w:pPr>
        <w:pStyle w:val="SingleTxtG"/>
        <w:ind w:left="2268"/>
        <w:rPr>
          <w:lang w:val="fr-FR"/>
        </w:rPr>
      </w:pPr>
      <w:r w:rsidRPr="00F2629D">
        <w:rPr>
          <w:lang w:val="fr-FR"/>
        </w:rPr>
        <w:t>Les dispositifs doivent être homologués conformément à la série originale ou à une série ultérieure d’amendements au Règlement ONU n</w:t>
      </w:r>
      <w:r w:rsidRPr="00F2629D">
        <w:rPr>
          <w:vertAlign w:val="superscript"/>
          <w:lang w:val="fr-FR"/>
        </w:rPr>
        <w:t>o</w:t>
      </w:r>
      <w:r w:rsidR="00A923D8">
        <w:rPr>
          <w:lang w:val="fr-FR"/>
        </w:rPr>
        <w:t> </w:t>
      </w:r>
      <w:r w:rsidRPr="00F2629D">
        <w:rPr>
          <w:lang w:val="fr-FR"/>
        </w:rPr>
        <w:t>91, ou à la série originale ou à une série ultérieure d’amendements au Règlement ONU n</w:t>
      </w:r>
      <w:r w:rsidRPr="00F2629D">
        <w:rPr>
          <w:vertAlign w:val="superscript"/>
          <w:lang w:val="fr-FR"/>
        </w:rPr>
        <w:t>o</w:t>
      </w:r>
      <w:r w:rsidR="00A923D8">
        <w:rPr>
          <w:lang w:val="fr-FR"/>
        </w:rPr>
        <w:t> </w:t>
      </w:r>
      <w:r w:rsidRPr="00F2629D">
        <w:rPr>
          <w:lang w:val="fr-FR"/>
        </w:rPr>
        <w:t>148. ».</w:t>
      </w:r>
    </w:p>
    <w:p w14:paraId="1BCA479F" w14:textId="3918BD9B" w:rsidR="00296F9D" w:rsidRPr="00F2629D" w:rsidRDefault="00296F9D" w:rsidP="005B0C72">
      <w:pPr>
        <w:pStyle w:val="SingleTxtG"/>
        <w:keepNext/>
        <w:rPr>
          <w:lang w:val="fr-FR"/>
        </w:rPr>
      </w:pPr>
      <w:r w:rsidRPr="00F2629D">
        <w:rPr>
          <w:i/>
          <w:iCs/>
          <w:lang w:val="fr-FR"/>
        </w:rPr>
        <w:t>Paragraphe 6.19</w:t>
      </w:r>
      <w:r w:rsidRPr="00F2629D">
        <w:rPr>
          <w:lang w:val="fr-FR"/>
        </w:rPr>
        <w:t>, lire</w:t>
      </w:r>
      <w:r>
        <w:rPr>
          <w:lang w:val="fr-FR"/>
        </w:rPr>
        <w:t> :</w:t>
      </w:r>
    </w:p>
    <w:p w14:paraId="3A2A6186" w14:textId="77777777" w:rsidR="00296F9D" w:rsidRPr="00F2629D" w:rsidRDefault="00296F9D" w:rsidP="00F4358F">
      <w:pPr>
        <w:pStyle w:val="SingleTxtG"/>
        <w:ind w:left="2268" w:right="992" w:hanging="1134"/>
        <w:rPr>
          <w:lang w:val="fr-FR"/>
        </w:rPr>
      </w:pPr>
      <w:r w:rsidRPr="00F2629D">
        <w:rPr>
          <w:lang w:val="fr-FR"/>
        </w:rPr>
        <w:t>« 6.19</w:t>
      </w:r>
      <w:r w:rsidRPr="00F2629D">
        <w:rPr>
          <w:lang w:val="fr-FR"/>
        </w:rPr>
        <w:tab/>
        <w:t>Feu de circulation diurne ».</w:t>
      </w:r>
    </w:p>
    <w:p w14:paraId="06EC2574" w14:textId="6D492A68" w:rsidR="00296F9D" w:rsidRPr="00F2629D" w:rsidRDefault="00296F9D" w:rsidP="005B0C72">
      <w:pPr>
        <w:pStyle w:val="SingleTxtG"/>
        <w:keepNext/>
        <w:rPr>
          <w:lang w:val="fr-FR"/>
        </w:rPr>
      </w:pPr>
      <w:r w:rsidRPr="00F2629D">
        <w:rPr>
          <w:i/>
          <w:iCs/>
          <w:lang w:val="fr-FR"/>
        </w:rPr>
        <w:t>Paragraphe 6.19.2</w:t>
      </w:r>
      <w:r w:rsidRPr="00F2629D">
        <w:rPr>
          <w:lang w:val="fr-FR"/>
        </w:rPr>
        <w:t>, lire</w:t>
      </w:r>
      <w:r>
        <w:rPr>
          <w:lang w:val="fr-FR"/>
        </w:rPr>
        <w:t> :</w:t>
      </w:r>
    </w:p>
    <w:p w14:paraId="278637D7" w14:textId="77777777" w:rsidR="0035560C" w:rsidRDefault="00296F9D" w:rsidP="00A923D8">
      <w:pPr>
        <w:pStyle w:val="SingleTxtG"/>
        <w:keepNext/>
        <w:ind w:left="2268" w:right="992" w:hanging="1134"/>
        <w:rPr>
          <w:lang w:val="fr-FR"/>
        </w:rPr>
      </w:pPr>
      <w:r w:rsidRPr="00F2629D">
        <w:rPr>
          <w:lang w:val="fr-FR"/>
        </w:rPr>
        <w:t>« 6.19.2</w:t>
      </w:r>
      <w:r w:rsidRPr="00F2629D">
        <w:rPr>
          <w:lang w:val="fr-FR"/>
        </w:rPr>
        <w:tab/>
        <w:t>Nombre</w:t>
      </w:r>
    </w:p>
    <w:p w14:paraId="4E576828" w14:textId="5A32DFFD" w:rsidR="00296F9D" w:rsidRPr="00F2629D" w:rsidRDefault="00296F9D" w:rsidP="0035560C">
      <w:pPr>
        <w:pStyle w:val="SingleTxtG"/>
        <w:ind w:left="2268"/>
        <w:rPr>
          <w:lang w:val="fr-FR"/>
        </w:rPr>
      </w:pPr>
      <w:r w:rsidRPr="00F2629D">
        <w:rPr>
          <w:lang w:val="fr-FR"/>
        </w:rPr>
        <w:t>Deux, homologués conformément à la série originale ou à une série ultérieure d’amendements au Règlement ONU n</w:t>
      </w:r>
      <w:r w:rsidRPr="00F2629D">
        <w:rPr>
          <w:vertAlign w:val="superscript"/>
          <w:lang w:val="fr-FR"/>
        </w:rPr>
        <w:t>o</w:t>
      </w:r>
      <w:r w:rsidR="00A923D8">
        <w:rPr>
          <w:lang w:val="fr-FR"/>
        </w:rPr>
        <w:t> </w:t>
      </w:r>
      <w:r w:rsidRPr="00F2629D">
        <w:rPr>
          <w:lang w:val="fr-FR"/>
        </w:rPr>
        <w:t>87, ou à la série originale ou à une série ultérieure d’amendements au Règlement ONU n</w:t>
      </w:r>
      <w:r w:rsidRPr="00F2629D">
        <w:rPr>
          <w:vertAlign w:val="superscript"/>
          <w:lang w:val="fr-FR"/>
        </w:rPr>
        <w:t>o</w:t>
      </w:r>
      <w:r w:rsidR="00A923D8">
        <w:rPr>
          <w:lang w:val="fr-FR"/>
        </w:rPr>
        <w:t> </w:t>
      </w:r>
      <w:r w:rsidRPr="00F2629D">
        <w:rPr>
          <w:lang w:val="fr-FR"/>
        </w:rPr>
        <w:t>148. ».</w:t>
      </w:r>
    </w:p>
    <w:p w14:paraId="0A439CC7" w14:textId="56F3A0A9" w:rsidR="00296F9D" w:rsidRPr="00F2629D" w:rsidRDefault="00296F9D" w:rsidP="005B0C72">
      <w:pPr>
        <w:pStyle w:val="SingleTxtG"/>
        <w:keepNext/>
        <w:rPr>
          <w:lang w:val="fr-FR"/>
        </w:rPr>
      </w:pPr>
      <w:r w:rsidRPr="00F2629D">
        <w:rPr>
          <w:i/>
          <w:iCs/>
          <w:lang w:val="fr-FR"/>
        </w:rPr>
        <w:t>Paragraphe 6.19.7.5</w:t>
      </w:r>
      <w:r w:rsidRPr="00F2629D">
        <w:rPr>
          <w:lang w:val="fr-FR"/>
        </w:rPr>
        <w:t>, lire</w:t>
      </w:r>
      <w:r>
        <w:t> :</w:t>
      </w:r>
    </w:p>
    <w:p w14:paraId="5EE23464" w14:textId="77777777" w:rsidR="00296F9D" w:rsidRPr="00F2629D" w:rsidRDefault="00296F9D" w:rsidP="005429BD">
      <w:pPr>
        <w:pStyle w:val="SingleTxtG"/>
        <w:ind w:left="2268" w:hanging="1134"/>
        <w:rPr>
          <w:lang w:val="fr-FR"/>
        </w:rPr>
      </w:pPr>
      <w:r w:rsidRPr="00F2629D">
        <w:rPr>
          <w:lang w:val="fr-FR"/>
        </w:rPr>
        <w:t>« 6.19.7.5</w:t>
      </w:r>
      <w:r w:rsidRPr="00F2629D">
        <w:rPr>
          <w:lang w:val="fr-FR"/>
        </w:rPr>
        <w:tab/>
        <w:t>Lorsque les feux de circulation diurne sont allumés, les feux de position arrière doivent être allumés. En outre, tout autre feu mentionné au paragraphe 5.11 peut également être allumé.</w:t>
      </w:r>
    </w:p>
    <w:p w14:paraId="2700BFB7" w14:textId="226A48E2" w:rsidR="00296F9D" w:rsidRPr="00F2629D" w:rsidRDefault="00296F9D" w:rsidP="0035560C">
      <w:pPr>
        <w:pStyle w:val="SingleTxtG"/>
        <w:ind w:left="2268"/>
        <w:rPr>
          <w:lang w:val="fr-FR"/>
        </w:rPr>
      </w:pPr>
      <w:r w:rsidRPr="00F2629D">
        <w:rPr>
          <w:lang w:val="fr-FR"/>
        </w:rPr>
        <w:t>Toutefois, les feux de position arrière et tout autre feu mentionné au paragraphe 5.11 peuvent être éteints lorsque les feux de circulation diurne sont allumés et rester éteints tant que la luminosité ambiante à l’extérieur du véhicule (mesurée conformément aux prescriptions de l’annexe 13) est supérieure à 7</w:t>
      </w:r>
      <w:r w:rsidR="00A923D8">
        <w:rPr>
          <w:lang w:val="fr-FR"/>
        </w:rPr>
        <w:t> </w:t>
      </w:r>
      <w:r w:rsidRPr="00F2629D">
        <w:rPr>
          <w:lang w:val="fr-FR"/>
        </w:rPr>
        <w:t>000 lux. ».</w:t>
      </w:r>
    </w:p>
    <w:p w14:paraId="62C78BB9" w14:textId="27079194" w:rsidR="00296F9D" w:rsidRPr="00F2629D" w:rsidRDefault="00296F9D" w:rsidP="005B0C72">
      <w:pPr>
        <w:pStyle w:val="SingleTxtG"/>
        <w:keepNext/>
        <w:rPr>
          <w:lang w:val="fr-FR"/>
        </w:rPr>
      </w:pPr>
      <w:r w:rsidRPr="00F2629D">
        <w:rPr>
          <w:i/>
          <w:iCs/>
          <w:lang w:val="fr-FR"/>
        </w:rPr>
        <w:t>Paragraphe 6.20</w:t>
      </w:r>
      <w:r w:rsidRPr="00F2629D">
        <w:rPr>
          <w:lang w:val="fr-FR"/>
        </w:rPr>
        <w:t>, lire</w:t>
      </w:r>
      <w:r>
        <w:rPr>
          <w:lang w:val="fr-FR"/>
        </w:rPr>
        <w:t> :</w:t>
      </w:r>
    </w:p>
    <w:p w14:paraId="1C48138C" w14:textId="77777777" w:rsidR="00296F9D" w:rsidRPr="00F2629D" w:rsidRDefault="00296F9D" w:rsidP="00F4358F">
      <w:pPr>
        <w:pStyle w:val="SingleTxtG"/>
        <w:ind w:left="2268" w:right="992" w:hanging="1134"/>
        <w:rPr>
          <w:lang w:val="fr-FR"/>
        </w:rPr>
      </w:pPr>
      <w:r w:rsidRPr="00F2629D">
        <w:rPr>
          <w:lang w:val="fr-FR"/>
        </w:rPr>
        <w:t>« 6.20</w:t>
      </w:r>
      <w:r w:rsidRPr="00F2629D">
        <w:rPr>
          <w:lang w:val="fr-FR"/>
        </w:rPr>
        <w:tab/>
        <w:t>Feu d’angle ».</w:t>
      </w:r>
    </w:p>
    <w:p w14:paraId="1422A573" w14:textId="13C011AA" w:rsidR="00296F9D" w:rsidRPr="00F2629D" w:rsidRDefault="00296F9D" w:rsidP="005B0C72">
      <w:pPr>
        <w:pStyle w:val="SingleTxtG"/>
        <w:keepNext/>
        <w:rPr>
          <w:lang w:val="fr-FR"/>
        </w:rPr>
      </w:pPr>
      <w:r w:rsidRPr="00F2629D">
        <w:rPr>
          <w:i/>
          <w:iCs/>
          <w:lang w:val="fr-FR"/>
        </w:rPr>
        <w:t>Paragraphe 6.20.2</w:t>
      </w:r>
      <w:r w:rsidRPr="00F2629D">
        <w:rPr>
          <w:lang w:val="fr-FR"/>
        </w:rPr>
        <w:t>, lire</w:t>
      </w:r>
      <w:r>
        <w:rPr>
          <w:lang w:val="fr-FR"/>
        </w:rPr>
        <w:t> :</w:t>
      </w:r>
    </w:p>
    <w:p w14:paraId="5FBAF421" w14:textId="77777777" w:rsidR="0035560C" w:rsidRDefault="00296F9D" w:rsidP="00F4358F">
      <w:pPr>
        <w:pStyle w:val="SingleTxtG"/>
        <w:ind w:left="2268" w:right="992" w:hanging="1134"/>
        <w:rPr>
          <w:lang w:val="fr-FR"/>
        </w:rPr>
      </w:pPr>
      <w:r w:rsidRPr="00F2629D">
        <w:rPr>
          <w:lang w:val="fr-FR"/>
        </w:rPr>
        <w:t>« 6.20.2</w:t>
      </w:r>
      <w:r w:rsidRPr="00F2629D">
        <w:rPr>
          <w:lang w:val="fr-FR"/>
        </w:rPr>
        <w:tab/>
        <w:t>Nombre</w:t>
      </w:r>
    </w:p>
    <w:p w14:paraId="638939E3" w14:textId="0576E633" w:rsidR="00296F9D" w:rsidRPr="00F2629D" w:rsidRDefault="00296F9D" w:rsidP="0035560C">
      <w:pPr>
        <w:pStyle w:val="SingleTxtG"/>
        <w:ind w:left="2268"/>
        <w:rPr>
          <w:lang w:val="fr-FR"/>
        </w:rPr>
      </w:pPr>
      <w:r w:rsidRPr="00F2629D">
        <w:rPr>
          <w:lang w:val="fr-FR"/>
        </w:rPr>
        <w:t>Deux, homologués conformément à la série 01 ou à une série ultérieure d’amendements au Règlement ONU n</w:t>
      </w:r>
      <w:r w:rsidRPr="00F2629D">
        <w:rPr>
          <w:vertAlign w:val="superscript"/>
          <w:lang w:val="fr-FR"/>
        </w:rPr>
        <w:t>o</w:t>
      </w:r>
      <w:r w:rsidR="00A923D8">
        <w:rPr>
          <w:lang w:val="fr-FR"/>
        </w:rPr>
        <w:t> </w:t>
      </w:r>
      <w:r w:rsidRPr="00F2629D">
        <w:rPr>
          <w:lang w:val="fr-FR"/>
        </w:rPr>
        <w:t>119, ou à la série originale ou à une série ultérieure d’amendements au Règlement ONU n</w:t>
      </w:r>
      <w:r w:rsidRPr="00F2629D">
        <w:rPr>
          <w:vertAlign w:val="superscript"/>
          <w:lang w:val="fr-FR"/>
        </w:rPr>
        <w:t>o</w:t>
      </w:r>
      <w:r w:rsidR="00A923D8">
        <w:rPr>
          <w:lang w:val="fr-FR"/>
        </w:rPr>
        <w:t> </w:t>
      </w:r>
      <w:r w:rsidRPr="00F2629D">
        <w:rPr>
          <w:lang w:val="fr-FR"/>
        </w:rPr>
        <w:t>149. ».</w:t>
      </w:r>
    </w:p>
    <w:p w14:paraId="227EB1E0" w14:textId="2232C7FE" w:rsidR="00296F9D" w:rsidRPr="00F2629D" w:rsidRDefault="00296F9D" w:rsidP="005B0C72">
      <w:pPr>
        <w:pStyle w:val="SingleTxtG"/>
        <w:keepNext/>
        <w:rPr>
          <w:lang w:val="fr-FR"/>
        </w:rPr>
      </w:pPr>
      <w:r w:rsidRPr="00F2629D">
        <w:rPr>
          <w:i/>
          <w:iCs/>
          <w:lang w:val="fr-FR"/>
        </w:rPr>
        <w:t>Paragraphe 6.21</w:t>
      </w:r>
      <w:r w:rsidRPr="00F2629D">
        <w:rPr>
          <w:lang w:val="fr-FR"/>
        </w:rPr>
        <w:t>, lire</w:t>
      </w:r>
      <w:r>
        <w:rPr>
          <w:lang w:val="fr-FR"/>
        </w:rPr>
        <w:t> :</w:t>
      </w:r>
    </w:p>
    <w:p w14:paraId="717AB43D" w14:textId="77777777" w:rsidR="00296F9D" w:rsidRPr="00F2629D" w:rsidRDefault="00296F9D" w:rsidP="00A923D8">
      <w:pPr>
        <w:pStyle w:val="SingleTxtG"/>
        <w:ind w:left="2268" w:hanging="1134"/>
        <w:rPr>
          <w:lang w:val="fr-FR"/>
        </w:rPr>
      </w:pPr>
      <w:r w:rsidRPr="00F2629D">
        <w:rPr>
          <w:lang w:val="fr-FR"/>
        </w:rPr>
        <w:t>« 6.21</w:t>
      </w:r>
      <w:r w:rsidRPr="00F2629D">
        <w:rPr>
          <w:lang w:val="fr-FR"/>
        </w:rPr>
        <w:tab/>
        <w:t>Marquages à grande visibilité ».</w:t>
      </w:r>
    </w:p>
    <w:p w14:paraId="0B618E83" w14:textId="5A1596B7" w:rsidR="00296F9D" w:rsidRPr="00F2629D" w:rsidRDefault="00296F9D" w:rsidP="005B0C72">
      <w:pPr>
        <w:pStyle w:val="SingleTxtG"/>
        <w:keepNext/>
        <w:rPr>
          <w:i/>
          <w:lang w:val="fr-FR"/>
        </w:rPr>
      </w:pPr>
      <w:r w:rsidRPr="00F2629D">
        <w:rPr>
          <w:i/>
          <w:iCs/>
          <w:lang w:val="fr-FR"/>
        </w:rPr>
        <w:t>Paragraphe 6.21.1.2.5</w:t>
      </w:r>
      <w:r w:rsidRPr="00F2629D">
        <w:rPr>
          <w:lang w:val="fr-FR"/>
        </w:rPr>
        <w:t>, lire</w:t>
      </w:r>
      <w:r>
        <w:rPr>
          <w:lang w:val="fr-FR"/>
        </w:rPr>
        <w:t> :</w:t>
      </w:r>
    </w:p>
    <w:p w14:paraId="38A4DEEE" w14:textId="752A6522" w:rsidR="00296F9D" w:rsidRPr="00F2629D" w:rsidRDefault="00296F9D" w:rsidP="005429BD">
      <w:pPr>
        <w:pStyle w:val="SingleTxtG"/>
        <w:ind w:left="2268" w:hanging="1134"/>
        <w:rPr>
          <w:lang w:val="fr-FR"/>
        </w:rPr>
      </w:pPr>
      <w:r w:rsidRPr="00F2629D">
        <w:rPr>
          <w:lang w:val="fr-FR"/>
        </w:rPr>
        <w:t>« 6.21.1.2.5</w:t>
      </w:r>
      <w:r w:rsidRPr="00F2629D">
        <w:rPr>
          <w:lang w:val="fr-FR"/>
        </w:rPr>
        <w:tab/>
        <w:t>Lorsque le fabricant, après vérification par le service technique, peut prouver à l’autorité d’homologation de type qu’il est impossible de se conformer aux prescriptions énoncées aux paragraphes 6.21.2 à 6.21.7.5 ci-dessous, en raison d’exigences opérationnelles susceptibles d’imposer au véhicule une forme, une structure ou une conception spéciales, on peut se contenter du respect partiel de ces prescriptions. Cela dépend du nombre de prescriptions devant, si possible, être satisfaites et de l’application des marquages à grande visibilité qui satisfont en partie aux prescriptions les plus strictes concernant la structure du véhicule. On peut notamment mettre en place, lorsque la structure le permet, des plaques ou des supports supplémentaires constitués d’un matériau homologué conformément à la série originale ou à une série ultérieure d’amendements au Règlement ONU n</w:t>
      </w:r>
      <w:r w:rsidRPr="00F2629D">
        <w:rPr>
          <w:vertAlign w:val="superscript"/>
          <w:lang w:val="fr-FR"/>
        </w:rPr>
        <w:t>o</w:t>
      </w:r>
      <w:r w:rsidR="00A923D8">
        <w:rPr>
          <w:lang w:val="fr-FR"/>
        </w:rPr>
        <w:t> </w:t>
      </w:r>
      <w:r w:rsidRPr="00F2629D">
        <w:rPr>
          <w:lang w:val="fr-FR"/>
        </w:rPr>
        <w:t>104, ou à la série originale ou à une série ultérieure d’amendements au Règlement ONU n</w:t>
      </w:r>
      <w:r w:rsidRPr="00F2629D">
        <w:rPr>
          <w:vertAlign w:val="superscript"/>
          <w:lang w:val="fr-FR"/>
        </w:rPr>
        <w:t>o</w:t>
      </w:r>
      <w:r w:rsidR="00A923D8">
        <w:rPr>
          <w:lang w:val="fr-FR"/>
        </w:rPr>
        <w:t> </w:t>
      </w:r>
      <w:r w:rsidRPr="00F2629D">
        <w:rPr>
          <w:lang w:val="fr-FR"/>
        </w:rPr>
        <w:t>150, afin que la signalisation soit claire et uniforme et réponde à l’objectif de grande visibilité.</w:t>
      </w:r>
      <w:bookmarkStart w:id="2" w:name="_Hlk116555548"/>
      <w:bookmarkEnd w:id="2"/>
    </w:p>
    <w:p w14:paraId="280911CD" w14:textId="677B2B59" w:rsidR="00296F9D" w:rsidRPr="00A923D8" w:rsidRDefault="00296F9D" w:rsidP="00A923D8">
      <w:pPr>
        <w:pStyle w:val="SingleTxtG"/>
        <w:ind w:left="2268"/>
        <w:rPr>
          <w:spacing w:val="-1"/>
          <w:lang w:val="fr-FR"/>
        </w:rPr>
      </w:pPr>
      <w:r w:rsidRPr="00A923D8">
        <w:rPr>
          <w:spacing w:val="-1"/>
          <w:lang w:val="fr-FR"/>
        </w:rPr>
        <w:t xml:space="preserve">Lorsque le respect partiel est jugé acceptable, les dispositifs rétroréfléchissants de la classe IVA, homologués conformément à la série 02 ou à une série </w:t>
      </w:r>
      <w:r w:rsidRPr="00A923D8">
        <w:rPr>
          <w:spacing w:val="-1"/>
          <w:lang w:val="fr-FR"/>
        </w:rPr>
        <w:lastRenderedPageBreak/>
        <w:t>ultérieure d’amendements au Règlement ONU n</w:t>
      </w:r>
      <w:r w:rsidRPr="00A923D8">
        <w:rPr>
          <w:spacing w:val="-1"/>
          <w:vertAlign w:val="superscript"/>
          <w:lang w:val="fr-FR"/>
        </w:rPr>
        <w:t>o</w:t>
      </w:r>
      <w:r w:rsidR="00A923D8">
        <w:rPr>
          <w:spacing w:val="-1"/>
          <w:lang w:val="fr-FR"/>
        </w:rPr>
        <w:t> </w:t>
      </w:r>
      <w:r w:rsidRPr="00A923D8">
        <w:rPr>
          <w:spacing w:val="-1"/>
          <w:lang w:val="fr-FR"/>
        </w:rPr>
        <w:t>3, ou à la série originale ou à une série ultérieure d’amendements au Règlement ONU n</w:t>
      </w:r>
      <w:r w:rsidRPr="00A923D8">
        <w:rPr>
          <w:spacing w:val="-1"/>
          <w:vertAlign w:val="superscript"/>
          <w:lang w:val="fr-FR"/>
        </w:rPr>
        <w:t>o</w:t>
      </w:r>
      <w:r w:rsidR="00A923D8">
        <w:rPr>
          <w:spacing w:val="-1"/>
          <w:lang w:val="fr-FR"/>
        </w:rPr>
        <w:t> </w:t>
      </w:r>
      <w:r w:rsidRPr="00A923D8">
        <w:rPr>
          <w:spacing w:val="-1"/>
          <w:lang w:val="fr-FR"/>
        </w:rPr>
        <w:t xml:space="preserve">150, ou les supports constitués d’un matériau </w:t>
      </w:r>
      <w:proofErr w:type="spellStart"/>
      <w:r w:rsidRPr="00A923D8">
        <w:rPr>
          <w:spacing w:val="-1"/>
          <w:lang w:val="fr-FR"/>
        </w:rPr>
        <w:t>rétroréfléchissant</w:t>
      </w:r>
      <w:proofErr w:type="spellEnd"/>
      <w:r w:rsidRPr="00A923D8">
        <w:rPr>
          <w:spacing w:val="-1"/>
          <w:lang w:val="fr-FR"/>
        </w:rPr>
        <w:t xml:space="preserve"> homologué conformément aux prescriptions photométriques de la classe C de la série originale ou d’une série ultérieure d’amendements au Règlement ONU n</w:t>
      </w:r>
      <w:r w:rsidRPr="00A923D8">
        <w:rPr>
          <w:spacing w:val="-1"/>
          <w:vertAlign w:val="superscript"/>
          <w:lang w:val="fr-FR"/>
        </w:rPr>
        <w:t>o</w:t>
      </w:r>
      <w:r w:rsidR="00A923D8">
        <w:rPr>
          <w:spacing w:val="-1"/>
          <w:lang w:val="fr-FR"/>
        </w:rPr>
        <w:t> </w:t>
      </w:r>
      <w:r w:rsidRPr="00A923D8">
        <w:rPr>
          <w:spacing w:val="-1"/>
          <w:lang w:val="fr-FR"/>
        </w:rPr>
        <w:t>104, ou de la série originale ou d’une série ultérieure d’amendements au Règlement ONU n</w:t>
      </w:r>
      <w:r w:rsidRPr="00A923D8">
        <w:rPr>
          <w:spacing w:val="-1"/>
          <w:vertAlign w:val="superscript"/>
          <w:lang w:val="fr-FR"/>
        </w:rPr>
        <w:t>o</w:t>
      </w:r>
      <w:r w:rsidR="00A923D8" w:rsidRPr="00A923D8">
        <w:rPr>
          <w:spacing w:val="-1"/>
          <w:lang w:val="fr-FR"/>
        </w:rPr>
        <w:t> </w:t>
      </w:r>
      <w:r w:rsidRPr="00A923D8">
        <w:rPr>
          <w:spacing w:val="-1"/>
          <w:lang w:val="fr-FR"/>
        </w:rPr>
        <w:t>150 peuvent en partie remplacer les marquages à grande visibilité requis. Dans ce cas, il convient d’installer de tels dispositifs rétroréfléchissants tous les 1 500 </w:t>
      </w:r>
      <w:proofErr w:type="spellStart"/>
      <w:r w:rsidRPr="00A923D8">
        <w:rPr>
          <w:spacing w:val="-1"/>
          <w:lang w:val="fr-FR"/>
        </w:rPr>
        <w:t>mm.</w:t>
      </w:r>
      <w:proofErr w:type="spellEnd"/>
    </w:p>
    <w:p w14:paraId="7EFCA7EE" w14:textId="77777777" w:rsidR="00296F9D" w:rsidRPr="00F2629D" w:rsidRDefault="00296F9D" w:rsidP="0035560C">
      <w:pPr>
        <w:pStyle w:val="SingleTxtG"/>
        <w:ind w:left="2268"/>
        <w:rPr>
          <w:lang w:val="fr-FR"/>
        </w:rPr>
      </w:pPr>
      <w:r w:rsidRPr="00F2629D">
        <w:rPr>
          <w:lang w:val="fr-FR"/>
        </w:rPr>
        <w:t>Les renseignements nécessaires doivent être consignés sur la fiche de communication. ».</w:t>
      </w:r>
    </w:p>
    <w:p w14:paraId="3DC35A16" w14:textId="0AF70B20" w:rsidR="00296F9D" w:rsidRPr="00F2629D" w:rsidRDefault="00296F9D" w:rsidP="005B0C72">
      <w:pPr>
        <w:pStyle w:val="SingleTxtG"/>
        <w:keepNext/>
        <w:rPr>
          <w:lang w:val="fr-FR"/>
        </w:rPr>
      </w:pPr>
      <w:r w:rsidRPr="00F2629D">
        <w:rPr>
          <w:i/>
          <w:iCs/>
          <w:lang w:val="fr-FR"/>
        </w:rPr>
        <w:t>Paragraphe 6.21.4.2.1.1</w:t>
      </w:r>
      <w:r w:rsidRPr="00F2629D">
        <w:rPr>
          <w:lang w:val="fr-FR"/>
        </w:rPr>
        <w:t>, lire</w:t>
      </w:r>
      <w:r>
        <w:t> :</w:t>
      </w:r>
    </w:p>
    <w:p w14:paraId="050D802A" w14:textId="3A4866D9" w:rsidR="00296F9D" w:rsidRDefault="00296F9D" w:rsidP="00A923D8">
      <w:pPr>
        <w:pStyle w:val="SingleTxtG"/>
        <w:ind w:left="2268" w:hanging="1134"/>
      </w:pPr>
      <w:r w:rsidRPr="00F2629D">
        <w:rPr>
          <w:lang w:val="fr-FR"/>
        </w:rPr>
        <w:t>« 6.21.4.2.1.1</w:t>
      </w:r>
      <w:r w:rsidR="00A923D8">
        <w:rPr>
          <w:lang w:val="fr-FR"/>
        </w:rPr>
        <w:tab/>
      </w:r>
      <w:r w:rsidRPr="00F2629D">
        <w:rPr>
          <w:lang w:val="fr-FR"/>
        </w:rPr>
        <w:t>Pour les véhicules à moteur, de la longueur du véhicule ou, dans le cas des tracteurs de semi-remorques, de la longueur de la cabine</w:t>
      </w:r>
      <w:r>
        <w:t> ;</w:t>
      </w:r>
    </w:p>
    <w:p w14:paraId="308778A4" w14:textId="4B6052DB" w:rsidR="00296F9D" w:rsidRPr="00F2629D" w:rsidRDefault="00296F9D" w:rsidP="0035560C">
      <w:pPr>
        <w:pStyle w:val="SingleTxtG"/>
        <w:ind w:left="2268"/>
        <w:rPr>
          <w:lang w:val="fr-FR"/>
        </w:rPr>
      </w:pPr>
      <w:r w:rsidRPr="00F2629D">
        <w:rPr>
          <w:lang w:val="fr-FR"/>
        </w:rPr>
        <w:t>Il est cependant permis d’avoir recours à un autre mode de marquage à moins de 2</w:t>
      </w:r>
      <w:r w:rsidR="00A923D8">
        <w:rPr>
          <w:lang w:val="fr-FR"/>
        </w:rPr>
        <w:t> </w:t>
      </w:r>
      <w:r w:rsidRPr="00F2629D">
        <w:rPr>
          <w:lang w:val="fr-FR"/>
        </w:rPr>
        <w:t>400</w:t>
      </w:r>
      <w:r w:rsidR="00A923D8">
        <w:rPr>
          <w:lang w:val="fr-FR"/>
        </w:rPr>
        <w:t xml:space="preserve"> </w:t>
      </w:r>
      <w:r w:rsidRPr="00F2629D">
        <w:rPr>
          <w:lang w:val="fr-FR"/>
        </w:rPr>
        <w:t>mm de l’extrémité avant du véhicule à moteur lorsqu’une série de catadioptres de la classe IVA homologués conformément à la série 02 ou à une série ultérieure d’amendements au Règlement ONU n</w:t>
      </w:r>
      <w:r w:rsidRPr="00F2629D">
        <w:rPr>
          <w:vertAlign w:val="superscript"/>
          <w:lang w:val="fr-FR"/>
        </w:rPr>
        <w:t>o</w:t>
      </w:r>
      <w:r w:rsidR="00CE3640">
        <w:rPr>
          <w:lang w:val="fr-FR"/>
        </w:rPr>
        <w:t> </w:t>
      </w:r>
      <w:r w:rsidRPr="00F2629D">
        <w:rPr>
          <w:lang w:val="fr-FR"/>
        </w:rPr>
        <w:t>3, ou à la série originale ou à une série ultérieure d’amendements au Règlement ONU n</w:t>
      </w:r>
      <w:r w:rsidRPr="00F2629D">
        <w:rPr>
          <w:vertAlign w:val="superscript"/>
          <w:lang w:val="fr-FR"/>
        </w:rPr>
        <w:t>o</w:t>
      </w:r>
      <w:r w:rsidR="00CE3640">
        <w:rPr>
          <w:lang w:val="fr-FR"/>
        </w:rPr>
        <w:t> </w:t>
      </w:r>
      <w:r w:rsidRPr="00F2629D">
        <w:rPr>
          <w:lang w:val="fr-FR"/>
        </w:rPr>
        <w:t>150, ou de la classe C homologués conformément à la série originale ou à une série ultérieure d’amendements au Règlement ONU n</w:t>
      </w:r>
      <w:r w:rsidRPr="00F2629D">
        <w:rPr>
          <w:vertAlign w:val="superscript"/>
          <w:lang w:val="fr-FR"/>
        </w:rPr>
        <w:t>o</w:t>
      </w:r>
      <w:r w:rsidR="00A923D8">
        <w:rPr>
          <w:lang w:val="fr-FR"/>
        </w:rPr>
        <w:t> </w:t>
      </w:r>
      <w:r w:rsidRPr="00F2629D">
        <w:rPr>
          <w:lang w:val="fr-FR"/>
        </w:rPr>
        <w:t>104, ou à la série originale ou à une série ultérieure d’amendements au Règlement ONU n</w:t>
      </w:r>
      <w:r w:rsidRPr="00F2629D">
        <w:rPr>
          <w:vertAlign w:val="superscript"/>
          <w:lang w:val="fr-FR"/>
        </w:rPr>
        <w:t>o</w:t>
      </w:r>
      <w:r w:rsidR="00CE3640">
        <w:rPr>
          <w:lang w:val="fr-FR"/>
        </w:rPr>
        <w:t> </w:t>
      </w:r>
      <w:r w:rsidRPr="00F2629D">
        <w:rPr>
          <w:lang w:val="fr-FR"/>
        </w:rPr>
        <w:t>150 est installée en suivant les prescriptions en matière de marquage à grande visibilité de la manière suivante</w:t>
      </w:r>
      <w:r>
        <w:t> :</w:t>
      </w:r>
    </w:p>
    <w:p w14:paraId="582C07AA" w14:textId="77777777" w:rsidR="00296F9D" w:rsidRPr="00F2629D" w:rsidRDefault="00296F9D" w:rsidP="0035560C">
      <w:pPr>
        <w:pStyle w:val="SingleTxtG"/>
        <w:ind w:left="2268"/>
        <w:rPr>
          <w:lang w:val="fr-FR"/>
        </w:rPr>
      </w:pPr>
      <w:r w:rsidRPr="00F2629D">
        <w:rPr>
          <w:lang w:val="fr-FR"/>
        </w:rPr>
        <w:t>… ».</w:t>
      </w:r>
    </w:p>
    <w:p w14:paraId="2C2EE7AA" w14:textId="6F405DA0" w:rsidR="00296F9D" w:rsidRPr="00F2629D" w:rsidRDefault="00296F9D" w:rsidP="005B0C72">
      <w:pPr>
        <w:pStyle w:val="SingleTxtG"/>
        <w:keepNext/>
        <w:rPr>
          <w:bCs/>
          <w:iCs/>
          <w:lang w:val="fr-FR"/>
        </w:rPr>
      </w:pPr>
      <w:r w:rsidRPr="00F2629D">
        <w:rPr>
          <w:i/>
          <w:iCs/>
          <w:lang w:val="fr-FR"/>
        </w:rPr>
        <w:t>Paragraphe 6.21.7.4</w:t>
      </w:r>
      <w:r w:rsidRPr="00F2629D">
        <w:rPr>
          <w:lang w:val="fr-FR"/>
        </w:rPr>
        <w:t>, lire</w:t>
      </w:r>
      <w:r>
        <w:rPr>
          <w:lang w:val="fr-FR"/>
        </w:rPr>
        <w:t> :</w:t>
      </w:r>
    </w:p>
    <w:p w14:paraId="1E7A359C" w14:textId="71C9A089" w:rsidR="00296F9D" w:rsidRPr="00F2629D" w:rsidRDefault="00296F9D" w:rsidP="005429BD">
      <w:pPr>
        <w:pStyle w:val="SingleTxtG"/>
        <w:ind w:left="2268" w:hanging="1134"/>
        <w:rPr>
          <w:lang w:val="fr-FR"/>
        </w:rPr>
      </w:pPr>
      <w:r w:rsidRPr="00F2629D">
        <w:rPr>
          <w:lang w:val="fr-FR"/>
        </w:rPr>
        <w:t>« 6.21.7.4</w:t>
      </w:r>
      <w:r w:rsidRPr="00F2629D">
        <w:rPr>
          <w:lang w:val="fr-FR"/>
        </w:rPr>
        <w:tab/>
        <w:t>Lorsque des plaques d’identification arrière homologuées conformément à la série 01 ou à une série ultérieure d’amendements au Règlement ONU n</w:t>
      </w:r>
      <w:r w:rsidRPr="00F2629D">
        <w:rPr>
          <w:vertAlign w:val="superscript"/>
          <w:lang w:val="fr-FR"/>
        </w:rPr>
        <w:t>o</w:t>
      </w:r>
      <w:r w:rsidR="00CE3640">
        <w:rPr>
          <w:lang w:val="fr-FR"/>
        </w:rPr>
        <w:t> </w:t>
      </w:r>
      <w:r w:rsidRPr="00F2629D">
        <w:rPr>
          <w:lang w:val="fr-FR"/>
        </w:rPr>
        <w:t>70, ou à la série originale ou à une série ultérieure d’amendements au Règlement ONU n</w:t>
      </w:r>
      <w:r w:rsidRPr="00F2629D">
        <w:rPr>
          <w:vertAlign w:val="superscript"/>
          <w:lang w:val="fr-FR"/>
        </w:rPr>
        <w:t>o</w:t>
      </w:r>
      <w:r w:rsidR="00CE3640">
        <w:rPr>
          <w:lang w:val="fr-FR"/>
        </w:rPr>
        <w:t> </w:t>
      </w:r>
      <w:r w:rsidRPr="00F2629D">
        <w:rPr>
          <w:lang w:val="fr-FR"/>
        </w:rPr>
        <w:t>150 sont installées, elles peuvent être considérées, à la discrétion du constructeur, comme faisant partie du marquage à grande visibilité arrière, aux fins du calcul de la longueur du marquage à grande visibilité et de sa proximité avec le côté du véhicule. ».</w:t>
      </w:r>
    </w:p>
    <w:p w14:paraId="516754C6" w14:textId="354965AD" w:rsidR="00296F9D" w:rsidRPr="00F2629D" w:rsidRDefault="00296F9D" w:rsidP="005B0C72">
      <w:pPr>
        <w:pStyle w:val="SingleTxtG"/>
        <w:keepNext/>
        <w:rPr>
          <w:lang w:val="fr-FR"/>
        </w:rPr>
      </w:pPr>
      <w:r w:rsidRPr="00F2629D">
        <w:rPr>
          <w:i/>
          <w:iCs/>
          <w:lang w:val="fr-FR"/>
        </w:rPr>
        <w:t>Paragraphe 6.22</w:t>
      </w:r>
      <w:r w:rsidRPr="00F2629D">
        <w:rPr>
          <w:lang w:val="fr-FR"/>
        </w:rPr>
        <w:t>, lire</w:t>
      </w:r>
      <w:r>
        <w:rPr>
          <w:lang w:val="fr-FR"/>
        </w:rPr>
        <w:t> :</w:t>
      </w:r>
    </w:p>
    <w:p w14:paraId="042C0521" w14:textId="77777777" w:rsidR="00296F9D" w:rsidRPr="00F2629D" w:rsidRDefault="00296F9D" w:rsidP="00F4358F">
      <w:pPr>
        <w:pStyle w:val="SingleTxtG"/>
        <w:ind w:left="2268" w:right="992" w:hanging="1134"/>
        <w:rPr>
          <w:lang w:val="fr-FR"/>
        </w:rPr>
      </w:pPr>
      <w:r w:rsidRPr="00F2629D">
        <w:rPr>
          <w:lang w:val="fr-FR"/>
        </w:rPr>
        <w:t>« 6.22</w:t>
      </w:r>
      <w:r w:rsidRPr="00F2629D">
        <w:rPr>
          <w:lang w:val="fr-FR"/>
        </w:rPr>
        <w:tab/>
        <w:t>Système d’éclairage avant adaptatif (AFS)</w:t>
      </w:r>
    </w:p>
    <w:p w14:paraId="27CD6442" w14:textId="36B21F33" w:rsidR="00296F9D" w:rsidRPr="00F2629D" w:rsidRDefault="00296F9D" w:rsidP="0035560C">
      <w:pPr>
        <w:pStyle w:val="SingleTxtG"/>
        <w:ind w:left="2268"/>
        <w:rPr>
          <w:lang w:val="fr-FR"/>
        </w:rPr>
      </w:pPr>
      <w:r w:rsidRPr="00F2629D">
        <w:rPr>
          <w:lang w:val="fr-FR"/>
        </w:rPr>
        <w:t>Sauf mention contraire ci-après, les prescriptions relatives aux feux de route (par.</w:t>
      </w:r>
      <w:r w:rsidR="00CE3640">
        <w:rPr>
          <w:lang w:val="fr-FR"/>
        </w:rPr>
        <w:t> </w:t>
      </w:r>
      <w:r w:rsidRPr="00F2629D">
        <w:rPr>
          <w:lang w:val="fr-FR"/>
        </w:rPr>
        <w:t>6.1) et aux feux de croisement (par.</w:t>
      </w:r>
      <w:r w:rsidR="00CE3640">
        <w:rPr>
          <w:lang w:val="fr-FR"/>
        </w:rPr>
        <w:t> </w:t>
      </w:r>
      <w:r w:rsidRPr="00F2629D">
        <w:rPr>
          <w:lang w:val="fr-FR"/>
        </w:rPr>
        <w:t>6.2) figurant dans le présent Règlement s’appliquent aux parties correspondantes de l’AFS. ».</w:t>
      </w:r>
    </w:p>
    <w:p w14:paraId="0D8C0455" w14:textId="189C2617" w:rsidR="00296F9D" w:rsidRPr="00F2629D" w:rsidRDefault="00296F9D" w:rsidP="005B0C72">
      <w:pPr>
        <w:pStyle w:val="SingleTxtG"/>
        <w:keepNext/>
        <w:rPr>
          <w:lang w:val="fr-FR"/>
        </w:rPr>
      </w:pPr>
      <w:r w:rsidRPr="00F2629D">
        <w:rPr>
          <w:i/>
          <w:iCs/>
          <w:lang w:val="fr-FR"/>
        </w:rPr>
        <w:t>Paragraphe 6.22.2</w:t>
      </w:r>
      <w:r w:rsidRPr="00F2629D">
        <w:rPr>
          <w:lang w:val="fr-FR"/>
        </w:rPr>
        <w:t>, lire</w:t>
      </w:r>
      <w:r>
        <w:rPr>
          <w:lang w:val="fr-FR"/>
        </w:rPr>
        <w:t> :</w:t>
      </w:r>
    </w:p>
    <w:p w14:paraId="542561FC" w14:textId="77777777" w:rsidR="0035560C" w:rsidRDefault="00296F9D" w:rsidP="00F4358F">
      <w:pPr>
        <w:pStyle w:val="SingleTxtG"/>
        <w:ind w:left="2268" w:right="992" w:hanging="1134"/>
        <w:rPr>
          <w:lang w:val="fr-FR"/>
        </w:rPr>
      </w:pPr>
      <w:r w:rsidRPr="00F2629D">
        <w:rPr>
          <w:lang w:val="fr-FR"/>
        </w:rPr>
        <w:t>« 6.22.2</w:t>
      </w:r>
      <w:r w:rsidRPr="00F2629D">
        <w:rPr>
          <w:lang w:val="fr-FR"/>
        </w:rPr>
        <w:tab/>
        <w:t>Nombre</w:t>
      </w:r>
    </w:p>
    <w:p w14:paraId="386262A7" w14:textId="24E6FF97" w:rsidR="00296F9D" w:rsidRPr="00F2629D" w:rsidRDefault="00296F9D" w:rsidP="0035560C">
      <w:pPr>
        <w:pStyle w:val="SingleTxtG"/>
        <w:ind w:left="2268"/>
        <w:rPr>
          <w:lang w:val="fr-FR"/>
        </w:rPr>
      </w:pPr>
      <w:r w:rsidRPr="00F2629D">
        <w:rPr>
          <w:lang w:val="fr-FR"/>
        </w:rPr>
        <w:t>Un, homologué conformément à la série 01 ou à une série ultérieure d’amendements au Règlement ONU n</w:t>
      </w:r>
      <w:r w:rsidRPr="00F2629D">
        <w:rPr>
          <w:vertAlign w:val="superscript"/>
          <w:lang w:val="fr-FR"/>
        </w:rPr>
        <w:t>o</w:t>
      </w:r>
      <w:r w:rsidR="00CE3640">
        <w:rPr>
          <w:lang w:val="fr-FR"/>
        </w:rPr>
        <w:t> </w:t>
      </w:r>
      <w:r w:rsidRPr="00F2629D">
        <w:rPr>
          <w:lang w:val="fr-FR"/>
        </w:rPr>
        <w:t>49. ».</w:t>
      </w:r>
    </w:p>
    <w:p w14:paraId="316F782F" w14:textId="4B0D5A18" w:rsidR="00296F9D" w:rsidRPr="00F2629D" w:rsidRDefault="00296F9D" w:rsidP="00CE3640">
      <w:pPr>
        <w:pStyle w:val="SingleTxtG"/>
        <w:keepNext/>
        <w:rPr>
          <w:lang w:val="fr-FR"/>
        </w:rPr>
      </w:pPr>
      <w:r w:rsidRPr="00F2629D">
        <w:rPr>
          <w:i/>
          <w:iCs/>
          <w:lang w:val="fr-FR"/>
        </w:rPr>
        <w:t>Paragraphe 6.22.6.1</w:t>
      </w:r>
      <w:r w:rsidRPr="00F2629D">
        <w:rPr>
          <w:lang w:val="fr-FR"/>
        </w:rPr>
        <w:t>, lire</w:t>
      </w:r>
      <w:r>
        <w:rPr>
          <w:lang w:val="fr-FR"/>
        </w:rPr>
        <w:t> :</w:t>
      </w:r>
    </w:p>
    <w:p w14:paraId="1C6282E9" w14:textId="77777777" w:rsidR="00296F9D" w:rsidRPr="00F2629D" w:rsidRDefault="00296F9D" w:rsidP="00F4358F">
      <w:pPr>
        <w:pStyle w:val="SingleTxtG"/>
        <w:ind w:left="2268" w:right="992" w:hanging="1134"/>
        <w:rPr>
          <w:lang w:val="fr-FR"/>
        </w:rPr>
      </w:pPr>
      <w:r w:rsidRPr="00F2629D">
        <w:rPr>
          <w:lang w:val="fr-FR"/>
        </w:rPr>
        <w:t>« 6.22.6.1</w:t>
      </w:r>
      <w:r w:rsidRPr="00F2629D">
        <w:rPr>
          <w:lang w:val="fr-FR"/>
        </w:rPr>
        <w:tab/>
        <w:t>Inclinaison verticale</w:t>
      </w:r>
    </w:p>
    <w:p w14:paraId="08D138FE" w14:textId="0B4BD0FF" w:rsidR="0035560C" w:rsidRDefault="00296F9D" w:rsidP="005429BD">
      <w:pPr>
        <w:pStyle w:val="SingleTxtG"/>
        <w:ind w:left="2268" w:hanging="1134"/>
        <w:rPr>
          <w:lang w:val="fr-FR"/>
        </w:rPr>
      </w:pPr>
      <w:r w:rsidRPr="00F2629D">
        <w:rPr>
          <w:lang w:val="fr-FR"/>
        </w:rPr>
        <w:t>6.22.6.1.1</w:t>
      </w:r>
      <w:r w:rsidRPr="00F2629D">
        <w:rPr>
          <w:lang w:val="fr-FR"/>
        </w:rPr>
        <w:tab/>
        <w:t>La valeur initiale de l’inclinaison vers le bas de la ligne de coupure du faisceau de croisement pour l’état du véhicule à vide avec une personne à la place du conducteur doit être spécifiée à 0,1</w:t>
      </w:r>
      <w:r w:rsidR="0035560C">
        <w:rPr>
          <w:lang w:val="fr-FR"/>
        </w:rPr>
        <w:t> %</w:t>
      </w:r>
      <w:r w:rsidRPr="00F2629D">
        <w:rPr>
          <w:lang w:val="fr-FR"/>
        </w:rPr>
        <w:t xml:space="preserve"> près par le constructeur et être indiquée d’une manière lisible et indélébile sur chaque véhicule, à proximité soit des projecteurs soit de la plaque du constructeur, au moyen du symbole figurant à l’annexe 7.</w:t>
      </w:r>
    </w:p>
    <w:p w14:paraId="32C1688C" w14:textId="103D74E9" w:rsidR="0035560C" w:rsidRDefault="00296F9D" w:rsidP="0035560C">
      <w:pPr>
        <w:pStyle w:val="SingleTxtG"/>
        <w:ind w:left="2268"/>
      </w:pPr>
      <w:r w:rsidRPr="00F2629D">
        <w:rPr>
          <w:lang w:val="fr-FR"/>
        </w:rPr>
        <w:t xml:space="preserve">Lorsque différentes inclinaisons initiales vers le bas sont indiquées par le constructeur pour différentes unités d’éclairage qui assurent totalement ou </w:t>
      </w:r>
      <w:r w:rsidRPr="00F2629D">
        <w:rPr>
          <w:lang w:val="fr-FR"/>
        </w:rPr>
        <w:lastRenderedPageBreak/>
        <w:t>partiellement la coupure du faisceau de croisement de base, ces valeurs de l’inclinaison vers le bas doivent être indiquées avec une précision de 0,1</w:t>
      </w:r>
      <w:r w:rsidR="0035560C">
        <w:rPr>
          <w:lang w:val="fr-FR"/>
        </w:rPr>
        <w:t> %</w:t>
      </w:r>
      <w:r w:rsidRPr="00F2629D">
        <w:rPr>
          <w:lang w:val="fr-FR"/>
        </w:rPr>
        <w:t xml:space="preserve"> par le constructeur et mentionnées de manière clairement lisible et indélébile sur chaque véhicule, à proximité soit des unités d’éclairage concernées soit de la plaque du constructeur, au moyen du symbole défini à l’annexe 7, de manière telle que toutes les unités d’éclairage concernées soient facilement reconnaissables.</w:t>
      </w:r>
    </w:p>
    <w:p w14:paraId="388C2531" w14:textId="512714CA" w:rsidR="0035560C" w:rsidRDefault="00296F9D" w:rsidP="0035560C">
      <w:pPr>
        <w:pStyle w:val="SingleTxtG"/>
        <w:ind w:left="2268"/>
        <w:rPr>
          <w:lang w:val="fr-FR"/>
        </w:rPr>
      </w:pPr>
      <w:r w:rsidRPr="00F2629D">
        <w:rPr>
          <w:lang w:val="fr-FR"/>
        </w:rPr>
        <w:t>La ou les valeurs de cette ou ces inclinaisons initiales vers le bas doivent être définies par le constructeur du véhicule dans les limites prévues au paragraphe 6.2.6.1.2 par rapport à la hauteur de montage des unités d’éclairage qui assurent totalement ou partiellement la coupure du faisceau de croisement de</w:t>
      </w:r>
      <w:r w:rsidR="00CE3640">
        <w:rPr>
          <w:lang w:val="fr-FR"/>
        </w:rPr>
        <w:t> </w:t>
      </w:r>
      <w:r w:rsidRPr="00F2629D">
        <w:rPr>
          <w:lang w:val="fr-FR"/>
        </w:rPr>
        <w:t>base.</w:t>
      </w:r>
    </w:p>
    <w:p w14:paraId="0181BD43" w14:textId="40D4A35E" w:rsidR="00296F9D" w:rsidRPr="00F2629D" w:rsidRDefault="00296F9D" w:rsidP="0035560C">
      <w:pPr>
        <w:pStyle w:val="SingleTxtG"/>
        <w:ind w:left="2268"/>
        <w:rPr>
          <w:lang w:val="fr-FR"/>
        </w:rPr>
      </w:pPr>
      <w:r w:rsidRPr="00F2629D">
        <w:rPr>
          <w:lang w:val="fr-FR"/>
        </w:rPr>
        <w:t>Des valeurs initiales différentes de l’inclinaison vers le bas peuvent être définies, dans les limites prévues au paragraphe 6.2.6.1.2, pour différentes variantes ou versions d’un même type de véhicule, sous réserve que seule la valeur pertinente soit indiquée sur chaque variante ou version.</w:t>
      </w:r>
    </w:p>
    <w:p w14:paraId="69465A27" w14:textId="77777777" w:rsidR="00296F9D" w:rsidRPr="00F2629D" w:rsidRDefault="00296F9D" w:rsidP="005429BD">
      <w:pPr>
        <w:pStyle w:val="SingleTxtG"/>
        <w:ind w:left="2268" w:hanging="1134"/>
        <w:rPr>
          <w:lang w:val="fr-FR"/>
        </w:rPr>
      </w:pPr>
      <w:r w:rsidRPr="00F2629D">
        <w:rPr>
          <w:lang w:val="fr-FR"/>
        </w:rPr>
        <w:t>6.22.6.1.2</w:t>
      </w:r>
      <w:r w:rsidRPr="00F2629D">
        <w:rPr>
          <w:lang w:val="fr-FR"/>
        </w:rPr>
        <w:tab/>
        <w:t>L’inclinaison vers le bas de la partie horizontale de la ligne de coupure du faisceau de croisement de base doit rester dans les limites définies au paragraphe 6.2.6.1.2 du présent Règlement, dans toutes les conditions statiques de charge du véhicule définies à l’annexe 5.</w:t>
      </w:r>
    </w:p>
    <w:p w14:paraId="4AFD6774" w14:textId="015004D1" w:rsidR="00296F9D" w:rsidRPr="00F2629D" w:rsidRDefault="00296F9D" w:rsidP="005429BD">
      <w:pPr>
        <w:pStyle w:val="SingleTxtG"/>
        <w:ind w:left="2268" w:hanging="1134"/>
        <w:rPr>
          <w:bCs/>
          <w:lang w:val="fr-FR"/>
        </w:rPr>
      </w:pPr>
      <w:r w:rsidRPr="006915FF">
        <w:rPr>
          <w:lang w:val="fr-FR"/>
        </w:rPr>
        <w:t>6.22.6.1.2.1</w:t>
      </w:r>
      <w:r w:rsidRPr="006915FF">
        <w:rPr>
          <w:lang w:val="fr-FR"/>
        </w:rPr>
        <w:tab/>
        <w:t>Lorsque le faisceau de croisement est constitué de plusieurs faisceaux provenant de plusieurs unités d’éclairage, les dispositions pertinentes mentionnées ci-dessus s’appliquent à la ligne de coupure (si elle existe) de chacun des faisceaux, qui sont conçus pour être projetés dans la zone angulaire, comme indiqué à l’annexe 1 du Règlement ONU n</w:t>
      </w:r>
      <w:r w:rsidRPr="006915FF">
        <w:rPr>
          <w:vertAlign w:val="superscript"/>
          <w:lang w:val="fr-FR"/>
        </w:rPr>
        <w:t>o</w:t>
      </w:r>
      <w:r w:rsidRPr="006915FF">
        <w:rPr>
          <w:lang w:val="fr-FR"/>
        </w:rPr>
        <w:t> 149. ».</w:t>
      </w:r>
    </w:p>
    <w:p w14:paraId="7676B7E9" w14:textId="4E54865F" w:rsidR="00296F9D" w:rsidRPr="00F2629D" w:rsidRDefault="00296F9D" w:rsidP="005B0C72">
      <w:pPr>
        <w:pStyle w:val="SingleTxtG"/>
        <w:keepNext/>
        <w:rPr>
          <w:lang w:val="fr-FR"/>
        </w:rPr>
      </w:pPr>
      <w:r w:rsidRPr="00F2629D">
        <w:rPr>
          <w:i/>
          <w:iCs/>
          <w:lang w:val="fr-FR"/>
        </w:rPr>
        <w:t>Paragraphe 6.22.6.2</w:t>
      </w:r>
      <w:r w:rsidRPr="00F2629D">
        <w:rPr>
          <w:lang w:val="fr-FR"/>
        </w:rPr>
        <w:t>, lire</w:t>
      </w:r>
      <w:r>
        <w:rPr>
          <w:lang w:val="fr-FR"/>
        </w:rPr>
        <w:t> :</w:t>
      </w:r>
    </w:p>
    <w:p w14:paraId="437A5FA1" w14:textId="77777777" w:rsidR="00296F9D" w:rsidRPr="00F2629D" w:rsidRDefault="00296F9D" w:rsidP="00F4358F">
      <w:pPr>
        <w:pStyle w:val="SingleTxtG"/>
        <w:ind w:left="2268" w:right="992" w:hanging="1134"/>
        <w:rPr>
          <w:lang w:val="fr-FR"/>
        </w:rPr>
      </w:pPr>
      <w:r w:rsidRPr="00F2629D">
        <w:rPr>
          <w:lang w:val="fr-FR"/>
        </w:rPr>
        <w:t>« 6.22.6.2</w:t>
      </w:r>
      <w:r w:rsidRPr="00F2629D">
        <w:rPr>
          <w:lang w:val="fr-FR"/>
        </w:rPr>
        <w:tab/>
        <w:t>Dispositif de réglage de la portée des projecteurs</w:t>
      </w:r>
    </w:p>
    <w:p w14:paraId="48B3723D" w14:textId="77777777" w:rsidR="00296F9D" w:rsidRPr="00F2629D" w:rsidRDefault="00296F9D" w:rsidP="005429BD">
      <w:pPr>
        <w:pStyle w:val="SingleTxtG"/>
        <w:ind w:left="2268" w:hanging="1134"/>
        <w:rPr>
          <w:b/>
          <w:lang w:val="fr-FR"/>
        </w:rPr>
      </w:pPr>
      <w:bookmarkStart w:id="3" w:name="_Hlk534815639"/>
      <w:r w:rsidRPr="00F2629D">
        <w:rPr>
          <w:lang w:val="fr-FR"/>
        </w:rPr>
        <w:t>6.22.6.2.1</w:t>
      </w:r>
      <w:r w:rsidRPr="00F2629D">
        <w:rPr>
          <w:lang w:val="fr-FR"/>
        </w:rPr>
        <w:tab/>
        <w:t>Lorsqu’un dispositif de réglage de la portée des projecteurs est nécessaire pour satisfaire aux prescriptions du paragraphe 6.22.6.1.2, ce dispositif doit être automatique.</w:t>
      </w:r>
    </w:p>
    <w:p w14:paraId="27326454" w14:textId="77777777" w:rsidR="00296F9D" w:rsidRPr="00F2629D" w:rsidRDefault="00296F9D" w:rsidP="005429BD">
      <w:pPr>
        <w:pStyle w:val="SingleTxtG"/>
        <w:ind w:left="2268" w:hanging="1134"/>
        <w:rPr>
          <w:lang w:val="fr-FR"/>
        </w:rPr>
      </w:pPr>
      <w:r w:rsidRPr="00F2629D">
        <w:rPr>
          <w:lang w:val="fr-FR"/>
        </w:rPr>
        <w:t>6.22.6.2.2</w:t>
      </w:r>
      <w:r w:rsidRPr="00F2629D">
        <w:rPr>
          <w:lang w:val="fr-FR"/>
        </w:rPr>
        <w:tab/>
        <w:t>En cas de défaillance de ce dispositif, le faisceau de croisement de base ne doit pas revenir dans une position où l’inclinaison verticale vers le bas est moindre que celle qu’il avait au moment où la défaillance s’est produite. ».</w:t>
      </w:r>
    </w:p>
    <w:p w14:paraId="673E6BA6" w14:textId="77777777" w:rsidR="00296F9D" w:rsidRDefault="00296F9D" w:rsidP="005B0C72">
      <w:pPr>
        <w:pStyle w:val="SingleTxtG"/>
        <w:keepNext/>
        <w:rPr>
          <w:lang w:val="fr-FR"/>
        </w:rPr>
      </w:pPr>
      <w:r w:rsidRPr="00F2629D">
        <w:rPr>
          <w:i/>
          <w:iCs/>
          <w:lang w:val="fr-FR"/>
        </w:rPr>
        <w:t>Paragraphe 6.22.6.3</w:t>
      </w:r>
      <w:r w:rsidRPr="00F2629D">
        <w:rPr>
          <w:lang w:val="fr-FR"/>
        </w:rPr>
        <w:t>, lire</w:t>
      </w:r>
      <w:r>
        <w:rPr>
          <w:lang w:val="fr-FR"/>
        </w:rPr>
        <w:t> :</w:t>
      </w:r>
    </w:p>
    <w:p w14:paraId="65D10524" w14:textId="77777777" w:rsidR="0035560C" w:rsidRDefault="00296F9D" w:rsidP="00CE3640">
      <w:pPr>
        <w:pStyle w:val="SingleTxtG"/>
        <w:keepNext/>
        <w:ind w:left="2268" w:right="992" w:hanging="1134"/>
        <w:rPr>
          <w:lang w:val="fr-FR"/>
        </w:rPr>
      </w:pPr>
      <w:r w:rsidRPr="00F2629D">
        <w:rPr>
          <w:lang w:val="fr-FR"/>
        </w:rPr>
        <w:t>« 6.22.6.3</w:t>
      </w:r>
      <w:r w:rsidRPr="00F2629D">
        <w:rPr>
          <w:lang w:val="fr-FR"/>
        </w:rPr>
        <w:tab/>
        <w:t>Orientation horizontale</w:t>
      </w:r>
    </w:p>
    <w:p w14:paraId="11CDE9AB" w14:textId="76E8D531" w:rsidR="00296F9D" w:rsidRPr="00F2629D" w:rsidRDefault="00296F9D" w:rsidP="0035560C">
      <w:pPr>
        <w:pStyle w:val="SingleTxtG"/>
        <w:ind w:left="2268"/>
        <w:rPr>
          <w:lang w:val="fr-FR"/>
        </w:rPr>
      </w:pPr>
      <w:r w:rsidRPr="00F2629D">
        <w:rPr>
          <w:lang w:val="fr-FR"/>
        </w:rPr>
        <w:t>Pour chaque unité d’éclairage, le coude de la ligne de coupure, si elle existe, doit coïncider, lorsqu’il est projeté sur l’écran, avec la ligne verticale passant par l’axe de référence de ladite unité d’éclairage. Une tolérance de 0,5 degré vers le côté du sens de la circulation est admise. Les autres unités d’éclairage doivent être réglées conformément à l’indication du demandeur, comme indiqué à l’annexe 14 du Règlement ONU n</w:t>
      </w:r>
      <w:r w:rsidRPr="00F2629D">
        <w:rPr>
          <w:vertAlign w:val="superscript"/>
          <w:lang w:val="fr-FR"/>
        </w:rPr>
        <w:t>o</w:t>
      </w:r>
      <w:r w:rsidR="005429BD">
        <w:rPr>
          <w:lang w:val="fr-FR"/>
        </w:rPr>
        <w:t> </w:t>
      </w:r>
      <w:r w:rsidRPr="00F2629D">
        <w:rPr>
          <w:lang w:val="fr-FR"/>
        </w:rPr>
        <w:t>149. ».</w:t>
      </w:r>
    </w:p>
    <w:p w14:paraId="0C38A88C" w14:textId="77777777" w:rsidR="00296F9D" w:rsidRDefault="00296F9D" w:rsidP="005B0C72">
      <w:pPr>
        <w:pStyle w:val="SingleTxtG"/>
        <w:keepNext/>
        <w:rPr>
          <w:lang w:val="fr-FR"/>
        </w:rPr>
      </w:pPr>
      <w:r w:rsidRPr="00F2629D">
        <w:rPr>
          <w:i/>
          <w:iCs/>
          <w:lang w:val="fr-FR"/>
        </w:rPr>
        <w:t>Paragraphe 6.22.7.4.3</w:t>
      </w:r>
      <w:r w:rsidRPr="00F2629D">
        <w:rPr>
          <w:lang w:val="fr-FR"/>
        </w:rPr>
        <w:t>, lire</w:t>
      </w:r>
      <w:r>
        <w:rPr>
          <w:lang w:val="fr-FR"/>
        </w:rPr>
        <w:t> :</w:t>
      </w:r>
    </w:p>
    <w:p w14:paraId="7FD36E96" w14:textId="60B49EB0" w:rsidR="00296F9D" w:rsidRPr="00F2629D" w:rsidRDefault="00296F9D" w:rsidP="00CE3640">
      <w:pPr>
        <w:pStyle w:val="SingleTxtG"/>
        <w:keepNext/>
        <w:ind w:left="2268" w:right="992" w:hanging="1134"/>
        <w:rPr>
          <w:lang w:val="fr-FR"/>
        </w:rPr>
      </w:pPr>
      <w:r w:rsidRPr="00F2629D">
        <w:rPr>
          <w:lang w:val="fr-FR"/>
        </w:rPr>
        <w:t>« 6.22.7.4.3</w:t>
      </w:r>
      <w:r w:rsidRPr="00F2629D">
        <w:rPr>
          <w:lang w:val="fr-FR"/>
        </w:rPr>
        <w:tab/>
        <w:t>…</w:t>
      </w:r>
    </w:p>
    <w:p w14:paraId="6D4668AD" w14:textId="1015CD9A" w:rsidR="00296F9D" w:rsidRPr="00F2629D" w:rsidRDefault="00296F9D" w:rsidP="00CE3640">
      <w:pPr>
        <w:pStyle w:val="SingleTxtG"/>
        <w:ind w:left="2835" w:hanging="567"/>
        <w:rPr>
          <w:lang w:val="fr-FR"/>
        </w:rPr>
      </w:pPr>
      <w:r w:rsidRPr="00F2629D">
        <w:rPr>
          <w:lang w:val="fr-FR"/>
        </w:rPr>
        <w:t>b)</w:t>
      </w:r>
      <w:r w:rsidRPr="00F2629D">
        <w:rPr>
          <w:lang w:val="fr-FR"/>
        </w:rPr>
        <w:tab/>
        <w:t>Lorsqu’un mode de la classe E du faisceau de croisement est conforme, d’après les documents d’homologation ou la fiche de communication du système, à un des ensembles de données E1, E2 et E3 mentionnés dans le Règlement ONU n</w:t>
      </w:r>
      <w:r w:rsidRPr="00F2629D">
        <w:rPr>
          <w:vertAlign w:val="superscript"/>
          <w:lang w:val="fr-FR"/>
        </w:rPr>
        <w:t>o</w:t>
      </w:r>
      <w:r w:rsidR="005429BD">
        <w:rPr>
          <w:lang w:val="fr-FR"/>
        </w:rPr>
        <w:t> </w:t>
      </w:r>
      <w:r w:rsidRPr="00F2629D">
        <w:rPr>
          <w:lang w:val="fr-FR"/>
        </w:rPr>
        <w:t>149.</w:t>
      </w:r>
    </w:p>
    <w:p w14:paraId="4FD976B4" w14:textId="0A039024" w:rsidR="0035560C" w:rsidRDefault="00296F9D" w:rsidP="0035560C">
      <w:pPr>
        <w:pStyle w:val="SingleTxtG"/>
        <w:ind w:left="2835"/>
        <w:rPr>
          <w:bCs/>
          <w:lang w:val="fr-FR"/>
        </w:rPr>
      </w:pPr>
      <w:r w:rsidRPr="00F2629D">
        <w:rPr>
          <w:lang w:val="fr-FR"/>
        </w:rPr>
        <w:t>Ensemble de données E1</w:t>
      </w:r>
      <w:r>
        <w:rPr>
          <w:lang w:val="fr-FR"/>
        </w:rPr>
        <w:t> :</w:t>
      </w:r>
      <w:r w:rsidRPr="00F2629D">
        <w:rPr>
          <w:lang w:val="fr-FR"/>
        </w:rPr>
        <w:t xml:space="preserve"> vitesse du véhicule supérieure à 100</w:t>
      </w:r>
      <w:r w:rsidR="005429BD">
        <w:rPr>
          <w:lang w:val="fr-FR"/>
        </w:rPr>
        <w:t> </w:t>
      </w:r>
      <w:r w:rsidRPr="00F2629D">
        <w:rPr>
          <w:lang w:val="fr-FR"/>
        </w:rPr>
        <w:t>km/h (application du signal E1)</w:t>
      </w:r>
      <w:r>
        <w:rPr>
          <w:lang w:val="fr-FR"/>
        </w:rPr>
        <w:t> ;</w:t>
      </w:r>
    </w:p>
    <w:p w14:paraId="28AFA222" w14:textId="2A6AF376" w:rsidR="0035560C" w:rsidRDefault="00296F9D" w:rsidP="0035560C">
      <w:pPr>
        <w:pStyle w:val="SingleTxtG"/>
        <w:ind w:left="2835"/>
        <w:rPr>
          <w:bCs/>
          <w:lang w:val="fr-FR"/>
        </w:rPr>
      </w:pPr>
      <w:r w:rsidRPr="00F2629D">
        <w:rPr>
          <w:lang w:val="fr-FR"/>
        </w:rPr>
        <w:t>Ensemble de données E2</w:t>
      </w:r>
      <w:r>
        <w:rPr>
          <w:lang w:val="fr-FR"/>
        </w:rPr>
        <w:t> :</w:t>
      </w:r>
      <w:r w:rsidRPr="00F2629D">
        <w:rPr>
          <w:lang w:val="fr-FR"/>
        </w:rPr>
        <w:t xml:space="preserve"> vitesse du véhicule supérieure à 90</w:t>
      </w:r>
      <w:r w:rsidR="005429BD">
        <w:rPr>
          <w:lang w:val="fr-FR"/>
        </w:rPr>
        <w:t> </w:t>
      </w:r>
      <w:r w:rsidRPr="00F2629D">
        <w:rPr>
          <w:lang w:val="fr-FR"/>
        </w:rPr>
        <w:t>km/h (application du signal E2)</w:t>
      </w:r>
      <w:r>
        <w:rPr>
          <w:lang w:val="fr-FR"/>
        </w:rPr>
        <w:t> ;</w:t>
      </w:r>
    </w:p>
    <w:p w14:paraId="14E5A6E6" w14:textId="1F5717EB" w:rsidR="0035560C" w:rsidRDefault="00296F9D" w:rsidP="0035560C">
      <w:pPr>
        <w:pStyle w:val="SingleTxtG"/>
        <w:ind w:left="2835"/>
        <w:rPr>
          <w:bCs/>
          <w:lang w:val="fr-FR"/>
        </w:rPr>
      </w:pPr>
      <w:r w:rsidRPr="00F2629D">
        <w:rPr>
          <w:lang w:val="fr-FR"/>
        </w:rPr>
        <w:lastRenderedPageBreak/>
        <w:t>Ensemble de données E3</w:t>
      </w:r>
      <w:r>
        <w:t> :</w:t>
      </w:r>
      <w:r w:rsidRPr="00F2629D">
        <w:rPr>
          <w:lang w:val="fr-FR"/>
        </w:rPr>
        <w:t xml:space="preserve"> vitesse du véhicule supérieure à 80</w:t>
      </w:r>
      <w:r w:rsidR="005429BD">
        <w:rPr>
          <w:lang w:val="fr-FR"/>
        </w:rPr>
        <w:t> </w:t>
      </w:r>
      <w:r w:rsidRPr="00F2629D">
        <w:rPr>
          <w:lang w:val="fr-FR"/>
        </w:rPr>
        <w:t>km/h (application du signal E3).</w:t>
      </w:r>
    </w:p>
    <w:p w14:paraId="767A536C" w14:textId="74EBCB5D" w:rsidR="00296F9D" w:rsidRPr="00F2629D" w:rsidRDefault="00296F9D" w:rsidP="00A51B36">
      <w:pPr>
        <w:pStyle w:val="SingleTxtG"/>
        <w:ind w:left="2268"/>
        <w:rPr>
          <w:lang w:val="fr-FR"/>
        </w:rPr>
      </w:pPr>
      <w:r w:rsidRPr="00F2629D">
        <w:rPr>
          <w:lang w:val="fr-FR"/>
        </w:rPr>
        <w:t>… ».</w:t>
      </w:r>
    </w:p>
    <w:p w14:paraId="3AE75054" w14:textId="77777777" w:rsidR="00296F9D" w:rsidRDefault="00296F9D" w:rsidP="005B0C72">
      <w:pPr>
        <w:pStyle w:val="SingleTxtG"/>
        <w:keepNext/>
        <w:rPr>
          <w:lang w:val="fr-FR"/>
        </w:rPr>
      </w:pPr>
      <w:r w:rsidRPr="00F2629D">
        <w:rPr>
          <w:i/>
          <w:iCs/>
          <w:lang w:val="fr-FR"/>
        </w:rPr>
        <w:t>Paragraphe 6.22.8.2</w:t>
      </w:r>
      <w:r w:rsidRPr="00F2629D">
        <w:rPr>
          <w:lang w:val="fr-FR"/>
        </w:rPr>
        <w:t>, lire</w:t>
      </w:r>
      <w:r>
        <w:rPr>
          <w:lang w:val="fr-FR"/>
        </w:rPr>
        <w:t> :</w:t>
      </w:r>
    </w:p>
    <w:p w14:paraId="0CB33079" w14:textId="04723CE8" w:rsidR="00296F9D" w:rsidRPr="00F2629D" w:rsidRDefault="00296F9D" w:rsidP="005429BD">
      <w:pPr>
        <w:pStyle w:val="SingleTxtG"/>
        <w:ind w:left="2268" w:hanging="1134"/>
        <w:rPr>
          <w:lang w:val="fr-FR"/>
        </w:rPr>
      </w:pPr>
      <w:r w:rsidRPr="00F2629D">
        <w:rPr>
          <w:lang w:val="fr-FR"/>
        </w:rPr>
        <w:t>« 6.22.8.2</w:t>
      </w:r>
      <w:r w:rsidRPr="00F2629D">
        <w:rPr>
          <w:lang w:val="fr-FR"/>
        </w:rPr>
        <w:tab/>
        <w:t>L’AFS doit obligatoirement être muni d’un témoin visuel de panne non clignotant. Ce témoin doit être activé chaque fois qu’une défaillance est détectée sur les signaux de commande AFS ou lorsqu’un signal de défaillance est reçu conformément au paragraphe 4.13 du Règlement ONU n</w:t>
      </w:r>
      <w:r w:rsidRPr="00F2629D">
        <w:rPr>
          <w:vertAlign w:val="superscript"/>
          <w:lang w:val="fr-FR"/>
        </w:rPr>
        <w:t>o</w:t>
      </w:r>
      <w:r w:rsidR="005429BD">
        <w:rPr>
          <w:lang w:val="fr-FR"/>
        </w:rPr>
        <w:t> </w:t>
      </w:r>
      <w:r w:rsidRPr="00F2629D">
        <w:rPr>
          <w:lang w:val="fr-FR"/>
        </w:rPr>
        <w:t>149. Le témoin doit rester activé aussi longtemps que dure la défaillance. Il peut être désactivé temporairement, mais il doit se remettre en fonction chaque fois que le dispositif qui met le moteur en marche ou l’arrête est activé ou désactivé. ».</w:t>
      </w:r>
    </w:p>
    <w:p w14:paraId="6EBFFF13" w14:textId="77777777" w:rsidR="00296F9D" w:rsidRDefault="00296F9D" w:rsidP="005B0C72">
      <w:pPr>
        <w:pStyle w:val="SingleTxtG"/>
        <w:keepNext/>
        <w:rPr>
          <w:lang w:val="fr-FR"/>
        </w:rPr>
      </w:pPr>
      <w:r w:rsidRPr="00F2629D">
        <w:rPr>
          <w:i/>
          <w:iCs/>
          <w:lang w:val="fr-FR"/>
        </w:rPr>
        <w:t>Paragraphe 6.22.8.4</w:t>
      </w:r>
      <w:r w:rsidRPr="00F2629D">
        <w:rPr>
          <w:lang w:val="fr-FR"/>
        </w:rPr>
        <w:t>, lire</w:t>
      </w:r>
      <w:r>
        <w:rPr>
          <w:lang w:val="fr-FR"/>
        </w:rPr>
        <w:t> :</w:t>
      </w:r>
    </w:p>
    <w:p w14:paraId="1E908829" w14:textId="728FB146" w:rsidR="00296F9D" w:rsidRPr="00F2629D" w:rsidRDefault="00296F9D" w:rsidP="005429BD">
      <w:pPr>
        <w:pStyle w:val="SingleTxtG"/>
        <w:ind w:left="2268" w:hanging="1134"/>
        <w:rPr>
          <w:lang w:val="fr-FR"/>
        </w:rPr>
      </w:pPr>
      <w:r w:rsidRPr="00F2629D">
        <w:rPr>
          <w:lang w:val="fr-FR"/>
        </w:rPr>
        <w:t>« 6.22.8.4</w:t>
      </w:r>
      <w:r w:rsidRPr="00F2629D">
        <w:rPr>
          <w:lang w:val="fr-FR"/>
        </w:rPr>
        <w:tab/>
        <w:t>Un témoin servant à indiquer que le conducteur a placé le système dans l’état prescrit au paragraphe 4.12 du Règlement ONU n</w:t>
      </w:r>
      <w:r w:rsidRPr="00F2629D">
        <w:rPr>
          <w:vertAlign w:val="superscript"/>
          <w:lang w:val="fr-FR"/>
        </w:rPr>
        <w:t>o</w:t>
      </w:r>
      <w:r w:rsidR="005429BD">
        <w:rPr>
          <w:lang w:val="fr-FR"/>
        </w:rPr>
        <w:t> </w:t>
      </w:r>
      <w:r w:rsidRPr="00F2629D">
        <w:rPr>
          <w:lang w:val="fr-FR"/>
        </w:rPr>
        <w:t>149 est facultatif. ».</w:t>
      </w:r>
    </w:p>
    <w:p w14:paraId="3CA3C53B" w14:textId="77777777" w:rsidR="00296F9D" w:rsidRDefault="00296F9D" w:rsidP="005B0C72">
      <w:pPr>
        <w:pStyle w:val="SingleTxtG"/>
        <w:keepNext/>
        <w:rPr>
          <w:lang w:val="fr-FR"/>
        </w:rPr>
      </w:pPr>
      <w:r w:rsidRPr="00F2629D">
        <w:rPr>
          <w:i/>
          <w:iCs/>
          <w:lang w:val="fr-FR"/>
        </w:rPr>
        <w:t>Paragraphe 6.22.9.1</w:t>
      </w:r>
      <w:r w:rsidRPr="00F2629D">
        <w:rPr>
          <w:lang w:val="fr-FR"/>
        </w:rPr>
        <w:t>, remplacer le texte existant par ce qui suit</w:t>
      </w:r>
      <w:r>
        <w:rPr>
          <w:lang w:val="fr-FR"/>
        </w:rPr>
        <w:t> :</w:t>
      </w:r>
    </w:p>
    <w:p w14:paraId="2B2E1EA1" w14:textId="002489D7" w:rsidR="00296F9D" w:rsidRDefault="00296F9D" w:rsidP="005429BD">
      <w:pPr>
        <w:pStyle w:val="SingleTxtG"/>
        <w:ind w:left="2268" w:hanging="1134"/>
      </w:pPr>
      <w:r w:rsidRPr="00F2629D">
        <w:rPr>
          <w:lang w:val="fr-FR"/>
        </w:rPr>
        <w:t>« 6.22.9.1</w:t>
      </w:r>
      <w:r w:rsidRPr="00F2629D">
        <w:rPr>
          <w:lang w:val="fr-FR"/>
        </w:rPr>
        <w:tab/>
        <w:t>Le montage d’un AFS n’est autorisé que si le véhicule est aussi équipé de dispositifs de nettoyage des projecteurs conformes au Règlement ONU n</w:t>
      </w:r>
      <w:r w:rsidRPr="00F2629D">
        <w:rPr>
          <w:vertAlign w:val="superscript"/>
          <w:lang w:val="fr-FR"/>
        </w:rPr>
        <w:t>o</w:t>
      </w:r>
      <w:r w:rsidR="005429BD">
        <w:rPr>
          <w:lang w:val="fr-FR"/>
        </w:rPr>
        <w:t> </w:t>
      </w:r>
      <w:r w:rsidRPr="00F2629D">
        <w:rPr>
          <w:lang w:val="fr-FR"/>
        </w:rPr>
        <w:t>45</w:t>
      </w:r>
      <w:r w:rsidRPr="00A51B36">
        <w:rPr>
          <w:i/>
          <w:iCs/>
          <w:sz w:val="18"/>
          <w:szCs w:val="18"/>
          <w:vertAlign w:val="superscript"/>
          <w:lang w:val="fr-FR"/>
        </w:rPr>
        <w:t>16</w:t>
      </w:r>
      <w:r w:rsidRPr="00F2629D">
        <w:rPr>
          <w:lang w:val="fr-FR"/>
        </w:rPr>
        <w:t>, au moins sur les unités d’éclairage énumérées au point 9.3.2.3 de la fiche de communication conforme au modèle de l’annexe 1 du Règlement ONU n</w:t>
      </w:r>
      <w:r w:rsidRPr="00F2629D">
        <w:rPr>
          <w:vertAlign w:val="superscript"/>
          <w:lang w:val="fr-FR"/>
        </w:rPr>
        <w:t>o</w:t>
      </w:r>
      <w:r w:rsidR="005429BD">
        <w:rPr>
          <w:lang w:val="fr-FR"/>
        </w:rPr>
        <w:t> </w:t>
      </w:r>
      <w:r w:rsidRPr="00F2629D">
        <w:rPr>
          <w:lang w:val="fr-FR"/>
        </w:rPr>
        <w:t>149, si le flux lumineux normal total des sources lumineuses de ces unités d’éclairage dépasse 2</w:t>
      </w:r>
      <w:r w:rsidR="005429BD">
        <w:rPr>
          <w:lang w:val="fr-FR"/>
        </w:rPr>
        <w:t> </w:t>
      </w:r>
      <w:r w:rsidRPr="00F2629D">
        <w:rPr>
          <w:lang w:val="fr-FR"/>
        </w:rPr>
        <w:t>000</w:t>
      </w:r>
      <w:r w:rsidR="005429BD">
        <w:rPr>
          <w:lang w:val="fr-FR"/>
        </w:rPr>
        <w:t xml:space="preserve"> </w:t>
      </w:r>
      <w:r w:rsidRPr="00F2629D">
        <w:rPr>
          <w:lang w:val="fr-FR"/>
        </w:rPr>
        <w:t>lm par côté, et si ces unités contribuent au faisceau de croisement (de base) de classe C. ».</w:t>
      </w:r>
    </w:p>
    <w:p w14:paraId="45E97743" w14:textId="77777777" w:rsidR="00296F9D" w:rsidRDefault="00296F9D" w:rsidP="005B0C72">
      <w:pPr>
        <w:pStyle w:val="SingleTxtG"/>
        <w:keepNext/>
        <w:rPr>
          <w:lang w:val="fr-FR"/>
        </w:rPr>
      </w:pPr>
      <w:r w:rsidRPr="00F2629D">
        <w:rPr>
          <w:i/>
          <w:iCs/>
          <w:lang w:val="fr-FR"/>
        </w:rPr>
        <w:t>Paragraphe 6.22.9.6</w:t>
      </w:r>
      <w:r w:rsidRPr="00F2629D">
        <w:rPr>
          <w:lang w:val="fr-FR"/>
        </w:rPr>
        <w:t>, lire</w:t>
      </w:r>
      <w:r>
        <w:rPr>
          <w:lang w:val="fr-FR"/>
        </w:rPr>
        <w:t> :</w:t>
      </w:r>
    </w:p>
    <w:p w14:paraId="33AB08E7" w14:textId="238395C2" w:rsidR="00296F9D" w:rsidRPr="00F2629D" w:rsidRDefault="00296F9D" w:rsidP="005429BD">
      <w:pPr>
        <w:pStyle w:val="SingleTxtG"/>
        <w:ind w:left="2268" w:hanging="1134"/>
        <w:rPr>
          <w:lang w:val="fr-FR"/>
        </w:rPr>
      </w:pPr>
      <w:r w:rsidRPr="00F2629D">
        <w:rPr>
          <w:lang w:val="fr-FR"/>
        </w:rPr>
        <w:t>« 6.22.9.6</w:t>
      </w:r>
      <w:r w:rsidRPr="00F2629D">
        <w:rPr>
          <w:lang w:val="fr-FR"/>
        </w:rPr>
        <w:tab/>
        <w:t>Les moyens permettant, conformément aux dispositions du paragraphe 4.12 du Règlement ONU n</w:t>
      </w:r>
      <w:r w:rsidRPr="00F2629D">
        <w:rPr>
          <w:vertAlign w:val="superscript"/>
          <w:lang w:val="fr-FR"/>
        </w:rPr>
        <w:t>o</w:t>
      </w:r>
      <w:r w:rsidR="00A51B36">
        <w:rPr>
          <w:lang w:val="fr-FR"/>
        </w:rPr>
        <w:t> </w:t>
      </w:r>
      <w:r w:rsidRPr="00F2629D">
        <w:rPr>
          <w:lang w:val="fr-FR"/>
        </w:rPr>
        <w:t>149, à un véhicule d’être provisoirement conduit dans un pays où la circulation se fait du côté opposé à celui pour lequel l’homologation est demandée, doivent être expliqués en détail dans le manuel d’utilisation du véhicule. ».</w:t>
      </w:r>
    </w:p>
    <w:p w14:paraId="43816288" w14:textId="05B2BEAE" w:rsidR="00296F9D" w:rsidRPr="00F2629D" w:rsidRDefault="00296F9D" w:rsidP="005B0C72">
      <w:pPr>
        <w:pStyle w:val="SingleTxtG"/>
        <w:keepNext/>
        <w:rPr>
          <w:rFonts w:asciiTheme="majorBidi" w:hAnsiTheme="majorBidi" w:cstheme="majorBidi"/>
          <w:bCs/>
          <w:lang w:val="fr-FR"/>
        </w:rPr>
      </w:pPr>
      <w:r w:rsidRPr="00F2629D">
        <w:rPr>
          <w:i/>
          <w:iCs/>
          <w:lang w:val="fr-FR"/>
        </w:rPr>
        <w:t>Paragraphes 6.24 à 6.24.3</w:t>
      </w:r>
      <w:r w:rsidRPr="00F2629D">
        <w:rPr>
          <w:lang w:val="fr-FR"/>
        </w:rPr>
        <w:t>, lire</w:t>
      </w:r>
      <w:r>
        <w:t> :</w:t>
      </w:r>
    </w:p>
    <w:p w14:paraId="55ADC25D" w14:textId="77777777" w:rsidR="00296F9D" w:rsidRPr="00F2629D" w:rsidRDefault="00296F9D" w:rsidP="00F4358F">
      <w:pPr>
        <w:pStyle w:val="SingleTxtG"/>
        <w:ind w:left="2268" w:right="992" w:hanging="1134"/>
        <w:rPr>
          <w:rFonts w:asciiTheme="majorBidi" w:hAnsiTheme="majorBidi" w:cstheme="majorBidi"/>
          <w:lang w:val="fr-FR"/>
        </w:rPr>
      </w:pPr>
      <w:r w:rsidRPr="00F2629D">
        <w:rPr>
          <w:lang w:val="fr-FR"/>
        </w:rPr>
        <w:t>« 6.24</w:t>
      </w:r>
      <w:r w:rsidRPr="00F2629D">
        <w:rPr>
          <w:lang w:val="fr-FR"/>
        </w:rPr>
        <w:tab/>
        <w:t>Feu de courtoisie extérieur</w:t>
      </w:r>
    </w:p>
    <w:p w14:paraId="06064427" w14:textId="77777777" w:rsidR="00296F9D" w:rsidRPr="00F2629D" w:rsidRDefault="00296F9D" w:rsidP="00F4358F">
      <w:pPr>
        <w:pStyle w:val="SingleTxtG"/>
        <w:ind w:left="2268" w:right="992" w:hanging="1134"/>
        <w:rPr>
          <w:rFonts w:asciiTheme="majorBidi" w:hAnsiTheme="majorBidi" w:cstheme="majorBidi"/>
          <w:lang w:val="fr-FR"/>
        </w:rPr>
      </w:pPr>
      <w:r w:rsidRPr="00F2629D">
        <w:rPr>
          <w:lang w:val="fr-FR"/>
        </w:rPr>
        <w:t>6.24.1</w:t>
      </w:r>
      <w:r w:rsidRPr="00F2629D">
        <w:rPr>
          <w:lang w:val="fr-FR"/>
        </w:rPr>
        <w:tab/>
        <w:t>Présence</w:t>
      </w:r>
    </w:p>
    <w:p w14:paraId="397141E4" w14:textId="654EBDAC" w:rsidR="00296F9D" w:rsidRPr="00F2629D" w:rsidRDefault="00296F9D" w:rsidP="00296F9D">
      <w:pPr>
        <w:spacing w:after="120"/>
        <w:ind w:left="2268" w:right="1134"/>
        <w:jc w:val="both"/>
        <w:rPr>
          <w:rFonts w:asciiTheme="majorBidi" w:hAnsiTheme="majorBidi" w:cstheme="majorBidi"/>
          <w:iCs/>
          <w:lang w:val="fr-FR"/>
        </w:rPr>
      </w:pPr>
      <w:r w:rsidRPr="00F2629D">
        <w:rPr>
          <w:lang w:val="fr-FR"/>
        </w:rPr>
        <w:t>Facultative sur les véhicules automobiles</w:t>
      </w:r>
      <w:r w:rsidR="00CF2800">
        <w:rPr>
          <w:lang w:val="fr-FR"/>
        </w:rPr>
        <w:t>.</w:t>
      </w:r>
    </w:p>
    <w:p w14:paraId="48F9AABC" w14:textId="77777777" w:rsidR="00296F9D" w:rsidRPr="00F2629D" w:rsidRDefault="00296F9D" w:rsidP="00F4358F">
      <w:pPr>
        <w:pStyle w:val="SingleTxtG"/>
        <w:ind w:left="2268" w:right="992" w:hanging="1134"/>
        <w:rPr>
          <w:rFonts w:asciiTheme="majorBidi" w:hAnsiTheme="majorBidi" w:cstheme="majorBidi"/>
          <w:lang w:val="fr-FR"/>
        </w:rPr>
      </w:pPr>
      <w:r w:rsidRPr="00F2629D">
        <w:rPr>
          <w:lang w:val="fr-FR"/>
        </w:rPr>
        <w:t>6.24.2</w:t>
      </w:r>
      <w:r w:rsidRPr="00F2629D">
        <w:rPr>
          <w:lang w:val="fr-FR"/>
        </w:rPr>
        <w:tab/>
        <w:t>Nombre</w:t>
      </w:r>
    </w:p>
    <w:p w14:paraId="2D17BF25" w14:textId="2153201A" w:rsidR="00296F9D" w:rsidRPr="00F2629D" w:rsidRDefault="00296F9D" w:rsidP="00CE3640">
      <w:pPr>
        <w:pStyle w:val="SingleTxtG"/>
        <w:ind w:left="2268"/>
        <w:rPr>
          <w:rFonts w:asciiTheme="majorBidi" w:hAnsiTheme="majorBidi" w:cstheme="majorBidi"/>
          <w:lang w:val="fr-FR"/>
        </w:rPr>
      </w:pPr>
      <w:r w:rsidRPr="00F2629D">
        <w:rPr>
          <w:lang w:val="fr-FR"/>
        </w:rPr>
        <w:t>Un ou deux</w:t>
      </w:r>
      <w:r>
        <w:rPr>
          <w:lang w:val="fr-FR"/>
        </w:rPr>
        <w:t> ;</w:t>
      </w:r>
      <w:r w:rsidRPr="00F2629D">
        <w:rPr>
          <w:lang w:val="fr-FR"/>
        </w:rPr>
        <w:t xml:space="preserve"> toutefois, des feux de courtoisie supplémentaires servant à éclairer les marchepieds, les poignées de porte ou les abords du véhicule sont autorisés. Chaque poignée de porte ou marchepied ne doit être éclairé que par un seul feu.</w:t>
      </w:r>
    </w:p>
    <w:p w14:paraId="030CC7E9" w14:textId="77777777" w:rsidR="00296F9D" w:rsidRPr="00F2629D" w:rsidRDefault="00296F9D" w:rsidP="00F4358F">
      <w:pPr>
        <w:pStyle w:val="SingleTxtG"/>
        <w:ind w:left="2268" w:right="992" w:hanging="1134"/>
        <w:rPr>
          <w:rFonts w:asciiTheme="majorBidi" w:hAnsiTheme="majorBidi" w:cstheme="majorBidi"/>
          <w:lang w:val="fr-FR"/>
        </w:rPr>
      </w:pPr>
      <w:r w:rsidRPr="00F2629D">
        <w:rPr>
          <w:lang w:val="fr-FR"/>
        </w:rPr>
        <w:t>6.24.3</w:t>
      </w:r>
      <w:r w:rsidRPr="00F2629D">
        <w:rPr>
          <w:lang w:val="fr-FR"/>
        </w:rPr>
        <w:tab/>
        <w:t>Schéma de montage</w:t>
      </w:r>
    </w:p>
    <w:p w14:paraId="1C5DE47A" w14:textId="542953AD" w:rsidR="00296F9D" w:rsidRPr="00F2629D" w:rsidRDefault="00296F9D" w:rsidP="00CE3640">
      <w:pPr>
        <w:pStyle w:val="SingleTxtG"/>
        <w:ind w:left="2268"/>
        <w:rPr>
          <w:rFonts w:asciiTheme="majorBidi" w:eastAsia="MS PMincho" w:hAnsiTheme="majorBidi" w:cstheme="majorBidi"/>
          <w:b/>
          <w:lang w:val="fr-FR"/>
        </w:rPr>
      </w:pPr>
      <w:r w:rsidRPr="00F2629D">
        <w:rPr>
          <w:lang w:val="fr-FR"/>
        </w:rPr>
        <w:t>Pas de prescription particulière</w:t>
      </w:r>
      <w:r>
        <w:rPr>
          <w:lang w:val="fr-FR"/>
        </w:rPr>
        <w:t> ;</w:t>
      </w:r>
      <w:r w:rsidRPr="00F2629D">
        <w:rPr>
          <w:lang w:val="fr-FR"/>
        </w:rPr>
        <w:t xml:space="preserve"> toutefois les prescriptions du paragraphe 6.24.9.3 s’appliquent. ».</w:t>
      </w:r>
    </w:p>
    <w:p w14:paraId="5912E3F4" w14:textId="686CCE11" w:rsidR="00296F9D" w:rsidRPr="00F2629D" w:rsidRDefault="00296F9D" w:rsidP="005B0C72">
      <w:pPr>
        <w:pStyle w:val="SingleTxtG"/>
        <w:keepNext/>
        <w:rPr>
          <w:rFonts w:asciiTheme="majorBidi" w:eastAsia="MS Mincho" w:hAnsiTheme="majorBidi" w:cstheme="majorBidi"/>
          <w:bCs/>
          <w:lang w:val="fr-FR"/>
        </w:rPr>
      </w:pPr>
      <w:r w:rsidRPr="00F2629D">
        <w:rPr>
          <w:i/>
          <w:iCs/>
          <w:lang w:val="fr-FR"/>
        </w:rPr>
        <w:t>Paragraphe 6.24.9</w:t>
      </w:r>
      <w:r w:rsidRPr="00F2629D">
        <w:rPr>
          <w:lang w:val="fr-FR"/>
        </w:rPr>
        <w:t>, lire</w:t>
      </w:r>
      <w:r>
        <w:rPr>
          <w:lang w:val="fr-FR"/>
        </w:rPr>
        <w:t> :</w:t>
      </w:r>
    </w:p>
    <w:p w14:paraId="62EA336F" w14:textId="77777777" w:rsidR="00296F9D" w:rsidRDefault="00296F9D" w:rsidP="00F4358F">
      <w:pPr>
        <w:pStyle w:val="SingleTxtG"/>
        <w:ind w:left="2268" w:right="992" w:hanging="1134"/>
      </w:pPr>
      <w:r w:rsidRPr="00F2629D">
        <w:rPr>
          <w:lang w:val="fr-FR"/>
        </w:rPr>
        <w:t>« 6.24.9</w:t>
      </w:r>
      <w:r w:rsidRPr="00F2629D">
        <w:rPr>
          <w:lang w:val="fr-FR"/>
        </w:rPr>
        <w:tab/>
        <w:t>Autres prescriptions</w:t>
      </w:r>
    </w:p>
    <w:p w14:paraId="11A70CEF" w14:textId="289122A1" w:rsidR="00296F9D" w:rsidRPr="00F2629D" w:rsidRDefault="00296F9D" w:rsidP="005429BD">
      <w:pPr>
        <w:pStyle w:val="SingleTxtG"/>
        <w:ind w:left="2268" w:hanging="1134"/>
        <w:rPr>
          <w:rFonts w:asciiTheme="majorBidi" w:hAnsiTheme="majorBidi" w:cstheme="majorBidi"/>
          <w:lang w:val="fr-FR"/>
        </w:rPr>
      </w:pPr>
      <w:bookmarkStart w:id="4" w:name="_Hlk107407141"/>
      <w:r w:rsidRPr="00F2629D">
        <w:rPr>
          <w:lang w:val="fr-FR"/>
        </w:rPr>
        <w:t>6.24.9.1</w:t>
      </w:r>
      <w:r w:rsidRPr="00F2629D">
        <w:rPr>
          <w:lang w:val="fr-FR"/>
        </w:rPr>
        <w:tab/>
        <w:t>Le ou les feux de courtoisie extérieurs peuvent être allumés que si le véhicule est à l’arrêt et que l’une au moins des conditions suivantes est remplie</w:t>
      </w:r>
      <w:r>
        <w:t> :</w:t>
      </w:r>
      <w:bookmarkEnd w:id="4"/>
    </w:p>
    <w:p w14:paraId="73FF30D3" w14:textId="77777777" w:rsidR="00296F9D" w:rsidRDefault="00296F9D" w:rsidP="00CE3640">
      <w:pPr>
        <w:pStyle w:val="SingleTxtG"/>
        <w:ind w:left="2835" w:hanging="567"/>
        <w:rPr>
          <w:lang w:val="fr-FR"/>
        </w:rPr>
      </w:pPr>
      <w:r w:rsidRPr="00F2629D">
        <w:rPr>
          <w:lang w:val="fr-FR"/>
        </w:rPr>
        <w:t>a)</w:t>
      </w:r>
      <w:r w:rsidRPr="00F2629D">
        <w:rPr>
          <w:lang w:val="fr-FR"/>
        </w:rPr>
        <w:tab/>
        <w:t>Le système de propulsion est arrêté</w:t>
      </w:r>
      <w:r>
        <w:rPr>
          <w:lang w:val="fr-FR"/>
        </w:rPr>
        <w:t> ;</w:t>
      </w:r>
    </w:p>
    <w:p w14:paraId="603FA05C" w14:textId="77777777" w:rsidR="00296F9D" w:rsidRDefault="00296F9D" w:rsidP="00CE3640">
      <w:pPr>
        <w:pStyle w:val="SingleTxtG"/>
        <w:ind w:left="2835" w:hanging="567"/>
        <w:rPr>
          <w:lang w:val="fr-FR"/>
        </w:rPr>
      </w:pPr>
      <w:r w:rsidRPr="00F2629D">
        <w:rPr>
          <w:lang w:val="fr-FR"/>
        </w:rPr>
        <w:t>b)</w:t>
      </w:r>
      <w:r w:rsidRPr="00F2629D">
        <w:rPr>
          <w:lang w:val="fr-FR"/>
        </w:rPr>
        <w:tab/>
        <w:t>La porte du conducteur ou l’une des portes des passagers est ouverte ou vient d’être fermée</w:t>
      </w:r>
      <w:r>
        <w:rPr>
          <w:lang w:val="fr-FR"/>
        </w:rPr>
        <w:t> ;</w:t>
      </w:r>
    </w:p>
    <w:p w14:paraId="335EB8FB" w14:textId="2000F83B" w:rsidR="00296F9D" w:rsidRPr="00F2629D" w:rsidRDefault="00296F9D" w:rsidP="00CE3640">
      <w:pPr>
        <w:pStyle w:val="SingleTxtG"/>
        <w:ind w:left="2835" w:hanging="567"/>
        <w:rPr>
          <w:rFonts w:asciiTheme="majorBidi" w:hAnsiTheme="majorBidi" w:cstheme="majorBidi"/>
          <w:lang w:val="fr-FR"/>
        </w:rPr>
      </w:pPr>
      <w:r w:rsidRPr="00F2629D">
        <w:rPr>
          <w:lang w:val="fr-FR"/>
        </w:rPr>
        <w:lastRenderedPageBreak/>
        <w:t>c)</w:t>
      </w:r>
      <w:r w:rsidRPr="00F2629D">
        <w:rPr>
          <w:lang w:val="fr-FR"/>
        </w:rPr>
        <w:tab/>
        <w:t>Une porte du compartiment de chargement est ouverte ou vient d’être fermée.</w:t>
      </w:r>
    </w:p>
    <w:p w14:paraId="53EB38FE" w14:textId="77777777" w:rsidR="00296F9D" w:rsidRPr="00F2629D" w:rsidRDefault="00296F9D" w:rsidP="00CE3640">
      <w:pPr>
        <w:pStyle w:val="SingleTxtG"/>
        <w:ind w:left="2268"/>
        <w:rPr>
          <w:rFonts w:asciiTheme="majorBidi" w:hAnsiTheme="majorBidi" w:cstheme="majorBidi"/>
          <w:lang w:val="fr-FR"/>
        </w:rPr>
      </w:pPr>
      <w:r w:rsidRPr="00F2629D">
        <w:rPr>
          <w:lang w:val="fr-FR"/>
        </w:rPr>
        <w:t>Toutefois, le ou les feux de courtoisie extérieurs doivent s’éteindre lorsque le véhicule n’est plus à l’arrêt.</w:t>
      </w:r>
    </w:p>
    <w:p w14:paraId="01F650E1" w14:textId="5814EB17" w:rsidR="00296F9D" w:rsidRPr="00F2629D" w:rsidRDefault="00296F9D" w:rsidP="005429BD">
      <w:pPr>
        <w:pStyle w:val="SingleTxtG"/>
        <w:ind w:left="2268" w:hanging="1134"/>
        <w:rPr>
          <w:rFonts w:asciiTheme="majorBidi" w:hAnsiTheme="majorBidi" w:cstheme="majorBidi"/>
          <w:lang w:val="fr-FR"/>
        </w:rPr>
      </w:pPr>
      <w:r w:rsidRPr="00F2629D">
        <w:rPr>
          <w:lang w:val="fr-FR"/>
        </w:rPr>
        <w:t>6.24.9.1.1</w:t>
      </w:r>
      <w:r w:rsidRPr="00F2629D">
        <w:rPr>
          <w:lang w:val="fr-FR"/>
        </w:rPr>
        <w:tab/>
      </w:r>
      <w:r w:rsidRPr="00F2629D">
        <w:rPr>
          <w:lang w:val="fr-FR"/>
        </w:rPr>
        <w:tab/>
        <w:t>Le ou les feux de courtoisie extérieurs peuvent être allumés ou éteints manuellement ou automatiquement.</w:t>
      </w:r>
    </w:p>
    <w:p w14:paraId="61896ABA" w14:textId="25FA8608" w:rsidR="00296F9D" w:rsidRPr="00F2629D" w:rsidRDefault="00296F9D" w:rsidP="005429BD">
      <w:pPr>
        <w:pStyle w:val="SingleTxtG"/>
        <w:ind w:left="2268" w:hanging="1134"/>
        <w:rPr>
          <w:rFonts w:asciiTheme="majorBidi" w:hAnsiTheme="majorBidi" w:cstheme="majorBidi"/>
          <w:lang w:val="fr-FR"/>
        </w:rPr>
      </w:pPr>
      <w:r w:rsidRPr="00F2629D">
        <w:rPr>
          <w:lang w:val="fr-FR"/>
        </w:rPr>
        <w:t>6.24.9.1.2</w:t>
      </w:r>
      <w:r w:rsidR="0085417F">
        <w:rPr>
          <w:lang w:val="fr-FR"/>
        </w:rPr>
        <w:tab/>
      </w:r>
      <w:r w:rsidRPr="00F2629D">
        <w:rPr>
          <w:lang w:val="fr-FR"/>
        </w:rPr>
        <w:t>L’intensité lumineuse ou la surface apparente du ou des feux de courtoisie extérieurs peuvent varier. Les caractéristiques photométriques du ou des feux de courtoisie extérieurs peuvent varier en fonction de la position des utilisateurs du véhicule. Les variations d’intensité au cours de ces transitions doivent se faire progressivement, sans à-coups.</w:t>
      </w:r>
    </w:p>
    <w:p w14:paraId="568E6A88" w14:textId="77777777" w:rsidR="00296F9D" w:rsidRDefault="00296F9D" w:rsidP="005429BD">
      <w:pPr>
        <w:pStyle w:val="SingleTxtG"/>
        <w:ind w:left="2268" w:hanging="1134"/>
        <w:rPr>
          <w:lang w:val="fr-FR"/>
        </w:rPr>
      </w:pPr>
      <w:bookmarkStart w:id="5" w:name="_Hlk119657583"/>
      <w:r w:rsidRPr="00F2629D">
        <w:rPr>
          <w:lang w:val="fr-FR"/>
        </w:rPr>
        <w:t>6.24.9.1.3</w:t>
      </w:r>
      <w:r w:rsidRPr="00F2629D">
        <w:rPr>
          <w:lang w:val="fr-FR"/>
        </w:rPr>
        <w:tab/>
        <w:t>Le ou les feux de courtoisie extérieurs ne peuvent pas clignoter.</w:t>
      </w:r>
      <w:bookmarkEnd w:id="5"/>
    </w:p>
    <w:p w14:paraId="2743FD1E" w14:textId="03F7DAB8" w:rsidR="00296F9D" w:rsidRPr="00F2629D" w:rsidRDefault="00296F9D" w:rsidP="005429BD">
      <w:pPr>
        <w:pStyle w:val="SingleTxtG"/>
        <w:ind w:left="2268" w:hanging="1134"/>
        <w:rPr>
          <w:rFonts w:asciiTheme="majorBidi" w:eastAsia="MS Mincho" w:hAnsiTheme="majorBidi" w:cstheme="majorBidi"/>
          <w:lang w:val="fr-FR"/>
        </w:rPr>
      </w:pPr>
      <w:r w:rsidRPr="00F2629D">
        <w:rPr>
          <w:lang w:val="fr-FR"/>
        </w:rPr>
        <w:t>6.24.9.1.4</w:t>
      </w:r>
      <w:r w:rsidRPr="00F2629D">
        <w:rPr>
          <w:lang w:val="fr-FR"/>
        </w:rPr>
        <w:tab/>
        <w:t>Au choix du constructeur, le ou les feux de courtoisie extérieurs peuvent être allumés selon différentes combinaisons.</w:t>
      </w:r>
    </w:p>
    <w:p w14:paraId="17177361" w14:textId="400234DD" w:rsidR="00296F9D" w:rsidRDefault="00296F9D" w:rsidP="005429BD">
      <w:pPr>
        <w:pStyle w:val="SingleTxtG"/>
        <w:ind w:left="2268" w:hanging="1134"/>
        <w:rPr>
          <w:lang w:val="fr-FR"/>
        </w:rPr>
      </w:pPr>
      <w:r w:rsidRPr="00F2629D">
        <w:rPr>
          <w:lang w:val="fr-FR"/>
        </w:rPr>
        <w:t>6.24.9.2</w:t>
      </w:r>
      <w:r w:rsidRPr="00F2629D">
        <w:rPr>
          <w:lang w:val="fr-FR"/>
        </w:rPr>
        <w:tab/>
        <w:t>Les feux homologués émettant une lumière blanche, à l’exception des feux de route, feux de circulation diurne et feux de marche arrière, peuvent être allumés en tant que feux de courtoisie extérieurs, de même que les feux de position arrière, les feux de stationnement, les feux de position latéraux et les feux d’encombrement, auquel cas les conditions des paragraphes 5.11 et 5.12 ci</w:t>
      </w:r>
      <w:r w:rsidR="00CE3640">
        <w:rPr>
          <w:lang w:val="fr-FR"/>
        </w:rPr>
        <w:noBreakHyphen/>
      </w:r>
      <w:r w:rsidRPr="00F2629D">
        <w:rPr>
          <w:lang w:val="fr-FR"/>
        </w:rPr>
        <w:t>dessus ne s’appliquent pas.</w:t>
      </w:r>
    </w:p>
    <w:p w14:paraId="3CB2BBC0" w14:textId="77777777" w:rsidR="00296F9D" w:rsidRDefault="00296F9D" w:rsidP="005429BD">
      <w:pPr>
        <w:pStyle w:val="SingleTxtG"/>
        <w:ind w:left="2268" w:hanging="1134"/>
      </w:pPr>
      <w:r w:rsidRPr="00F2629D">
        <w:rPr>
          <w:lang w:val="fr-FR"/>
        </w:rPr>
        <w:t>6.24.9.3</w:t>
      </w:r>
      <w:r w:rsidRPr="00F2629D">
        <w:rPr>
          <w:lang w:val="fr-FR"/>
        </w:rPr>
        <w:tab/>
        <w:t>Le service technique doit effectuer, à la satisfaction de l’autorité d’homologation de type, un essai visuel permettant de vérifier que la surface apparente des feux de courtoisie extérieurs n’est pas directement visible pour l’œil d’un observateur se déplaçant dans une zone délimitée par un plan transversal situé à 10 m en avant du véhicule, un plan transversal situé à 10 m en arrière du véhicule, et deux plans longitudinaux situés à 10 m de chaque côté du véhicule, ces quatre plans s’étendant de 1 à 3 m au-dessus du sol perpendiculairement à celui-ci conformément au schéma de l’annexe 14.</w:t>
      </w:r>
    </w:p>
    <w:p w14:paraId="132419E8" w14:textId="79B1FFE4" w:rsidR="00296F9D" w:rsidRPr="00F2629D" w:rsidRDefault="00296F9D" w:rsidP="005429BD">
      <w:pPr>
        <w:pStyle w:val="SingleTxtG"/>
        <w:ind w:left="2268" w:hanging="1134"/>
        <w:rPr>
          <w:rFonts w:asciiTheme="majorBidi" w:eastAsia="MS PMincho" w:hAnsiTheme="majorBidi" w:cstheme="majorBidi"/>
          <w:lang w:val="fr-FR"/>
        </w:rPr>
      </w:pPr>
      <w:bookmarkStart w:id="6" w:name="_Hlk124755749"/>
      <w:r w:rsidRPr="00F2629D">
        <w:rPr>
          <w:lang w:val="fr-FR"/>
        </w:rPr>
        <w:t>6.24.9.4</w:t>
      </w:r>
      <w:r w:rsidRPr="00F2629D">
        <w:rPr>
          <w:lang w:val="fr-FR"/>
        </w:rPr>
        <w:tab/>
        <w:t>À la demande du demandeur de l’homologation et avec l’accord du service technique, le respect des prescriptions du paragraphe 6.24.9.3 peut être vérifié sur schéma ou par simulation, ou jugé réalisé si le demandeur peut prouver que l’intensité lumineuse de la lumière émise directement lors de l’essai d’observation décrit dans l’annexe 14 est inférieure à 0,5 cd par feu. ».</w:t>
      </w:r>
      <w:bookmarkEnd w:id="6"/>
    </w:p>
    <w:p w14:paraId="6B02A4A8" w14:textId="385C1A6D" w:rsidR="00296F9D" w:rsidRPr="00F2629D" w:rsidRDefault="00296F9D" w:rsidP="005B0C72">
      <w:pPr>
        <w:pStyle w:val="SingleTxtG"/>
        <w:keepNext/>
        <w:rPr>
          <w:lang w:val="fr-FR"/>
        </w:rPr>
      </w:pPr>
      <w:r w:rsidRPr="00F2629D">
        <w:rPr>
          <w:i/>
          <w:iCs/>
          <w:lang w:val="fr-FR"/>
        </w:rPr>
        <w:t>Paragraphe 6.26</w:t>
      </w:r>
      <w:r w:rsidRPr="00F2629D">
        <w:rPr>
          <w:lang w:val="fr-FR"/>
        </w:rPr>
        <w:t>, lire</w:t>
      </w:r>
      <w:r>
        <w:rPr>
          <w:lang w:val="fr-FR"/>
        </w:rPr>
        <w:t> :</w:t>
      </w:r>
    </w:p>
    <w:p w14:paraId="5F73B6E4" w14:textId="77777777" w:rsidR="00296F9D" w:rsidRPr="00F2629D" w:rsidRDefault="00296F9D" w:rsidP="00F4358F">
      <w:pPr>
        <w:pStyle w:val="SingleTxtG"/>
        <w:ind w:left="2268" w:right="992" w:hanging="1134"/>
        <w:rPr>
          <w:lang w:val="fr-FR"/>
        </w:rPr>
      </w:pPr>
      <w:r w:rsidRPr="00F2629D">
        <w:rPr>
          <w:lang w:val="fr-FR"/>
        </w:rPr>
        <w:t>« 6.26</w:t>
      </w:r>
      <w:r w:rsidRPr="00F2629D">
        <w:rPr>
          <w:lang w:val="fr-FR"/>
        </w:rPr>
        <w:tab/>
      </w:r>
      <w:r w:rsidRPr="00F2629D">
        <w:rPr>
          <w:lang w:val="fr-FR"/>
        </w:rPr>
        <w:tab/>
        <w:t>Feu de manœuvre ».</w:t>
      </w:r>
    </w:p>
    <w:p w14:paraId="753C3E63" w14:textId="6EC9BC24" w:rsidR="00296F9D" w:rsidRPr="00F2629D" w:rsidRDefault="00296F9D" w:rsidP="005B0C72">
      <w:pPr>
        <w:pStyle w:val="SingleTxtG"/>
        <w:keepNext/>
        <w:rPr>
          <w:lang w:val="fr-FR"/>
        </w:rPr>
      </w:pPr>
      <w:r w:rsidRPr="00F2629D">
        <w:rPr>
          <w:i/>
          <w:iCs/>
          <w:lang w:val="fr-FR"/>
        </w:rPr>
        <w:t>Paragraphe 6.26.2</w:t>
      </w:r>
      <w:r w:rsidRPr="00F2629D">
        <w:rPr>
          <w:lang w:val="fr-FR"/>
        </w:rPr>
        <w:t>, lire</w:t>
      </w:r>
      <w:r>
        <w:rPr>
          <w:lang w:val="fr-FR"/>
        </w:rPr>
        <w:t> :</w:t>
      </w:r>
    </w:p>
    <w:p w14:paraId="23325BF2" w14:textId="77777777" w:rsidR="00296F9D" w:rsidRPr="00F2629D" w:rsidRDefault="00296F9D" w:rsidP="00CE3640">
      <w:pPr>
        <w:pStyle w:val="SingleTxtG"/>
        <w:keepNext/>
        <w:ind w:left="2268" w:right="992" w:hanging="1134"/>
        <w:rPr>
          <w:bCs/>
          <w:lang w:val="fr-FR"/>
        </w:rPr>
      </w:pPr>
      <w:r w:rsidRPr="00F2629D">
        <w:rPr>
          <w:lang w:val="fr-FR"/>
        </w:rPr>
        <w:t>« 6.26.2</w:t>
      </w:r>
      <w:r w:rsidRPr="00F2629D">
        <w:rPr>
          <w:lang w:val="fr-FR"/>
        </w:rPr>
        <w:tab/>
        <w:t>Nombre</w:t>
      </w:r>
    </w:p>
    <w:p w14:paraId="5DFE0FAE" w14:textId="7442DE01" w:rsidR="00296F9D" w:rsidRPr="00F2629D" w:rsidRDefault="00296F9D" w:rsidP="00CE3640">
      <w:pPr>
        <w:pStyle w:val="SingleTxtG"/>
        <w:ind w:left="2268"/>
        <w:rPr>
          <w:b/>
          <w:bCs/>
          <w:lang w:val="fr-FR"/>
        </w:rPr>
      </w:pPr>
      <w:r w:rsidRPr="00F2629D">
        <w:rPr>
          <w:lang w:val="fr-FR"/>
        </w:rPr>
        <w:t>Un ou deux (un par côté) pour les véhicules dont la longueur ne dépasse pas 6 m</w:t>
      </w:r>
      <w:r>
        <w:rPr>
          <w:lang w:val="fr-FR"/>
        </w:rPr>
        <w:t> ;</w:t>
      </w:r>
    </w:p>
    <w:p w14:paraId="76AC6BF6" w14:textId="592B6070" w:rsidR="00296F9D" w:rsidRPr="00F2629D" w:rsidRDefault="00296F9D" w:rsidP="00CE3640">
      <w:pPr>
        <w:pStyle w:val="SingleTxtG"/>
        <w:ind w:left="2268"/>
        <w:rPr>
          <w:lang w:val="fr-FR"/>
        </w:rPr>
      </w:pPr>
      <w:r w:rsidRPr="00F2629D">
        <w:rPr>
          <w:lang w:val="fr-FR"/>
        </w:rPr>
        <w:t>Au maximum quatre (deux par côté) pour les véhicules dont la longueur dépasse 6</w:t>
      </w:r>
      <w:r w:rsidR="00A51B36">
        <w:rPr>
          <w:lang w:val="fr-FR"/>
        </w:rPr>
        <w:t> </w:t>
      </w:r>
      <w:r w:rsidRPr="00F2629D">
        <w:rPr>
          <w:lang w:val="fr-FR"/>
        </w:rPr>
        <w:t>m sans dépasser 9 m</w:t>
      </w:r>
      <w:r>
        <w:rPr>
          <w:lang w:val="fr-FR"/>
        </w:rPr>
        <w:t> ;</w:t>
      </w:r>
    </w:p>
    <w:p w14:paraId="4FB6AFD5" w14:textId="186C31A5" w:rsidR="00296F9D" w:rsidRPr="00F2629D" w:rsidRDefault="00296F9D" w:rsidP="00CE3640">
      <w:pPr>
        <w:pStyle w:val="SingleTxtG"/>
        <w:ind w:left="2268"/>
        <w:rPr>
          <w:lang w:val="fr-FR"/>
        </w:rPr>
      </w:pPr>
      <w:r w:rsidRPr="00F2629D">
        <w:rPr>
          <w:lang w:val="fr-FR"/>
        </w:rPr>
        <w:t>Au maximum six (trois par côté) pour les véhicules dont la longueur dépasse 9</w:t>
      </w:r>
      <w:r w:rsidR="00CE3640">
        <w:rPr>
          <w:lang w:val="fr-FR"/>
        </w:rPr>
        <w:t> </w:t>
      </w:r>
      <w:r w:rsidRPr="00F2629D">
        <w:rPr>
          <w:lang w:val="fr-FR"/>
        </w:rPr>
        <w:t>m.</w:t>
      </w:r>
    </w:p>
    <w:p w14:paraId="2E8454C6" w14:textId="101461DA" w:rsidR="00296F9D" w:rsidRPr="00F2629D" w:rsidRDefault="00296F9D" w:rsidP="00CE3640">
      <w:pPr>
        <w:pStyle w:val="SingleTxtG"/>
        <w:ind w:left="2268"/>
        <w:rPr>
          <w:lang w:val="fr-FR"/>
        </w:rPr>
      </w:pPr>
      <w:r w:rsidRPr="00F2629D">
        <w:rPr>
          <w:lang w:val="fr-FR"/>
        </w:rPr>
        <w:t>Toutefois, les feux installés doivent être homologués conformément à la série originale ou à une série ultérieure d’amendements au Règlement ONU n</w:t>
      </w:r>
      <w:r w:rsidRPr="00F2629D">
        <w:rPr>
          <w:vertAlign w:val="superscript"/>
          <w:lang w:val="fr-FR"/>
        </w:rPr>
        <w:t>o</w:t>
      </w:r>
      <w:r w:rsidR="00CE3640">
        <w:rPr>
          <w:lang w:val="fr-FR"/>
        </w:rPr>
        <w:t> </w:t>
      </w:r>
      <w:r w:rsidRPr="00F2629D">
        <w:rPr>
          <w:lang w:val="fr-FR"/>
        </w:rPr>
        <w:t>23, ou à la série originale ou à une série ultérieure d’amendements au Règlement ONU n</w:t>
      </w:r>
      <w:r w:rsidRPr="00F2629D">
        <w:rPr>
          <w:vertAlign w:val="superscript"/>
          <w:lang w:val="fr-FR"/>
        </w:rPr>
        <w:t>o</w:t>
      </w:r>
      <w:r w:rsidR="00CE3640">
        <w:rPr>
          <w:lang w:val="fr-FR"/>
        </w:rPr>
        <w:t> </w:t>
      </w:r>
      <w:r w:rsidRPr="00F2629D">
        <w:rPr>
          <w:lang w:val="fr-FR"/>
        </w:rPr>
        <w:t>148. ».</w:t>
      </w:r>
    </w:p>
    <w:p w14:paraId="25B4F3F7" w14:textId="5BBE4B49" w:rsidR="00296F9D" w:rsidRPr="00F2629D" w:rsidRDefault="00296F9D" w:rsidP="005B0C72">
      <w:pPr>
        <w:pStyle w:val="SingleTxtG"/>
        <w:keepNext/>
        <w:rPr>
          <w:i/>
          <w:iCs/>
          <w:lang w:val="fr-FR"/>
        </w:rPr>
      </w:pPr>
      <w:r w:rsidRPr="00F2629D">
        <w:rPr>
          <w:i/>
          <w:iCs/>
          <w:lang w:val="fr-FR"/>
        </w:rPr>
        <w:t>Paragraphe 6.26.4</w:t>
      </w:r>
      <w:r w:rsidRPr="00F2629D">
        <w:rPr>
          <w:lang w:val="fr-FR"/>
        </w:rPr>
        <w:t>, lire</w:t>
      </w:r>
      <w:r>
        <w:rPr>
          <w:lang w:val="fr-FR"/>
        </w:rPr>
        <w:t> :</w:t>
      </w:r>
    </w:p>
    <w:p w14:paraId="2A0021E0" w14:textId="77777777" w:rsidR="00296F9D" w:rsidRPr="00F2629D" w:rsidRDefault="00296F9D" w:rsidP="00CE3640">
      <w:pPr>
        <w:pStyle w:val="SingleTxtG"/>
        <w:keepNext/>
        <w:ind w:left="2268" w:right="992" w:hanging="1134"/>
        <w:rPr>
          <w:lang w:val="fr-FR"/>
        </w:rPr>
      </w:pPr>
      <w:r w:rsidRPr="00F2629D">
        <w:rPr>
          <w:lang w:val="fr-FR"/>
        </w:rPr>
        <w:t>« 6.26.4</w:t>
      </w:r>
      <w:r w:rsidRPr="00F2629D">
        <w:rPr>
          <w:lang w:val="fr-FR"/>
        </w:rPr>
        <w:tab/>
        <w:t>Emplacement</w:t>
      </w:r>
      <w:bookmarkStart w:id="7" w:name="_Hlk39134712"/>
    </w:p>
    <w:bookmarkEnd w:id="7"/>
    <w:p w14:paraId="62204B5D" w14:textId="672DDB9B" w:rsidR="00296F9D" w:rsidRPr="00F2629D" w:rsidRDefault="00296F9D" w:rsidP="00F4358F">
      <w:pPr>
        <w:pStyle w:val="SingleTxtG"/>
        <w:ind w:left="2268" w:right="992" w:hanging="1134"/>
        <w:rPr>
          <w:lang w:val="fr-FR"/>
        </w:rPr>
      </w:pPr>
      <w:r w:rsidRPr="00F2629D">
        <w:rPr>
          <w:lang w:val="fr-FR"/>
        </w:rPr>
        <w:t>6.26.4.1</w:t>
      </w:r>
      <w:r w:rsidRPr="00F2629D">
        <w:rPr>
          <w:lang w:val="fr-FR"/>
        </w:rPr>
        <w:tab/>
        <w:t>En largeur</w:t>
      </w:r>
      <w:r>
        <w:rPr>
          <w:lang w:val="fr-FR"/>
        </w:rPr>
        <w:t> :</w:t>
      </w:r>
      <w:r w:rsidRPr="00F2629D">
        <w:rPr>
          <w:lang w:val="fr-FR"/>
        </w:rPr>
        <w:t xml:space="preserve"> </w:t>
      </w:r>
      <w:r w:rsidR="00CF2800">
        <w:rPr>
          <w:lang w:val="fr-FR"/>
        </w:rPr>
        <w:t>p</w:t>
      </w:r>
      <w:r w:rsidRPr="00F2629D">
        <w:rPr>
          <w:lang w:val="fr-FR"/>
        </w:rPr>
        <w:t>as de prescription particulière.</w:t>
      </w:r>
    </w:p>
    <w:p w14:paraId="0BF82972" w14:textId="61B8DE79" w:rsidR="00296F9D" w:rsidRPr="00F2629D" w:rsidRDefault="00296F9D" w:rsidP="00F4358F">
      <w:pPr>
        <w:pStyle w:val="SingleTxtG"/>
        <w:ind w:left="2268" w:right="992" w:hanging="1134"/>
        <w:rPr>
          <w:lang w:val="fr-FR"/>
        </w:rPr>
      </w:pPr>
      <w:r w:rsidRPr="00F2629D">
        <w:rPr>
          <w:lang w:val="fr-FR"/>
        </w:rPr>
        <w:lastRenderedPageBreak/>
        <w:t>6.26.4.2</w:t>
      </w:r>
      <w:r w:rsidRPr="00F2629D">
        <w:rPr>
          <w:lang w:val="fr-FR"/>
        </w:rPr>
        <w:tab/>
        <w:t>En hauteur</w:t>
      </w:r>
      <w:r>
        <w:rPr>
          <w:lang w:val="fr-FR"/>
        </w:rPr>
        <w:t> :</w:t>
      </w:r>
      <w:r w:rsidRPr="00F2629D">
        <w:rPr>
          <w:lang w:val="fr-FR"/>
        </w:rPr>
        <w:t xml:space="preserve"> </w:t>
      </w:r>
      <w:r w:rsidR="00CF2800">
        <w:rPr>
          <w:lang w:val="fr-FR"/>
        </w:rPr>
        <w:t>a</w:t>
      </w:r>
      <w:r w:rsidRPr="00F2629D">
        <w:rPr>
          <w:lang w:val="fr-FR"/>
        </w:rPr>
        <w:t>u-dessus du sol, maximum 1</w:t>
      </w:r>
      <w:r w:rsidR="00CE3640">
        <w:rPr>
          <w:lang w:val="fr-FR"/>
        </w:rPr>
        <w:t> </w:t>
      </w:r>
      <w:r w:rsidRPr="00F2629D">
        <w:rPr>
          <w:lang w:val="fr-FR"/>
        </w:rPr>
        <w:t xml:space="preserve">500 </w:t>
      </w:r>
      <w:proofErr w:type="spellStart"/>
      <w:r w:rsidRPr="00F2629D">
        <w:rPr>
          <w:lang w:val="fr-FR"/>
        </w:rPr>
        <w:t>mm.</w:t>
      </w:r>
      <w:proofErr w:type="spellEnd"/>
    </w:p>
    <w:p w14:paraId="4A5ABB27" w14:textId="66825E60" w:rsidR="00296F9D" w:rsidRPr="00F2629D" w:rsidRDefault="00296F9D" w:rsidP="005429BD">
      <w:pPr>
        <w:pStyle w:val="SingleTxtG"/>
        <w:ind w:left="2268" w:hanging="1134"/>
        <w:rPr>
          <w:bCs/>
          <w:lang w:val="fr-FR"/>
        </w:rPr>
      </w:pPr>
      <w:r w:rsidRPr="00F2629D">
        <w:rPr>
          <w:lang w:val="fr-FR"/>
        </w:rPr>
        <w:t>6.26.4.3</w:t>
      </w:r>
      <w:r w:rsidRPr="00F2629D">
        <w:rPr>
          <w:lang w:val="fr-FR"/>
        </w:rPr>
        <w:tab/>
        <w:t>En longueur</w:t>
      </w:r>
      <w:r>
        <w:rPr>
          <w:lang w:val="fr-FR"/>
        </w:rPr>
        <w:t> :</w:t>
      </w:r>
      <w:r w:rsidRPr="00F2629D">
        <w:rPr>
          <w:lang w:val="fr-FR"/>
        </w:rPr>
        <w:t xml:space="preserve"> </w:t>
      </w:r>
      <w:r w:rsidR="00CF2800">
        <w:rPr>
          <w:lang w:val="fr-FR"/>
        </w:rPr>
        <w:t>s</w:t>
      </w:r>
      <w:r w:rsidRPr="00F2629D">
        <w:rPr>
          <w:lang w:val="fr-FR"/>
        </w:rPr>
        <w:t>i plusieurs feux de manœuvre sont montés, ils doivent être placés aussi symétriquement que possible de part et d’autre du véhicule.</w:t>
      </w:r>
    </w:p>
    <w:p w14:paraId="15CA9E9D" w14:textId="77777777" w:rsidR="00296F9D" w:rsidRPr="00F2629D" w:rsidRDefault="00296F9D" w:rsidP="00CE3640">
      <w:pPr>
        <w:pStyle w:val="SingleTxtG"/>
        <w:ind w:left="2268"/>
        <w:rPr>
          <w:bCs/>
          <w:lang w:val="fr-FR"/>
        </w:rPr>
      </w:pPr>
      <w:r w:rsidRPr="00F2629D">
        <w:rPr>
          <w:lang w:val="fr-FR"/>
        </w:rPr>
        <w:t>La distance entre deux feux de manœuvre adjacents du même côté du véhicule doit être d’au moins 0,5 m. ».</w:t>
      </w:r>
    </w:p>
    <w:p w14:paraId="19339F8A" w14:textId="432155F6" w:rsidR="00296F9D" w:rsidRPr="00F2629D" w:rsidRDefault="00296F9D" w:rsidP="005B0C72">
      <w:pPr>
        <w:pStyle w:val="SingleTxtG"/>
        <w:keepNext/>
        <w:rPr>
          <w:rFonts w:asciiTheme="majorBidi" w:hAnsiTheme="majorBidi" w:cstheme="majorBidi"/>
          <w:i/>
          <w:iCs/>
          <w:lang w:val="fr-FR"/>
        </w:rPr>
      </w:pPr>
      <w:r w:rsidRPr="00296F9D">
        <w:rPr>
          <w:i/>
          <w:iCs/>
          <w:lang w:val="fr-FR"/>
        </w:rPr>
        <w:t>Ajouter le nouveau paragraphe 6.27</w:t>
      </w:r>
      <w:r w:rsidRPr="00296F9D">
        <w:rPr>
          <w:lang w:val="fr-FR"/>
        </w:rPr>
        <w:t>, libellé comme suit</w:t>
      </w:r>
      <w:r w:rsidRPr="00296F9D">
        <w:rPr>
          <w:lang w:val="fr-FR"/>
        </w:rPr>
        <w:t> :</w:t>
      </w:r>
    </w:p>
    <w:p w14:paraId="6C7C34F1" w14:textId="77777777" w:rsidR="00296F9D" w:rsidRPr="00F2629D" w:rsidRDefault="00296F9D" w:rsidP="00CE3640">
      <w:pPr>
        <w:pStyle w:val="SingleTxtG"/>
        <w:keepNext/>
        <w:ind w:left="2268" w:right="992" w:hanging="1134"/>
        <w:rPr>
          <w:lang w:val="fr-FR"/>
        </w:rPr>
      </w:pPr>
      <w:r w:rsidRPr="00F2629D">
        <w:rPr>
          <w:lang w:val="fr-FR"/>
        </w:rPr>
        <w:t>« 6.27</w:t>
      </w:r>
      <w:r w:rsidRPr="00F2629D">
        <w:rPr>
          <w:lang w:val="fr-FR"/>
        </w:rPr>
        <w:tab/>
        <w:t>Signal de réponse</w:t>
      </w:r>
    </w:p>
    <w:p w14:paraId="7407EA26" w14:textId="77777777" w:rsidR="00296F9D" w:rsidRPr="00F2629D" w:rsidRDefault="00296F9D" w:rsidP="00CE3640">
      <w:pPr>
        <w:pStyle w:val="SingleTxtG"/>
        <w:keepNext/>
        <w:ind w:left="2268" w:right="992" w:hanging="1134"/>
        <w:rPr>
          <w:lang w:val="fr-FR"/>
        </w:rPr>
      </w:pPr>
      <w:r w:rsidRPr="00F2629D">
        <w:rPr>
          <w:lang w:val="fr-FR"/>
        </w:rPr>
        <w:t>6.27.1</w:t>
      </w:r>
      <w:r w:rsidRPr="00F2629D">
        <w:rPr>
          <w:lang w:val="fr-FR"/>
        </w:rPr>
        <w:tab/>
        <w:t>Présence</w:t>
      </w:r>
    </w:p>
    <w:p w14:paraId="6EAEA385" w14:textId="4E90BBC9" w:rsidR="00296F9D" w:rsidRPr="00F2629D" w:rsidRDefault="00296F9D" w:rsidP="00CE3640">
      <w:pPr>
        <w:pStyle w:val="SingleTxtG"/>
        <w:ind w:left="2268"/>
        <w:rPr>
          <w:lang w:val="fr-FR"/>
        </w:rPr>
      </w:pPr>
      <w:r w:rsidRPr="00F2629D">
        <w:rPr>
          <w:lang w:val="fr-FR"/>
        </w:rPr>
        <w:t>Facultative.</w:t>
      </w:r>
    </w:p>
    <w:p w14:paraId="3CC41EED" w14:textId="77777777" w:rsidR="00296F9D" w:rsidRPr="00F2629D" w:rsidRDefault="00296F9D" w:rsidP="00CE3640">
      <w:pPr>
        <w:pStyle w:val="SingleTxtG"/>
        <w:keepNext/>
        <w:ind w:left="2268" w:right="992" w:hanging="1134"/>
        <w:rPr>
          <w:lang w:val="fr-FR"/>
        </w:rPr>
      </w:pPr>
      <w:r w:rsidRPr="00F2629D">
        <w:rPr>
          <w:lang w:val="fr-FR"/>
        </w:rPr>
        <w:t>6.27.2</w:t>
      </w:r>
      <w:r w:rsidRPr="00F2629D">
        <w:rPr>
          <w:lang w:val="fr-FR"/>
        </w:rPr>
        <w:tab/>
        <w:t>Nombre</w:t>
      </w:r>
    </w:p>
    <w:p w14:paraId="4AE33C72" w14:textId="7172B19E" w:rsidR="00296F9D" w:rsidRPr="00F2629D" w:rsidRDefault="00296F9D" w:rsidP="00CE3640">
      <w:pPr>
        <w:pStyle w:val="SingleTxtG"/>
        <w:ind w:left="2268"/>
        <w:rPr>
          <w:lang w:val="fr-FR"/>
        </w:rPr>
      </w:pPr>
      <w:r w:rsidRPr="00F2629D">
        <w:rPr>
          <w:lang w:val="fr-FR"/>
        </w:rPr>
        <w:t>Conforme aux spécifications applicables au dispositif d’éclairage ou de signalisation lumineuse utilisé pour le signal de réponse. Toutefois, il peut être inférieur ou égal à ce qui est spécifié pour le dispositif visé.</w:t>
      </w:r>
    </w:p>
    <w:p w14:paraId="0A92ACCC" w14:textId="77777777" w:rsidR="00296F9D" w:rsidRPr="00F2629D" w:rsidRDefault="00296F9D" w:rsidP="0085417F">
      <w:pPr>
        <w:pStyle w:val="SingleTxtG"/>
        <w:keepNext/>
        <w:ind w:left="2268" w:right="992" w:hanging="1134"/>
        <w:rPr>
          <w:lang w:val="fr-FR"/>
        </w:rPr>
      </w:pPr>
      <w:r w:rsidRPr="00F2629D">
        <w:rPr>
          <w:lang w:val="fr-FR"/>
        </w:rPr>
        <w:t>6.27.3</w:t>
      </w:r>
      <w:r w:rsidRPr="00F2629D">
        <w:rPr>
          <w:lang w:val="fr-FR"/>
        </w:rPr>
        <w:tab/>
        <w:t>Schéma de montage</w:t>
      </w:r>
    </w:p>
    <w:p w14:paraId="45322BB4" w14:textId="77777777" w:rsidR="00296F9D" w:rsidRDefault="00296F9D" w:rsidP="00CE3640">
      <w:pPr>
        <w:pStyle w:val="SingleTxtG"/>
        <w:ind w:left="2268"/>
      </w:pPr>
      <w:r w:rsidRPr="00F2629D">
        <w:rPr>
          <w:lang w:val="fr-FR"/>
        </w:rPr>
        <w:t>Conforme aux spécifications applicables au dispositif d’éclairage ou de signalisation lumineuse utilisé pour le signal de réponse.</w:t>
      </w:r>
    </w:p>
    <w:p w14:paraId="4EB1BB03" w14:textId="2FD97A36" w:rsidR="00296F9D" w:rsidRPr="00F2629D" w:rsidRDefault="00296F9D" w:rsidP="0085417F">
      <w:pPr>
        <w:pStyle w:val="SingleTxtG"/>
        <w:keepNext/>
        <w:ind w:left="2268" w:right="992" w:hanging="1134"/>
        <w:rPr>
          <w:lang w:val="fr-FR"/>
        </w:rPr>
      </w:pPr>
      <w:r w:rsidRPr="00F2629D">
        <w:rPr>
          <w:lang w:val="fr-FR"/>
        </w:rPr>
        <w:t>6.27.4</w:t>
      </w:r>
      <w:r w:rsidRPr="00F2629D">
        <w:rPr>
          <w:lang w:val="fr-FR"/>
        </w:rPr>
        <w:tab/>
      </w:r>
      <w:r w:rsidRPr="00F4358F">
        <w:rPr>
          <w:lang w:val="fr-FR"/>
        </w:rPr>
        <w:t>Emplacement</w:t>
      </w:r>
    </w:p>
    <w:p w14:paraId="5632C565" w14:textId="77777777" w:rsidR="00296F9D" w:rsidRDefault="00296F9D" w:rsidP="005429BD">
      <w:pPr>
        <w:pStyle w:val="SingleTxtG"/>
        <w:ind w:left="2268" w:hanging="1134"/>
        <w:rPr>
          <w:lang w:val="fr-FR"/>
        </w:rPr>
      </w:pPr>
      <w:r w:rsidRPr="00F2629D">
        <w:rPr>
          <w:lang w:val="fr-FR"/>
        </w:rPr>
        <w:t>6.27.4.1</w:t>
      </w:r>
      <w:r w:rsidRPr="00F2629D">
        <w:rPr>
          <w:lang w:val="fr-FR"/>
        </w:rPr>
        <w:tab/>
        <w:t>En largeur</w:t>
      </w:r>
      <w:r>
        <w:t> :</w:t>
      </w:r>
      <w:r w:rsidRPr="00F2629D">
        <w:rPr>
          <w:lang w:val="fr-FR"/>
        </w:rPr>
        <w:t xml:space="preserve"> conforme aux spécifications applicables au dispositif d’éclairage ou de signalisation lumineuse utilisé pour le signal de réponse.</w:t>
      </w:r>
    </w:p>
    <w:p w14:paraId="6CD3F78C" w14:textId="527523C9" w:rsidR="00296F9D" w:rsidRPr="00F2629D" w:rsidRDefault="00296F9D" w:rsidP="005429BD">
      <w:pPr>
        <w:pStyle w:val="SingleTxtG"/>
        <w:ind w:left="2268" w:hanging="1134"/>
        <w:rPr>
          <w:lang w:val="fr-FR"/>
        </w:rPr>
      </w:pPr>
      <w:r w:rsidRPr="00F2629D">
        <w:rPr>
          <w:lang w:val="fr-FR"/>
        </w:rPr>
        <w:t>6.27.4.2</w:t>
      </w:r>
      <w:r w:rsidRPr="00F2629D">
        <w:rPr>
          <w:lang w:val="fr-FR"/>
        </w:rPr>
        <w:tab/>
        <w:t>En hauteur</w:t>
      </w:r>
      <w:r>
        <w:t> :</w:t>
      </w:r>
      <w:r w:rsidRPr="00F2629D">
        <w:rPr>
          <w:lang w:val="fr-FR"/>
        </w:rPr>
        <w:t xml:space="preserve"> conforme aux spécifications applicables au dispositif d’éclairage ou de signalisation lumineuse utilisé pour le signal de réponse.</w:t>
      </w:r>
    </w:p>
    <w:p w14:paraId="4376C43F" w14:textId="77777777" w:rsidR="00296F9D" w:rsidRDefault="00296F9D" w:rsidP="005429BD">
      <w:pPr>
        <w:pStyle w:val="SingleTxtG"/>
        <w:ind w:left="2268" w:hanging="1134"/>
        <w:rPr>
          <w:lang w:val="fr-FR"/>
        </w:rPr>
      </w:pPr>
      <w:r w:rsidRPr="00F2629D">
        <w:rPr>
          <w:lang w:val="fr-FR"/>
        </w:rPr>
        <w:t>6.27.4.3</w:t>
      </w:r>
      <w:r w:rsidRPr="00F2629D">
        <w:rPr>
          <w:lang w:val="fr-FR"/>
        </w:rPr>
        <w:tab/>
        <w:t>En longueur</w:t>
      </w:r>
      <w:r>
        <w:t> :</w:t>
      </w:r>
      <w:r w:rsidRPr="00F2629D">
        <w:rPr>
          <w:lang w:val="fr-FR"/>
        </w:rPr>
        <w:t xml:space="preserve"> conforme aux spécifications applicables au dispositif d’éclairage ou de signalisation lumineuse utilisé pour le signal de réponse.</w:t>
      </w:r>
    </w:p>
    <w:p w14:paraId="366C43DC" w14:textId="74CBA49B" w:rsidR="00296F9D" w:rsidRPr="00F2629D" w:rsidRDefault="00296F9D" w:rsidP="0085417F">
      <w:pPr>
        <w:pStyle w:val="SingleTxtG"/>
        <w:keepNext/>
        <w:ind w:left="2268" w:right="992" w:hanging="1134"/>
      </w:pPr>
      <w:r w:rsidRPr="00F2629D">
        <w:t>6.27.5</w:t>
      </w:r>
      <w:r w:rsidRPr="00F2629D">
        <w:tab/>
      </w:r>
      <w:r w:rsidRPr="00F4358F">
        <w:rPr>
          <w:lang w:val="fr-FR"/>
        </w:rPr>
        <w:t>Visibilité</w:t>
      </w:r>
      <w:r w:rsidRPr="00F2629D">
        <w:t xml:space="preserve"> géométrique</w:t>
      </w:r>
    </w:p>
    <w:p w14:paraId="72741A72" w14:textId="0F5EBB36" w:rsidR="00296F9D" w:rsidRPr="00F2629D" w:rsidRDefault="00296F9D" w:rsidP="005429BD">
      <w:pPr>
        <w:pStyle w:val="SingleTxtG"/>
        <w:ind w:left="2268"/>
        <w:rPr>
          <w:lang w:val="fr-FR"/>
        </w:rPr>
      </w:pPr>
      <w:r w:rsidRPr="00F2629D">
        <w:rPr>
          <w:lang w:val="fr-FR"/>
        </w:rPr>
        <w:t>Conforme aux spécifications applicables au dispositif d’éclairage ou de signalisation lumineuse utilisé pour le signal de réponse. Toutefois, la visibilité géométrique peut être inférieure à ce qui est spécifié pour le dispositif visé.</w:t>
      </w:r>
    </w:p>
    <w:p w14:paraId="6B278B36" w14:textId="77777777" w:rsidR="00296F9D" w:rsidRPr="00F2629D" w:rsidRDefault="00296F9D" w:rsidP="0085417F">
      <w:pPr>
        <w:pStyle w:val="SingleTxtG"/>
        <w:keepNext/>
        <w:ind w:left="2268" w:right="992" w:hanging="1134"/>
        <w:rPr>
          <w:lang w:val="fr-FR"/>
        </w:rPr>
      </w:pPr>
      <w:r w:rsidRPr="00F2629D">
        <w:rPr>
          <w:lang w:val="fr-FR"/>
        </w:rPr>
        <w:t>6.27.6</w:t>
      </w:r>
      <w:r w:rsidRPr="00F2629D">
        <w:rPr>
          <w:lang w:val="fr-FR"/>
        </w:rPr>
        <w:tab/>
      </w:r>
      <w:r w:rsidRPr="00F4358F">
        <w:rPr>
          <w:lang w:val="fr-FR"/>
        </w:rPr>
        <w:t>Orientation</w:t>
      </w:r>
    </w:p>
    <w:p w14:paraId="671483EF" w14:textId="57EEDB13" w:rsidR="00296F9D" w:rsidRPr="00F2629D" w:rsidRDefault="00296F9D" w:rsidP="00296F9D">
      <w:pPr>
        <w:pStyle w:val="SingleTxtG"/>
        <w:ind w:left="2268"/>
        <w:rPr>
          <w:lang w:val="fr-FR"/>
        </w:rPr>
      </w:pPr>
      <w:r w:rsidRPr="00F2629D">
        <w:rPr>
          <w:lang w:val="fr-FR"/>
        </w:rPr>
        <w:t>Conforme aux spécifications applicables au dispositif d’éclairage ou de signalisation lumineuse utilisé pour le signal de réponse.</w:t>
      </w:r>
    </w:p>
    <w:p w14:paraId="191668A1" w14:textId="77777777" w:rsidR="00296F9D" w:rsidRPr="00F2629D" w:rsidRDefault="00296F9D" w:rsidP="00F4358F">
      <w:pPr>
        <w:pStyle w:val="SingleTxtG"/>
        <w:ind w:left="2268" w:right="992" w:hanging="1134"/>
        <w:rPr>
          <w:lang w:val="fr-FR"/>
        </w:rPr>
      </w:pPr>
      <w:r w:rsidRPr="00F2629D">
        <w:rPr>
          <w:lang w:val="fr-FR"/>
        </w:rPr>
        <w:t>6.27.7</w:t>
      </w:r>
      <w:r w:rsidRPr="00F2629D">
        <w:rPr>
          <w:lang w:val="fr-FR"/>
        </w:rPr>
        <w:tab/>
      </w:r>
      <w:r w:rsidRPr="00F4358F">
        <w:rPr>
          <w:lang w:val="fr-FR"/>
        </w:rPr>
        <w:t>Branchements</w:t>
      </w:r>
      <w:r w:rsidRPr="00F2629D">
        <w:rPr>
          <w:lang w:val="fr-FR"/>
        </w:rPr>
        <w:t xml:space="preserve"> électriques</w:t>
      </w:r>
    </w:p>
    <w:p w14:paraId="0BB8A52F" w14:textId="77777777" w:rsidR="00296F9D" w:rsidRPr="00F2629D" w:rsidRDefault="00296F9D" w:rsidP="005429BD">
      <w:pPr>
        <w:pStyle w:val="SingleTxtG"/>
        <w:ind w:left="2268" w:hanging="1134"/>
        <w:rPr>
          <w:lang w:val="fr-FR"/>
        </w:rPr>
      </w:pPr>
      <w:r w:rsidRPr="00F2629D">
        <w:rPr>
          <w:lang w:val="fr-FR"/>
        </w:rPr>
        <w:t>6.27.7.1</w:t>
      </w:r>
      <w:r w:rsidRPr="00F2629D">
        <w:rPr>
          <w:lang w:val="fr-FR"/>
        </w:rPr>
        <w:tab/>
        <w:t>Le signal de réponse ne peut être émis que lorsque le véhicule est en stationnement.</w:t>
      </w:r>
      <w:bookmarkStart w:id="8" w:name="_Hlk132201051"/>
      <w:bookmarkEnd w:id="8"/>
    </w:p>
    <w:p w14:paraId="45A5B47F" w14:textId="77777777" w:rsidR="00296F9D" w:rsidRPr="00F2629D" w:rsidRDefault="00296F9D" w:rsidP="005429BD">
      <w:pPr>
        <w:pStyle w:val="SingleTxtG"/>
        <w:ind w:left="2268" w:hanging="1134"/>
        <w:rPr>
          <w:lang w:val="fr-FR"/>
        </w:rPr>
      </w:pPr>
      <w:r w:rsidRPr="00F2629D">
        <w:rPr>
          <w:lang w:val="fr-FR"/>
        </w:rPr>
        <w:t>6.27.7.2</w:t>
      </w:r>
      <w:r w:rsidRPr="00F2629D">
        <w:rPr>
          <w:lang w:val="fr-FR"/>
        </w:rPr>
        <w:tab/>
        <w:t>Si le signal de réponse clignote, la fréquence du clignotement ne doit pas dépasser 2,0 Hz.</w:t>
      </w:r>
    </w:p>
    <w:p w14:paraId="23A77D74" w14:textId="77777777" w:rsidR="00296F9D" w:rsidRDefault="00296F9D" w:rsidP="00F4358F">
      <w:pPr>
        <w:pStyle w:val="SingleTxtG"/>
        <w:ind w:left="2268" w:right="992" w:hanging="1134"/>
        <w:rPr>
          <w:lang w:val="fr-FR"/>
        </w:rPr>
      </w:pPr>
      <w:r w:rsidRPr="00F2629D">
        <w:rPr>
          <w:lang w:val="fr-FR"/>
        </w:rPr>
        <w:t>6.27.7.3</w:t>
      </w:r>
      <w:r w:rsidRPr="00F2629D">
        <w:rPr>
          <w:lang w:val="fr-FR"/>
        </w:rPr>
        <w:tab/>
      </w:r>
      <w:r w:rsidRPr="00296F9D">
        <w:t>Les</w:t>
      </w:r>
      <w:r w:rsidRPr="00F2629D">
        <w:rPr>
          <w:lang w:val="fr-FR"/>
        </w:rPr>
        <w:t xml:space="preserve"> dispositifs utilisés pour le signal de réponse peuvent être combinés.</w:t>
      </w:r>
    </w:p>
    <w:p w14:paraId="00E0C85E" w14:textId="3E537B21" w:rsidR="00296F9D" w:rsidRPr="00F2629D" w:rsidRDefault="00296F9D" w:rsidP="005429BD">
      <w:pPr>
        <w:pStyle w:val="SingleTxtG"/>
        <w:ind w:left="2268" w:hanging="1134"/>
        <w:rPr>
          <w:lang w:val="fr-FR"/>
        </w:rPr>
      </w:pPr>
      <w:r w:rsidRPr="00F2629D">
        <w:rPr>
          <w:lang w:val="fr-FR"/>
        </w:rPr>
        <w:t>6.27.7.4</w:t>
      </w:r>
      <w:r w:rsidRPr="00F2629D">
        <w:rPr>
          <w:lang w:val="fr-FR"/>
        </w:rPr>
        <w:tab/>
        <w:t>Les spécifications particulières relatives aux branchements électriques et les conditions énoncées aux paragraphes 5.11 et 5.12 peuvent ne pas s’appliquer aux dispositifs utilisés pour le signal de réponse.</w:t>
      </w:r>
    </w:p>
    <w:p w14:paraId="4A737EBD" w14:textId="77777777" w:rsidR="00296F9D" w:rsidRPr="00F2629D" w:rsidRDefault="00296F9D" w:rsidP="0085417F">
      <w:pPr>
        <w:pStyle w:val="SingleTxtG"/>
        <w:keepNext/>
        <w:ind w:left="2268" w:right="992" w:hanging="1134"/>
        <w:rPr>
          <w:lang w:val="fr-FR"/>
        </w:rPr>
      </w:pPr>
      <w:r w:rsidRPr="00F2629D">
        <w:rPr>
          <w:lang w:val="fr-FR"/>
        </w:rPr>
        <w:t>6.27.8</w:t>
      </w:r>
      <w:r w:rsidRPr="00F2629D">
        <w:rPr>
          <w:lang w:val="fr-FR"/>
        </w:rPr>
        <w:tab/>
      </w:r>
      <w:r w:rsidRPr="00F4358F">
        <w:rPr>
          <w:lang w:val="fr-FR"/>
        </w:rPr>
        <w:t>Témoin</w:t>
      </w:r>
    </w:p>
    <w:p w14:paraId="55CEFB80" w14:textId="77777777" w:rsidR="00296F9D" w:rsidRDefault="00296F9D" w:rsidP="0035560C">
      <w:pPr>
        <w:spacing w:after="120"/>
        <w:ind w:left="2268" w:right="1134"/>
        <w:jc w:val="both"/>
      </w:pPr>
      <w:r w:rsidRPr="00F2629D">
        <w:rPr>
          <w:lang w:val="fr-FR"/>
        </w:rPr>
        <w:t>Pas de prescription particulière.</w:t>
      </w:r>
    </w:p>
    <w:p w14:paraId="4F976B8C" w14:textId="6B848429" w:rsidR="00296F9D" w:rsidRPr="00F2629D" w:rsidRDefault="00296F9D" w:rsidP="0085417F">
      <w:pPr>
        <w:pStyle w:val="SingleTxtG"/>
        <w:keepNext/>
        <w:ind w:left="2268" w:right="992" w:hanging="1134"/>
        <w:rPr>
          <w:lang w:val="fr-FR"/>
        </w:rPr>
      </w:pPr>
      <w:r w:rsidRPr="00F2629D">
        <w:rPr>
          <w:lang w:val="fr-FR"/>
        </w:rPr>
        <w:t>6.27.9</w:t>
      </w:r>
      <w:r w:rsidRPr="00F2629D">
        <w:rPr>
          <w:lang w:val="fr-FR"/>
        </w:rPr>
        <w:tab/>
      </w:r>
      <w:r w:rsidRPr="00F4358F">
        <w:rPr>
          <w:lang w:val="fr-FR"/>
        </w:rPr>
        <w:t>Autres</w:t>
      </w:r>
      <w:r w:rsidRPr="00F2629D">
        <w:rPr>
          <w:lang w:val="fr-FR"/>
        </w:rPr>
        <w:t xml:space="preserve"> prescriptions</w:t>
      </w:r>
    </w:p>
    <w:p w14:paraId="2AF853B1" w14:textId="77777777" w:rsidR="00296F9D" w:rsidRDefault="00296F9D" w:rsidP="005429BD">
      <w:pPr>
        <w:pStyle w:val="SingleTxtG"/>
        <w:ind w:left="2268" w:hanging="1134"/>
        <w:rPr>
          <w:lang w:val="fr-FR"/>
        </w:rPr>
      </w:pPr>
      <w:bookmarkStart w:id="9" w:name="_Hlk119657814"/>
      <w:bookmarkStart w:id="10" w:name="_Hlk69981752"/>
      <w:r w:rsidRPr="00F2629D">
        <w:rPr>
          <w:lang w:val="fr-FR"/>
        </w:rPr>
        <w:t>6.27.9.1</w:t>
      </w:r>
      <w:r w:rsidRPr="00F2629D">
        <w:rPr>
          <w:lang w:val="fr-FR"/>
        </w:rPr>
        <w:tab/>
        <w:t xml:space="preserve">Le signal de réponse doit être émis par des dispositifs d’éclairage et de signalisation lumineuse et des feux de courtoisie extérieurs homologués dont l’intensité lumineuse maximale par dispositif ne dépasse pas 700 cd au niveau </w:t>
      </w:r>
      <w:r w:rsidRPr="00F2629D">
        <w:rPr>
          <w:lang w:val="fr-FR"/>
        </w:rPr>
        <w:lastRenderedPageBreak/>
        <w:t>de la ligne HH ou au-dessus de celle-ci. Toutefois, les feux de brouillard avant et arrière et les feux-stop ne peuvent pas être utilisés pour le signal de réponse.</w:t>
      </w:r>
    </w:p>
    <w:bookmarkEnd w:id="9"/>
    <w:p w14:paraId="1A32FB89" w14:textId="009338D7" w:rsidR="00296F9D" w:rsidRPr="00F2629D" w:rsidRDefault="00296F9D" w:rsidP="005429BD">
      <w:pPr>
        <w:pStyle w:val="SingleTxtG"/>
        <w:ind w:left="2268" w:hanging="1134"/>
        <w:rPr>
          <w:lang w:val="fr-FR"/>
        </w:rPr>
      </w:pPr>
      <w:r w:rsidRPr="00F2629D">
        <w:rPr>
          <w:lang w:val="fr-FR"/>
        </w:rPr>
        <w:t>6.27.9.2</w:t>
      </w:r>
      <w:r w:rsidRPr="00F2629D">
        <w:rPr>
          <w:lang w:val="fr-FR"/>
        </w:rPr>
        <w:tab/>
        <w:t xml:space="preserve">Le signal de réponse ne peut être activé automatiquement qu’au moment du </w:t>
      </w:r>
      <w:r w:rsidRPr="00F4358F">
        <w:rPr>
          <w:lang w:val="fr-FR"/>
        </w:rPr>
        <w:t>verrouillage</w:t>
      </w:r>
      <w:r w:rsidRPr="00F2629D">
        <w:rPr>
          <w:lang w:val="fr-FR"/>
        </w:rPr>
        <w:t xml:space="preserve"> ou du déverrouillage de la ou des portes ou de la détection d’un utilisateur à proximité du véhicule.</w:t>
      </w:r>
    </w:p>
    <w:p w14:paraId="30E87FD3" w14:textId="77777777" w:rsidR="00296F9D" w:rsidRPr="00F2629D" w:rsidRDefault="00296F9D" w:rsidP="005429BD">
      <w:pPr>
        <w:pStyle w:val="SingleTxtG"/>
        <w:ind w:left="2268" w:hanging="1134"/>
        <w:rPr>
          <w:rFonts w:asciiTheme="majorBidi" w:eastAsia="MS Mincho" w:hAnsiTheme="majorBidi" w:cstheme="majorBidi"/>
          <w:b/>
          <w:lang w:val="fr-FR"/>
        </w:rPr>
      </w:pPr>
      <w:bookmarkStart w:id="11" w:name="_Hlk119657737"/>
      <w:r w:rsidRPr="00F2629D">
        <w:rPr>
          <w:lang w:val="fr-FR"/>
        </w:rPr>
        <w:t>6.27.9.3</w:t>
      </w:r>
      <w:r w:rsidRPr="00F2629D">
        <w:rPr>
          <w:lang w:val="fr-FR"/>
        </w:rPr>
        <w:tab/>
        <w:t xml:space="preserve">Les feux utilisés pour le signal de réponse peuvent clignoter, ou leur intensité </w:t>
      </w:r>
      <w:r w:rsidRPr="00296F9D">
        <w:t>lumineuse</w:t>
      </w:r>
      <w:r w:rsidRPr="00F2629D">
        <w:rPr>
          <w:lang w:val="fr-FR"/>
        </w:rPr>
        <w:t xml:space="preserve"> ou leur surface apparente peuvent varier.</w:t>
      </w:r>
    </w:p>
    <w:bookmarkEnd w:id="11"/>
    <w:p w14:paraId="627C9F50" w14:textId="77777777" w:rsidR="00296F9D" w:rsidRPr="00F2629D" w:rsidRDefault="00296F9D" w:rsidP="005429BD">
      <w:pPr>
        <w:pStyle w:val="SingleTxtG"/>
        <w:ind w:left="2268" w:hanging="1134"/>
        <w:rPr>
          <w:lang w:val="fr-FR"/>
        </w:rPr>
      </w:pPr>
      <w:r w:rsidRPr="00F2629D">
        <w:rPr>
          <w:lang w:val="fr-FR"/>
        </w:rPr>
        <w:t>6.27.9.4</w:t>
      </w:r>
      <w:r w:rsidRPr="00F2629D">
        <w:rPr>
          <w:lang w:val="fr-FR"/>
        </w:rPr>
        <w:tab/>
        <w:t>La durée de l’indication visuelle d’un signal de réponse ne doit pas dépasser 3 secondes.</w:t>
      </w:r>
    </w:p>
    <w:p w14:paraId="4EF497DB" w14:textId="77777777" w:rsidR="00296F9D" w:rsidRDefault="00296F9D" w:rsidP="005429BD">
      <w:pPr>
        <w:pStyle w:val="SingleTxtG"/>
        <w:ind w:left="2268" w:hanging="1134"/>
        <w:rPr>
          <w:lang w:val="fr-FR"/>
        </w:rPr>
      </w:pPr>
      <w:r w:rsidRPr="00F2629D">
        <w:rPr>
          <w:lang w:val="fr-FR"/>
        </w:rPr>
        <w:t>6.27.9.5</w:t>
      </w:r>
      <w:r w:rsidRPr="00F2629D">
        <w:rPr>
          <w:lang w:val="fr-FR"/>
        </w:rPr>
        <w:tab/>
        <w:t xml:space="preserve">Le respect des prescriptions des paragraphes 6.27.9.1 à 6.27.9.4 doit être </w:t>
      </w:r>
      <w:r w:rsidRPr="00F4358F">
        <w:rPr>
          <w:lang w:val="fr-FR"/>
        </w:rPr>
        <w:t>prouvé</w:t>
      </w:r>
      <w:r w:rsidRPr="00F2629D">
        <w:rPr>
          <w:lang w:val="fr-FR"/>
        </w:rPr>
        <w:t xml:space="preserve"> par le demandeur au moyen de procès-verbaux d’essai ou par tout autre moyen de vérification agréé par l’autorité d’homologation de type. Ces informations doivent être consignées au point 10.9 de la fiche de communication. ».</w:t>
      </w:r>
      <w:bookmarkEnd w:id="10"/>
    </w:p>
    <w:bookmarkEnd w:id="3"/>
    <w:p w14:paraId="197FC13B" w14:textId="13AF8100" w:rsidR="00296F9D" w:rsidRPr="00F2629D" w:rsidRDefault="00296F9D" w:rsidP="005B0C72">
      <w:pPr>
        <w:pStyle w:val="SingleTxtG"/>
        <w:keepNext/>
        <w:rPr>
          <w:rFonts w:eastAsia="MS Mincho"/>
          <w:lang w:val="fr-FR"/>
        </w:rPr>
      </w:pPr>
      <w:r w:rsidRPr="00F2629D">
        <w:rPr>
          <w:i/>
          <w:iCs/>
          <w:lang w:val="fr-FR"/>
        </w:rPr>
        <w:t>Ajouter le nouveau paragraphe 12.8</w:t>
      </w:r>
      <w:r w:rsidRPr="00F2629D">
        <w:rPr>
          <w:lang w:val="fr-FR"/>
        </w:rPr>
        <w:t>, libellé comme suit</w:t>
      </w:r>
      <w:r>
        <w:rPr>
          <w:lang w:val="fr-FR"/>
        </w:rPr>
        <w:t> :</w:t>
      </w:r>
    </w:p>
    <w:p w14:paraId="5524AF67" w14:textId="26F2FA32" w:rsidR="00296F9D" w:rsidRPr="00F2629D" w:rsidRDefault="00296F9D" w:rsidP="00F4358F">
      <w:pPr>
        <w:pStyle w:val="SingleTxtG"/>
        <w:ind w:left="2268" w:right="992" w:hanging="1134"/>
        <w:rPr>
          <w:rFonts w:eastAsia="MS Mincho"/>
          <w:bCs/>
          <w:lang w:val="fr-FR"/>
        </w:rPr>
      </w:pPr>
      <w:r w:rsidRPr="00F2629D">
        <w:rPr>
          <w:lang w:val="fr-FR"/>
        </w:rPr>
        <w:t>« 12.8</w:t>
      </w:r>
      <w:r w:rsidRPr="00F2629D">
        <w:rPr>
          <w:lang w:val="fr-FR"/>
        </w:rPr>
        <w:tab/>
      </w:r>
      <w:r w:rsidRPr="00F4358F">
        <w:rPr>
          <w:lang w:val="fr-FR"/>
        </w:rPr>
        <w:t>Dispositions</w:t>
      </w:r>
      <w:r w:rsidRPr="00F2629D">
        <w:rPr>
          <w:lang w:val="fr-FR"/>
        </w:rPr>
        <w:t xml:space="preserve"> transitoires applicables à la série</w:t>
      </w:r>
      <w:r w:rsidR="0085417F">
        <w:rPr>
          <w:lang w:val="fr-FR"/>
        </w:rPr>
        <w:t xml:space="preserve"> </w:t>
      </w:r>
      <w:r w:rsidRPr="00F2629D">
        <w:rPr>
          <w:lang w:val="fr-FR"/>
        </w:rPr>
        <w:t>09 d’amendements</w:t>
      </w:r>
    </w:p>
    <w:p w14:paraId="7B69DA61" w14:textId="35EC94DB" w:rsidR="00296F9D" w:rsidRPr="00F2629D" w:rsidRDefault="00296F9D" w:rsidP="005429BD">
      <w:pPr>
        <w:pStyle w:val="SingleTxtG"/>
        <w:ind w:left="2268" w:hanging="1134"/>
        <w:rPr>
          <w:rFonts w:eastAsia="MS Mincho"/>
          <w:bCs/>
          <w:lang w:val="fr-FR"/>
        </w:rPr>
      </w:pPr>
      <w:r w:rsidRPr="00F2629D">
        <w:rPr>
          <w:lang w:val="fr-FR"/>
        </w:rPr>
        <w:t>12.8.1</w:t>
      </w:r>
      <w:r w:rsidRPr="00F2629D">
        <w:rPr>
          <w:lang w:val="fr-FR"/>
        </w:rPr>
        <w:tab/>
        <w:t xml:space="preserve">À compter de la date officielle d’entrée en vigueur de la série 09 </w:t>
      </w:r>
      <w:r w:rsidRPr="00F4358F">
        <w:rPr>
          <w:lang w:val="fr-FR"/>
        </w:rPr>
        <w:t>d’amendements</w:t>
      </w:r>
      <w:r w:rsidRPr="00F2629D">
        <w:rPr>
          <w:lang w:val="fr-FR"/>
        </w:rPr>
        <w:t>, aucune Partie contractante appliquant le présent Règlement ne pourra refuser d’accorder ou d’accepter une homologation de type en vertu dudit Règlement tel que modifié par la série 09 d’amendements.</w:t>
      </w:r>
    </w:p>
    <w:p w14:paraId="26EBC4E2" w14:textId="5FC22404" w:rsidR="00296F9D" w:rsidRPr="00F2629D" w:rsidRDefault="00296F9D" w:rsidP="00F4358F">
      <w:pPr>
        <w:pStyle w:val="SingleTxtG"/>
        <w:ind w:left="2268" w:right="992" w:hanging="1134"/>
        <w:rPr>
          <w:rFonts w:eastAsia="MS Mincho"/>
          <w:bCs/>
          <w:lang w:val="fr-FR"/>
        </w:rPr>
      </w:pPr>
      <w:r w:rsidRPr="00F2629D">
        <w:rPr>
          <w:lang w:val="fr-FR"/>
        </w:rPr>
        <w:t>12.8.2</w:t>
      </w:r>
      <w:r w:rsidRPr="00F2629D">
        <w:rPr>
          <w:lang w:val="fr-FR"/>
        </w:rPr>
        <w:tab/>
        <w:t>Dans le cas des véhicules des catégories M</w:t>
      </w:r>
      <w:r w:rsidRPr="00F2629D">
        <w:rPr>
          <w:vertAlign w:val="subscript"/>
          <w:lang w:val="fr-FR"/>
        </w:rPr>
        <w:t>1</w:t>
      </w:r>
      <w:r w:rsidRPr="00F2629D">
        <w:rPr>
          <w:lang w:val="fr-FR"/>
        </w:rPr>
        <w:t>, N</w:t>
      </w:r>
      <w:r w:rsidRPr="00F2629D">
        <w:rPr>
          <w:vertAlign w:val="subscript"/>
          <w:lang w:val="fr-FR"/>
        </w:rPr>
        <w:t>1</w:t>
      </w:r>
      <w:r w:rsidRPr="00F2629D">
        <w:rPr>
          <w:lang w:val="fr-FR"/>
        </w:rPr>
        <w:t>, O</w:t>
      </w:r>
      <w:r w:rsidRPr="00F2629D">
        <w:rPr>
          <w:vertAlign w:val="subscript"/>
          <w:lang w:val="fr-FR"/>
        </w:rPr>
        <w:t>1</w:t>
      </w:r>
      <w:r w:rsidRPr="00F2629D">
        <w:rPr>
          <w:lang w:val="fr-FR"/>
        </w:rPr>
        <w:t xml:space="preserve"> et O</w:t>
      </w:r>
      <w:r w:rsidRPr="00F2629D">
        <w:rPr>
          <w:vertAlign w:val="subscript"/>
          <w:lang w:val="fr-FR"/>
        </w:rPr>
        <w:t>2</w:t>
      </w:r>
      <w:r>
        <w:rPr>
          <w:lang w:val="fr-FR"/>
        </w:rPr>
        <w:t> :</w:t>
      </w:r>
      <w:bookmarkStart w:id="12" w:name="_Hlk133417572"/>
      <w:bookmarkEnd w:id="12"/>
    </w:p>
    <w:p w14:paraId="3DECDF81" w14:textId="75531C13" w:rsidR="00296F9D" w:rsidRPr="00F2629D" w:rsidRDefault="00296F9D" w:rsidP="005429BD">
      <w:pPr>
        <w:pStyle w:val="SingleTxtG"/>
        <w:ind w:left="2268" w:hanging="1134"/>
        <w:rPr>
          <w:rFonts w:eastAsia="MS Mincho"/>
          <w:bCs/>
          <w:lang w:val="fr-FR"/>
        </w:rPr>
      </w:pPr>
      <w:r w:rsidRPr="00F2629D">
        <w:rPr>
          <w:lang w:val="fr-FR"/>
        </w:rPr>
        <w:t>12.8.2.1</w:t>
      </w:r>
      <w:r w:rsidRPr="00F2629D">
        <w:rPr>
          <w:lang w:val="fr-FR"/>
        </w:rPr>
        <w:tab/>
        <w:t xml:space="preserve">À </w:t>
      </w:r>
      <w:r w:rsidRPr="00296F9D">
        <w:t>compter</w:t>
      </w:r>
      <w:r w:rsidRPr="00F2629D">
        <w:rPr>
          <w:lang w:val="fr-FR"/>
        </w:rPr>
        <w:t xml:space="preserve"> du 1</w:t>
      </w:r>
      <w:r w:rsidRPr="00F2629D">
        <w:rPr>
          <w:vertAlign w:val="superscript"/>
          <w:lang w:val="fr-FR"/>
        </w:rPr>
        <w:t>er</w:t>
      </w:r>
      <w:r w:rsidR="0085417F">
        <w:rPr>
          <w:lang w:val="fr-FR"/>
        </w:rPr>
        <w:t> </w:t>
      </w:r>
      <w:r w:rsidRPr="00F2629D">
        <w:rPr>
          <w:lang w:val="fr-FR"/>
        </w:rPr>
        <w:t>septembre 2027, les Parties contractantes appliquant le présent Règlement ne seront plus tenues d’accepter les homologations de type établies conformément aux précédentes séries d’amendements, délivrées pour la première fois après le 1</w:t>
      </w:r>
      <w:r w:rsidRPr="00F2629D">
        <w:rPr>
          <w:vertAlign w:val="superscript"/>
          <w:lang w:val="fr-FR"/>
        </w:rPr>
        <w:t>er</w:t>
      </w:r>
      <w:r w:rsidR="0085417F">
        <w:rPr>
          <w:lang w:val="fr-FR"/>
        </w:rPr>
        <w:t> </w:t>
      </w:r>
      <w:r w:rsidRPr="00F2629D">
        <w:rPr>
          <w:lang w:val="fr-FR"/>
        </w:rPr>
        <w:t>septembre 2027.</w:t>
      </w:r>
      <w:bookmarkStart w:id="13" w:name="_Hlk132268311"/>
      <w:bookmarkEnd w:id="13"/>
    </w:p>
    <w:p w14:paraId="434723B1" w14:textId="45482F8B" w:rsidR="00296F9D" w:rsidRPr="00F2629D" w:rsidRDefault="00296F9D" w:rsidP="005429BD">
      <w:pPr>
        <w:pStyle w:val="SingleTxtG"/>
        <w:ind w:left="2268" w:hanging="1134"/>
        <w:rPr>
          <w:rFonts w:eastAsia="MS Mincho"/>
          <w:bCs/>
          <w:lang w:val="fr-FR"/>
        </w:rPr>
      </w:pPr>
      <w:r w:rsidRPr="00F2629D">
        <w:rPr>
          <w:lang w:val="fr-FR"/>
        </w:rPr>
        <w:t>12.8.2.2</w:t>
      </w:r>
      <w:r w:rsidRPr="00F2629D">
        <w:rPr>
          <w:lang w:val="fr-FR"/>
        </w:rPr>
        <w:tab/>
        <w:t>Jusqu’au 1</w:t>
      </w:r>
      <w:r w:rsidRPr="00F2629D">
        <w:rPr>
          <w:vertAlign w:val="superscript"/>
          <w:lang w:val="fr-FR"/>
        </w:rPr>
        <w:t>er</w:t>
      </w:r>
      <w:r w:rsidR="0085417F">
        <w:rPr>
          <w:lang w:val="fr-FR"/>
        </w:rPr>
        <w:t> </w:t>
      </w:r>
      <w:r w:rsidRPr="00F2629D">
        <w:rPr>
          <w:lang w:val="fr-FR"/>
        </w:rPr>
        <w:t xml:space="preserve">septembre 2030, les Parties contractantes appliquant le présent </w:t>
      </w:r>
      <w:r w:rsidRPr="00296F9D">
        <w:t>Règlement</w:t>
      </w:r>
      <w:r w:rsidRPr="00F2629D">
        <w:rPr>
          <w:lang w:val="fr-FR"/>
        </w:rPr>
        <w:t xml:space="preserve"> seront tenues d’accepter les homologations de type établies conformément aux précédentes séries d’amendements, délivrées pour la première fois avant le 1</w:t>
      </w:r>
      <w:r w:rsidRPr="00F2629D">
        <w:rPr>
          <w:vertAlign w:val="superscript"/>
          <w:lang w:val="fr-FR"/>
        </w:rPr>
        <w:t>er</w:t>
      </w:r>
      <w:r w:rsidR="0085417F">
        <w:rPr>
          <w:lang w:val="fr-FR"/>
        </w:rPr>
        <w:t> </w:t>
      </w:r>
      <w:r w:rsidRPr="00F2629D">
        <w:rPr>
          <w:lang w:val="fr-FR"/>
        </w:rPr>
        <w:t>septembre 2027.</w:t>
      </w:r>
    </w:p>
    <w:p w14:paraId="1B311040" w14:textId="77777777" w:rsidR="00296F9D" w:rsidRPr="00F2629D" w:rsidRDefault="00296F9D" w:rsidP="005429BD">
      <w:pPr>
        <w:pStyle w:val="SingleTxtG"/>
        <w:ind w:left="2268" w:hanging="1134"/>
        <w:rPr>
          <w:rFonts w:eastAsia="MS Mincho"/>
          <w:bCs/>
          <w:lang w:val="fr-FR"/>
        </w:rPr>
      </w:pPr>
      <w:r w:rsidRPr="00F2629D">
        <w:rPr>
          <w:lang w:val="fr-FR"/>
        </w:rPr>
        <w:t>12.8.2.3</w:t>
      </w:r>
      <w:r w:rsidRPr="00F2629D">
        <w:rPr>
          <w:lang w:val="fr-FR"/>
        </w:rPr>
        <w:tab/>
        <w:t>À compter du 1</w:t>
      </w:r>
      <w:r w:rsidRPr="00F2629D">
        <w:rPr>
          <w:vertAlign w:val="superscript"/>
          <w:lang w:val="fr-FR"/>
        </w:rPr>
        <w:t>er</w:t>
      </w:r>
      <w:r w:rsidRPr="00F2629D">
        <w:rPr>
          <w:lang w:val="fr-FR"/>
        </w:rPr>
        <w:t xml:space="preserve"> septembre 2030, les Parties contractantes appliquant le </w:t>
      </w:r>
      <w:r w:rsidRPr="00296F9D">
        <w:t>présent</w:t>
      </w:r>
      <w:r w:rsidRPr="00F2629D">
        <w:rPr>
          <w:lang w:val="fr-FR"/>
        </w:rPr>
        <w:t xml:space="preserve"> Règlement ne seront plus tenues d’accepter les homologations de type délivrées en vertu des précédentes séries d’amendements audit Règlement ainsi que les extensions de ces homologations.</w:t>
      </w:r>
    </w:p>
    <w:p w14:paraId="44491DA6" w14:textId="7457BC08" w:rsidR="00296F9D" w:rsidRPr="00F2629D" w:rsidRDefault="00296F9D" w:rsidP="00F4358F">
      <w:pPr>
        <w:pStyle w:val="SingleTxtG"/>
        <w:ind w:left="2268" w:right="992" w:hanging="1134"/>
        <w:rPr>
          <w:rFonts w:eastAsia="MS Mincho"/>
          <w:bCs/>
          <w:lang w:val="fr-FR"/>
        </w:rPr>
      </w:pPr>
      <w:r w:rsidRPr="00F2629D">
        <w:rPr>
          <w:lang w:val="fr-FR"/>
        </w:rPr>
        <w:t>12.8.3</w:t>
      </w:r>
      <w:r w:rsidRPr="00F2629D">
        <w:rPr>
          <w:lang w:val="fr-FR"/>
        </w:rPr>
        <w:tab/>
      </w:r>
      <w:r w:rsidRPr="00296F9D">
        <w:t>Dans</w:t>
      </w:r>
      <w:r w:rsidRPr="00F2629D">
        <w:rPr>
          <w:lang w:val="fr-FR"/>
        </w:rPr>
        <w:t xml:space="preserve"> le cas des véhicules des catégories N</w:t>
      </w:r>
      <w:r w:rsidRPr="00F2629D">
        <w:rPr>
          <w:vertAlign w:val="subscript"/>
          <w:lang w:val="fr-FR"/>
        </w:rPr>
        <w:t>2</w:t>
      </w:r>
      <w:r w:rsidRPr="00F2629D">
        <w:rPr>
          <w:lang w:val="fr-FR"/>
        </w:rPr>
        <w:t>, N</w:t>
      </w:r>
      <w:r w:rsidRPr="00F2629D">
        <w:rPr>
          <w:vertAlign w:val="subscript"/>
          <w:lang w:val="fr-FR"/>
        </w:rPr>
        <w:t>3</w:t>
      </w:r>
      <w:r w:rsidRPr="00F2629D">
        <w:rPr>
          <w:lang w:val="fr-FR"/>
        </w:rPr>
        <w:t>, O</w:t>
      </w:r>
      <w:r w:rsidRPr="00F2629D">
        <w:rPr>
          <w:vertAlign w:val="subscript"/>
          <w:lang w:val="fr-FR"/>
        </w:rPr>
        <w:t>3</w:t>
      </w:r>
      <w:r w:rsidRPr="00F2629D">
        <w:rPr>
          <w:lang w:val="fr-FR"/>
        </w:rPr>
        <w:t xml:space="preserve"> et O</w:t>
      </w:r>
      <w:r w:rsidRPr="00F2629D">
        <w:rPr>
          <w:vertAlign w:val="subscript"/>
          <w:lang w:val="fr-FR"/>
        </w:rPr>
        <w:t>4</w:t>
      </w:r>
      <w:r>
        <w:rPr>
          <w:lang w:val="fr-FR"/>
        </w:rPr>
        <w:t> :</w:t>
      </w:r>
    </w:p>
    <w:p w14:paraId="44033E33" w14:textId="7A878DAE" w:rsidR="00296F9D" w:rsidRPr="00F2629D" w:rsidRDefault="00296F9D" w:rsidP="005429BD">
      <w:pPr>
        <w:pStyle w:val="SingleTxtG"/>
        <w:ind w:left="2268" w:hanging="1134"/>
        <w:rPr>
          <w:rFonts w:eastAsia="MS Mincho"/>
          <w:bCs/>
          <w:lang w:val="fr-FR"/>
        </w:rPr>
      </w:pPr>
      <w:r w:rsidRPr="00F2629D">
        <w:rPr>
          <w:lang w:val="fr-FR"/>
        </w:rPr>
        <w:t>12.8.3.1</w:t>
      </w:r>
      <w:r w:rsidRPr="00F2629D">
        <w:rPr>
          <w:lang w:val="fr-FR"/>
        </w:rPr>
        <w:tab/>
        <w:t>À compter du 1</w:t>
      </w:r>
      <w:r w:rsidRPr="00F2629D">
        <w:rPr>
          <w:vertAlign w:val="superscript"/>
          <w:lang w:val="fr-FR"/>
        </w:rPr>
        <w:t>er</w:t>
      </w:r>
      <w:r w:rsidR="0085417F">
        <w:rPr>
          <w:lang w:val="fr-FR"/>
        </w:rPr>
        <w:t> </w:t>
      </w:r>
      <w:r w:rsidRPr="00F2629D">
        <w:rPr>
          <w:lang w:val="fr-FR"/>
        </w:rPr>
        <w:t xml:space="preserve">septembre 2028, les Parties contractantes appliquant le présent Règlement ne seront plus tenues d’accepter les homologations de type </w:t>
      </w:r>
      <w:r w:rsidRPr="00296F9D">
        <w:t>établies</w:t>
      </w:r>
      <w:r w:rsidRPr="00F2629D">
        <w:rPr>
          <w:lang w:val="fr-FR"/>
        </w:rPr>
        <w:t xml:space="preserve"> conformément aux précédentes séries d’amendements, délivrées pour la première fois après le 1</w:t>
      </w:r>
      <w:r w:rsidRPr="00F2629D">
        <w:rPr>
          <w:vertAlign w:val="superscript"/>
          <w:lang w:val="fr-FR"/>
        </w:rPr>
        <w:t>er</w:t>
      </w:r>
      <w:r w:rsidR="0085417F">
        <w:rPr>
          <w:lang w:val="fr-FR"/>
        </w:rPr>
        <w:t> </w:t>
      </w:r>
      <w:r w:rsidRPr="00F2629D">
        <w:rPr>
          <w:lang w:val="fr-FR"/>
        </w:rPr>
        <w:t>septembre 2028.</w:t>
      </w:r>
    </w:p>
    <w:p w14:paraId="4B75FCA6" w14:textId="19D461F5" w:rsidR="00296F9D" w:rsidRPr="00F2629D" w:rsidRDefault="00296F9D" w:rsidP="005429BD">
      <w:pPr>
        <w:pStyle w:val="SingleTxtG"/>
        <w:ind w:left="2268" w:hanging="1134"/>
        <w:rPr>
          <w:rFonts w:eastAsia="MS Mincho"/>
          <w:bCs/>
          <w:lang w:val="fr-FR"/>
        </w:rPr>
      </w:pPr>
      <w:r w:rsidRPr="00F2629D">
        <w:rPr>
          <w:lang w:val="fr-FR"/>
        </w:rPr>
        <w:t>12.8.3.2</w:t>
      </w:r>
      <w:r w:rsidRPr="00F2629D">
        <w:rPr>
          <w:lang w:val="fr-FR"/>
        </w:rPr>
        <w:tab/>
        <w:t>Jusqu’au 1</w:t>
      </w:r>
      <w:r w:rsidRPr="00F2629D">
        <w:rPr>
          <w:vertAlign w:val="superscript"/>
          <w:lang w:val="fr-FR"/>
        </w:rPr>
        <w:t>er</w:t>
      </w:r>
      <w:r w:rsidR="0085417F">
        <w:rPr>
          <w:lang w:val="fr-FR"/>
        </w:rPr>
        <w:t> </w:t>
      </w:r>
      <w:r w:rsidRPr="00F2629D">
        <w:rPr>
          <w:lang w:val="fr-FR"/>
        </w:rPr>
        <w:t xml:space="preserve">septembre 2031, les Parties contractantes appliquant le présent Règlement seront tenues d’accepter les homologations de type établies </w:t>
      </w:r>
      <w:r w:rsidRPr="00F4358F">
        <w:rPr>
          <w:lang w:val="fr-FR"/>
        </w:rPr>
        <w:t>conformément</w:t>
      </w:r>
      <w:r w:rsidRPr="00F2629D">
        <w:rPr>
          <w:lang w:val="fr-FR"/>
        </w:rPr>
        <w:t xml:space="preserve"> aux précédentes séries d’amendements, délivrées pour la première fois avant le 1</w:t>
      </w:r>
      <w:r w:rsidRPr="00F2629D">
        <w:rPr>
          <w:vertAlign w:val="superscript"/>
          <w:lang w:val="fr-FR"/>
        </w:rPr>
        <w:t>er</w:t>
      </w:r>
      <w:r w:rsidR="0085417F">
        <w:rPr>
          <w:lang w:val="fr-FR"/>
        </w:rPr>
        <w:t> </w:t>
      </w:r>
      <w:r w:rsidRPr="00F2629D">
        <w:rPr>
          <w:lang w:val="fr-FR"/>
        </w:rPr>
        <w:t>septembre 2028.</w:t>
      </w:r>
    </w:p>
    <w:p w14:paraId="086A4925" w14:textId="28532A27" w:rsidR="00296F9D" w:rsidRPr="00F2629D" w:rsidRDefault="00296F9D" w:rsidP="005429BD">
      <w:pPr>
        <w:pStyle w:val="SingleTxtG"/>
        <w:ind w:left="2268" w:hanging="1134"/>
        <w:rPr>
          <w:rFonts w:eastAsia="MS Mincho"/>
          <w:bCs/>
          <w:lang w:val="fr-FR"/>
        </w:rPr>
      </w:pPr>
      <w:r w:rsidRPr="00F2629D">
        <w:rPr>
          <w:lang w:val="fr-FR"/>
        </w:rPr>
        <w:t>12.8.3.3</w:t>
      </w:r>
      <w:r w:rsidRPr="00F2629D">
        <w:rPr>
          <w:lang w:val="fr-FR"/>
        </w:rPr>
        <w:tab/>
        <w:t>À compter du 1</w:t>
      </w:r>
      <w:r w:rsidRPr="00F2629D">
        <w:rPr>
          <w:vertAlign w:val="superscript"/>
          <w:lang w:val="fr-FR"/>
        </w:rPr>
        <w:t>er</w:t>
      </w:r>
      <w:r w:rsidR="0085417F">
        <w:rPr>
          <w:lang w:val="fr-FR"/>
        </w:rPr>
        <w:t> </w:t>
      </w:r>
      <w:r w:rsidRPr="00F2629D">
        <w:rPr>
          <w:lang w:val="fr-FR"/>
        </w:rPr>
        <w:t xml:space="preserve">septembre 2031, les Parties contractantes appliquant le présent Règlement ne seront plus tenues d’accepter les homologations de type </w:t>
      </w:r>
      <w:r w:rsidRPr="00296F9D">
        <w:t>délivrées</w:t>
      </w:r>
      <w:r w:rsidRPr="00F2629D">
        <w:rPr>
          <w:lang w:val="fr-FR"/>
        </w:rPr>
        <w:t xml:space="preserve"> en vertu des précédentes séries d’amendements audit Règlement ainsi que les extensions de ces homologations.</w:t>
      </w:r>
    </w:p>
    <w:p w14:paraId="7084C5F0" w14:textId="77777777" w:rsidR="00296F9D" w:rsidRPr="00F2629D" w:rsidRDefault="00296F9D" w:rsidP="005429BD">
      <w:pPr>
        <w:pStyle w:val="SingleTxtG"/>
        <w:ind w:left="2268" w:hanging="1134"/>
        <w:rPr>
          <w:rFonts w:eastAsia="MS Mincho"/>
          <w:bCs/>
          <w:lang w:val="fr-FR"/>
        </w:rPr>
      </w:pPr>
      <w:r w:rsidRPr="00F2629D">
        <w:rPr>
          <w:lang w:val="fr-FR"/>
        </w:rPr>
        <w:t>12.8.4</w:t>
      </w:r>
      <w:r w:rsidRPr="00F2629D">
        <w:rPr>
          <w:lang w:val="fr-FR"/>
        </w:rPr>
        <w:tab/>
        <w:t xml:space="preserve">Nonobstant les dispositions transitoires ci-dessus, les Parties contractantes qui commencent à appliquer le présent Règlement après la date d’entrée en vigueur de la </w:t>
      </w:r>
      <w:r w:rsidRPr="00296F9D">
        <w:t>série</w:t>
      </w:r>
      <w:r w:rsidRPr="00F2629D">
        <w:rPr>
          <w:lang w:val="fr-FR"/>
        </w:rPr>
        <w:t xml:space="preserve"> d’amendements la plus récente ne sont pas tenues d’accepter les homologations de type qui ont été accordées conformément à l’une quelconque des précédentes séries d’amendements audit Règlement.</w:t>
      </w:r>
    </w:p>
    <w:p w14:paraId="30AA7C8D" w14:textId="77777777" w:rsidR="00296F9D" w:rsidRPr="00F2629D" w:rsidRDefault="00296F9D" w:rsidP="005429BD">
      <w:pPr>
        <w:pStyle w:val="SingleTxtG"/>
        <w:ind w:left="2268" w:hanging="1134"/>
        <w:rPr>
          <w:rFonts w:eastAsia="MS Mincho"/>
          <w:bCs/>
          <w:lang w:val="fr-FR"/>
        </w:rPr>
      </w:pPr>
      <w:r w:rsidRPr="00F2629D">
        <w:rPr>
          <w:lang w:val="fr-FR"/>
        </w:rPr>
        <w:lastRenderedPageBreak/>
        <w:t>12.8.5</w:t>
      </w:r>
      <w:r w:rsidRPr="00F2629D">
        <w:rPr>
          <w:lang w:val="fr-FR"/>
        </w:rPr>
        <w:tab/>
        <w:t xml:space="preserve">Nonobstant les dispositions des paragraphes 12.8.2.3 et 12.8.3.3, les Parties contractantes appliquant le présent Règlement continueront de reconnaître les homologations de type délivrées au titre des précédentes séries d’amendements </w:t>
      </w:r>
      <w:r w:rsidRPr="00296F9D">
        <w:t>audit</w:t>
      </w:r>
      <w:r w:rsidRPr="00F2629D">
        <w:rPr>
          <w:lang w:val="fr-FR"/>
        </w:rPr>
        <w:t xml:space="preserve"> Règlement pour les types de véhicules non concernés par les modifications apportées par la série 09 d’amendements.</w:t>
      </w:r>
    </w:p>
    <w:p w14:paraId="17790A83" w14:textId="77777777" w:rsidR="00296F9D" w:rsidRPr="00F2629D" w:rsidRDefault="00296F9D" w:rsidP="005429BD">
      <w:pPr>
        <w:pStyle w:val="SingleTxtG"/>
        <w:ind w:left="2268" w:hanging="1134"/>
        <w:rPr>
          <w:rFonts w:eastAsia="MS Mincho"/>
          <w:bCs/>
          <w:lang w:val="fr-FR"/>
        </w:rPr>
      </w:pPr>
      <w:r w:rsidRPr="00F2629D">
        <w:rPr>
          <w:lang w:val="fr-FR"/>
        </w:rPr>
        <w:t>12.8.6</w:t>
      </w:r>
      <w:r w:rsidRPr="00F2629D">
        <w:rPr>
          <w:lang w:val="fr-FR"/>
        </w:rPr>
        <w:tab/>
        <w:t xml:space="preserve">Les Parties contractantes appliquant le présent Règlement peuvent accorder des homologations de type en vertu de l’une quelconque des précédentes séries </w:t>
      </w:r>
      <w:r w:rsidRPr="00296F9D">
        <w:t>d’amendements</w:t>
      </w:r>
      <w:r w:rsidRPr="00F2629D">
        <w:rPr>
          <w:lang w:val="fr-FR"/>
        </w:rPr>
        <w:t xml:space="preserve"> audit Règlement.</w:t>
      </w:r>
    </w:p>
    <w:p w14:paraId="1994FC8A" w14:textId="77777777" w:rsidR="00296F9D" w:rsidRPr="00F2629D" w:rsidRDefault="00296F9D" w:rsidP="005429BD">
      <w:pPr>
        <w:pStyle w:val="SingleTxtG"/>
        <w:ind w:left="2268" w:hanging="1134"/>
        <w:rPr>
          <w:rFonts w:eastAsia="MS Mincho"/>
          <w:bCs/>
          <w:lang w:val="fr-FR"/>
        </w:rPr>
      </w:pPr>
      <w:r w:rsidRPr="00F2629D">
        <w:rPr>
          <w:lang w:val="fr-FR"/>
        </w:rPr>
        <w:t>12.8.7</w:t>
      </w:r>
      <w:r w:rsidRPr="00F2629D">
        <w:rPr>
          <w:lang w:val="fr-FR"/>
        </w:rPr>
        <w:tab/>
        <w:t xml:space="preserve">Les Parties contractantes appliquant le présent Règlement continueront </w:t>
      </w:r>
      <w:r w:rsidRPr="00296F9D">
        <w:t>d’accorder</w:t>
      </w:r>
      <w:r w:rsidRPr="00F2629D">
        <w:rPr>
          <w:lang w:val="fr-FR"/>
        </w:rPr>
        <w:t xml:space="preserve"> des extensions pour les homologations déjà délivrées au titre de l’une quelconque des précédentes séries d’amendements audit Règlement. ».</w:t>
      </w:r>
    </w:p>
    <w:p w14:paraId="59CD1435" w14:textId="77777777" w:rsidR="00296F9D" w:rsidRDefault="00296F9D" w:rsidP="005B0C72">
      <w:pPr>
        <w:pStyle w:val="SingleTxtG"/>
        <w:keepNext/>
        <w:rPr>
          <w:lang w:val="fr-FR"/>
        </w:rPr>
      </w:pPr>
      <w:r w:rsidRPr="00F2629D">
        <w:rPr>
          <w:i/>
          <w:iCs/>
          <w:lang w:val="fr-FR"/>
        </w:rPr>
        <w:t>Annexe 1,</w:t>
      </w:r>
    </w:p>
    <w:p w14:paraId="02F5483E" w14:textId="7C656B2A" w:rsidR="00296F9D" w:rsidRPr="00F2629D" w:rsidRDefault="00296F9D" w:rsidP="005B0C72">
      <w:pPr>
        <w:pStyle w:val="SingleTxtG"/>
        <w:keepNext/>
        <w:rPr>
          <w:rFonts w:asciiTheme="majorBidi" w:hAnsiTheme="majorBidi" w:cstheme="majorBidi"/>
          <w:bCs/>
          <w:lang w:val="fr-FR"/>
        </w:rPr>
      </w:pPr>
      <w:r w:rsidRPr="00F2629D">
        <w:rPr>
          <w:i/>
          <w:iCs/>
          <w:lang w:val="fr-FR"/>
        </w:rPr>
        <w:t>Ajouter le nouveau point 9.28</w:t>
      </w:r>
      <w:r w:rsidRPr="00F2629D">
        <w:rPr>
          <w:lang w:val="fr-FR"/>
        </w:rPr>
        <w:t>, libellé comme suit</w:t>
      </w:r>
      <w:r>
        <w:rPr>
          <w:lang w:val="fr-FR"/>
        </w:rPr>
        <w:t> :</w:t>
      </w:r>
    </w:p>
    <w:p w14:paraId="16E135BD" w14:textId="4C7E16D9" w:rsidR="00296F9D" w:rsidRPr="00F2629D" w:rsidRDefault="00296F9D" w:rsidP="0085417F">
      <w:pPr>
        <w:pStyle w:val="SingleTxtG"/>
        <w:tabs>
          <w:tab w:val="right" w:leader="dot" w:pos="8505"/>
        </w:tabs>
        <w:ind w:left="2268" w:hanging="1134"/>
        <w:rPr>
          <w:rFonts w:asciiTheme="majorBidi" w:hAnsiTheme="majorBidi" w:cstheme="majorBidi"/>
          <w:lang w:val="fr-FR"/>
        </w:rPr>
      </w:pPr>
      <w:r w:rsidRPr="00F2629D">
        <w:rPr>
          <w:lang w:val="fr-FR"/>
        </w:rPr>
        <w:t>« 9.28</w:t>
      </w:r>
      <w:r w:rsidRPr="00F2629D">
        <w:rPr>
          <w:lang w:val="fr-FR"/>
        </w:rPr>
        <w:tab/>
      </w:r>
      <w:r w:rsidRPr="00F4358F">
        <w:rPr>
          <w:lang w:val="fr-FR"/>
        </w:rPr>
        <w:t>Signal</w:t>
      </w:r>
      <w:r w:rsidRPr="00F2629D">
        <w:rPr>
          <w:lang w:val="fr-FR"/>
        </w:rPr>
        <w:t xml:space="preserve"> de réponse</w:t>
      </w:r>
      <w:r>
        <w:rPr>
          <w:lang w:val="fr-FR"/>
        </w:rPr>
        <w:t> :</w:t>
      </w:r>
      <w:r w:rsidR="0085417F">
        <w:rPr>
          <w:lang w:val="fr-FR"/>
        </w:rPr>
        <w:t xml:space="preserve"> </w:t>
      </w:r>
      <w:r w:rsidRPr="00F2629D">
        <w:rPr>
          <w:lang w:val="fr-FR"/>
        </w:rPr>
        <w:t>oui/non</w:t>
      </w:r>
      <w:r w:rsidRPr="006566B5">
        <w:rPr>
          <w:vertAlign w:val="superscript"/>
          <w:lang w:val="fr-FR"/>
        </w:rPr>
        <w:t>2</w:t>
      </w:r>
      <w:r w:rsidR="0085417F">
        <w:rPr>
          <w:lang w:val="fr-FR"/>
        </w:rPr>
        <w:tab/>
      </w:r>
      <w:r w:rsidRPr="00F2629D">
        <w:rPr>
          <w:lang w:val="fr-FR"/>
        </w:rPr>
        <w:t> ».</w:t>
      </w:r>
    </w:p>
    <w:p w14:paraId="5CA2E7BC" w14:textId="77777777" w:rsidR="00296F9D" w:rsidRDefault="00296F9D" w:rsidP="00296F9D">
      <w:pPr>
        <w:pStyle w:val="SingleTxtG"/>
        <w:rPr>
          <w:lang w:val="fr-FR"/>
        </w:rPr>
      </w:pPr>
      <w:r w:rsidRPr="00F2629D">
        <w:rPr>
          <w:i/>
          <w:iCs/>
          <w:lang w:val="fr-FR"/>
        </w:rPr>
        <w:t>Les points 9.28, 9.29</w:t>
      </w:r>
      <w:r w:rsidRPr="00F2629D">
        <w:rPr>
          <w:lang w:val="fr-FR"/>
        </w:rPr>
        <w:t xml:space="preserve"> </w:t>
      </w:r>
      <w:r w:rsidRPr="00F2629D">
        <w:rPr>
          <w:i/>
          <w:iCs/>
          <w:lang w:val="fr-FR"/>
        </w:rPr>
        <w:t xml:space="preserve">et 9.30 </w:t>
      </w:r>
      <w:r w:rsidRPr="00F2629D">
        <w:rPr>
          <w:lang w:val="fr-FR"/>
        </w:rPr>
        <w:t>deviennent les points 9.29, 9.30 et 9.31, respectivement.</w:t>
      </w:r>
    </w:p>
    <w:p w14:paraId="556C56EA" w14:textId="2B8D091A" w:rsidR="00296F9D" w:rsidRPr="00F2629D" w:rsidRDefault="00296F9D" w:rsidP="005B0C72">
      <w:pPr>
        <w:pStyle w:val="SingleTxtG"/>
        <w:keepNext/>
        <w:rPr>
          <w:rFonts w:asciiTheme="majorBidi" w:hAnsiTheme="majorBidi" w:cstheme="majorBidi"/>
          <w:lang w:val="fr-FR"/>
        </w:rPr>
      </w:pPr>
      <w:r w:rsidRPr="00F2629D">
        <w:rPr>
          <w:i/>
          <w:iCs/>
          <w:lang w:val="fr-FR"/>
        </w:rPr>
        <w:t>Ajouter le nouveau point 10.9</w:t>
      </w:r>
      <w:r w:rsidRPr="00F2629D">
        <w:rPr>
          <w:lang w:val="fr-FR"/>
        </w:rPr>
        <w:t>, libellé comme suit</w:t>
      </w:r>
      <w:r>
        <w:rPr>
          <w:lang w:val="fr-FR"/>
        </w:rPr>
        <w:t> :</w:t>
      </w:r>
    </w:p>
    <w:p w14:paraId="384F3C7B" w14:textId="69C1E3FF" w:rsidR="00296F9D" w:rsidRPr="00F2629D" w:rsidRDefault="00296F9D" w:rsidP="0085417F">
      <w:pPr>
        <w:pStyle w:val="SingleTxtG"/>
        <w:tabs>
          <w:tab w:val="right" w:leader="dot" w:pos="8505"/>
        </w:tabs>
        <w:ind w:left="2268" w:hanging="1134"/>
        <w:rPr>
          <w:rFonts w:asciiTheme="majorBidi" w:hAnsiTheme="majorBidi" w:cstheme="majorBidi"/>
          <w:lang w:val="fr-FR"/>
        </w:rPr>
      </w:pPr>
      <w:r w:rsidRPr="00F2629D">
        <w:rPr>
          <w:lang w:val="fr-FR"/>
        </w:rPr>
        <w:t>« 10.9</w:t>
      </w:r>
      <w:r w:rsidRPr="00F2629D">
        <w:rPr>
          <w:lang w:val="fr-FR"/>
        </w:rPr>
        <w:tab/>
      </w:r>
      <w:r w:rsidRPr="00F4358F">
        <w:rPr>
          <w:lang w:val="fr-FR"/>
        </w:rPr>
        <w:t>Observations</w:t>
      </w:r>
      <w:r w:rsidRPr="00F2629D">
        <w:rPr>
          <w:lang w:val="fr-FR"/>
        </w:rPr>
        <w:t xml:space="preserve"> relatives au signal de réponse (conformément aux paragraphes 6.27.9.1 à 6.27.9.4)</w:t>
      </w:r>
      <w:r>
        <w:rPr>
          <w:lang w:val="fr-FR"/>
        </w:rPr>
        <w:t> :</w:t>
      </w:r>
      <w:r w:rsidR="0085417F">
        <w:rPr>
          <w:lang w:val="fr-FR"/>
        </w:rPr>
        <w:tab/>
      </w:r>
      <w:r w:rsidRPr="00F2629D">
        <w:rPr>
          <w:lang w:val="fr-FR"/>
        </w:rPr>
        <w:t> ».</w:t>
      </w:r>
    </w:p>
    <w:p w14:paraId="52CFFC9F" w14:textId="40DAD6A2" w:rsidR="00296F9D" w:rsidRPr="00F2629D" w:rsidRDefault="00296F9D" w:rsidP="005B0C72">
      <w:pPr>
        <w:pStyle w:val="SingleTxtG"/>
        <w:keepNext/>
        <w:rPr>
          <w:lang w:val="fr-FR"/>
        </w:rPr>
      </w:pPr>
      <w:r w:rsidRPr="00F2629D">
        <w:rPr>
          <w:i/>
          <w:iCs/>
          <w:lang w:val="fr-FR"/>
        </w:rPr>
        <w:t>Annexe 2</w:t>
      </w:r>
      <w:r w:rsidRPr="00F2629D">
        <w:rPr>
          <w:lang w:val="fr-FR"/>
        </w:rPr>
        <w:t>, lire</w:t>
      </w:r>
      <w:r>
        <w:rPr>
          <w:lang w:val="fr-FR"/>
        </w:rPr>
        <w:t> :</w:t>
      </w:r>
    </w:p>
    <w:p w14:paraId="101B339C" w14:textId="77777777" w:rsidR="00296F9D" w:rsidRPr="00F2629D" w:rsidRDefault="00296F9D" w:rsidP="00296F9D">
      <w:pPr>
        <w:spacing w:after="120"/>
        <w:ind w:left="1134" w:right="1134"/>
        <w:rPr>
          <w:rFonts w:eastAsia="MS Mincho"/>
          <w:bCs/>
          <w:lang w:val="fr-FR"/>
        </w:rPr>
      </w:pPr>
      <w:r w:rsidRPr="00F2629D">
        <w:rPr>
          <w:lang w:val="fr-FR"/>
        </w:rPr>
        <w:t>« Exemples de marques d’homologation</w:t>
      </w:r>
    </w:p>
    <w:p w14:paraId="7E97A4F6" w14:textId="77777777" w:rsidR="00296F9D" w:rsidRPr="00F2629D" w:rsidRDefault="00296F9D" w:rsidP="0035560C">
      <w:pPr>
        <w:pStyle w:val="SingleTxtG"/>
        <w:spacing w:after="0"/>
        <w:rPr>
          <w:lang w:val="fr-FR"/>
        </w:rPr>
      </w:pPr>
      <w:bookmarkStart w:id="14" w:name="_Toc338161450"/>
      <w:r w:rsidRPr="00F2629D">
        <w:rPr>
          <w:lang w:val="fr-FR"/>
        </w:rPr>
        <w:t>Modèle A</w:t>
      </w:r>
      <w:bookmarkEnd w:id="14"/>
    </w:p>
    <w:p w14:paraId="15CA9B77" w14:textId="1E352CCC" w:rsidR="00296F9D" w:rsidRPr="00F2629D" w:rsidRDefault="00296F9D" w:rsidP="00F4358F">
      <w:pPr>
        <w:pStyle w:val="SingleTxtG"/>
        <w:rPr>
          <w:lang w:val="fr-FR"/>
        </w:rPr>
      </w:pPr>
      <w:bookmarkStart w:id="15" w:name="_Toc338161451"/>
      <w:r w:rsidRPr="00F2629D">
        <w:rPr>
          <w:lang w:val="fr-FR"/>
        </w:rPr>
        <w:t>(Voir par. 4.4 du présent Règlement)</w:t>
      </w:r>
      <w:bookmarkEnd w:id="15"/>
    </w:p>
    <w:p w14:paraId="18BADDC7" w14:textId="77777777" w:rsidR="00296F9D" w:rsidRPr="00F2629D" w:rsidRDefault="00296F9D" w:rsidP="0085417F">
      <w:pPr>
        <w:pStyle w:val="SingleTxtG"/>
        <w:rPr>
          <w:lang w:val="fr-FR"/>
        </w:rPr>
      </w:pPr>
      <w:r w:rsidRPr="00F2629D">
        <w:rPr>
          <w:noProof/>
          <w:lang w:val="fr-FR"/>
        </w:rPr>
        <mc:AlternateContent>
          <mc:Choice Requires="wps">
            <w:drawing>
              <wp:anchor distT="0" distB="0" distL="114300" distR="114300" simplePos="0" relativeHeight="251659264" behindDoc="0" locked="0" layoutInCell="1" allowOverlap="1" wp14:anchorId="5D7B478B" wp14:editId="3FC030ED">
                <wp:simplePos x="0" y="0"/>
                <wp:positionH relativeFrom="column">
                  <wp:posOffset>4113166</wp:posOffset>
                </wp:positionH>
                <wp:positionV relativeFrom="paragraph">
                  <wp:posOffset>379276</wp:posOffset>
                </wp:positionV>
                <wp:extent cx="549729" cy="378460"/>
                <wp:effectExtent l="0" t="0" r="3175" b="2540"/>
                <wp:wrapNone/>
                <wp:docPr id="73"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29" cy="378460"/>
                        </a:xfrm>
                        <a:prstGeom prst="rect">
                          <a:avLst/>
                        </a:prstGeom>
                        <a:solidFill>
                          <a:srgbClr val="FFFFFF"/>
                        </a:solidFill>
                        <a:ln>
                          <a:noFill/>
                        </a:ln>
                      </wps:spPr>
                      <wps:txbx>
                        <w:txbxContent>
                          <w:p w14:paraId="0A6F22AC" w14:textId="14F06868" w:rsidR="00296F9D" w:rsidRPr="006F6B35" w:rsidRDefault="00832832" w:rsidP="0085417F">
                            <w:pPr>
                              <w:jc w:val="right"/>
                              <w:rPr>
                                <w:rFonts w:ascii="Arial" w:hAnsi="Arial"/>
                                <w:sz w:val="50"/>
                                <w:szCs w:val="50"/>
                                <w:lang w:eastAsia="ja-JP"/>
                              </w:rPr>
                            </w:pPr>
                            <w:r>
                              <w:rPr>
                                <w:rFonts w:ascii="Arial" w:hAnsi="Arial"/>
                                <w:sz w:val="50"/>
                                <w:szCs w:val="50"/>
                              </w:rPr>
                              <w:t xml:space="preserve">  </w:t>
                            </w:r>
                            <w:r w:rsidR="00296F9D" w:rsidRPr="006F6B35">
                              <w:rPr>
                                <w:rFonts w:ascii="Arial" w:hAnsi="Arial"/>
                                <w:sz w:val="50"/>
                                <w:szCs w:val="50"/>
                              </w:rPr>
                              <w:t>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B478B" id="_x0000_t202" coordsize="21600,21600" o:spt="202" path="m,l,21600r21600,l21600,xe">
                <v:stroke joinstyle="miter"/>
                <v:path gradientshapeok="t" o:connecttype="rect"/>
              </v:shapetype>
              <v:shape id="Casella di testo 145" o:spid="_x0000_s1026" type="#_x0000_t202" style="position:absolute;left:0;text-align:left;margin-left:323.85pt;margin-top:29.85pt;width:43.3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" stroked="f">
                <v:textbox inset="0,0,0,0">
                  <w:txbxContent>
                    <w:p w14:paraId="0A6F22AC" w14:textId="14F06868" w:rsidR="00296F9D" w:rsidRPr="006F6B35" w:rsidRDefault="00832832" w:rsidP="0085417F">
                      <w:pPr>
                        <w:jc w:val="right"/>
                        <w:rPr>
                          <w:rFonts w:ascii="Arial" w:hAnsi="Arial"/>
                          <w:sz w:val="50"/>
                          <w:szCs w:val="50"/>
                          <w:lang w:eastAsia="ja-JP"/>
                        </w:rPr>
                      </w:pPr>
                      <w:r>
                        <w:rPr>
                          <w:rFonts w:ascii="Arial" w:hAnsi="Arial"/>
                          <w:sz w:val="50"/>
                          <w:szCs w:val="50"/>
                        </w:rPr>
                        <w:t xml:space="preserve">  </w:t>
                      </w:r>
                      <w:r w:rsidR="00296F9D" w:rsidRPr="006F6B35">
                        <w:rPr>
                          <w:rFonts w:ascii="Arial" w:hAnsi="Arial"/>
                          <w:sz w:val="50"/>
                          <w:szCs w:val="50"/>
                        </w:rPr>
                        <w:t>09</w:t>
                      </w:r>
                    </w:p>
                  </w:txbxContent>
                </v:textbox>
              </v:shape>
            </w:pict>
          </mc:Fallback>
        </mc:AlternateContent>
      </w:r>
      <w:r w:rsidRPr="00F2629D">
        <w:rPr>
          <w:noProof/>
          <w:lang w:val="fr-FR"/>
        </w:rPr>
        <w:drawing>
          <wp:inline distT="0" distB="0" distL="0" distR="0" wp14:anchorId="5CC0B77A" wp14:editId="05D0AF0E">
            <wp:extent cx="5400000" cy="1029310"/>
            <wp:effectExtent l="0" t="0" r="0" b="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1029310"/>
                    </a:xfrm>
                    <a:prstGeom prst="rect">
                      <a:avLst/>
                    </a:prstGeom>
                    <a:noFill/>
                    <a:ln>
                      <a:noFill/>
                    </a:ln>
                  </pic:spPr>
                </pic:pic>
              </a:graphicData>
            </a:graphic>
          </wp:inline>
        </w:drawing>
      </w:r>
    </w:p>
    <w:p w14:paraId="53DAE1F3" w14:textId="590C1848" w:rsidR="00296F9D" w:rsidRPr="00F2629D" w:rsidRDefault="00296F9D" w:rsidP="0085417F">
      <w:pPr>
        <w:pStyle w:val="SingleTxtG"/>
        <w:jc w:val="right"/>
        <w:rPr>
          <w:lang w:val="fr-FR"/>
        </w:rPr>
      </w:pPr>
      <w:r w:rsidRPr="00F2629D">
        <w:rPr>
          <w:lang w:val="fr-FR"/>
        </w:rPr>
        <w:t>a = 8 mm min.</w:t>
      </w:r>
    </w:p>
    <w:p w14:paraId="6CA836D8" w14:textId="3D931D56" w:rsidR="00296F9D" w:rsidRDefault="00296F9D" w:rsidP="0035560C">
      <w:pPr>
        <w:pStyle w:val="SingleTxtG"/>
        <w:ind w:firstLine="567"/>
        <w:rPr>
          <w:lang w:val="fr-FR"/>
        </w:rPr>
      </w:pPr>
      <w:r w:rsidRPr="00F2629D">
        <w:rPr>
          <w:lang w:val="fr-FR"/>
        </w:rPr>
        <w:t>La marque d’homologation ci-dessus, apposée sur un véhicule, indique que le type de ce véhicule a été homologué aux Pays-Bas (E 4), en ce qui concerne l’installation de dispositifs d’éclairage et de signalisation lumineuse, en application du Règlement ONU n</w:t>
      </w:r>
      <w:r w:rsidRPr="00F2629D">
        <w:rPr>
          <w:vertAlign w:val="superscript"/>
          <w:lang w:val="fr-FR"/>
        </w:rPr>
        <w:t>o</w:t>
      </w:r>
      <w:r w:rsidRPr="00F2629D">
        <w:rPr>
          <w:lang w:val="fr-FR"/>
        </w:rPr>
        <w:t> 48 tel que modifié par la série 09 d’amendements. Le numéro d’homologation indique que l’homologation a été accordée conformément aux prescriptions du Règlement ONU n</w:t>
      </w:r>
      <w:r w:rsidRPr="00F2629D">
        <w:rPr>
          <w:vertAlign w:val="superscript"/>
          <w:lang w:val="fr-FR"/>
        </w:rPr>
        <w:t>o</w:t>
      </w:r>
      <w:r w:rsidR="005429BD">
        <w:rPr>
          <w:lang w:val="fr-FR"/>
        </w:rPr>
        <w:t> </w:t>
      </w:r>
      <w:r w:rsidRPr="00F2629D">
        <w:rPr>
          <w:lang w:val="fr-FR"/>
        </w:rPr>
        <w:t>48 tel que modifié par la série 09 d’amendements.</w:t>
      </w:r>
    </w:p>
    <w:p w14:paraId="1BAD3A90" w14:textId="70A10776" w:rsidR="00296F9D" w:rsidRPr="00F2629D" w:rsidRDefault="00296F9D" w:rsidP="0035560C">
      <w:pPr>
        <w:pStyle w:val="SingleTxtG"/>
        <w:spacing w:after="0"/>
        <w:rPr>
          <w:lang w:val="fr-FR"/>
        </w:rPr>
      </w:pPr>
      <w:r w:rsidRPr="00F2629D">
        <w:rPr>
          <w:lang w:val="fr-FR"/>
        </w:rPr>
        <w:t>Modèle B</w:t>
      </w:r>
    </w:p>
    <w:p w14:paraId="731FBEFD" w14:textId="0ACF702D" w:rsidR="00296F9D" w:rsidRPr="00F2629D" w:rsidRDefault="00296F9D" w:rsidP="00F4358F">
      <w:pPr>
        <w:pStyle w:val="SingleTxtG"/>
      </w:pPr>
      <w:bookmarkStart w:id="16" w:name="_Toc338161452"/>
      <w:r w:rsidRPr="00F2629D">
        <w:t>(Voir par.</w:t>
      </w:r>
      <w:r w:rsidR="0035560C">
        <w:t> </w:t>
      </w:r>
      <w:r w:rsidRPr="00F2629D">
        <w:t>4.5 du présent Règlement)</w:t>
      </w:r>
      <w:bookmarkEnd w:id="16"/>
    </w:p>
    <w:p w14:paraId="23EEF56F" w14:textId="10C5CBA1" w:rsidR="00296F9D" w:rsidRPr="00F2629D" w:rsidRDefault="0085417F" w:rsidP="0085417F">
      <w:pPr>
        <w:pStyle w:val="SingleTxtG"/>
        <w:rPr>
          <w:lang w:val="fr-FR"/>
        </w:rPr>
      </w:pPr>
      <w:bookmarkStart w:id="17" w:name="_Toc338161453"/>
      <w:r w:rsidRPr="00F2629D">
        <w:rPr>
          <w:noProof/>
          <w:lang w:val="fr-FR"/>
        </w:rPr>
        <mc:AlternateContent>
          <mc:Choice Requires="wps">
            <w:drawing>
              <wp:anchor distT="0" distB="0" distL="114300" distR="114300" simplePos="0" relativeHeight="251662336" behindDoc="0" locked="0" layoutInCell="1" allowOverlap="1" wp14:anchorId="05895F23" wp14:editId="1D37B89B">
                <wp:simplePos x="0" y="0"/>
                <wp:positionH relativeFrom="column">
                  <wp:posOffset>3402330</wp:posOffset>
                </wp:positionH>
                <wp:positionV relativeFrom="paragraph">
                  <wp:posOffset>508907</wp:posOffset>
                </wp:positionV>
                <wp:extent cx="266700" cy="287020"/>
                <wp:effectExtent l="0" t="0" r="0" b="0"/>
                <wp:wrapNone/>
                <wp:docPr id="4"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7020"/>
                        </a:xfrm>
                        <a:prstGeom prst="rect">
                          <a:avLst/>
                        </a:prstGeom>
                        <a:solidFill>
                          <a:srgbClr val="FFFFFF"/>
                        </a:solidFill>
                        <a:ln>
                          <a:noFill/>
                        </a:ln>
                      </wps:spPr>
                      <wps:txbx>
                        <w:txbxContent>
                          <w:p w14:paraId="11D8482F" w14:textId="77777777" w:rsidR="00296F9D" w:rsidRPr="0077692E" w:rsidRDefault="00296F9D" w:rsidP="00296F9D">
                            <w:pPr>
                              <w:jc w:val="center"/>
                              <w:rPr>
                                <w:rFonts w:ascii="Arial" w:hAnsi="Arial"/>
                                <w:sz w:val="44"/>
                                <w:szCs w:val="44"/>
                                <w:lang w:eastAsia="ja-JP"/>
                              </w:rPr>
                            </w:pPr>
                            <w:r>
                              <w:rPr>
                                <w:rFonts w:ascii="Arial" w:hAnsi="Arial"/>
                                <w:sz w:val="44"/>
                                <w:szCs w:val="44"/>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5F23" id="_x0000_s1027" type="#_x0000_t202" style="position:absolute;left:0;text-align:left;margin-left:267.9pt;margin-top:40.05pt;width:21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" stroked="f">
                <v:textbox inset="0,0,0,0">
                  <w:txbxContent>
                    <w:p w14:paraId="11D8482F" w14:textId="77777777" w:rsidR="00296F9D" w:rsidRPr="0077692E" w:rsidRDefault="00296F9D" w:rsidP="00296F9D">
                      <w:pPr>
                        <w:jc w:val="center"/>
                        <w:rPr>
                          <w:rFonts w:ascii="Arial" w:hAnsi="Arial"/>
                          <w:sz w:val="44"/>
                          <w:szCs w:val="44"/>
                          <w:lang w:eastAsia="ja-JP"/>
                        </w:rPr>
                      </w:pPr>
                      <w:r>
                        <w:rPr>
                          <w:rFonts w:ascii="Arial" w:hAnsi="Arial"/>
                          <w:sz w:val="44"/>
                          <w:szCs w:val="44"/>
                        </w:rPr>
                        <w:t>R</w:t>
                      </w:r>
                    </w:p>
                  </w:txbxContent>
                </v:textbox>
              </v:shape>
            </w:pict>
          </mc:Fallback>
        </mc:AlternateContent>
      </w:r>
      <w:r w:rsidRPr="00F2629D">
        <w:rPr>
          <w:noProof/>
          <w:lang w:val="fr-FR"/>
        </w:rPr>
        <mc:AlternateContent>
          <mc:Choice Requires="wps">
            <w:drawing>
              <wp:anchor distT="0" distB="0" distL="114300" distR="114300" simplePos="0" relativeHeight="251661312" behindDoc="0" locked="0" layoutInCell="1" allowOverlap="1" wp14:anchorId="40D11B79" wp14:editId="5DDE4D92">
                <wp:simplePos x="0" y="0"/>
                <wp:positionH relativeFrom="column">
                  <wp:posOffset>3402602</wp:posOffset>
                </wp:positionH>
                <wp:positionV relativeFrom="paragraph">
                  <wp:posOffset>167005</wp:posOffset>
                </wp:positionV>
                <wp:extent cx="266700" cy="287020"/>
                <wp:effectExtent l="0" t="0" r="0" b="0"/>
                <wp:wrapNone/>
                <wp:docPr id="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7020"/>
                        </a:xfrm>
                        <a:prstGeom prst="rect">
                          <a:avLst/>
                        </a:prstGeom>
                        <a:solidFill>
                          <a:srgbClr val="FFFFFF"/>
                        </a:solidFill>
                        <a:ln>
                          <a:noFill/>
                        </a:ln>
                      </wps:spPr>
                      <wps:txbx>
                        <w:txbxContent>
                          <w:p w14:paraId="4713058D" w14:textId="77777777" w:rsidR="00296F9D" w:rsidRPr="00832832" w:rsidRDefault="00296F9D" w:rsidP="00296F9D">
                            <w:pPr>
                              <w:jc w:val="center"/>
                              <w:rPr>
                                <w:rFonts w:ascii="Arial" w:hAnsi="Arial"/>
                                <w:sz w:val="44"/>
                                <w:szCs w:val="44"/>
                                <w:lang w:eastAsia="ja-JP"/>
                              </w:rPr>
                            </w:pPr>
                            <w:r w:rsidRPr="00832832">
                              <w:rPr>
                                <w:rFonts w:ascii="Arial" w:hAnsi="Arial"/>
                                <w:sz w:val="44"/>
                                <w:szCs w:val="44"/>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11B79" id="_x0000_s1028" type="#_x0000_t202" style="position:absolute;left:0;text-align:left;margin-left:267.9pt;margin-top:13.15pt;width:21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" stroked="f">
                <v:textbox inset="0,0,0,0">
                  <w:txbxContent>
                    <w:p w14:paraId="4713058D" w14:textId="77777777" w:rsidR="00296F9D" w:rsidRPr="00832832" w:rsidRDefault="00296F9D" w:rsidP="00296F9D">
                      <w:pPr>
                        <w:jc w:val="center"/>
                        <w:rPr>
                          <w:rFonts w:ascii="Arial" w:hAnsi="Arial"/>
                          <w:sz w:val="44"/>
                          <w:szCs w:val="44"/>
                          <w:lang w:eastAsia="ja-JP"/>
                        </w:rPr>
                      </w:pPr>
                      <w:r w:rsidRPr="00832832">
                        <w:rPr>
                          <w:rFonts w:ascii="Arial" w:hAnsi="Arial"/>
                          <w:sz w:val="44"/>
                          <w:szCs w:val="44"/>
                        </w:rPr>
                        <w:t>R</w:t>
                      </w:r>
                    </w:p>
                  </w:txbxContent>
                </v:textbox>
              </v:shape>
            </w:pict>
          </mc:Fallback>
        </mc:AlternateContent>
      </w:r>
      <w:r w:rsidRPr="00F2629D">
        <w:rPr>
          <w:noProof/>
          <w:lang w:val="fr-FR"/>
        </w:rPr>
        <mc:AlternateContent>
          <mc:Choice Requires="wps">
            <w:drawing>
              <wp:anchor distT="0" distB="0" distL="114300" distR="114300" simplePos="0" relativeHeight="251660288" behindDoc="0" locked="0" layoutInCell="1" allowOverlap="1" wp14:anchorId="3862F95C" wp14:editId="1F737933">
                <wp:simplePos x="0" y="0"/>
                <wp:positionH relativeFrom="column">
                  <wp:posOffset>3853543</wp:posOffset>
                </wp:positionH>
                <wp:positionV relativeFrom="paragraph">
                  <wp:posOffset>128270</wp:posOffset>
                </wp:positionV>
                <wp:extent cx="444500" cy="316230"/>
                <wp:effectExtent l="0" t="0" r="0" b="762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16230"/>
                        </a:xfrm>
                        <a:prstGeom prst="rect">
                          <a:avLst/>
                        </a:prstGeom>
                        <a:solidFill>
                          <a:srgbClr val="FFFFFF"/>
                        </a:solidFill>
                        <a:ln>
                          <a:noFill/>
                        </a:ln>
                      </wps:spPr>
                      <wps:txbx>
                        <w:txbxContent>
                          <w:p w14:paraId="4CA231D4" w14:textId="18432CF5" w:rsidR="00296F9D" w:rsidRPr="00D633AB" w:rsidRDefault="00296F9D" w:rsidP="0085417F">
                            <w:pPr>
                              <w:jc w:val="right"/>
                              <w:rPr>
                                <w:rFonts w:ascii="Arial" w:hAnsi="Arial"/>
                                <w:sz w:val="50"/>
                                <w:szCs w:val="50"/>
                                <w:lang w:eastAsia="ja-JP"/>
                              </w:rPr>
                            </w:pPr>
                            <w:r w:rsidRPr="00D633AB">
                              <w:rPr>
                                <w:rFonts w:ascii="Arial" w:hAnsi="Arial"/>
                                <w:sz w:val="50"/>
                                <w:szCs w:val="50"/>
                              </w:rPr>
                              <w:t>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2F95C" id="_x0000_s1029" type="#_x0000_t202" style="position:absolute;left:0;text-align:left;margin-left:303.45pt;margin-top:10.1pt;width:35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" stroked="f">
                <v:textbox inset="0,0,0,0">
                  <w:txbxContent>
                    <w:p w14:paraId="4CA231D4" w14:textId="18432CF5" w:rsidR="00296F9D" w:rsidRPr="00D633AB" w:rsidRDefault="00296F9D" w:rsidP="0085417F">
                      <w:pPr>
                        <w:jc w:val="right"/>
                        <w:rPr>
                          <w:rFonts w:ascii="Arial" w:hAnsi="Arial"/>
                          <w:sz w:val="50"/>
                          <w:szCs w:val="50"/>
                          <w:lang w:eastAsia="ja-JP"/>
                        </w:rPr>
                      </w:pPr>
                      <w:r w:rsidRPr="00D633AB">
                        <w:rPr>
                          <w:rFonts w:ascii="Arial" w:hAnsi="Arial"/>
                          <w:sz w:val="50"/>
                          <w:szCs w:val="50"/>
                        </w:rPr>
                        <w:t>09</w:t>
                      </w:r>
                    </w:p>
                  </w:txbxContent>
                </v:textbox>
              </v:shape>
            </w:pict>
          </mc:Fallback>
        </mc:AlternateContent>
      </w:r>
      <w:r w:rsidR="00296F9D" w:rsidRPr="00F2629D">
        <w:rPr>
          <w:noProof/>
          <w:lang w:val="fr-FR"/>
        </w:rPr>
        <w:drawing>
          <wp:inline distT="0" distB="0" distL="0" distR="0" wp14:anchorId="76143C14" wp14:editId="440016CC">
            <wp:extent cx="5400000" cy="972300"/>
            <wp:effectExtent l="0" t="0" r="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00" cy="972300"/>
                    </a:xfrm>
                    <a:prstGeom prst="rect">
                      <a:avLst/>
                    </a:prstGeom>
                    <a:noFill/>
                    <a:ln>
                      <a:noFill/>
                    </a:ln>
                  </pic:spPr>
                </pic:pic>
              </a:graphicData>
            </a:graphic>
          </wp:inline>
        </w:drawing>
      </w:r>
      <w:bookmarkEnd w:id="17"/>
    </w:p>
    <w:p w14:paraId="214A712D" w14:textId="400C564D" w:rsidR="00296F9D" w:rsidRPr="00F2629D" w:rsidRDefault="00296F9D" w:rsidP="0085417F">
      <w:pPr>
        <w:pStyle w:val="SingleTxtG"/>
        <w:jc w:val="right"/>
        <w:rPr>
          <w:lang w:val="fr-FR"/>
        </w:rPr>
      </w:pPr>
      <w:r w:rsidRPr="00F2629D">
        <w:rPr>
          <w:lang w:val="fr-FR"/>
        </w:rPr>
        <w:t>a = 8 mm min.</w:t>
      </w:r>
    </w:p>
    <w:p w14:paraId="3FE49A9F" w14:textId="2F6DB3FF" w:rsidR="00296F9D" w:rsidRPr="00F2629D" w:rsidRDefault="00296F9D" w:rsidP="00296F9D">
      <w:pPr>
        <w:pStyle w:val="SingleTxtG"/>
        <w:ind w:firstLine="567"/>
        <w:rPr>
          <w:i/>
          <w:iCs/>
          <w:snapToGrid w:val="0"/>
          <w:lang w:val="fr-FR"/>
        </w:rPr>
      </w:pPr>
      <w:r w:rsidRPr="00F2629D">
        <w:rPr>
          <w:lang w:val="fr-FR"/>
        </w:rPr>
        <w:t>La marque d’homologation ci-dessus, apposée sur un véhicule, indique que le type de ce véhicule a été homologué aux Pays-Bas (E 4) en application du Règlement ONU n</w:t>
      </w:r>
      <w:r w:rsidRPr="00F2629D">
        <w:rPr>
          <w:vertAlign w:val="superscript"/>
          <w:lang w:val="fr-FR"/>
        </w:rPr>
        <w:t>o</w:t>
      </w:r>
      <w:r w:rsidR="0085417F" w:rsidRPr="0085417F">
        <w:rPr>
          <w:lang w:val="fr-FR"/>
        </w:rPr>
        <w:t> </w:t>
      </w:r>
      <w:r w:rsidRPr="00F2629D">
        <w:rPr>
          <w:lang w:val="fr-FR"/>
        </w:rPr>
        <w:t>48 tel que modifié par la série 09 d’amendements et du Règlement ONU n</w:t>
      </w:r>
      <w:r w:rsidRPr="00F2629D">
        <w:rPr>
          <w:vertAlign w:val="superscript"/>
          <w:lang w:val="fr-FR"/>
        </w:rPr>
        <w:t>o</w:t>
      </w:r>
      <w:r w:rsidR="00F4358F">
        <w:rPr>
          <w:lang w:val="fr-FR"/>
        </w:rPr>
        <w:t> </w:t>
      </w:r>
      <w:r w:rsidRPr="00F2629D">
        <w:rPr>
          <w:lang w:val="fr-FR"/>
        </w:rPr>
        <w:t>33</w:t>
      </w:r>
      <w:r w:rsidR="00F4358F" w:rsidRPr="0035560C">
        <w:rPr>
          <w:rStyle w:val="Appelnotedebasdep"/>
        </w:rPr>
        <w:footnoteReference w:id="3"/>
      </w:r>
      <w:r w:rsidRPr="00F2629D">
        <w:rPr>
          <w:lang w:val="fr-FR"/>
        </w:rPr>
        <w:t xml:space="preserve">. Le numéro </w:t>
      </w:r>
      <w:r w:rsidRPr="00F2629D">
        <w:rPr>
          <w:lang w:val="fr-FR"/>
        </w:rPr>
        <w:lastRenderedPageBreak/>
        <w:t>d’homologation indique qu’aux dates auxquelles les homologations respectives ont été accordées, le Règlement ONU n</w:t>
      </w:r>
      <w:r w:rsidRPr="00F2629D">
        <w:rPr>
          <w:vertAlign w:val="superscript"/>
          <w:lang w:val="fr-FR"/>
        </w:rPr>
        <w:t>o</w:t>
      </w:r>
      <w:r w:rsidR="0085417F">
        <w:rPr>
          <w:lang w:val="fr-FR"/>
        </w:rPr>
        <w:t> </w:t>
      </w:r>
      <w:r w:rsidRPr="00F2629D">
        <w:rPr>
          <w:lang w:val="fr-FR"/>
        </w:rPr>
        <w:t>48 avait déjà été modifié par la série 09 d’amendements et le Règlement ONU n</w:t>
      </w:r>
      <w:r w:rsidRPr="00F2629D">
        <w:rPr>
          <w:vertAlign w:val="superscript"/>
          <w:lang w:val="fr-FR"/>
        </w:rPr>
        <w:t>o</w:t>
      </w:r>
      <w:r w:rsidR="0085417F">
        <w:rPr>
          <w:lang w:val="fr-FR"/>
        </w:rPr>
        <w:t> </w:t>
      </w:r>
      <w:r w:rsidRPr="00F2629D">
        <w:rPr>
          <w:lang w:val="fr-FR"/>
        </w:rPr>
        <w:t>33 n’avait pas encore été modifié. ».</w:t>
      </w:r>
    </w:p>
    <w:p w14:paraId="400CA658" w14:textId="44839701" w:rsidR="00296F9D" w:rsidRPr="00F2629D" w:rsidRDefault="00296F9D" w:rsidP="005429BD">
      <w:pPr>
        <w:pStyle w:val="SingleTxtG"/>
        <w:keepNext/>
        <w:rPr>
          <w:lang w:val="fr-FR"/>
        </w:rPr>
      </w:pPr>
      <w:r w:rsidRPr="00F2629D">
        <w:rPr>
          <w:i/>
          <w:iCs/>
          <w:lang w:val="fr-FR"/>
        </w:rPr>
        <w:t>Annexe 7, titre</w:t>
      </w:r>
      <w:r w:rsidRPr="00F2629D">
        <w:rPr>
          <w:lang w:val="fr-FR"/>
        </w:rPr>
        <w:t>, lire</w:t>
      </w:r>
      <w:r>
        <w:t> :</w:t>
      </w:r>
    </w:p>
    <w:p w14:paraId="40565CFA" w14:textId="787E8597" w:rsidR="00296F9D" w:rsidRPr="0085417F" w:rsidRDefault="0085417F" w:rsidP="005429BD">
      <w:pPr>
        <w:pStyle w:val="HChG"/>
        <w:keepNext w:val="0"/>
        <w:keepLines w:val="0"/>
        <w:spacing w:before="0" w:after="120" w:line="240" w:lineRule="atLeast"/>
        <w:rPr>
          <w:b w:val="0"/>
          <w:bCs/>
          <w:sz w:val="20"/>
          <w:lang w:val="fr-FR"/>
        </w:rPr>
      </w:pPr>
      <w:r w:rsidRPr="0085417F">
        <w:rPr>
          <w:b w:val="0"/>
          <w:bCs/>
          <w:sz w:val="20"/>
          <w:lang w:val="fr-FR"/>
        </w:rPr>
        <w:tab/>
      </w:r>
      <w:r w:rsidRPr="0085417F">
        <w:rPr>
          <w:b w:val="0"/>
          <w:bCs/>
          <w:sz w:val="20"/>
          <w:lang w:val="fr-FR"/>
        </w:rPr>
        <w:tab/>
      </w:r>
      <w:r w:rsidR="00296F9D" w:rsidRPr="0085417F">
        <w:rPr>
          <w:b w:val="0"/>
          <w:bCs/>
          <w:sz w:val="20"/>
          <w:lang w:val="fr-FR"/>
        </w:rPr>
        <w:t>« Indication de l’inclinaison vers le bas de la ligne de coupure du faisceau de croisement mentionnée au paragraphe 6.2.6.1.1 et de l’inclinaison vers le bas de la ligne de coupure du feu de brouillard avant mentionnée au paragraphe 6.3.6.1 du présent Règlement ».</w:t>
      </w:r>
    </w:p>
    <w:p w14:paraId="4C39C8F2" w14:textId="66C73E3C" w:rsidR="00296F9D" w:rsidRPr="00F2629D" w:rsidRDefault="00296F9D" w:rsidP="0085417F">
      <w:pPr>
        <w:pStyle w:val="SingleTxtG"/>
        <w:keepNext/>
        <w:rPr>
          <w:bCs/>
          <w:lang w:val="fr-FR"/>
        </w:rPr>
      </w:pPr>
      <w:r w:rsidRPr="00F2629D">
        <w:rPr>
          <w:i/>
          <w:iCs/>
          <w:lang w:val="fr-FR"/>
        </w:rPr>
        <w:t>Annexe 8</w:t>
      </w:r>
      <w:r w:rsidRPr="00F2629D">
        <w:rPr>
          <w:lang w:val="fr-FR"/>
        </w:rPr>
        <w:t>, lire</w:t>
      </w:r>
      <w:r>
        <w:rPr>
          <w:lang w:val="fr-FR"/>
        </w:rPr>
        <w:t> :</w:t>
      </w:r>
    </w:p>
    <w:p w14:paraId="5FDEDBDB" w14:textId="77777777" w:rsidR="00296F9D" w:rsidRPr="00F2629D" w:rsidRDefault="00296F9D" w:rsidP="00296F9D">
      <w:pPr>
        <w:pStyle w:val="SingleTxtG"/>
        <w:rPr>
          <w:bCs/>
          <w:lang w:val="fr-FR"/>
        </w:rPr>
      </w:pPr>
      <w:r w:rsidRPr="00F2629D">
        <w:rPr>
          <w:lang w:val="fr-FR"/>
        </w:rPr>
        <w:t>« Dispositifs de commande du réglage des feux visés au paragraphe 6.2.6.2.2 du présent Règlement</w:t>
      </w:r>
    </w:p>
    <w:p w14:paraId="03A548A3" w14:textId="2C7127D2" w:rsidR="00296F9D" w:rsidRPr="00F2629D" w:rsidRDefault="00296F9D" w:rsidP="00F4358F">
      <w:pPr>
        <w:pStyle w:val="SingleTxtG"/>
        <w:ind w:left="2268" w:right="992" w:hanging="1134"/>
        <w:rPr>
          <w:bCs/>
          <w:lang w:val="fr-FR"/>
        </w:rPr>
      </w:pPr>
      <w:r w:rsidRPr="00F2629D">
        <w:rPr>
          <w:lang w:val="fr-FR"/>
        </w:rPr>
        <w:t>1.</w:t>
      </w:r>
      <w:r w:rsidR="0085417F">
        <w:rPr>
          <w:lang w:val="fr-FR"/>
        </w:rPr>
        <w:tab/>
      </w:r>
      <w:r w:rsidRPr="00F4358F">
        <w:rPr>
          <w:lang w:val="fr-FR"/>
        </w:rPr>
        <w:t>Prescriptions</w:t>
      </w:r>
    </w:p>
    <w:p w14:paraId="0063A5CA" w14:textId="047DAC25" w:rsidR="00296F9D" w:rsidRDefault="00296F9D" w:rsidP="005429BD">
      <w:pPr>
        <w:pStyle w:val="SingleTxtG"/>
        <w:ind w:left="2268" w:hanging="1134"/>
        <w:rPr>
          <w:lang w:val="fr-FR"/>
        </w:rPr>
      </w:pPr>
      <w:r w:rsidRPr="00F2629D">
        <w:rPr>
          <w:lang w:val="fr-FR"/>
        </w:rPr>
        <w:t>1.1</w:t>
      </w:r>
      <w:r w:rsidR="0085417F">
        <w:rPr>
          <w:lang w:val="fr-FR"/>
        </w:rPr>
        <w:tab/>
      </w:r>
      <w:r w:rsidRPr="00296F9D">
        <w:t>L’inclinaison</w:t>
      </w:r>
      <w:r w:rsidRPr="00F2629D">
        <w:rPr>
          <w:lang w:val="fr-FR"/>
        </w:rPr>
        <w:t xml:space="preserve"> du faisceau de croisement doit être obtenue, en tout état de cause, par une commande simple dont le fonctionnement est clairement décrit dans le manuel du conducteur.</w:t>
      </w:r>
    </w:p>
    <w:p w14:paraId="17094C30" w14:textId="4A394932" w:rsidR="00296F9D" w:rsidRPr="00F2629D" w:rsidRDefault="00296F9D" w:rsidP="005429BD">
      <w:pPr>
        <w:pStyle w:val="SingleTxtG"/>
        <w:ind w:left="2268" w:hanging="1134"/>
        <w:rPr>
          <w:lang w:val="fr-FR"/>
        </w:rPr>
      </w:pPr>
      <w:r w:rsidRPr="00F2629D">
        <w:rPr>
          <w:lang w:val="fr-FR"/>
        </w:rPr>
        <w:t>1.1.1</w:t>
      </w:r>
      <w:r w:rsidR="0085417F">
        <w:rPr>
          <w:lang w:val="fr-FR"/>
        </w:rPr>
        <w:tab/>
      </w:r>
      <w:r w:rsidRPr="00F2629D">
        <w:rPr>
          <w:lang w:val="fr-FR"/>
        </w:rPr>
        <w:t xml:space="preserve">Ce </w:t>
      </w:r>
      <w:r w:rsidRPr="00F4358F">
        <w:rPr>
          <w:lang w:val="fr-FR"/>
        </w:rPr>
        <w:t>dispositif</w:t>
      </w:r>
      <w:r w:rsidRPr="00F2629D">
        <w:rPr>
          <w:lang w:val="fr-FR"/>
        </w:rPr>
        <w:t xml:space="preserve"> de commande doit être pourvu de symboles indiquant clairement les mouvements qui correspondent à l’orientation vers le bas et vers le haut du faisceau de croisement.</w:t>
      </w:r>
    </w:p>
    <w:p w14:paraId="5ABC9631" w14:textId="0051B62D" w:rsidR="00296F9D" w:rsidRPr="00F2629D" w:rsidRDefault="00296F9D" w:rsidP="005429BD">
      <w:pPr>
        <w:pStyle w:val="SingleTxtG"/>
        <w:ind w:left="2268" w:hanging="1134"/>
        <w:rPr>
          <w:lang w:val="fr-FR"/>
        </w:rPr>
      </w:pPr>
      <w:r w:rsidRPr="00F2629D">
        <w:rPr>
          <w:lang w:val="fr-FR"/>
        </w:rPr>
        <w:t>1.2</w:t>
      </w:r>
      <w:r w:rsidR="0085417F">
        <w:rPr>
          <w:lang w:val="fr-FR"/>
        </w:rPr>
        <w:tab/>
      </w:r>
      <w:r w:rsidRPr="00F2629D">
        <w:rPr>
          <w:lang w:val="fr-FR"/>
        </w:rPr>
        <w:t xml:space="preserve">La </w:t>
      </w:r>
      <w:r w:rsidRPr="00296F9D">
        <w:t>position</w:t>
      </w:r>
      <w:r w:rsidRPr="00F2629D">
        <w:rPr>
          <w:lang w:val="fr-FR"/>
        </w:rPr>
        <w:t xml:space="preserve"> “0” correspond à l’inclinaison initiale définie au paragraphe 6.2.6.1.1 du présent Règlement.</w:t>
      </w:r>
    </w:p>
    <w:p w14:paraId="0FDABDF4" w14:textId="77777777" w:rsidR="00296F9D" w:rsidRPr="00F2629D" w:rsidRDefault="00296F9D" w:rsidP="005429BD">
      <w:pPr>
        <w:pStyle w:val="SingleTxtG"/>
        <w:ind w:left="2268" w:hanging="1134"/>
        <w:rPr>
          <w:b/>
          <w:bCs/>
          <w:lang w:val="fr-FR"/>
        </w:rPr>
      </w:pPr>
      <w:r w:rsidRPr="00F2629D">
        <w:rPr>
          <w:lang w:val="fr-FR"/>
        </w:rPr>
        <w:t>1.3</w:t>
      </w:r>
      <w:r w:rsidRPr="00F2629D">
        <w:rPr>
          <w:lang w:val="fr-FR"/>
        </w:rPr>
        <w:tab/>
        <w:t xml:space="preserve">La position “0”, qui, conformément au paragraphe 6.2.6.2.2 du présent </w:t>
      </w:r>
      <w:r w:rsidRPr="00296F9D">
        <w:t>Règlement</w:t>
      </w:r>
      <w:r w:rsidRPr="00F2629D">
        <w:rPr>
          <w:lang w:val="fr-FR"/>
        </w:rPr>
        <w:t>, doit être une “position de repos”, ne doit pas nécessairement se trouver au bout de l’échelle. ».</w:t>
      </w:r>
    </w:p>
    <w:p w14:paraId="518B326B" w14:textId="77777777" w:rsidR="00296F9D" w:rsidRDefault="00296F9D" w:rsidP="0085417F">
      <w:pPr>
        <w:pStyle w:val="SingleTxtG"/>
        <w:keepNext/>
        <w:rPr>
          <w:lang w:val="fr-FR"/>
        </w:rPr>
      </w:pPr>
      <w:r w:rsidRPr="00296F9D">
        <w:rPr>
          <w:i/>
          <w:iCs/>
          <w:lang w:val="fr-FR"/>
        </w:rPr>
        <w:t xml:space="preserve">Annexe 9, </w:t>
      </w:r>
      <w:r w:rsidRPr="00296F9D">
        <w:rPr>
          <w:i/>
          <w:iCs/>
        </w:rPr>
        <w:t>paragraphes</w:t>
      </w:r>
      <w:r w:rsidRPr="00296F9D">
        <w:rPr>
          <w:i/>
          <w:iCs/>
          <w:lang w:val="fr-FR"/>
        </w:rPr>
        <w:t xml:space="preserve"> 1.3, 1.3.1 et 1.3.2</w:t>
      </w:r>
      <w:r w:rsidRPr="00F2629D">
        <w:rPr>
          <w:lang w:val="fr-FR"/>
        </w:rPr>
        <w:t>, lire</w:t>
      </w:r>
      <w:r>
        <w:t> :</w:t>
      </w:r>
    </w:p>
    <w:p w14:paraId="421989C2" w14:textId="09DBD51B" w:rsidR="00296F9D" w:rsidRPr="00F2629D" w:rsidRDefault="00296F9D" w:rsidP="005429BD">
      <w:pPr>
        <w:pStyle w:val="SingleTxtG"/>
        <w:ind w:left="2268" w:hanging="1134"/>
        <w:rPr>
          <w:lang w:val="fr-FR"/>
        </w:rPr>
      </w:pPr>
      <w:r w:rsidRPr="00F2629D">
        <w:rPr>
          <w:lang w:val="fr-FR"/>
        </w:rPr>
        <w:t>« 1.3</w:t>
      </w:r>
      <w:r w:rsidRPr="00F2629D">
        <w:rPr>
          <w:lang w:val="fr-FR"/>
        </w:rPr>
        <w:tab/>
      </w:r>
      <w:r w:rsidRPr="00F4358F">
        <w:rPr>
          <w:lang w:val="fr-FR"/>
        </w:rPr>
        <w:t>Orientation</w:t>
      </w:r>
      <w:r w:rsidRPr="00F2629D">
        <w:rPr>
          <w:lang w:val="fr-FR"/>
        </w:rPr>
        <w:t xml:space="preserve"> des feux de croisement et des feux de brouillard avant vers l’avant</w:t>
      </w:r>
    </w:p>
    <w:p w14:paraId="68C6A088" w14:textId="77777777" w:rsidR="00296F9D" w:rsidRPr="00F2629D" w:rsidRDefault="00296F9D" w:rsidP="005429BD">
      <w:pPr>
        <w:pStyle w:val="SingleTxtG"/>
        <w:ind w:left="2268" w:hanging="1134"/>
        <w:rPr>
          <w:lang w:val="fr-FR"/>
        </w:rPr>
      </w:pPr>
      <w:r w:rsidRPr="00F2629D">
        <w:rPr>
          <w:lang w:val="fr-FR"/>
        </w:rPr>
        <w:t>1.3.1</w:t>
      </w:r>
      <w:r w:rsidRPr="00F2629D">
        <w:rPr>
          <w:lang w:val="fr-FR"/>
        </w:rPr>
        <w:tab/>
      </w:r>
      <w:r w:rsidRPr="00F4358F">
        <w:rPr>
          <w:lang w:val="fr-FR"/>
        </w:rPr>
        <w:t>Inclinaison</w:t>
      </w:r>
      <w:r w:rsidRPr="00F2629D">
        <w:rPr>
          <w:lang w:val="fr-FR"/>
        </w:rPr>
        <w:t xml:space="preserve"> initiale vers le bas</w:t>
      </w:r>
    </w:p>
    <w:p w14:paraId="27095F12" w14:textId="77777777" w:rsidR="00296F9D" w:rsidRPr="00F2629D" w:rsidRDefault="00296F9D" w:rsidP="00296F9D">
      <w:pPr>
        <w:pStyle w:val="SingleTxtG"/>
        <w:ind w:left="2268"/>
        <w:rPr>
          <w:lang w:val="fr-FR"/>
        </w:rPr>
      </w:pPr>
      <w:r w:rsidRPr="00F2629D">
        <w:rPr>
          <w:lang w:val="fr-FR"/>
        </w:rPr>
        <w:t xml:space="preserve">La valeur </w:t>
      </w:r>
      <w:r w:rsidRPr="00296F9D">
        <w:t>initiale</w:t>
      </w:r>
      <w:r w:rsidRPr="00F2629D">
        <w:rPr>
          <w:lang w:val="fr-FR"/>
        </w:rPr>
        <w:t xml:space="preserve"> de l’inclinaison vers le bas de la ligne de coupure du faisceau de croisement et des feux de brouillard avant doit être réglée sur le chiffre indiqué sur la plaque, ainsi qu’il est prescrit et démontré dans l’annexe 7.</w:t>
      </w:r>
    </w:p>
    <w:p w14:paraId="2D90EAF7" w14:textId="77777777" w:rsidR="00296F9D" w:rsidRPr="00F2629D" w:rsidRDefault="00296F9D" w:rsidP="00296F9D">
      <w:pPr>
        <w:pStyle w:val="SingleTxtG"/>
        <w:ind w:left="2268"/>
        <w:rPr>
          <w:i/>
          <w:lang w:val="fr-FR"/>
        </w:rPr>
      </w:pPr>
      <w:r w:rsidRPr="00F2629D">
        <w:rPr>
          <w:lang w:val="fr-FR"/>
        </w:rPr>
        <w:t xml:space="preserve">Le </w:t>
      </w:r>
      <w:r w:rsidRPr="00296F9D">
        <w:t>fabricant</w:t>
      </w:r>
      <w:r w:rsidRPr="00F2629D">
        <w:rPr>
          <w:lang w:val="fr-FR"/>
        </w:rPr>
        <w:t xml:space="preserve"> peut aussi régler l’orientation initiale sur un chiffre différent de celui indiqué sur la plaque, s’il peut être démontré que ce chiffre est représentatif du type homologué lors d’essais effectués conformément aux procédures indiquées dans l’annexe 6 et en particulier au paragraphe 4.1.</w:t>
      </w:r>
    </w:p>
    <w:p w14:paraId="2B92CCC4" w14:textId="77777777" w:rsidR="00296F9D" w:rsidRPr="00F2629D" w:rsidRDefault="00296F9D" w:rsidP="005429BD">
      <w:pPr>
        <w:pStyle w:val="SingleTxtG"/>
        <w:ind w:left="2268" w:hanging="1134"/>
        <w:rPr>
          <w:lang w:val="fr-FR"/>
        </w:rPr>
      </w:pPr>
      <w:r w:rsidRPr="00F2629D">
        <w:rPr>
          <w:lang w:val="fr-FR"/>
        </w:rPr>
        <w:t>1.3.2</w:t>
      </w:r>
      <w:r w:rsidRPr="00F2629D">
        <w:rPr>
          <w:lang w:val="fr-FR"/>
        </w:rPr>
        <w:tab/>
      </w:r>
      <w:r w:rsidRPr="00F4358F">
        <w:rPr>
          <w:lang w:val="fr-FR"/>
        </w:rPr>
        <w:t>Variations</w:t>
      </w:r>
      <w:r w:rsidRPr="00F2629D">
        <w:rPr>
          <w:lang w:val="fr-FR"/>
        </w:rPr>
        <w:t xml:space="preserve"> de l’inclinaison en fonction de la charge</w:t>
      </w:r>
    </w:p>
    <w:p w14:paraId="39C6362C" w14:textId="7D74649C" w:rsidR="00296F9D" w:rsidRPr="0085417F" w:rsidRDefault="00296F9D" w:rsidP="00296F9D">
      <w:pPr>
        <w:pStyle w:val="SingleTxtG"/>
        <w:ind w:left="2268"/>
        <w:rPr>
          <w:bCs/>
          <w:lang w:val="fr-FR"/>
        </w:rPr>
      </w:pPr>
      <w:r w:rsidRPr="00F2629D">
        <w:rPr>
          <w:lang w:val="fr-FR"/>
        </w:rPr>
        <w:t xml:space="preserve">La variation de </w:t>
      </w:r>
      <w:r w:rsidRPr="00296F9D">
        <w:t>l’inclinaison</w:t>
      </w:r>
      <w:r w:rsidRPr="00F2629D">
        <w:rPr>
          <w:lang w:val="fr-FR"/>
        </w:rPr>
        <w:t xml:space="preserve"> vers le bas du faisceau de croisement en fonction de la charge spécifiée dans le présent paragraphe doit rester comprise dans les limites suivantes</w:t>
      </w:r>
      <w:r>
        <w:t> :</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2126"/>
        <w:gridCol w:w="2126"/>
      </w:tblGrid>
      <w:tr w:rsidR="00296F9D" w:rsidRPr="00F2629D" w14:paraId="529C06AF" w14:textId="77777777" w:rsidTr="00EC52EE">
        <w:tc>
          <w:tcPr>
            <w:tcW w:w="1985" w:type="dxa"/>
            <w:tcBorders>
              <w:bottom w:val="single" w:sz="12" w:space="0" w:color="auto"/>
            </w:tcBorders>
            <w:vAlign w:val="center"/>
            <w:hideMark/>
          </w:tcPr>
          <w:p w14:paraId="04190DF4" w14:textId="77777777" w:rsidR="00296F9D" w:rsidRPr="00F2629D" w:rsidRDefault="00296F9D" w:rsidP="0085417F">
            <w:pPr>
              <w:spacing w:before="80" w:after="80" w:line="200" w:lineRule="atLeast"/>
              <w:jc w:val="center"/>
              <w:rPr>
                <w:i/>
                <w:iCs/>
                <w:sz w:val="16"/>
                <w:szCs w:val="16"/>
                <w:lang w:val="fr-FR"/>
              </w:rPr>
            </w:pPr>
            <w:r w:rsidRPr="00F2629D">
              <w:rPr>
                <w:i/>
                <w:iCs/>
                <w:sz w:val="16"/>
                <w:szCs w:val="16"/>
                <w:lang w:val="fr-FR"/>
              </w:rPr>
              <w:t>Hauteur de montage h [m]</w:t>
            </w:r>
          </w:p>
        </w:tc>
        <w:tc>
          <w:tcPr>
            <w:tcW w:w="2126" w:type="dxa"/>
            <w:tcBorders>
              <w:bottom w:val="single" w:sz="12" w:space="0" w:color="auto"/>
            </w:tcBorders>
            <w:vAlign w:val="center"/>
            <w:hideMark/>
          </w:tcPr>
          <w:p w14:paraId="36BD6947" w14:textId="53FAD1E6" w:rsidR="00296F9D" w:rsidRPr="00F2629D" w:rsidRDefault="00296F9D" w:rsidP="0085417F">
            <w:pPr>
              <w:spacing w:before="80" w:after="80" w:line="200" w:lineRule="atLeast"/>
              <w:jc w:val="center"/>
              <w:rPr>
                <w:i/>
                <w:iCs/>
                <w:sz w:val="16"/>
                <w:szCs w:val="16"/>
                <w:lang w:val="fr-FR"/>
              </w:rPr>
            </w:pPr>
            <w:r w:rsidRPr="00F2629D">
              <w:rPr>
                <w:i/>
                <w:iCs/>
                <w:sz w:val="16"/>
                <w:szCs w:val="16"/>
                <w:lang w:val="fr-FR"/>
              </w:rPr>
              <w:t>Limite supérieure d’inclinaison</w:t>
            </w:r>
            <w:r w:rsidR="0035560C">
              <w:rPr>
                <w:i/>
                <w:iCs/>
                <w:sz w:val="16"/>
                <w:szCs w:val="16"/>
                <w:lang w:val="fr-FR"/>
              </w:rPr>
              <w:br/>
            </w:r>
            <w:r w:rsidRPr="00F2629D">
              <w:rPr>
                <w:i/>
                <w:iCs/>
                <w:sz w:val="16"/>
                <w:szCs w:val="16"/>
                <w:lang w:val="fr-FR"/>
              </w:rPr>
              <w:t>[en pourcentage]</w:t>
            </w:r>
          </w:p>
        </w:tc>
        <w:tc>
          <w:tcPr>
            <w:tcW w:w="2126" w:type="dxa"/>
            <w:tcBorders>
              <w:bottom w:val="single" w:sz="12" w:space="0" w:color="auto"/>
            </w:tcBorders>
            <w:vAlign w:val="center"/>
            <w:hideMark/>
          </w:tcPr>
          <w:p w14:paraId="145316BD" w14:textId="0E6AA4E6" w:rsidR="00296F9D" w:rsidRPr="00F2629D" w:rsidRDefault="00296F9D" w:rsidP="0085417F">
            <w:pPr>
              <w:spacing w:before="80" w:after="80" w:line="200" w:lineRule="atLeast"/>
              <w:jc w:val="center"/>
              <w:rPr>
                <w:i/>
                <w:iCs/>
                <w:sz w:val="16"/>
                <w:szCs w:val="16"/>
                <w:lang w:val="fr-FR"/>
              </w:rPr>
            </w:pPr>
            <w:r w:rsidRPr="00F2629D">
              <w:rPr>
                <w:i/>
                <w:iCs/>
                <w:sz w:val="16"/>
                <w:szCs w:val="16"/>
                <w:lang w:val="fr-FR"/>
              </w:rPr>
              <w:t>Limite inférieure d’inclinaison</w:t>
            </w:r>
            <w:r w:rsidR="0035560C">
              <w:rPr>
                <w:i/>
                <w:iCs/>
                <w:sz w:val="16"/>
                <w:szCs w:val="16"/>
                <w:lang w:val="fr-FR"/>
              </w:rPr>
              <w:br/>
            </w:r>
            <w:r w:rsidRPr="00F2629D">
              <w:rPr>
                <w:i/>
                <w:iCs/>
                <w:sz w:val="16"/>
                <w:szCs w:val="16"/>
                <w:lang w:val="fr-FR"/>
              </w:rPr>
              <w:t>[en pourcentage]</w:t>
            </w:r>
          </w:p>
        </w:tc>
      </w:tr>
      <w:tr w:rsidR="00296F9D" w:rsidRPr="00F2629D" w14:paraId="169A5ED2" w14:textId="77777777" w:rsidTr="00EC52EE">
        <w:tc>
          <w:tcPr>
            <w:tcW w:w="1985" w:type="dxa"/>
            <w:tcBorders>
              <w:top w:val="single" w:sz="12" w:space="0" w:color="auto"/>
            </w:tcBorders>
            <w:vAlign w:val="center"/>
            <w:hideMark/>
          </w:tcPr>
          <w:p w14:paraId="46B93FFD" w14:textId="77777777" w:rsidR="00296F9D" w:rsidRPr="00F2629D" w:rsidRDefault="00296F9D" w:rsidP="0085417F">
            <w:pPr>
              <w:spacing w:before="80" w:after="80" w:line="200" w:lineRule="atLeast"/>
              <w:jc w:val="center"/>
              <w:rPr>
                <w:sz w:val="18"/>
                <w:szCs w:val="18"/>
                <w:lang w:val="fr-FR"/>
              </w:rPr>
            </w:pPr>
            <w:r w:rsidRPr="00F2629D">
              <w:rPr>
                <w:lang w:val="fr-FR"/>
              </w:rPr>
              <w:t>0,5 ≤ h ≤ 0,9</w:t>
            </w:r>
          </w:p>
        </w:tc>
        <w:tc>
          <w:tcPr>
            <w:tcW w:w="2126" w:type="dxa"/>
            <w:tcBorders>
              <w:top w:val="single" w:sz="12" w:space="0" w:color="auto"/>
            </w:tcBorders>
            <w:vAlign w:val="center"/>
            <w:hideMark/>
          </w:tcPr>
          <w:p w14:paraId="4BD8B3A3" w14:textId="77777777" w:rsidR="00296F9D" w:rsidRPr="00F2629D" w:rsidRDefault="00296F9D" w:rsidP="0085417F">
            <w:pPr>
              <w:spacing w:before="80" w:after="80" w:line="200" w:lineRule="atLeast"/>
              <w:jc w:val="center"/>
              <w:rPr>
                <w:sz w:val="18"/>
                <w:szCs w:val="18"/>
                <w:lang w:val="fr-FR"/>
              </w:rPr>
            </w:pPr>
            <w:r w:rsidRPr="00F2629D">
              <w:rPr>
                <w:lang w:val="fr-FR"/>
              </w:rPr>
              <w:t>-0,50</w:t>
            </w:r>
          </w:p>
        </w:tc>
        <w:tc>
          <w:tcPr>
            <w:tcW w:w="2126" w:type="dxa"/>
            <w:tcBorders>
              <w:top w:val="single" w:sz="12" w:space="0" w:color="auto"/>
            </w:tcBorders>
            <w:vAlign w:val="center"/>
            <w:hideMark/>
          </w:tcPr>
          <w:p w14:paraId="53704F2D" w14:textId="77777777" w:rsidR="00296F9D" w:rsidRPr="00F2629D" w:rsidRDefault="00296F9D" w:rsidP="0085417F">
            <w:pPr>
              <w:spacing w:before="80" w:after="80" w:line="200" w:lineRule="atLeast"/>
              <w:jc w:val="center"/>
              <w:rPr>
                <w:sz w:val="18"/>
                <w:szCs w:val="18"/>
                <w:lang w:val="fr-FR"/>
              </w:rPr>
            </w:pPr>
            <w:r w:rsidRPr="00F2629D">
              <w:rPr>
                <w:lang w:val="fr-FR"/>
              </w:rPr>
              <w:t>- (h + 1,2)</w:t>
            </w:r>
          </w:p>
        </w:tc>
      </w:tr>
      <w:tr w:rsidR="00296F9D" w:rsidRPr="00F2629D" w14:paraId="6F286B8F" w14:textId="77777777" w:rsidTr="00EC52EE">
        <w:tc>
          <w:tcPr>
            <w:tcW w:w="1985" w:type="dxa"/>
            <w:tcBorders>
              <w:bottom w:val="single" w:sz="4" w:space="0" w:color="auto"/>
            </w:tcBorders>
            <w:vAlign w:val="center"/>
            <w:hideMark/>
          </w:tcPr>
          <w:p w14:paraId="3B34603A" w14:textId="77777777" w:rsidR="00296F9D" w:rsidRPr="00F2629D" w:rsidRDefault="00296F9D" w:rsidP="0085417F">
            <w:pPr>
              <w:spacing w:before="80" w:after="80" w:line="200" w:lineRule="atLeast"/>
              <w:jc w:val="center"/>
              <w:rPr>
                <w:sz w:val="18"/>
                <w:szCs w:val="18"/>
                <w:lang w:val="fr-FR"/>
              </w:rPr>
            </w:pPr>
            <w:r w:rsidRPr="00F2629D">
              <w:rPr>
                <w:lang w:val="fr-FR"/>
              </w:rPr>
              <w:t>0,9 &lt; h ≤ 1,2</w:t>
            </w:r>
          </w:p>
        </w:tc>
        <w:tc>
          <w:tcPr>
            <w:tcW w:w="2126" w:type="dxa"/>
            <w:vMerge w:val="restart"/>
            <w:shd w:val="clear" w:color="auto" w:fill="auto"/>
            <w:vAlign w:val="center"/>
          </w:tcPr>
          <w:p w14:paraId="635C64EA" w14:textId="77777777" w:rsidR="00296F9D" w:rsidRPr="00F2629D" w:rsidRDefault="00296F9D" w:rsidP="0085417F">
            <w:pPr>
              <w:spacing w:before="80" w:after="80" w:line="200" w:lineRule="atLeast"/>
              <w:jc w:val="center"/>
              <w:rPr>
                <w:sz w:val="18"/>
                <w:szCs w:val="18"/>
                <w:lang w:val="fr-FR"/>
              </w:rPr>
            </w:pPr>
            <w:r w:rsidRPr="00F2629D">
              <w:rPr>
                <w:lang w:val="fr-FR"/>
              </w:rPr>
              <w:t>- (h x 2,17 - 1,45)</w:t>
            </w:r>
          </w:p>
        </w:tc>
        <w:tc>
          <w:tcPr>
            <w:tcW w:w="2126" w:type="dxa"/>
            <w:vMerge w:val="restart"/>
            <w:shd w:val="clear" w:color="auto" w:fill="auto"/>
            <w:vAlign w:val="center"/>
          </w:tcPr>
          <w:p w14:paraId="6A9848A9" w14:textId="77777777" w:rsidR="00296F9D" w:rsidRPr="00F2629D" w:rsidRDefault="00296F9D" w:rsidP="0085417F">
            <w:pPr>
              <w:spacing w:before="80" w:after="80" w:line="200" w:lineRule="atLeast"/>
              <w:jc w:val="center"/>
              <w:rPr>
                <w:sz w:val="18"/>
                <w:szCs w:val="18"/>
                <w:lang w:val="fr-FR"/>
              </w:rPr>
            </w:pPr>
            <w:r w:rsidRPr="00F2629D">
              <w:rPr>
                <w:lang w:val="fr-FR"/>
              </w:rPr>
              <w:t>- (h x 2,17 + 0,15)</w:t>
            </w:r>
          </w:p>
        </w:tc>
      </w:tr>
      <w:tr w:rsidR="00296F9D" w:rsidRPr="00F2629D" w14:paraId="374A9C84" w14:textId="77777777" w:rsidTr="00EC52EE">
        <w:tc>
          <w:tcPr>
            <w:tcW w:w="1985" w:type="dxa"/>
            <w:tcBorders>
              <w:bottom w:val="single" w:sz="12" w:space="0" w:color="auto"/>
            </w:tcBorders>
            <w:vAlign w:val="center"/>
            <w:hideMark/>
          </w:tcPr>
          <w:p w14:paraId="7CB349ED" w14:textId="77777777" w:rsidR="00296F9D" w:rsidRPr="00F2629D" w:rsidRDefault="00296F9D" w:rsidP="0085417F">
            <w:pPr>
              <w:spacing w:before="80" w:after="80" w:line="200" w:lineRule="atLeast"/>
              <w:jc w:val="center"/>
              <w:rPr>
                <w:sz w:val="18"/>
                <w:szCs w:val="18"/>
                <w:lang w:val="fr-FR"/>
              </w:rPr>
            </w:pPr>
            <w:r w:rsidRPr="00F2629D">
              <w:rPr>
                <w:lang w:val="fr-FR"/>
              </w:rPr>
              <w:t>1,2 &lt; h ≤ 1,5</w:t>
            </w:r>
          </w:p>
        </w:tc>
        <w:tc>
          <w:tcPr>
            <w:tcW w:w="2126" w:type="dxa"/>
            <w:vMerge/>
            <w:tcBorders>
              <w:bottom w:val="single" w:sz="12" w:space="0" w:color="auto"/>
            </w:tcBorders>
            <w:shd w:val="clear" w:color="auto" w:fill="auto"/>
            <w:vAlign w:val="center"/>
          </w:tcPr>
          <w:p w14:paraId="05280868" w14:textId="77777777" w:rsidR="00296F9D" w:rsidRPr="00F2629D" w:rsidRDefault="00296F9D" w:rsidP="0085417F">
            <w:pPr>
              <w:spacing w:before="80" w:after="80" w:line="200" w:lineRule="atLeast"/>
              <w:jc w:val="center"/>
              <w:rPr>
                <w:sz w:val="18"/>
                <w:szCs w:val="18"/>
                <w:lang w:val="fr-FR"/>
              </w:rPr>
            </w:pPr>
          </w:p>
        </w:tc>
        <w:tc>
          <w:tcPr>
            <w:tcW w:w="2126" w:type="dxa"/>
            <w:vMerge/>
            <w:tcBorders>
              <w:bottom w:val="single" w:sz="12" w:space="0" w:color="auto"/>
            </w:tcBorders>
            <w:shd w:val="clear" w:color="auto" w:fill="auto"/>
            <w:vAlign w:val="center"/>
          </w:tcPr>
          <w:p w14:paraId="6BD72245" w14:textId="77777777" w:rsidR="00296F9D" w:rsidRPr="00F2629D" w:rsidRDefault="00296F9D" w:rsidP="0085417F">
            <w:pPr>
              <w:spacing w:before="80" w:after="80" w:line="200" w:lineRule="atLeast"/>
              <w:jc w:val="center"/>
              <w:rPr>
                <w:sz w:val="18"/>
                <w:szCs w:val="18"/>
                <w:lang w:val="fr-FR"/>
              </w:rPr>
            </w:pPr>
          </w:p>
        </w:tc>
      </w:tr>
    </w:tbl>
    <w:p w14:paraId="446339B6" w14:textId="699B5F76" w:rsidR="00296F9D" w:rsidRPr="00F2629D" w:rsidRDefault="00296F9D" w:rsidP="00F4358F">
      <w:pPr>
        <w:pStyle w:val="SingleTxtG"/>
        <w:spacing w:before="120"/>
        <w:ind w:left="2268"/>
        <w:rPr>
          <w:strike/>
          <w:lang w:val="fr-FR"/>
        </w:rPr>
      </w:pPr>
      <w:r w:rsidRPr="00F2629D">
        <w:rPr>
          <w:lang w:val="fr-FR"/>
        </w:rPr>
        <w:t>Pour les feux de brouillard avant munis d’une ou de plusieurs sources lumineuses dont le flux lumineux normal total dépasse 2</w:t>
      </w:r>
      <w:r w:rsidR="0085417F">
        <w:rPr>
          <w:lang w:val="fr-FR"/>
        </w:rPr>
        <w:t> </w:t>
      </w:r>
      <w:r w:rsidRPr="00F2629D">
        <w:rPr>
          <w:lang w:val="fr-FR"/>
        </w:rPr>
        <w:t>000</w:t>
      </w:r>
      <w:r w:rsidR="0085417F">
        <w:rPr>
          <w:lang w:val="fr-FR"/>
        </w:rPr>
        <w:t xml:space="preserve"> </w:t>
      </w:r>
      <w:r w:rsidRPr="00F2629D">
        <w:rPr>
          <w:lang w:val="fr-FR"/>
        </w:rPr>
        <w:t>lm, la variation de l’inclinaison vers le bas en fonction de la charge spécifiée dans le présent paragraphe doit rester comprise dans les limites suivantes</w:t>
      </w:r>
      <w:r>
        <w:t> :</w:t>
      </w:r>
    </w:p>
    <w:p w14:paraId="2DA9D914" w14:textId="2E89B2ED" w:rsidR="00296F9D" w:rsidRPr="00F2629D" w:rsidRDefault="00296F9D" w:rsidP="00296F9D">
      <w:pPr>
        <w:pStyle w:val="SingleTxtG"/>
        <w:ind w:left="2268"/>
        <w:rPr>
          <w:bCs/>
          <w:lang w:val="fr-FR"/>
        </w:rPr>
      </w:pPr>
      <w:r w:rsidRPr="00F2629D">
        <w:rPr>
          <w:lang w:val="fr-FR"/>
        </w:rPr>
        <w:t>h ≤ 0,8</w:t>
      </w:r>
      <w:r>
        <w:t> :</w:t>
      </w:r>
      <w:r w:rsidRPr="00F2629D">
        <w:rPr>
          <w:lang w:val="fr-FR"/>
        </w:rPr>
        <w:t xml:space="preserve"> 0,7</w:t>
      </w:r>
      <w:r w:rsidR="0035560C">
        <w:rPr>
          <w:lang w:val="fr-FR"/>
        </w:rPr>
        <w:t> %</w:t>
      </w:r>
      <w:r w:rsidRPr="00F2629D">
        <w:rPr>
          <w:lang w:val="fr-FR"/>
        </w:rPr>
        <w:t xml:space="preserve"> pour la limite minimale de l’inclinaison verticale et 3,3</w:t>
      </w:r>
      <w:r w:rsidR="0035560C">
        <w:rPr>
          <w:lang w:val="fr-FR"/>
        </w:rPr>
        <w:t> %</w:t>
      </w:r>
      <w:r w:rsidRPr="00F2629D">
        <w:rPr>
          <w:lang w:val="fr-FR"/>
        </w:rPr>
        <w:t xml:space="preserve"> pour la limite maximale de l’inclinaison verticale</w:t>
      </w:r>
      <w:r>
        <w:t> ;</w:t>
      </w:r>
    </w:p>
    <w:p w14:paraId="67F9A590" w14:textId="6D9B0AB2" w:rsidR="00296F9D" w:rsidRPr="00F2629D" w:rsidRDefault="00296F9D" w:rsidP="00296F9D">
      <w:pPr>
        <w:pStyle w:val="SingleTxtG"/>
        <w:ind w:left="2268"/>
        <w:rPr>
          <w:bCs/>
          <w:lang w:val="fr-FR"/>
        </w:rPr>
      </w:pPr>
      <w:r w:rsidRPr="00F2629D">
        <w:rPr>
          <w:lang w:val="fr-FR"/>
        </w:rPr>
        <w:lastRenderedPageBreak/>
        <w:t>h &gt; 0,8</w:t>
      </w:r>
      <w:r>
        <w:t> :</w:t>
      </w:r>
      <w:r w:rsidRPr="00F2629D">
        <w:rPr>
          <w:lang w:val="fr-FR"/>
        </w:rPr>
        <w:t xml:space="preserve"> 1,2</w:t>
      </w:r>
      <w:r w:rsidR="0035560C">
        <w:rPr>
          <w:lang w:val="fr-FR"/>
        </w:rPr>
        <w:t> %</w:t>
      </w:r>
      <w:r w:rsidRPr="00F2629D">
        <w:rPr>
          <w:lang w:val="fr-FR"/>
        </w:rPr>
        <w:t xml:space="preserve"> pour la limite minimale de l’inclinaison verticale et 3,8</w:t>
      </w:r>
      <w:r w:rsidR="0035560C">
        <w:rPr>
          <w:lang w:val="fr-FR"/>
        </w:rPr>
        <w:t> %</w:t>
      </w:r>
      <w:r w:rsidRPr="00F2629D">
        <w:rPr>
          <w:lang w:val="fr-FR"/>
        </w:rPr>
        <w:t xml:space="preserve"> pour la limite maximale de l’inclinaison verticale.</w:t>
      </w:r>
    </w:p>
    <w:p w14:paraId="017CC8BF" w14:textId="77777777" w:rsidR="0035560C" w:rsidRDefault="00296F9D" w:rsidP="00296F9D">
      <w:pPr>
        <w:pStyle w:val="SingleTxtG"/>
        <w:ind w:left="2268"/>
      </w:pPr>
      <w:r w:rsidRPr="00F2629D">
        <w:t>Les états de charge à utiliser seront les suivants, comme indiqué à l’annexe 5 du présent Règlement, pour tous les systèmes réglés en conséquence. ».</w:t>
      </w:r>
    </w:p>
    <w:p w14:paraId="7F864D55" w14:textId="26A43B02" w:rsidR="00F9573C" w:rsidRPr="00296F9D" w:rsidRDefault="00296F9D" w:rsidP="00296F9D">
      <w:pPr>
        <w:pStyle w:val="SingleTxtG"/>
        <w:spacing w:before="240" w:after="0"/>
        <w:jc w:val="center"/>
        <w:rPr>
          <w:u w:val="single"/>
        </w:rPr>
      </w:pPr>
      <w:r>
        <w:rPr>
          <w:u w:val="single"/>
        </w:rPr>
        <w:tab/>
      </w:r>
      <w:r w:rsidR="0035560C">
        <w:rPr>
          <w:u w:val="single"/>
        </w:rPr>
        <w:tab/>
      </w:r>
      <w:r w:rsidR="0035560C">
        <w:rPr>
          <w:u w:val="single"/>
        </w:rPr>
        <w:tab/>
      </w:r>
      <w:r w:rsidR="0035560C">
        <w:rPr>
          <w:u w:val="single"/>
        </w:rPr>
        <w:tab/>
      </w:r>
    </w:p>
    <w:sectPr w:rsidR="00F9573C" w:rsidRPr="00296F9D" w:rsidSect="00B91F0D">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F2DC" w14:textId="77777777" w:rsidR="00A43B5E" w:rsidRDefault="00A43B5E" w:rsidP="00F95C08">
      <w:pPr>
        <w:spacing w:line="240" w:lineRule="auto"/>
      </w:pPr>
    </w:p>
  </w:endnote>
  <w:endnote w:type="continuationSeparator" w:id="0">
    <w:p w14:paraId="4ABE71D3" w14:textId="77777777" w:rsidR="00A43B5E" w:rsidRPr="00AC3823" w:rsidRDefault="00A43B5E" w:rsidP="00AC3823">
      <w:pPr>
        <w:pStyle w:val="Pieddepage"/>
      </w:pPr>
    </w:p>
  </w:endnote>
  <w:endnote w:type="continuationNotice" w:id="1">
    <w:p w14:paraId="2C0B0472" w14:textId="77777777" w:rsidR="00A43B5E" w:rsidRDefault="00A43B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3083" w14:textId="57ECEFAD" w:rsidR="00B91F0D" w:rsidRPr="00B91F0D" w:rsidRDefault="00B91F0D" w:rsidP="00B91F0D">
    <w:pPr>
      <w:pStyle w:val="Pieddepage"/>
      <w:tabs>
        <w:tab w:val="right" w:pos="9638"/>
      </w:tabs>
    </w:pPr>
    <w:r w:rsidRPr="00B91F0D">
      <w:rPr>
        <w:b/>
        <w:sz w:val="18"/>
      </w:rPr>
      <w:fldChar w:fldCharType="begin"/>
    </w:r>
    <w:r w:rsidRPr="00B91F0D">
      <w:rPr>
        <w:b/>
        <w:sz w:val="18"/>
      </w:rPr>
      <w:instrText xml:space="preserve"> PAGE  \* MERGEFORMAT </w:instrText>
    </w:r>
    <w:r w:rsidRPr="00B91F0D">
      <w:rPr>
        <w:b/>
        <w:sz w:val="18"/>
      </w:rPr>
      <w:fldChar w:fldCharType="separate"/>
    </w:r>
    <w:r w:rsidRPr="00B91F0D">
      <w:rPr>
        <w:b/>
        <w:noProof/>
        <w:sz w:val="18"/>
      </w:rPr>
      <w:t>2</w:t>
    </w:r>
    <w:r w:rsidRPr="00B91F0D">
      <w:rPr>
        <w:b/>
        <w:sz w:val="18"/>
      </w:rPr>
      <w:fldChar w:fldCharType="end"/>
    </w:r>
    <w:r>
      <w:rPr>
        <w:b/>
        <w:sz w:val="18"/>
      </w:rPr>
      <w:tab/>
    </w:r>
    <w:r>
      <w:t>GE.23-25736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36B1" w14:textId="66A4ECD3" w:rsidR="00B91F0D" w:rsidRPr="00B91F0D" w:rsidRDefault="00B91F0D" w:rsidP="00B91F0D">
    <w:pPr>
      <w:pStyle w:val="Pieddepage"/>
      <w:tabs>
        <w:tab w:val="right" w:pos="9638"/>
      </w:tabs>
      <w:rPr>
        <w:b/>
        <w:sz w:val="18"/>
      </w:rPr>
    </w:pPr>
    <w:r>
      <w:t>GE.23-25736</w:t>
    </w:r>
    <w:r>
      <w:tab/>
    </w:r>
    <w:r w:rsidRPr="00B91F0D">
      <w:rPr>
        <w:b/>
        <w:sz w:val="18"/>
      </w:rPr>
      <w:fldChar w:fldCharType="begin"/>
    </w:r>
    <w:r w:rsidRPr="00B91F0D">
      <w:rPr>
        <w:b/>
        <w:sz w:val="18"/>
      </w:rPr>
      <w:instrText xml:space="preserve"> PAGE  \* MERGEFORMAT </w:instrText>
    </w:r>
    <w:r w:rsidRPr="00B91F0D">
      <w:rPr>
        <w:b/>
        <w:sz w:val="18"/>
      </w:rPr>
      <w:fldChar w:fldCharType="separate"/>
    </w:r>
    <w:r w:rsidRPr="00B91F0D">
      <w:rPr>
        <w:b/>
        <w:noProof/>
        <w:sz w:val="18"/>
      </w:rPr>
      <w:t>3</w:t>
    </w:r>
    <w:r w:rsidRPr="00B91F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4710" w14:textId="3A5C2A21" w:rsidR="007F20FA" w:rsidRPr="00B91F0D" w:rsidRDefault="00B91F0D" w:rsidP="00B91F0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D05718C" wp14:editId="5AC7CE7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23-25736  (F)</w:t>
    </w:r>
    <w:r>
      <w:rPr>
        <w:noProof/>
        <w:sz w:val="20"/>
      </w:rPr>
      <w:drawing>
        <wp:anchor distT="0" distB="0" distL="114300" distR="114300" simplePos="0" relativeHeight="251660288" behindDoc="0" locked="0" layoutInCell="1" allowOverlap="1" wp14:anchorId="446DD1D6" wp14:editId="40E7712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050124    0</w:t>
    </w:r>
    <w:r w:rsidR="00DD31CF">
      <w:rPr>
        <w:sz w:val="20"/>
      </w:rPr>
      <w:t>8</w:t>
    </w:r>
    <w:r>
      <w:rPr>
        <w:sz w:val="20"/>
      </w:rPr>
      <w:t>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09D5" w14:textId="77777777" w:rsidR="00A43B5E" w:rsidRPr="00AC3823" w:rsidRDefault="00A43B5E" w:rsidP="00AC3823">
      <w:pPr>
        <w:pStyle w:val="Pieddepage"/>
        <w:tabs>
          <w:tab w:val="right" w:pos="2155"/>
        </w:tabs>
        <w:spacing w:after="80" w:line="240" w:lineRule="atLeast"/>
        <w:ind w:left="680"/>
        <w:rPr>
          <w:u w:val="single"/>
        </w:rPr>
      </w:pPr>
      <w:r>
        <w:rPr>
          <w:u w:val="single"/>
        </w:rPr>
        <w:tab/>
      </w:r>
    </w:p>
  </w:footnote>
  <w:footnote w:type="continuationSeparator" w:id="0">
    <w:p w14:paraId="691C3137" w14:textId="77777777" w:rsidR="00A43B5E" w:rsidRPr="00AC3823" w:rsidRDefault="00A43B5E" w:rsidP="00AC3823">
      <w:pPr>
        <w:pStyle w:val="Pieddepage"/>
        <w:tabs>
          <w:tab w:val="right" w:pos="2155"/>
        </w:tabs>
        <w:spacing w:after="80" w:line="240" w:lineRule="atLeast"/>
        <w:ind w:left="680"/>
        <w:rPr>
          <w:u w:val="single"/>
        </w:rPr>
      </w:pPr>
      <w:r>
        <w:rPr>
          <w:u w:val="single"/>
        </w:rPr>
        <w:tab/>
      </w:r>
    </w:p>
  </w:footnote>
  <w:footnote w:type="continuationNotice" w:id="1">
    <w:p w14:paraId="7DF02B85" w14:textId="77777777" w:rsidR="00A43B5E" w:rsidRPr="00AC3823" w:rsidRDefault="00A43B5E">
      <w:pPr>
        <w:spacing w:line="240" w:lineRule="auto"/>
        <w:rPr>
          <w:sz w:val="2"/>
          <w:szCs w:val="2"/>
        </w:rPr>
      </w:pPr>
    </w:p>
  </w:footnote>
  <w:footnote w:id="2">
    <w:p w14:paraId="0842BA8F" w14:textId="523EB0BB" w:rsidR="00E010A3" w:rsidRPr="00E010A3" w:rsidRDefault="00E010A3">
      <w:pPr>
        <w:pStyle w:val="Notedebasdepage"/>
      </w:pPr>
      <w:r>
        <w:rPr>
          <w:rStyle w:val="Appelnotedebasdep"/>
        </w:rPr>
        <w:tab/>
      </w:r>
      <w:r w:rsidRPr="00E010A3">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11DC6A80" w14:textId="34AC770C" w:rsidR="00F4358F" w:rsidRDefault="00F4358F" w:rsidP="0035560C">
      <w:pPr>
        <w:pStyle w:val="Notedebasdepage"/>
      </w:pPr>
      <w:r>
        <w:tab/>
      </w:r>
      <w:r w:rsidRPr="0035560C">
        <w:rPr>
          <w:rStyle w:val="Appelnotedebasdep"/>
        </w:rPr>
        <w:footnoteRef/>
      </w:r>
      <w:r>
        <w:tab/>
      </w:r>
      <w:r>
        <w:rPr>
          <w:lang w:val="fr-FR"/>
        </w:rPr>
        <w:tab/>
        <w:t>Ce dernier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D9B5" w14:textId="2BDA186D" w:rsidR="00B91F0D" w:rsidRPr="00B91F0D" w:rsidRDefault="00B91F0D">
    <w:pPr>
      <w:pStyle w:val="En-tte"/>
    </w:pPr>
    <w:fldSimple w:instr=" TITLE  \* MERGEFORMAT ">
      <w:r w:rsidR="0046374F">
        <w:t>ECE/TRANS/WP.29/2024/28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7191" w14:textId="21FD1880" w:rsidR="00B91F0D" w:rsidRPr="00B91F0D" w:rsidRDefault="00B91F0D" w:rsidP="00B91F0D">
    <w:pPr>
      <w:pStyle w:val="En-tte"/>
      <w:jc w:val="right"/>
    </w:pPr>
    <w:fldSimple w:instr=" TITLE  \* MERGEFORMAT ">
      <w:r w:rsidR="0046374F">
        <w:t>ECE/TRANS/WP.29/2024/28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C9523D"/>
    <w:multiLevelType w:val="hybridMultilevel"/>
    <w:tmpl w:val="5D329C92"/>
    <w:lvl w:ilvl="0" w:tplc="77349526">
      <w:start w:val="21"/>
      <w:numFmt w:val="bullet"/>
      <w:lvlText w:val="-"/>
      <w:lvlJc w:val="left"/>
      <w:pPr>
        <w:ind w:left="2628" w:hanging="360"/>
      </w:pPr>
      <w:rPr>
        <w:rFonts w:ascii="Times New Roman" w:eastAsia="Yu Mincho"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8"/>
  </w:num>
  <w:num w:numId="16">
    <w:abstractNumId w:val="11"/>
  </w:num>
  <w:num w:numId="17">
    <w:abstractNumId w:val="16"/>
  </w:num>
  <w:num w:numId="18">
    <w:abstractNumId w:val="15"/>
  </w:num>
  <w:num w:numId="19">
    <w:abstractNumId w:val="10"/>
  </w:num>
  <w:num w:numId="20">
    <w:abstractNumId w:val="12"/>
  </w:num>
  <w:num w:numId="21">
    <w:abstractNumId w:val="17"/>
  </w:num>
  <w:num w:numId="22">
    <w:abstractNumId w:val="14"/>
  </w:num>
  <w:num w:numId="23">
    <w:abstractNumId w:val="19"/>
  </w:num>
  <w:num w:numId="24">
    <w:abstractNumId w:val="21"/>
  </w:num>
  <w:num w:numId="25">
    <w:abstractNumId w:val="13"/>
  </w:num>
  <w:num w:numId="26">
    <w:abstractNumId w:val="18"/>
  </w:num>
  <w:num w:numId="27">
    <w:abstractNumId w:val="1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5E"/>
    <w:rsid w:val="00017F94"/>
    <w:rsid w:val="00023842"/>
    <w:rsid w:val="000334F9"/>
    <w:rsid w:val="00045FEB"/>
    <w:rsid w:val="0007796D"/>
    <w:rsid w:val="000B7790"/>
    <w:rsid w:val="00111F2F"/>
    <w:rsid w:val="0014365E"/>
    <w:rsid w:val="00143C66"/>
    <w:rsid w:val="00176178"/>
    <w:rsid w:val="001F1539"/>
    <w:rsid w:val="001F525A"/>
    <w:rsid w:val="00201148"/>
    <w:rsid w:val="00223272"/>
    <w:rsid w:val="0024779E"/>
    <w:rsid w:val="00257168"/>
    <w:rsid w:val="002744B8"/>
    <w:rsid w:val="002832AC"/>
    <w:rsid w:val="00296F9D"/>
    <w:rsid w:val="002D7C93"/>
    <w:rsid w:val="00305801"/>
    <w:rsid w:val="0035560C"/>
    <w:rsid w:val="003916DE"/>
    <w:rsid w:val="00421996"/>
    <w:rsid w:val="00441C3B"/>
    <w:rsid w:val="00446FE5"/>
    <w:rsid w:val="00452396"/>
    <w:rsid w:val="0046374F"/>
    <w:rsid w:val="00477EB2"/>
    <w:rsid w:val="004818B0"/>
    <w:rsid w:val="004837D8"/>
    <w:rsid w:val="004E0118"/>
    <w:rsid w:val="004E2EED"/>
    <w:rsid w:val="004E468C"/>
    <w:rsid w:val="005245F0"/>
    <w:rsid w:val="00537707"/>
    <w:rsid w:val="005429BD"/>
    <w:rsid w:val="005505B7"/>
    <w:rsid w:val="00573BE5"/>
    <w:rsid w:val="00586ED3"/>
    <w:rsid w:val="00596AA9"/>
    <w:rsid w:val="005A7584"/>
    <w:rsid w:val="005B0C72"/>
    <w:rsid w:val="006566B5"/>
    <w:rsid w:val="006915FF"/>
    <w:rsid w:val="0071601D"/>
    <w:rsid w:val="007803AD"/>
    <w:rsid w:val="007A62E6"/>
    <w:rsid w:val="007F20FA"/>
    <w:rsid w:val="0080684C"/>
    <w:rsid w:val="00832832"/>
    <w:rsid w:val="0085417F"/>
    <w:rsid w:val="00871C75"/>
    <w:rsid w:val="008776DC"/>
    <w:rsid w:val="008D5EF9"/>
    <w:rsid w:val="009446C0"/>
    <w:rsid w:val="009705C8"/>
    <w:rsid w:val="009A5173"/>
    <w:rsid w:val="009C1CF4"/>
    <w:rsid w:val="009F6B74"/>
    <w:rsid w:val="00A3029F"/>
    <w:rsid w:val="00A30353"/>
    <w:rsid w:val="00A43B5E"/>
    <w:rsid w:val="00A51B36"/>
    <w:rsid w:val="00A923D8"/>
    <w:rsid w:val="00AC3823"/>
    <w:rsid w:val="00AE323C"/>
    <w:rsid w:val="00AF0CB5"/>
    <w:rsid w:val="00B00181"/>
    <w:rsid w:val="00B00B0D"/>
    <w:rsid w:val="00B246C2"/>
    <w:rsid w:val="00B45F2E"/>
    <w:rsid w:val="00B765F7"/>
    <w:rsid w:val="00B77993"/>
    <w:rsid w:val="00B91BEA"/>
    <w:rsid w:val="00B91F0D"/>
    <w:rsid w:val="00B97A67"/>
    <w:rsid w:val="00BA0CA9"/>
    <w:rsid w:val="00BB4006"/>
    <w:rsid w:val="00C02897"/>
    <w:rsid w:val="00C04F2F"/>
    <w:rsid w:val="00C97039"/>
    <w:rsid w:val="00CA0FB4"/>
    <w:rsid w:val="00CE3640"/>
    <w:rsid w:val="00CF2800"/>
    <w:rsid w:val="00D3439C"/>
    <w:rsid w:val="00D7622E"/>
    <w:rsid w:val="00DB1831"/>
    <w:rsid w:val="00DD31CF"/>
    <w:rsid w:val="00DD3BFD"/>
    <w:rsid w:val="00DF6678"/>
    <w:rsid w:val="00E010A3"/>
    <w:rsid w:val="00E0299A"/>
    <w:rsid w:val="00E30C23"/>
    <w:rsid w:val="00E45598"/>
    <w:rsid w:val="00E85C74"/>
    <w:rsid w:val="00EA6547"/>
    <w:rsid w:val="00EC52EE"/>
    <w:rsid w:val="00ED7237"/>
    <w:rsid w:val="00EF2E22"/>
    <w:rsid w:val="00F35BAF"/>
    <w:rsid w:val="00F4358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A95332"/>
  <w15:docId w15:val="{C4AF2323-D35D-4748-9EF5-861378B4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60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5560C"/>
    <w:pPr>
      <w:keepNext/>
      <w:keepLines/>
      <w:spacing w:after="0" w:line="240" w:lineRule="auto"/>
      <w:ind w:right="0"/>
      <w:jc w:val="left"/>
      <w:outlineLvl w:val="0"/>
    </w:pPr>
  </w:style>
  <w:style w:type="paragraph" w:styleId="Titre2">
    <w:name w:val="heading 2"/>
    <w:basedOn w:val="Normal"/>
    <w:next w:val="Normal"/>
    <w:link w:val="Titre2Car"/>
    <w:semiHidden/>
    <w:qFormat/>
    <w:rsid w:val="0035560C"/>
    <w:pPr>
      <w:outlineLvl w:val="1"/>
    </w:pPr>
  </w:style>
  <w:style w:type="paragraph" w:styleId="Titre3">
    <w:name w:val="heading 3"/>
    <w:basedOn w:val="Normal"/>
    <w:next w:val="Normal"/>
    <w:link w:val="Titre3Car"/>
    <w:semiHidden/>
    <w:qFormat/>
    <w:rsid w:val="0035560C"/>
    <w:pPr>
      <w:outlineLvl w:val="2"/>
    </w:pPr>
  </w:style>
  <w:style w:type="paragraph" w:styleId="Titre4">
    <w:name w:val="heading 4"/>
    <w:basedOn w:val="Normal"/>
    <w:next w:val="Normal"/>
    <w:link w:val="Titre4Car"/>
    <w:semiHidden/>
    <w:qFormat/>
    <w:rsid w:val="0035560C"/>
    <w:pPr>
      <w:outlineLvl w:val="3"/>
    </w:pPr>
  </w:style>
  <w:style w:type="paragraph" w:styleId="Titre5">
    <w:name w:val="heading 5"/>
    <w:basedOn w:val="Normal"/>
    <w:next w:val="Normal"/>
    <w:link w:val="Titre5Car"/>
    <w:semiHidden/>
    <w:qFormat/>
    <w:rsid w:val="0035560C"/>
    <w:pPr>
      <w:outlineLvl w:val="4"/>
    </w:pPr>
  </w:style>
  <w:style w:type="paragraph" w:styleId="Titre6">
    <w:name w:val="heading 6"/>
    <w:basedOn w:val="Normal"/>
    <w:next w:val="Normal"/>
    <w:link w:val="Titre6Car"/>
    <w:semiHidden/>
    <w:qFormat/>
    <w:rsid w:val="0035560C"/>
    <w:pPr>
      <w:outlineLvl w:val="5"/>
    </w:pPr>
  </w:style>
  <w:style w:type="paragraph" w:styleId="Titre7">
    <w:name w:val="heading 7"/>
    <w:basedOn w:val="Normal"/>
    <w:next w:val="Normal"/>
    <w:link w:val="Titre7Car"/>
    <w:semiHidden/>
    <w:qFormat/>
    <w:rsid w:val="0035560C"/>
    <w:pPr>
      <w:outlineLvl w:val="6"/>
    </w:pPr>
  </w:style>
  <w:style w:type="paragraph" w:styleId="Titre8">
    <w:name w:val="heading 8"/>
    <w:basedOn w:val="Normal"/>
    <w:next w:val="Normal"/>
    <w:link w:val="Titre8Car"/>
    <w:semiHidden/>
    <w:qFormat/>
    <w:rsid w:val="0035560C"/>
    <w:pPr>
      <w:outlineLvl w:val="7"/>
    </w:pPr>
  </w:style>
  <w:style w:type="paragraph" w:styleId="Titre9">
    <w:name w:val="heading 9"/>
    <w:basedOn w:val="Normal"/>
    <w:next w:val="Normal"/>
    <w:link w:val="Titre9Car"/>
    <w:semiHidden/>
    <w:qFormat/>
    <w:rsid w:val="0035560C"/>
    <w:pPr>
      <w:outlineLvl w:val="8"/>
    </w:pPr>
  </w:style>
  <w:style w:type="character" w:default="1" w:styleId="Policepardfaut">
    <w:name w:val="Default Paragraph Font"/>
    <w:uiPriority w:val="1"/>
    <w:unhideWhenUsed/>
    <w:rsid w:val="0035560C"/>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35560C"/>
  </w:style>
  <w:style w:type="paragraph" w:styleId="En-tte">
    <w:name w:val="header"/>
    <w:aliases w:val="6_G"/>
    <w:basedOn w:val="Normal"/>
    <w:next w:val="Normal"/>
    <w:link w:val="En-tteCar"/>
    <w:qFormat/>
    <w:rsid w:val="0035560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5560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5560C"/>
    <w:pPr>
      <w:spacing w:line="240" w:lineRule="auto"/>
    </w:pPr>
    <w:rPr>
      <w:sz w:val="16"/>
    </w:rPr>
  </w:style>
  <w:style w:type="character" w:customStyle="1" w:styleId="PieddepageCar">
    <w:name w:val="Pied de page Car"/>
    <w:aliases w:val="3_G Car"/>
    <w:basedOn w:val="Policepardfaut"/>
    <w:link w:val="Pieddepage"/>
    <w:rsid w:val="0035560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5560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5560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5560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35560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5560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5560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5560C"/>
    <w:pPr>
      <w:spacing w:after="120"/>
      <w:ind w:left="1134" w:right="1134"/>
      <w:jc w:val="both"/>
    </w:pPr>
  </w:style>
  <w:style w:type="paragraph" w:customStyle="1" w:styleId="SLG">
    <w:name w:val="__S_L_G"/>
    <w:basedOn w:val="Normal"/>
    <w:next w:val="Normal"/>
    <w:rsid w:val="0035560C"/>
    <w:pPr>
      <w:keepNext/>
      <w:keepLines/>
      <w:spacing w:before="240" w:after="240" w:line="580" w:lineRule="exact"/>
      <w:ind w:left="1134" w:right="1134"/>
    </w:pPr>
    <w:rPr>
      <w:b/>
      <w:sz w:val="56"/>
    </w:rPr>
  </w:style>
  <w:style w:type="paragraph" w:customStyle="1" w:styleId="SMG">
    <w:name w:val="__S_M_G"/>
    <w:basedOn w:val="Normal"/>
    <w:next w:val="Normal"/>
    <w:rsid w:val="0035560C"/>
    <w:pPr>
      <w:keepNext/>
      <w:keepLines/>
      <w:spacing w:before="240" w:after="240" w:line="420" w:lineRule="exact"/>
      <w:ind w:left="1134" w:right="1134"/>
    </w:pPr>
    <w:rPr>
      <w:b/>
      <w:sz w:val="40"/>
    </w:rPr>
  </w:style>
  <w:style w:type="paragraph" w:customStyle="1" w:styleId="SSG">
    <w:name w:val="__S_S_G"/>
    <w:basedOn w:val="Normal"/>
    <w:next w:val="Normal"/>
    <w:rsid w:val="0035560C"/>
    <w:pPr>
      <w:keepNext/>
      <w:keepLines/>
      <w:spacing w:before="240" w:after="240" w:line="300" w:lineRule="exact"/>
      <w:ind w:left="1134" w:right="1134"/>
    </w:pPr>
    <w:rPr>
      <w:b/>
      <w:sz w:val="28"/>
    </w:rPr>
  </w:style>
  <w:style w:type="paragraph" w:customStyle="1" w:styleId="XLargeG">
    <w:name w:val="__XLarge_G"/>
    <w:basedOn w:val="Normal"/>
    <w:next w:val="Normal"/>
    <w:rsid w:val="0035560C"/>
    <w:pPr>
      <w:keepNext/>
      <w:keepLines/>
      <w:spacing w:before="240" w:after="240" w:line="420" w:lineRule="exact"/>
      <w:ind w:left="1134" w:right="1134"/>
    </w:pPr>
    <w:rPr>
      <w:b/>
      <w:sz w:val="40"/>
    </w:rPr>
  </w:style>
  <w:style w:type="paragraph" w:customStyle="1" w:styleId="Bullet1G">
    <w:name w:val="_Bullet 1_G"/>
    <w:basedOn w:val="Normal"/>
    <w:qFormat/>
    <w:rsid w:val="0035560C"/>
    <w:pPr>
      <w:numPr>
        <w:numId w:val="1"/>
      </w:numPr>
      <w:spacing w:after="120"/>
      <w:ind w:right="1134"/>
      <w:jc w:val="both"/>
    </w:pPr>
  </w:style>
  <w:style w:type="paragraph" w:customStyle="1" w:styleId="Bullet2G">
    <w:name w:val="_Bullet 2_G"/>
    <w:basedOn w:val="Normal"/>
    <w:qFormat/>
    <w:rsid w:val="0035560C"/>
    <w:pPr>
      <w:numPr>
        <w:numId w:val="2"/>
      </w:numPr>
      <w:spacing w:after="120"/>
      <w:ind w:right="1134"/>
      <w:jc w:val="both"/>
    </w:pPr>
  </w:style>
  <w:style w:type="paragraph" w:customStyle="1" w:styleId="ParNoG">
    <w:name w:val="_ParNo_G"/>
    <w:basedOn w:val="Normal"/>
    <w:qFormat/>
    <w:rsid w:val="0035560C"/>
    <w:pPr>
      <w:numPr>
        <w:numId w:val="3"/>
      </w:numPr>
      <w:tabs>
        <w:tab w:val="clear" w:pos="1701"/>
      </w:tabs>
      <w:spacing w:after="120"/>
      <w:ind w:right="1134"/>
      <w:jc w:val="both"/>
    </w:pPr>
  </w:style>
  <w:style w:type="character" w:styleId="Appelnotedebasdep">
    <w:name w:val="footnote reference"/>
    <w:basedOn w:val="Policepardfaut"/>
    <w:semiHidden/>
    <w:unhideWhenUsed/>
    <w:qFormat/>
    <w:rsid w:val="0035560C"/>
    <w:rPr>
      <w:vertAlign w:val="superscript"/>
    </w:rPr>
  </w:style>
  <w:style w:type="character" w:styleId="Appeldenotedefin">
    <w:name w:val="endnote reference"/>
    <w:aliases w:val="1_G"/>
    <w:basedOn w:val="Policepardfaut"/>
    <w:qFormat/>
    <w:rsid w:val="0035560C"/>
    <w:rPr>
      <w:rFonts w:ascii="Times New Roman" w:hAnsi="Times New Roman"/>
      <w:sz w:val="18"/>
      <w:vertAlign w:val="superscript"/>
      <w:lang w:val="fr-CH"/>
    </w:rPr>
  </w:style>
  <w:style w:type="table" w:styleId="Grilledutableau">
    <w:name w:val="Table Grid"/>
    <w:basedOn w:val="TableauNormal"/>
    <w:rsid w:val="0035560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5560C"/>
    <w:rPr>
      <w:color w:val="0000FF"/>
      <w:u w:val="none"/>
    </w:rPr>
  </w:style>
  <w:style w:type="character" w:styleId="Lienhypertextesuivivisit">
    <w:name w:val="FollowedHyperlink"/>
    <w:basedOn w:val="Policepardfaut"/>
    <w:unhideWhenUsed/>
    <w:rsid w:val="0035560C"/>
    <w:rPr>
      <w:color w:val="0000FF"/>
      <w:u w:val="none"/>
    </w:rPr>
  </w:style>
  <w:style w:type="paragraph" w:styleId="Notedebasdepage">
    <w:name w:val="footnote text"/>
    <w:aliases w:val="5_G"/>
    <w:basedOn w:val="Normal"/>
    <w:link w:val="NotedebasdepageCar"/>
    <w:qFormat/>
    <w:rsid w:val="0035560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5560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5560C"/>
  </w:style>
  <w:style w:type="character" w:customStyle="1" w:styleId="NotedefinCar">
    <w:name w:val="Note de fin Car"/>
    <w:aliases w:val="2_G Car"/>
    <w:basedOn w:val="Policepardfaut"/>
    <w:link w:val="Notedefin"/>
    <w:rsid w:val="0035560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5560C"/>
    <w:rPr>
      <w:rFonts w:ascii="Times New Roman" w:hAnsi="Times New Roman"/>
      <w:b/>
      <w:sz w:val="18"/>
      <w:lang w:val="fr-CH"/>
    </w:rPr>
  </w:style>
  <w:style w:type="character" w:customStyle="1" w:styleId="Titre1Car">
    <w:name w:val="Titre 1 Car"/>
    <w:aliases w:val="Table_G Car"/>
    <w:basedOn w:val="Policepardfaut"/>
    <w:link w:val="Titre1"/>
    <w:rsid w:val="0035560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35560C"/>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35560C"/>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35560C"/>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35560C"/>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35560C"/>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35560C"/>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35560C"/>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35560C"/>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35560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60C"/>
    <w:rPr>
      <w:rFonts w:ascii="Tahoma" w:eastAsiaTheme="minorHAnsi" w:hAnsi="Tahoma" w:cs="Tahoma"/>
      <w:sz w:val="16"/>
      <w:szCs w:val="16"/>
      <w:lang w:eastAsia="en-US"/>
    </w:rPr>
  </w:style>
  <w:style w:type="character" w:customStyle="1" w:styleId="SingleTxtGChar">
    <w:name w:val="_ Single Txt_G Char"/>
    <w:link w:val="SingleTxtG"/>
    <w:qFormat/>
    <w:rsid w:val="00296F9D"/>
    <w:rPr>
      <w:rFonts w:ascii="Times New Roman" w:eastAsiaTheme="minorHAnsi" w:hAnsi="Times New Roman" w:cs="Times New Roman"/>
      <w:sz w:val="20"/>
      <w:szCs w:val="20"/>
      <w:lang w:eastAsia="en-US"/>
    </w:rPr>
  </w:style>
  <w:style w:type="character" w:customStyle="1" w:styleId="HChGChar">
    <w:name w:val="_ H _Ch_G Char"/>
    <w:link w:val="HChG"/>
    <w:qFormat/>
    <w:locked/>
    <w:rsid w:val="00296F9D"/>
    <w:rPr>
      <w:rFonts w:ascii="Times New Roman" w:eastAsiaTheme="minorHAnsi" w:hAnsi="Times New Roman" w:cs="Times New Roman"/>
      <w:b/>
      <w:sz w:val="28"/>
      <w:szCs w:val="20"/>
      <w:lang w:eastAsia="en-US"/>
    </w:rPr>
  </w:style>
  <w:style w:type="character" w:customStyle="1" w:styleId="H1GChar">
    <w:name w:val="_ H_1_G Char"/>
    <w:link w:val="H1G"/>
    <w:locked/>
    <w:rsid w:val="00296F9D"/>
    <w:rPr>
      <w:rFonts w:ascii="Times New Roman" w:eastAsiaTheme="minorHAnsi" w:hAnsi="Times New Roman" w:cs="Times New Roman"/>
      <w:b/>
      <w:sz w:val="24"/>
      <w:szCs w:val="20"/>
      <w:lang w:eastAsia="en-US"/>
    </w:rPr>
  </w:style>
  <w:style w:type="paragraph" w:styleId="Paragraphedeliste">
    <w:name w:val="List Paragraph"/>
    <w:basedOn w:val="Normal"/>
    <w:uiPriority w:val="34"/>
    <w:qFormat/>
    <w:rsid w:val="00296F9D"/>
    <w:pPr>
      <w:widowControl w:val="0"/>
      <w:spacing w:line="240" w:lineRule="auto"/>
      <w:ind w:left="720"/>
      <w:contextualSpacing/>
      <w:jc w:val="both"/>
    </w:pPr>
    <w:rPr>
      <w:rFonts w:eastAsia="MS Mincho"/>
      <w:kern w:val="2"/>
      <w:sz w:val="24"/>
      <w:szCs w:val="22"/>
      <w:lang w:eastAsia="ja-JP"/>
    </w:rPr>
  </w:style>
  <w:style w:type="paragraph" w:styleId="Commentaire">
    <w:name w:val="annotation text"/>
    <w:basedOn w:val="Normal"/>
    <w:link w:val="CommentaireCar"/>
    <w:rsid w:val="00296F9D"/>
  </w:style>
  <w:style w:type="character" w:customStyle="1" w:styleId="CommentaireCar">
    <w:name w:val="Commentaire Car"/>
    <w:basedOn w:val="Policepardfaut"/>
    <w:link w:val="Commentaire"/>
    <w:rsid w:val="00296F9D"/>
    <w:rPr>
      <w:rFonts w:ascii="Times New Roman" w:eastAsiaTheme="minorHAnsi" w:hAnsi="Times New Roman" w:cs="Times New Roman"/>
      <w:sz w:val="20"/>
      <w:szCs w:val="20"/>
      <w:lang w:eastAsia="en-US"/>
    </w:rPr>
  </w:style>
  <w:style w:type="paragraph" w:styleId="Textebrut">
    <w:name w:val="Plain Text"/>
    <w:basedOn w:val="Normal"/>
    <w:link w:val="TextebrutCar"/>
    <w:uiPriority w:val="99"/>
    <w:rsid w:val="00296F9D"/>
    <w:rPr>
      <w:rFonts w:cs="Courier New"/>
    </w:rPr>
  </w:style>
  <w:style w:type="character" w:customStyle="1" w:styleId="TextebrutCar">
    <w:name w:val="Texte brut Car"/>
    <w:basedOn w:val="Policepardfaut"/>
    <w:link w:val="Textebrut"/>
    <w:uiPriority w:val="99"/>
    <w:rsid w:val="00296F9D"/>
    <w:rPr>
      <w:rFonts w:ascii="Times New Roman" w:eastAsiaTheme="minorHAnsi" w:hAnsi="Times New Roman" w:cs="Courier New"/>
      <w:sz w:val="20"/>
      <w:szCs w:val="20"/>
      <w:lang w:eastAsia="en-US"/>
    </w:rPr>
  </w:style>
  <w:style w:type="paragraph" w:customStyle="1" w:styleId="a">
    <w:name w:val="(a)"/>
    <w:basedOn w:val="Normal"/>
    <w:qFormat/>
    <w:rsid w:val="0035560C"/>
    <w:pPr>
      <w:spacing w:after="120"/>
      <w:ind w:left="2835" w:right="1134" w:hanging="567"/>
      <w:jc w:val="both"/>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211CE-597F-4C75-A15A-80C51CA3ED1B}"/>
</file>

<file path=customXml/itemProps2.xml><?xml version="1.0" encoding="utf-8"?>
<ds:datastoreItem xmlns:ds="http://schemas.openxmlformats.org/officeDocument/2006/customXml" ds:itemID="{26F0D949-2205-48A9-A0DD-ACD9E1C7BA74}"/>
</file>

<file path=docProps/app.xml><?xml version="1.0" encoding="utf-8"?>
<Properties xmlns="http://schemas.openxmlformats.org/officeDocument/2006/extended-properties" xmlns:vt="http://schemas.openxmlformats.org/officeDocument/2006/docPropsVTypes">
  <Template>ECE_TRANS.dotm</Template>
  <TotalTime>0</TotalTime>
  <Pages>20</Pages>
  <Words>6235</Words>
  <Characters>43646</Characters>
  <Application>Microsoft Office Word</Application>
  <DocSecurity>0</DocSecurity>
  <Lines>3637</Lines>
  <Paragraphs>1995</Paragraphs>
  <ScaleCrop>false</ScaleCrop>
  <HeadingPairs>
    <vt:vector size="2" baseType="variant">
      <vt:variant>
        <vt:lpstr>Titre</vt:lpstr>
      </vt:variant>
      <vt:variant>
        <vt:i4>1</vt:i4>
      </vt:variant>
    </vt:vector>
  </HeadingPairs>
  <TitlesOfParts>
    <vt:vector size="1" baseType="lpstr">
      <vt:lpstr>ECE/TRANS/WP.29/2024/28</vt:lpstr>
    </vt:vector>
  </TitlesOfParts>
  <Company>DCM</Company>
  <LinksUpToDate>false</LinksUpToDate>
  <CharactersWithSpaces>47886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ECE/TRANS/WP.29/2024/28</dc:title>
  <dc:subject/>
  <dc:creator>Nicolas MORIN</dc:creator>
  <cp:keywords/>
  <cp:lastModifiedBy>Nicolas Morin</cp:lastModifiedBy>
  <cp:revision>2</cp:revision>
  <cp:lastPrinted>2024-01-08T14:30:00Z</cp:lastPrinted>
  <dcterms:created xsi:type="dcterms:W3CDTF">2024-01-08T14:30:00Z</dcterms:created>
  <dcterms:modified xsi:type="dcterms:W3CDTF">2024-01-08T14:30:00Z</dcterms:modified>
</cp:coreProperties>
</file>