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BB5613D" w14:textId="77777777" w:rsidTr="00387CD4">
        <w:trPr>
          <w:trHeight w:hRule="exact" w:val="851"/>
        </w:trPr>
        <w:tc>
          <w:tcPr>
            <w:tcW w:w="142" w:type="dxa"/>
            <w:tcBorders>
              <w:bottom w:val="single" w:sz="4" w:space="0" w:color="auto"/>
            </w:tcBorders>
          </w:tcPr>
          <w:p w14:paraId="6B22E54D" w14:textId="77777777" w:rsidR="002D5AAC" w:rsidRDefault="002D5AAC" w:rsidP="00C7785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4C3AB3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18C3AB7" w14:textId="7F5382D6" w:rsidR="002D5AAC" w:rsidRDefault="00C7785D" w:rsidP="00C7785D">
            <w:pPr>
              <w:jc w:val="right"/>
            </w:pPr>
            <w:r w:rsidRPr="00C7785D">
              <w:rPr>
                <w:sz w:val="40"/>
              </w:rPr>
              <w:t>ECE</w:t>
            </w:r>
            <w:r>
              <w:t>/TRANS/WP.15/AC.2/2023/46</w:t>
            </w:r>
          </w:p>
        </w:tc>
      </w:tr>
      <w:tr w:rsidR="002D5AAC" w:rsidRPr="00F55525" w14:paraId="1DEE848E" w14:textId="77777777" w:rsidTr="00387CD4">
        <w:trPr>
          <w:trHeight w:hRule="exact" w:val="2835"/>
        </w:trPr>
        <w:tc>
          <w:tcPr>
            <w:tcW w:w="1280" w:type="dxa"/>
            <w:gridSpan w:val="2"/>
            <w:tcBorders>
              <w:top w:val="single" w:sz="4" w:space="0" w:color="auto"/>
              <w:bottom w:val="single" w:sz="12" w:space="0" w:color="auto"/>
            </w:tcBorders>
          </w:tcPr>
          <w:p w14:paraId="48602412" w14:textId="77777777" w:rsidR="002D5AAC" w:rsidRDefault="002E5067" w:rsidP="00387CD4">
            <w:pPr>
              <w:spacing w:before="120"/>
              <w:jc w:val="center"/>
            </w:pPr>
            <w:r>
              <w:rPr>
                <w:noProof/>
                <w:lang w:val="fr-CH" w:eastAsia="fr-CH"/>
              </w:rPr>
              <w:drawing>
                <wp:inline distT="0" distB="0" distL="0" distR="0" wp14:anchorId="755B1BFB" wp14:editId="434D51F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B54A83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5812E2A" w14:textId="77777777" w:rsidR="002D5AAC" w:rsidRDefault="00C7785D" w:rsidP="00387CD4">
            <w:pPr>
              <w:spacing w:before="240"/>
              <w:rPr>
                <w:lang w:val="en-US"/>
              </w:rPr>
            </w:pPr>
            <w:r>
              <w:rPr>
                <w:lang w:val="en-US"/>
              </w:rPr>
              <w:t>Distr.: General</w:t>
            </w:r>
          </w:p>
          <w:p w14:paraId="28521D6B" w14:textId="77777777" w:rsidR="00C7785D" w:rsidRDefault="00C7785D" w:rsidP="00C7785D">
            <w:pPr>
              <w:spacing w:line="240" w:lineRule="exact"/>
              <w:rPr>
                <w:lang w:val="en-US"/>
              </w:rPr>
            </w:pPr>
            <w:r>
              <w:rPr>
                <w:lang w:val="en-US"/>
              </w:rPr>
              <w:t>8 June 2023</w:t>
            </w:r>
          </w:p>
          <w:p w14:paraId="596F3850" w14:textId="77777777" w:rsidR="00C7785D" w:rsidRDefault="00C7785D" w:rsidP="00C7785D">
            <w:pPr>
              <w:spacing w:line="240" w:lineRule="exact"/>
              <w:rPr>
                <w:lang w:val="en-US"/>
              </w:rPr>
            </w:pPr>
            <w:r>
              <w:rPr>
                <w:lang w:val="en-US"/>
              </w:rPr>
              <w:t>Russian</w:t>
            </w:r>
          </w:p>
          <w:p w14:paraId="69C74D54" w14:textId="403C7EBC" w:rsidR="00C7785D" w:rsidRPr="008D53B6" w:rsidRDefault="00C7785D" w:rsidP="00C7785D">
            <w:pPr>
              <w:spacing w:line="240" w:lineRule="exact"/>
              <w:rPr>
                <w:lang w:val="en-US"/>
              </w:rPr>
            </w:pPr>
            <w:r>
              <w:rPr>
                <w:lang w:val="en-US"/>
              </w:rPr>
              <w:t>Original: English</w:t>
            </w:r>
          </w:p>
        </w:tc>
      </w:tr>
    </w:tbl>
    <w:p w14:paraId="62600AC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32F4527" w14:textId="77777777" w:rsidR="00C7785D" w:rsidRPr="00E360D7" w:rsidRDefault="00C7785D" w:rsidP="00C7785D">
      <w:pPr>
        <w:spacing w:before="120"/>
        <w:rPr>
          <w:sz w:val="28"/>
          <w:szCs w:val="28"/>
        </w:rPr>
      </w:pPr>
      <w:r w:rsidRPr="00E360D7">
        <w:rPr>
          <w:sz w:val="28"/>
          <w:szCs w:val="28"/>
        </w:rPr>
        <w:t>Комитет по внутреннему транспорту</w:t>
      </w:r>
    </w:p>
    <w:p w14:paraId="577CC9C0" w14:textId="77777777" w:rsidR="00C7785D" w:rsidRPr="00E360D7" w:rsidRDefault="00C7785D" w:rsidP="00C7785D">
      <w:pPr>
        <w:spacing w:before="120"/>
        <w:rPr>
          <w:b/>
          <w:sz w:val="24"/>
          <w:szCs w:val="24"/>
        </w:rPr>
      </w:pPr>
      <w:r w:rsidRPr="00E360D7">
        <w:rPr>
          <w:b/>
          <w:bCs/>
          <w:sz w:val="24"/>
          <w:szCs w:val="24"/>
        </w:rPr>
        <w:t>Рабочая группа по перевозкам опасных грузов</w:t>
      </w:r>
    </w:p>
    <w:p w14:paraId="6954A9C2" w14:textId="1D523545" w:rsidR="00C7785D" w:rsidRPr="00217D68" w:rsidRDefault="00C7785D" w:rsidP="00C7785D">
      <w:pPr>
        <w:spacing w:before="120"/>
        <w:rPr>
          <w:b/>
        </w:rPr>
      </w:pPr>
      <w:r>
        <w:rPr>
          <w:b/>
          <w:bCs/>
        </w:rPr>
        <w:t xml:space="preserve">Совместное совещание экспертов по Правилам, </w:t>
      </w:r>
      <w:r w:rsidR="00E360D7">
        <w:rPr>
          <w:b/>
          <w:bCs/>
        </w:rPr>
        <w:br/>
      </w:r>
      <w:r>
        <w:rPr>
          <w:b/>
          <w:bCs/>
        </w:rPr>
        <w:t xml:space="preserve">прилагаемым к Европейскому соглашению </w:t>
      </w:r>
      <w:r w:rsidR="00E360D7">
        <w:rPr>
          <w:b/>
          <w:bCs/>
        </w:rPr>
        <w:br/>
      </w:r>
      <w:r>
        <w:rPr>
          <w:b/>
          <w:bCs/>
        </w:rPr>
        <w:t xml:space="preserve">о международной перевозке опасных грузов </w:t>
      </w:r>
      <w:r w:rsidR="00E360D7">
        <w:rPr>
          <w:b/>
          <w:bCs/>
        </w:rPr>
        <w:br/>
      </w:r>
      <w:r>
        <w:rPr>
          <w:b/>
          <w:bCs/>
        </w:rPr>
        <w:t xml:space="preserve">по внутренним водным путям (ВОПОГ) </w:t>
      </w:r>
      <w:r w:rsidR="00E360D7">
        <w:rPr>
          <w:b/>
          <w:bCs/>
        </w:rPr>
        <w:br/>
      </w:r>
      <w:r>
        <w:rPr>
          <w:b/>
          <w:bCs/>
        </w:rPr>
        <w:t>(Комитет по вопросам безопасности ВОПОГ)</w:t>
      </w:r>
    </w:p>
    <w:p w14:paraId="70015D9A" w14:textId="77777777" w:rsidR="00C7785D" w:rsidRPr="00217D68" w:rsidRDefault="00C7785D" w:rsidP="00C7785D">
      <w:pPr>
        <w:spacing w:before="120"/>
        <w:rPr>
          <w:b/>
        </w:rPr>
      </w:pPr>
      <w:r>
        <w:rPr>
          <w:b/>
          <w:bCs/>
        </w:rPr>
        <w:t>Сорок вторая сессия</w:t>
      </w:r>
    </w:p>
    <w:p w14:paraId="7F70CCE2" w14:textId="2312BDDB" w:rsidR="00C7785D" w:rsidRPr="00217D68" w:rsidRDefault="00C7785D" w:rsidP="00C7785D">
      <w:r>
        <w:t>Женева, 21</w:t>
      </w:r>
      <w:r w:rsidR="00E360D7">
        <w:t>–</w:t>
      </w:r>
      <w:r>
        <w:t>25 августа 2023 года</w:t>
      </w:r>
    </w:p>
    <w:p w14:paraId="257108B1" w14:textId="77777777" w:rsidR="00C7785D" w:rsidRPr="00217D68" w:rsidRDefault="00C7785D" w:rsidP="00C7785D">
      <w:r>
        <w:t>Пункт 4 b) предварительной повестки дня</w:t>
      </w:r>
    </w:p>
    <w:p w14:paraId="1F58F4FF" w14:textId="67D57C22" w:rsidR="00C7785D" w:rsidRPr="00217D68" w:rsidRDefault="00C7785D" w:rsidP="00C7785D">
      <w:pPr>
        <w:rPr>
          <w:b/>
          <w:bCs/>
        </w:rPr>
      </w:pPr>
      <w:r>
        <w:rPr>
          <w:b/>
          <w:bCs/>
        </w:rPr>
        <w:t xml:space="preserve">Предложения о внесении поправок в Правила, </w:t>
      </w:r>
      <w:r w:rsidR="00E360D7">
        <w:rPr>
          <w:b/>
          <w:bCs/>
        </w:rPr>
        <w:br/>
      </w:r>
      <w:r>
        <w:rPr>
          <w:b/>
          <w:bCs/>
        </w:rPr>
        <w:t>прилагаемые к ВОПОГ:</w:t>
      </w:r>
      <w:r w:rsidR="00E360D7">
        <w:rPr>
          <w:b/>
          <w:bCs/>
        </w:rPr>
        <w:t xml:space="preserve"> </w:t>
      </w:r>
      <w:r>
        <w:rPr>
          <w:b/>
          <w:bCs/>
        </w:rPr>
        <w:t>другие предложения</w:t>
      </w:r>
    </w:p>
    <w:p w14:paraId="32BBA019" w14:textId="77777777" w:rsidR="00C7785D" w:rsidRPr="00217D68" w:rsidRDefault="00C7785D" w:rsidP="00C7785D">
      <w:pPr>
        <w:pStyle w:val="HChG"/>
        <w:tabs>
          <w:tab w:val="right" w:pos="0"/>
        </w:tabs>
      </w:pPr>
      <w:r>
        <w:tab/>
      </w:r>
      <w:r>
        <w:tab/>
      </w:r>
      <w:r>
        <w:rPr>
          <w:bCs/>
        </w:rPr>
        <w:t>Определение термина «орган по освидетельствованию»</w:t>
      </w:r>
    </w:p>
    <w:p w14:paraId="62F9A12B" w14:textId="43DA3683" w:rsidR="00C7785D" w:rsidRPr="00217D68" w:rsidRDefault="00C7785D" w:rsidP="00C7785D">
      <w:pPr>
        <w:pStyle w:val="H1G"/>
      </w:pPr>
      <w:r>
        <w:tab/>
      </w:r>
      <w:r>
        <w:tab/>
      </w:r>
      <w:r>
        <w:rPr>
          <w:bCs/>
        </w:rPr>
        <w:t>Передано правительствами Франции, Германии и Нидерландов</w:t>
      </w:r>
      <w:r w:rsidRPr="00E360D7">
        <w:rPr>
          <w:rStyle w:val="aa"/>
          <w:b w:val="0"/>
          <w:bCs/>
          <w:sz w:val="20"/>
          <w:vertAlign w:val="baseline"/>
        </w:rPr>
        <w:footnoteReference w:customMarkFollows="1" w:id="1"/>
        <w:t>*</w:t>
      </w:r>
      <w:r w:rsidR="00E360D7" w:rsidRPr="00E360D7">
        <w:rPr>
          <w:b w:val="0"/>
          <w:bCs/>
        </w:rPr>
        <w:t xml:space="preserve"> </w:t>
      </w:r>
      <w:r w:rsidRPr="00E360D7">
        <w:rPr>
          <w:rStyle w:val="aa"/>
          <w:b w:val="0"/>
          <w:bCs/>
          <w:sz w:val="20"/>
          <w:vertAlign w:val="baseline"/>
        </w:rPr>
        <w:footnoteReference w:customMarkFollows="1" w:id="2"/>
        <w:t>**</w:t>
      </w:r>
      <w:r>
        <w:t xml:space="preserve"> </w:t>
      </w:r>
    </w:p>
    <w:p w14:paraId="1DA8D068" w14:textId="77777777" w:rsidR="00C7785D" w:rsidRPr="00217D68" w:rsidRDefault="00C7785D" w:rsidP="00C7785D"/>
    <w:tbl>
      <w:tblPr>
        <w:tblStyle w:val="Grilledutableau1"/>
        <w:tblW w:w="0" w:type="auto"/>
        <w:jc w:val="center"/>
        <w:tblLayout w:type="fixed"/>
        <w:tblCellMar>
          <w:left w:w="0" w:type="dxa"/>
          <w:right w:w="0" w:type="dxa"/>
        </w:tblCellMar>
        <w:tblLook w:val="05E0" w:firstRow="1" w:lastRow="1" w:firstColumn="1" w:lastColumn="1" w:noHBand="0" w:noVBand="1"/>
      </w:tblPr>
      <w:tblGrid>
        <w:gridCol w:w="2557"/>
        <w:gridCol w:w="7072"/>
      </w:tblGrid>
      <w:tr w:rsidR="00C7785D" w:rsidRPr="00217D68" w14:paraId="65F08B79" w14:textId="77777777" w:rsidTr="00935199">
        <w:trPr>
          <w:jc w:val="center"/>
        </w:trPr>
        <w:tc>
          <w:tcPr>
            <w:tcW w:w="2557" w:type="dxa"/>
            <w:tcBorders>
              <w:bottom w:val="nil"/>
              <w:right w:val="nil"/>
            </w:tcBorders>
          </w:tcPr>
          <w:p w14:paraId="704FDAD4" w14:textId="77777777" w:rsidR="00C7785D" w:rsidRPr="00E360D7" w:rsidRDefault="00C7785D" w:rsidP="00935199">
            <w:pPr>
              <w:tabs>
                <w:tab w:val="left" w:pos="255"/>
              </w:tabs>
              <w:suppressAutoHyphens w:val="0"/>
              <w:spacing w:before="240" w:after="120" w:line="240" w:lineRule="auto"/>
              <w:rPr>
                <w:sz w:val="24"/>
                <w:szCs w:val="24"/>
              </w:rPr>
            </w:pPr>
            <w:r w:rsidRPr="00E360D7">
              <w:rPr>
                <w:sz w:val="24"/>
                <w:szCs w:val="24"/>
              </w:rPr>
              <w:tab/>
            </w:r>
            <w:r w:rsidRPr="00E360D7">
              <w:rPr>
                <w:i/>
                <w:iCs/>
                <w:sz w:val="24"/>
                <w:szCs w:val="24"/>
              </w:rPr>
              <w:t>Резюме:</w:t>
            </w:r>
          </w:p>
        </w:tc>
        <w:tc>
          <w:tcPr>
            <w:tcW w:w="7072" w:type="dxa"/>
            <w:tcBorders>
              <w:left w:val="nil"/>
              <w:bottom w:val="nil"/>
            </w:tcBorders>
          </w:tcPr>
          <w:p w14:paraId="428AE7EF" w14:textId="77777777" w:rsidR="00C7785D" w:rsidRPr="00217D68" w:rsidRDefault="00C7785D" w:rsidP="00BB7538">
            <w:pPr>
              <w:tabs>
                <w:tab w:val="left" w:pos="1701"/>
                <w:tab w:val="left" w:pos="2268"/>
              </w:tabs>
              <w:spacing w:before="120" w:after="120"/>
              <w:ind w:left="414" w:right="1134"/>
              <w:jc w:val="both"/>
            </w:pPr>
            <w:r>
              <w:t>Авторы предлагают внести поправки в Правила, прилагаемые к ВОПОГ, чтобы уточнить определение термина «орган по освидетельствованию».</w:t>
            </w:r>
          </w:p>
        </w:tc>
      </w:tr>
      <w:tr w:rsidR="00C7785D" w:rsidRPr="00217D68" w14:paraId="5B605C58" w14:textId="77777777" w:rsidTr="00935199">
        <w:trPr>
          <w:jc w:val="center"/>
        </w:trPr>
        <w:tc>
          <w:tcPr>
            <w:tcW w:w="2557" w:type="dxa"/>
            <w:tcBorders>
              <w:top w:val="nil"/>
              <w:bottom w:val="nil"/>
              <w:right w:val="nil"/>
            </w:tcBorders>
            <w:shd w:val="clear" w:color="auto" w:fill="auto"/>
          </w:tcPr>
          <w:p w14:paraId="58237E04" w14:textId="77777777" w:rsidR="00C7785D" w:rsidRPr="00AB0E14" w:rsidRDefault="00C7785D" w:rsidP="00935199">
            <w:pPr>
              <w:tabs>
                <w:tab w:val="left" w:pos="1701"/>
                <w:tab w:val="left" w:pos="2268"/>
              </w:tabs>
              <w:spacing w:after="120"/>
              <w:ind w:left="284"/>
              <w:jc w:val="both"/>
              <w:rPr>
                <w:b/>
                <w:bCs/>
              </w:rPr>
            </w:pPr>
            <w:r>
              <w:rPr>
                <w:b/>
                <w:bCs/>
              </w:rPr>
              <w:t>Существо предложения:</w:t>
            </w:r>
          </w:p>
        </w:tc>
        <w:tc>
          <w:tcPr>
            <w:tcW w:w="7072" w:type="dxa"/>
            <w:tcBorders>
              <w:top w:val="nil"/>
              <w:left w:val="nil"/>
              <w:bottom w:val="nil"/>
            </w:tcBorders>
            <w:shd w:val="clear" w:color="auto" w:fill="auto"/>
          </w:tcPr>
          <w:p w14:paraId="64A65038" w14:textId="77777777" w:rsidR="00C7785D" w:rsidRPr="00217D68" w:rsidRDefault="00C7785D" w:rsidP="00E360D7">
            <w:pPr>
              <w:tabs>
                <w:tab w:val="left" w:pos="1701"/>
                <w:tab w:val="left" w:pos="2268"/>
              </w:tabs>
              <w:spacing w:after="120"/>
              <w:ind w:left="415" w:right="1134"/>
              <w:jc w:val="both"/>
            </w:pPr>
            <w:r>
              <w:t>Настоящее предложение имеет целью уточнить использование термина «орган(ы) по освидетельствованию» с учетом места его использования и употребления в Правилах, прилагаемых к ВОПОГ, и представить соответствующие поправки.</w:t>
            </w:r>
          </w:p>
        </w:tc>
      </w:tr>
      <w:tr w:rsidR="00C7785D" w:rsidRPr="00AB0E14" w14:paraId="7037B0D7" w14:textId="77777777" w:rsidTr="00935199">
        <w:trPr>
          <w:jc w:val="center"/>
        </w:trPr>
        <w:tc>
          <w:tcPr>
            <w:tcW w:w="2557" w:type="dxa"/>
            <w:tcBorders>
              <w:top w:val="nil"/>
              <w:bottom w:val="nil"/>
              <w:right w:val="nil"/>
            </w:tcBorders>
            <w:shd w:val="clear" w:color="auto" w:fill="auto"/>
          </w:tcPr>
          <w:p w14:paraId="1AC37A4E" w14:textId="77777777" w:rsidR="00C7785D" w:rsidRPr="00AB0E14" w:rsidRDefault="00C7785D" w:rsidP="00935199">
            <w:pPr>
              <w:tabs>
                <w:tab w:val="left" w:pos="1701"/>
                <w:tab w:val="left" w:pos="2268"/>
              </w:tabs>
              <w:spacing w:after="120"/>
              <w:ind w:left="284"/>
              <w:jc w:val="both"/>
              <w:rPr>
                <w:b/>
                <w:bCs/>
              </w:rPr>
            </w:pPr>
            <w:r>
              <w:rPr>
                <w:b/>
                <w:bCs/>
              </w:rPr>
              <w:t>Предлагаемое решение:</w:t>
            </w:r>
          </w:p>
        </w:tc>
        <w:tc>
          <w:tcPr>
            <w:tcW w:w="7072" w:type="dxa"/>
            <w:tcBorders>
              <w:top w:val="nil"/>
              <w:left w:val="nil"/>
              <w:bottom w:val="nil"/>
            </w:tcBorders>
            <w:shd w:val="clear" w:color="auto" w:fill="auto"/>
          </w:tcPr>
          <w:p w14:paraId="5837D01C" w14:textId="77777777" w:rsidR="00C7785D" w:rsidRPr="00AB0E14" w:rsidRDefault="00C7785D" w:rsidP="00E360D7">
            <w:pPr>
              <w:tabs>
                <w:tab w:val="left" w:pos="1701"/>
                <w:tab w:val="left" w:pos="2268"/>
              </w:tabs>
              <w:spacing w:after="120"/>
              <w:ind w:left="415" w:right="1134"/>
              <w:jc w:val="both"/>
            </w:pPr>
            <w:r>
              <w:t>См. пункт 8.</w:t>
            </w:r>
          </w:p>
        </w:tc>
      </w:tr>
      <w:tr w:rsidR="00C7785D" w:rsidRPr="00217D68" w14:paraId="6A1B5F7A" w14:textId="77777777" w:rsidTr="00935199">
        <w:trPr>
          <w:jc w:val="center"/>
        </w:trPr>
        <w:tc>
          <w:tcPr>
            <w:tcW w:w="2557" w:type="dxa"/>
            <w:tcBorders>
              <w:top w:val="nil"/>
              <w:bottom w:val="nil"/>
              <w:right w:val="nil"/>
            </w:tcBorders>
            <w:shd w:val="clear" w:color="auto" w:fill="auto"/>
          </w:tcPr>
          <w:p w14:paraId="23880CD0" w14:textId="77777777" w:rsidR="00C7785D" w:rsidRPr="00AB0E14" w:rsidRDefault="00C7785D" w:rsidP="00935199">
            <w:pPr>
              <w:tabs>
                <w:tab w:val="left" w:pos="1701"/>
                <w:tab w:val="left" w:pos="2268"/>
              </w:tabs>
              <w:spacing w:after="120"/>
              <w:ind w:left="284"/>
              <w:jc w:val="both"/>
              <w:rPr>
                <w:b/>
                <w:bCs/>
              </w:rPr>
            </w:pPr>
            <w:r>
              <w:rPr>
                <w:b/>
                <w:bCs/>
              </w:rPr>
              <w:t>Справочные документы:</w:t>
            </w:r>
          </w:p>
        </w:tc>
        <w:tc>
          <w:tcPr>
            <w:tcW w:w="7072" w:type="dxa"/>
            <w:tcBorders>
              <w:top w:val="nil"/>
              <w:left w:val="nil"/>
              <w:bottom w:val="nil"/>
            </w:tcBorders>
            <w:shd w:val="clear" w:color="auto" w:fill="auto"/>
          </w:tcPr>
          <w:p w14:paraId="03803FC7" w14:textId="184A8FA9" w:rsidR="00C7785D" w:rsidRPr="00217D68" w:rsidRDefault="00C7785D" w:rsidP="00E360D7">
            <w:pPr>
              <w:tabs>
                <w:tab w:val="left" w:pos="1701"/>
                <w:tab w:val="left" w:pos="2268"/>
              </w:tabs>
              <w:spacing w:after="120"/>
              <w:ind w:left="415" w:right="1134"/>
            </w:pPr>
            <w:r w:rsidRPr="00217D68">
              <w:rPr>
                <w:lang w:val="en-US"/>
              </w:rPr>
              <w:t>ECE</w:t>
            </w:r>
            <w:r w:rsidRPr="00E360D7">
              <w:t>/</w:t>
            </w:r>
            <w:r w:rsidRPr="00E360D7">
              <w:rPr>
                <w:lang w:val="en-US"/>
              </w:rPr>
              <w:t>TRANS</w:t>
            </w:r>
            <w:r w:rsidRPr="00E360D7">
              <w:t>/</w:t>
            </w:r>
            <w:r w:rsidRPr="00217D68">
              <w:rPr>
                <w:lang w:val="en-US"/>
              </w:rPr>
              <w:t>WP</w:t>
            </w:r>
            <w:r w:rsidRPr="00E360D7">
              <w:t>.15/</w:t>
            </w:r>
            <w:r w:rsidRPr="00217D68">
              <w:rPr>
                <w:lang w:val="en-US"/>
              </w:rPr>
              <w:t>AC</w:t>
            </w:r>
            <w:r w:rsidRPr="00E360D7">
              <w:t>.2/2022/25</w:t>
            </w:r>
            <w:r w:rsidR="00E360D7" w:rsidRPr="00E360D7">
              <w:br/>
            </w:r>
            <w:r w:rsidRPr="00217D68">
              <w:rPr>
                <w:lang w:val="en-US"/>
              </w:rPr>
              <w:t>ECE</w:t>
            </w:r>
            <w:r w:rsidRPr="00E360D7">
              <w:t>/</w:t>
            </w:r>
            <w:r w:rsidRPr="00E360D7">
              <w:rPr>
                <w:lang w:val="en-US"/>
              </w:rPr>
              <w:t>TRANS</w:t>
            </w:r>
            <w:r w:rsidRPr="00E360D7">
              <w:t>/</w:t>
            </w:r>
            <w:r w:rsidRPr="00217D68">
              <w:rPr>
                <w:lang w:val="en-US"/>
              </w:rPr>
              <w:t>WP</w:t>
            </w:r>
            <w:r w:rsidRPr="00E360D7">
              <w:t>.15/</w:t>
            </w:r>
            <w:r w:rsidRPr="00217D68">
              <w:rPr>
                <w:lang w:val="en-US"/>
              </w:rPr>
              <w:t>AC</w:t>
            </w:r>
            <w:r w:rsidRPr="00E360D7">
              <w:t>.2/82 (</w:t>
            </w:r>
            <w:r>
              <w:t>пункт</w:t>
            </w:r>
            <w:r w:rsidRPr="00E360D7">
              <w:t xml:space="preserve"> 34)</w:t>
            </w:r>
            <w:r w:rsidR="00E360D7" w:rsidRPr="00E360D7">
              <w:br/>
            </w:r>
            <w:r>
              <w:t>Неофициальный документ INF.5 сорок первой сессии</w:t>
            </w:r>
            <w:r w:rsidR="00E360D7">
              <w:br/>
            </w:r>
            <w:r>
              <w:t>ECE/TRANS/WP.15/AC.2/84, пункт 36 — Доклад о работе сорок первой сессии</w:t>
            </w:r>
          </w:p>
        </w:tc>
      </w:tr>
      <w:tr w:rsidR="00C7785D" w:rsidRPr="00217D68" w14:paraId="4FF8564E" w14:textId="77777777" w:rsidTr="00935199">
        <w:trPr>
          <w:jc w:val="center"/>
        </w:trPr>
        <w:tc>
          <w:tcPr>
            <w:tcW w:w="2557" w:type="dxa"/>
            <w:tcBorders>
              <w:top w:val="nil"/>
              <w:right w:val="nil"/>
            </w:tcBorders>
          </w:tcPr>
          <w:p w14:paraId="372AAF47" w14:textId="77777777" w:rsidR="00C7785D" w:rsidRPr="00217D68" w:rsidRDefault="00C7785D" w:rsidP="00935199">
            <w:pPr>
              <w:suppressAutoHyphens w:val="0"/>
              <w:spacing w:line="240" w:lineRule="auto"/>
            </w:pPr>
          </w:p>
        </w:tc>
        <w:tc>
          <w:tcPr>
            <w:tcW w:w="7072" w:type="dxa"/>
            <w:tcBorders>
              <w:top w:val="nil"/>
              <w:left w:val="nil"/>
            </w:tcBorders>
          </w:tcPr>
          <w:p w14:paraId="7B92F61B" w14:textId="77777777" w:rsidR="00C7785D" w:rsidRPr="00217D68" w:rsidRDefault="00C7785D" w:rsidP="00935199">
            <w:pPr>
              <w:suppressAutoHyphens w:val="0"/>
            </w:pPr>
          </w:p>
        </w:tc>
      </w:tr>
    </w:tbl>
    <w:p w14:paraId="0513C8C7" w14:textId="77777777" w:rsidR="00C7785D" w:rsidRPr="00217D68" w:rsidRDefault="00C7785D" w:rsidP="00C7785D">
      <w:pPr>
        <w:pStyle w:val="HChG"/>
      </w:pPr>
      <w:r>
        <w:lastRenderedPageBreak/>
        <w:tab/>
      </w:r>
      <w:r>
        <w:tab/>
      </w:r>
      <w:r>
        <w:rPr>
          <w:bCs/>
        </w:rPr>
        <w:t>Введение</w:t>
      </w:r>
    </w:p>
    <w:p w14:paraId="630A36FC" w14:textId="77777777" w:rsidR="00C7785D" w:rsidRPr="00217D68" w:rsidRDefault="00C7785D" w:rsidP="00C7785D">
      <w:pPr>
        <w:pStyle w:val="SingleTxtG"/>
      </w:pPr>
      <w:r>
        <w:t>1.</w:t>
      </w:r>
      <w:r>
        <w:tab/>
        <w:t>На сорок первой сессии Комитета по вопросам безопасности Германия, Нидерланды и Франция представили неофициальный документ INF.5.</w:t>
      </w:r>
    </w:p>
    <w:p w14:paraId="19EC4055" w14:textId="77777777" w:rsidR="00C7785D" w:rsidRPr="00217D68" w:rsidRDefault="00C7785D" w:rsidP="00C7785D">
      <w:pPr>
        <w:pStyle w:val="SingleTxtG"/>
      </w:pPr>
      <w:r>
        <w:t>2.</w:t>
      </w:r>
      <w:r>
        <w:tab/>
        <w:t>Итоги обсуждений отражены в пункте 36 доклада о работе сорок первой сессии Комитета по вопросам безопасности:</w:t>
      </w:r>
    </w:p>
    <w:p w14:paraId="2DC1C8B2" w14:textId="4496E320" w:rsidR="00E12C5F" w:rsidRDefault="00E360D7" w:rsidP="00C7785D">
      <w:pPr>
        <w:pStyle w:val="SingleTxtG"/>
      </w:pPr>
      <w:r>
        <w:t>«</w:t>
      </w:r>
      <w:r w:rsidR="00C7785D">
        <w:t>36.</w:t>
      </w:r>
      <w:r w:rsidR="00C7785D">
        <w:tab/>
        <w:t xml:space="preserve">Комитет по вопросам безопасности согласился с необходимостью уточнить в тексте ВОПОГ на английском языке определение </w:t>
      </w:r>
      <w:r>
        <w:t>"</w:t>
      </w:r>
      <w:r w:rsidR="00C7785D">
        <w:t>inspection body</w:t>
      </w:r>
      <w:r>
        <w:t>"</w:t>
      </w:r>
      <w:r w:rsidR="00C7785D">
        <w:t xml:space="preserve"> (</w:t>
      </w:r>
      <w:r>
        <w:t>"</w:t>
      </w:r>
      <w:r w:rsidR="00C7785D">
        <w:t>орган по освидетельствованию</w:t>
      </w:r>
      <w:r>
        <w:t>"</w:t>
      </w:r>
      <w:r w:rsidR="00C7785D">
        <w:t>), однако это будет подразумевать внесение поправки в Соглашение. Чтобы избежать созыва конференции сторон, а также обращения к Совместному совещанию МПОГ/ДОПОГ/ВОПОГ с просьбой адаптировать текст МПОГ/ДОПОГ, было рекомендовано решить этот вопрос путем использования несколько иного термина для текста на английском языке и/или новой сноски. Представители Германии, Нидерландов и Франции вызвались выступить с новым предложением на следующей сессии Комитета по вопросам безопасности».</w:t>
      </w:r>
    </w:p>
    <w:p w14:paraId="1FCCAAF0" w14:textId="77777777" w:rsidR="00C7785D" w:rsidRDefault="00C7785D" w:rsidP="00C7785D">
      <w:pPr>
        <w:pStyle w:val="SingleTxtG"/>
        <w:sectPr w:rsidR="00C7785D" w:rsidSect="00C7785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3E428610" w14:textId="77777777" w:rsidR="006356D0" w:rsidRPr="00933F18" w:rsidRDefault="006356D0" w:rsidP="006356D0">
      <w:pPr>
        <w:pStyle w:val="HChG"/>
      </w:pPr>
      <w:r>
        <w:tab/>
      </w:r>
      <w:r>
        <w:tab/>
      </w:r>
      <w:r>
        <w:rPr>
          <w:bCs/>
        </w:rPr>
        <w:t>Предложение о поправке к разделу 1.2.1 ВОПОГ</w:t>
      </w:r>
    </w:p>
    <w:p w14:paraId="191DEB1B" w14:textId="77777777" w:rsidR="006356D0" w:rsidRPr="00933F18" w:rsidRDefault="006356D0" w:rsidP="006356D0">
      <w:pPr>
        <w:pStyle w:val="SingleTxtG"/>
      </w:pPr>
      <w:r>
        <w:t>3.</w:t>
      </w:r>
      <w:r>
        <w:tab/>
        <w:t>В нижеследующей таблице представлены предложения по поправкам к разделу 1.2.1, которые затрагивают только текст на французском и русском языках. Исключенный текст зачеркнут, а новый текст выделен жирным шрифтом и подчеркнут.</w:t>
      </w:r>
    </w:p>
    <w:tbl>
      <w:tblPr>
        <w:tblStyle w:val="ac"/>
        <w:tblW w:w="13452" w:type="dxa"/>
        <w:jc w:val="center"/>
        <w:tblLayout w:type="fixed"/>
        <w:tblLook w:val="04A0" w:firstRow="1" w:lastRow="0" w:firstColumn="1" w:lastColumn="0" w:noHBand="0" w:noVBand="1"/>
      </w:tblPr>
      <w:tblGrid>
        <w:gridCol w:w="1143"/>
        <w:gridCol w:w="2758"/>
        <w:gridCol w:w="3835"/>
        <w:gridCol w:w="3025"/>
        <w:gridCol w:w="2691"/>
      </w:tblGrid>
      <w:tr w:rsidR="006356D0" w14:paraId="23DB4840" w14:textId="77777777" w:rsidTr="009A4A26">
        <w:trPr>
          <w:jc w:val="center"/>
        </w:trPr>
        <w:tc>
          <w:tcPr>
            <w:tcW w:w="1143" w:type="dxa"/>
          </w:tcPr>
          <w:p w14:paraId="2BD135BD" w14:textId="77777777" w:rsidR="006356D0" w:rsidRPr="00933F18" w:rsidRDefault="006356D0" w:rsidP="00E35EC5">
            <w:pPr>
              <w:spacing w:after="60"/>
            </w:pPr>
          </w:p>
        </w:tc>
        <w:tc>
          <w:tcPr>
            <w:tcW w:w="2758" w:type="dxa"/>
          </w:tcPr>
          <w:p w14:paraId="14075FB7" w14:textId="77777777" w:rsidR="006356D0" w:rsidRPr="004176AD" w:rsidRDefault="006356D0" w:rsidP="00E35EC5">
            <w:pPr>
              <w:spacing w:after="60"/>
              <w:jc w:val="center"/>
              <w:rPr>
                <w:b/>
                <w:bCs/>
              </w:rPr>
            </w:pPr>
            <w:r>
              <w:rPr>
                <w:b/>
                <w:bCs/>
              </w:rPr>
              <w:t>Текст на английском языке</w:t>
            </w:r>
          </w:p>
        </w:tc>
        <w:tc>
          <w:tcPr>
            <w:tcW w:w="3835" w:type="dxa"/>
          </w:tcPr>
          <w:p w14:paraId="79EFB0F7" w14:textId="77777777" w:rsidR="006356D0" w:rsidRPr="004176AD" w:rsidRDefault="006356D0" w:rsidP="00E35EC5">
            <w:pPr>
              <w:spacing w:after="60"/>
              <w:jc w:val="center"/>
              <w:rPr>
                <w:b/>
                <w:bCs/>
              </w:rPr>
            </w:pPr>
            <w:r>
              <w:rPr>
                <w:b/>
                <w:bCs/>
              </w:rPr>
              <w:t>Текст на французском языке</w:t>
            </w:r>
          </w:p>
        </w:tc>
        <w:tc>
          <w:tcPr>
            <w:tcW w:w="3025" w:type="dxa"/>
          </w:tcPr>
          <w:p w14:paraId="7B64EA7D" w14:textId="77777777" w:rsidR="006356D0" w:rsidRPr="004176AD" w:rsidRDefault="006356D0" w:rsidP="00E35EC5">
            <w:pPr>
              <w:spacing w:after="60"/>
              <w:jc w:val="center"/>
              <w:rPr>
                <w:b/>
                <w:bCs/>
              </w:rPr>
            </w:pPr>
            <w:r>
              <w:rPr>
                <w:b/>
                <w:bCs/>
              </w:rPr>
              <w:t>Текст на немецком языке</w:t>
            </w:r>
          </w:p>
        </w:tc>
        <w:tc>
          <w:tcPr>
            <w:tcW w:w="2691" w:type="dxa"/>
          </w:tcPr>
          <w:p w14:paraId="6984B9DD" w14:textId="77777777" w:rsidR="006356D0" w:rsidRDefault="006356D0" w:rsidP="00E35EC5">
            <w:pPr>
              <w:spacing w:after="60"/>
              <w:jc w:val="center"/>
              <w:rPr>
                <w:b/>
                <w:bCs/>
              </w:rPr>
            </w:pPr>
            <w:r>
              <w:rPr>
                <w:b/>
                <w:bCs/>
              </w:rPr>
              <w:t>Текст на русском языке</w:t>
            </w:r>
          </w:p>
        </w:tc>
      </w:tr>
      <w:tr w:rsidR="006356D0" w:rsidRPr="00933F18" w14:paraId="36FA0930" w14:textId="77777777" w:rsidTr="009A4A26">
        <w:trPr>
          <w:jc w:val="center"/>
        </w:trPr>
        <w:tc>
          <w:tcPr>
            <w:tcW w:w="1143" w:type="dxa"/>
          </w:tcPr>
          <w:p w14:paraId="2E6F877B" w14:textId="77777777" w:rsidR="006356D0" w:rsidRPr="004176AD" w:rsidRDefault="006356D0" w:rsidP="00E35EC5">
            <w:pPr>
              <w:spacing w:after="60"/>
              <w:rPr>
                <w:b/>
                <w:bCs/>
              </w:rPr>
            </w:pPr>
            <w:r>
              <w:rPr>
                <w:b/>
                <w:bCs/>
              </w:rPr>
              <w:t>1.2.1</w:t>
            </w:r>
          </w:p>
        </w:tc>
        <w:tc>
          <w:tcPr>
            <w:tcW w:w="2758" w:type="dxa"/>
          </w:tcPr>
          <w:p w14:paraId="07AD576C" w14:textId="77777777" w:rsidR="006356D0" w:rsidRPr="006356D0" w:rsidRDefault="006356D0" w:rsidP="00E35EC5">
            <w:pPr>
              <w:spacing w:after="60"/>
              <w:rPr>
                <w:b/>
                <w:u w:val="single"/>
                <w:shd w:val="clear" w:color="auto" w:fill="C0C0C0"/>
                <w:lang w:val="en-US"/>
              </w:rPr>
            </w:pPr>
            <w:r w:rsidRPr="006356D0">
              <w:rPr>
                <w:lang w:val="en-US"/>
              </w:rPr>
              <w:t>Inspection body</w:t>
            </w:r>
          </w:p>
          <w:p w14:paraId="1FFF86A1" w14:textId="77777777" w:rsidR="006356D0" w:rsidRPr="006356D0" w:rsidRDefault="006356D0" w:rsidP="00E35EC5">
            <w:pPr>
              <w:spacing w:after="60"/>
              <w:rPr>
                <w:lang w:val="en-US"/>
              </w:rPr>
            </w:pPr>
            <w:r w:rsidRPr="006356D0">
              <w:rPr>
                <w:b/>
                <w:u w:val="single"/>
                <w:shd w:val="clear" w:color="auto" w:fill="C0C0C0"/>
                <w:lang w:val="en-US"/>
              </w:rPr>
              <w:br/>
            </w:r>
            <w:r w:rsidRPr="006356D0">
              <w:rPr>
                <w:lang w:val="en-US"/>
              </w:rPr>
              <w:t>means an independent monitoring and verification body certified by the competent authority</w:t>
            </w:r>
          </w:p>
        </w:tc>
        <w:tc>
          <w:tcPr>
            <w:tcW w:w="3835" w:type="dxa"/>
            <w:shd w:val="clear" w:color="auto" w:fill="auto"/>
          </w:tcPr>
          <w:p w14:paraId="28DC9167" w14:textId="77777777" w:rsidR="006356D0" w:rsidRPr="00866A9F" w:rsidRDefault="006356D0" w:rsidP="00E35EC5">
            <w:pPr>
              <w:spacing w:after="60"/>
              <w:rPr>
                <w:lang w:val="fr-FR"/>
              </w:rPr>
            </w:pPr>
            <w:r w:rsidRPr="00866A9F">
              <w:rPr>
                <w:dstrike/>
                <w:lang w:val="fr-FR"/>
              </w:rPr>
              <w:t>Instance d’inspection</w:t>
            </w:r>
            <w:r>
              <w:rPr>
                <w:lang w:val="fr-FR"/>
              </w:rPr>
              <w:t xml:space="preserve"> </w:t>
            </w:r>
            <w:r w:rsidRPr="00F2773C">
              <w:rPr>
                <w:b/>
                <w:u w:val="single"/>
                <w:lang w:val="fr-FR"/>
              </w:rPr>
              <w:t>Organisme de contrôle</w:t>
            </w:r>
          </w:p>
          <w:p w14:paraId="30C2D7C3" w14:textId="77777777" w:rsidR="006356D0" w:rsidRPr="00866A9F" w:rsidRDefault="006356D0" w:rsidP="00E35EC5">
            <w:pPr>
              <w:spacing w:after="60"/>
              <w:rPr>
                <w:b/>
                <w:lang w:val="fr-FR"/>
              </w:rPr>
            </w:pPr>
            <w:r>
              <w:rPr>
                <w:b/>
                <w:u w:val="single"/>
                <w:lang w:val="fr-FR"/>
              </w:rPr>
              <w:br/>
            </w:r>
            <w:r w:rsidRPr="00F2773C">
              <w:rPr>
                <w:iCs/>
                <w:dstrike/>
                <w:lang w:val="fr-FR"/>
              </w:rPr>
              <w:t>une instance indépendante</w:t>
            </w:r>
            <w:r w:rsidRPr="00F2773C">
              <w:rPr>
                <w:iCs/>
                <w:lang w:val="fr-FR"/>
              </w:rPr>
              <w:t xml:space="preserve"> </w:t>
            </w:r>
            <w:r w:rsidRPr="00F2773C">
              <w:rPr>
                <w:b/>
                <w:iCs/>
                <w:u w:val="single"/>
                <w:lang w:val="fr-FR"/>
              </w:rPr>
              <w:t>un organisme indépendant</w:t>
            </w:r>
            <w:r w:rsidRPr="00F2773C">
              <w:rPr>
                <w:iCs/>
                <w:lang w:val="fr-FR"/>
              </w:rPr>
              <w:t xml:space="preserve"> de contrôle et de vérification </w:t>
            </w:r>
            <w:r w:rsidRPr="00F2773C">
              <w:rPr>
                <w:iCs/>
                <w:dstrike/>
                <w:lang w:val="fr-FR"/>
              </w:rPr>
              <w:t>agréée</w:t>
            </w:r>
            <w:r w:rsidRPr="00F2773C">
              <w:rPr>
                <w:iCs/>
                <w:lang w:val="fr-FR"/>
              </w:rPr>
              <w:t xml:space="preserve"> </w:t>
            </w:r>
            <w:r w:rsidRPr="00F2773C">
              <w:rPr>
                <w:b/>
                <w:iCs/>
                <w:u w:val="single"/>
                <w:lang w:val="fr-FR"/>
              </w:rPr>
              <w:t>agréé</w:t>
            </w:r>
            <w:r w:rsidRPr="00F2773C">
              <w:rPr>
                <w:iCs/>
                <w:lang w:val="fr-FR"/>
              </w:rPr>
              <w:t xml:space="preserve"> par l’autorité compétente</w:t>
            </w:r>
          </w:p>
        </w:tc>
        <w:tc>
          <w:tcPr>
            <w:tcW w:w="3025" w:type="dxa"/>
          </w:tcPr>
          <w:p w14:paraId="3DDC2849" w14:textId="77777777" w:rsidR="006356D0" w:rsidRDefault="006356D0" w:rsidP="00E35EC5">
            <w:pPr>
              <w:spacing w:after="60"/>
              <w:rPr>
                <w:b/>
                <w:u w:val="single"/>
                <w:lang w:val="de-DE"/>
              </w:rPr>
            </w:pPr>
            <w:r w:rsidRPr="007749A4">
              <w:rPr>
                <w:lang w:val="de-DE"/>
              </w:rPr>
              <w:t>Prüfstelle</w:t>
            </w:r>
          </w:p>
          <w:p w14:paraId="42024732" w14:textId="77777777" w:rsidR="006356D0" w:rsidRPr="00BF4918" w:rsidRDefault="006356D0" w:rsidP="00E35EC5">
            <w:pPr>
              <w:spacing w:after="60"/>
              <w:rPr>
                <w:szCs w:val="18"/>
                <w:lang w:val="de-DE"/>
              </w:rPr>
            </w:pPr>
            <w:r>
              <w:rPr>
                <w:b/>
                <w:u w:val="single"/>
                <w:lang w:val="de-DE"/>
              </w:rPr>
              <w:br/>
            </w:r>
            <w:r w:rsidRPr="007749A4">
              <w:rPr>
                <w:szCs w:val="18"/>
                <w:lang w:val="de-DE"/>
              </w:rPr>
              <w:t>Eine von der zuständigen Behörde zugelassene unabhängige Prüfstelle</w:t>
            </w:r>
          </w:p>
        </w:tc>
        <w:tc>
          <w:tcPr>
            <w:tcW w:w="2691" w:type="dxa"/>
          </w:tcPr>
          <w:p w14:paraId="6C72185C" w14:textId="25BA2069" w:rsidR="006356D0" w:rsidRPr="00933F18" w:rsidRDefault="006356D0" w:rsidP="00E35EC5">
            <w:pPr>
              <w:spacing w:after="60"/>
              <w:rPr>
                <w:b/>
                <w:u w:val="single"/>
                <w:shd w:val="clear" w:color="auto" w:fill="C0C0C0"/>
              </w:rPr>
            </w:pPr>
            <w:r>
              <w:rPr>
                <w:strike/>
              </w:rPr>
              <w:t>Инспектирующий орган</w:t>
            </w:r>
            <w:r>
              <w:rPr>
                <w:b/>
                <w:bCs/>
              </w:rPr>
              <w:t xml:space="preserve"> по освидетельствованию</w:t>
            </w:r>
          </w:p>
          <w:p w14:paraId="701D8166" w14:textId="03EC94C8" w:rsidR="006356D0" w:rsidRPr="007749A4" w:rsidRDefault="006356D0" w:rsidP="00E35EC5">
            <w:pPr>
              <w:spacing w:after="60"/>
              <w:rPr>
                <w:lang w:val="de-DE"/>
              </w:rPr>
            </w:pPr>
            <w:r>
              <w:t>означает независимый контролирующий и проверяющий орган, признанный компетентным органом</w:t>
            </w:r>
          </w:p>
        </w:tc>
      </w:tr>
    </w:tbl>
    <w:p w14:paraId="313F35E7" w14:textId="77777777" w:rsidR="006356D0" w:rsidRDefault="006356D0" w:rsidP="006356D0">
      <w:pPr>
        <w:pStyle w:val="SingleTxtG"/>
        <w:spacing w:before="120"/>
      </w:pPr>
      <w:r>
        <w:t>4.</w:t>
      </w:r>
      <w:r>
        <w:tab/>
        <w:t>Эти предложения соответствуют МПОГ/ДОПОГ и, с учетом пункта 36 доклада о работе сорок первой сессии Комитета по вопросам безопасности (упомянутого в пункте 2 выше), применяются к Специальному положению 674 (пункт d), второй подпункт) следующим образом:</w:t>
      </w:r>
    </w:p>
    <w:tbl>
      <w:tblPr>
        <w:tblStyle w:val="ac"/>
        <w:tblW w:w="13452" w:type="dxa"/>
        <w:jc w:val="center"/>
        <w:tblLayout w:type="fixed"/>
        <w:tblLook w:val="04A0" w:firstRow="1" w:lastRow="0" w:firstColumn="1" w:lastColumn="0" w:noHBand="0" w:noVBand="1"/>
      </w:tblPr>
      <w:tblGrid>
        <w:gridCol w:w="1129"/>
        <w:gridCol w:w="2800"/>
        <w:gridCol w:w="3821"/>
        <w:gridCol w:w="3011"/>
        <w:gridCol w:w="2691"/>
      </w:tblGrid>
      <w:tr w:rsidR="006356D0" w14:paraId="3AD9E760" w14:textId="77777777" w:rsidTr="009A4A26">
        <w:trPr>
          <w:jc w:val="center"/>
        </w:trPr>
        <w:tc>
          <w:tcPr>
            <w:tcW w:w="1129" w:type="dxa"/>
          </w:tcPr>
          <w:p w14:paraId="65F6661B" w14:textId="77777777" w:rsidR="006356D0" w:rsidRDefault="006356D0" w:rsidP="00E35EC5">
            <w:pPr>
              <w:spacing w:after="60"/>
            </w:pPr>
          </w:p>
        </w:tc>
        <w:tc>
          <w:tcPr>
            <w:tcW w:w="2800" w:type="dxa"/>
          </w:tcPr>
          <w:p w14:paraId="38B7FD9D" w14:textId="77777777" w:rsidR="006356D0" w:rsidRPr="004176AD" w:rsidRDefault="006356D0" w:rsidP="00E35EC5">
            <w:pPr>
              <w:spacing w:after="60"/>
              <w:jc w:val="center"/>
              <w:rPr>
                <w:b/>
                <w:bCs/>
              </w:rPr>
            </w:pPr>
            <w:r>
              <w:rPr>
                <w:b/>
                <w:bCs/>
              </w:rPr>
              <w:t>Текст на английском языке</w:t>
            </w:r>
          </w:p>
        </w:tc>
        <w:tc>
          <w:tcPr>
            <w:tcW w:w="3821" w:type="dxa"/>
          </w:tcPr>
          <w:p w14:paraId="058947C8" w14:textId="77777777" w:rsidR="006356D0" w:rsidRPr="004176AD" w:rsidRDefault="006356D0" w:rsidP="00E35EC5">
            <w:pPr>
              <w:spacing w:after="60"/>
              <w:jc w:val="center"/>
              <w:rPr>
                <w:b/>
                <w:bCs/>
              </w:rPr>
            </w:pPr>
            <w:r>
              <w:rPr>
                <w:b/>
                <w:bCs/>
              </w:rPr>
              <w:t>Текст на французском языке</w:t>
            </w:r>
          </w:p>
        </w:tc>
        <w:tc>
          <w:tcPr>
            <w:tcW w:w="3011" w:type="dxa"/>
          </w:tcPr>
          <w:p w14:paraId="7E936BAA" w14:textId="77777777" w:rsidR="006356D0" w:rsidRPr="004176AD" w:rsidRDefault="006356D0" w:rsidP="00E35EC5">
            <w:pPr>
              <w:spacing w:after="60"/>
              <w:jc w:val="center"/>
              <w:rPr>
                <w:b/>
                <w:bCs/>
              </w:rPr>
            </w:pPr>
            <w:r>
              <w:rPr>
                <w:b/>
                <w:bCs/>
              </w:rPr>
              <w:t>Текст на немецком языке</w:t>
            </w:r>
          </w:p>
        </w:tc>
        <w:tc>
          <w:tcPr>
            <w:tcW w:w="2691" w:type="dxa"/>
          </w:tcPr>
          <w:p w14:paraId="789658CF" w14:textId="77777777" w:rsidR="006356D0" w:rsidRDefault="006356D0" w:rsidP="00E35EC5">
            <w:pPr>
              <w:spacing w:after="60"/>
              <w:jc w:val="center"/>
              <w:rPr>
                <w:b/>
                <w:bCs/>
              </w:rPr>
            </w:pPr>
            <w:r>
              <w:rPr>
                <w:b/>
                <w:bCs/>
              </w:rPr>
              <w:t>Текст на русском языке</w:t>
            </w:r>
          </w:p>
        </w:tc>
      </w:tr>
      <w:tr w:rsidR="006356D0" w:rsidRPr="005C0AE9" w14:paraId="20A6537F" w14:textId="77777777" w:rsidTr="009A4A26">
        <w:trPr>
          <w:jc w:val="center"/>
        </w:trPr>
        <w:tc>
          <w:tcPr>
            <w:tcW w:w="1129" w:type="dxa"/>
          </w:tcPr>
          <w:p w14:paraId="548E1030" w14:textId="77777777" w:rsidR="006356D0" w:rsidRPr="004176AD" w:rsidRDefault="006356D0" w:rsidP="00E35EC5">
            <w:pPr>
              <w:spacing w:after="60"/>
              <w:rPr>
                <w:b/>
                <w:bCs/>
              </w:rPr>
            </w:pPr>
            <w:r>
              <w:rPr>
                <w:b/>
                <w:bCs/>
              </w:rPr>
              <w:t>СП 674 d)</w:t>
            </w:r>
          </w:p>
        </w:tc>
        <w:tc>
          <w:tcPr>
            <w:tcW w:w="2800" w:type="dxa"/>
          </w:tcPr>
          <w:p w14:paraId="690FD1C2" w14:textId="77777777" w:rsidR="006356D0" w:rsidRPr="006356D0" w:rsidRDefault="006356D0" w:rsidP="00E35EC5">
            <w:pPr>
              <w:spacing w:after="120"/>
              <w:rPr>
                <w:bCs/>
                <w:lang w:val="en-US"/>
              </w:rPr>
            </w:pPr>
            <w:r w:rsidRPr="006356D0">
              <w:rPr>
                <w:bCs/>
                <w:lang w:val="en-US"/>
              </w:rPr>
              <w:t>…</w:t>
            </w:r>
          </w:p>
          <w:p w14:paraId="1EEEF4E4" w14:textId="77777777" w:rsidR="006356D0" w:rsidRPr="006356D0" w:rsidRDefault="006356D0" w:rsidP="00E35EC5">
            <w:pPr>
              <w:spacing w:after="60"/>
              <w:rPr>
                <w:lang w:val="en-US"/>
              </w:rPr>
            </w:pPr>
            <w:r w:rsidRPr="006356D0">
              <w:rPr>
                <w:bCs/>
                <w:lang w:val="en-US"/>
              </w:rPr>
              <w:t xml:space="preserve">- Make available to inspection bodies </w:t>
            </w:r>
            <w:r w:rsidRPr="006356D0">
              <w:rPr>
                <w:b/>
                <w:u w:val="single"/>
                <w:lang w:val="en-US"/>
              </w:rPr>
              <w:t>(as defined in 1.2.1)</w:t>
            </w:r>
            <w:r w:rsidRPr="006356D0">
              <w:rPr>
                <w:bCs/>
                <w:lang w:val="en-US"/>
              </w:rPr>
              <w:t>, filling centres and competent authorities the specific technical characteristics of the cylinders consisting of at least the following: serial number, steel cylinder production batch, over-moulding production batch, date of over-moulding;</w:t>
            </w:r>
          </w:p>
        </w:tc>
        <w:tc>
          <w:tcPr>
            <w:tcW w:w="3821" w:type="dxa"/>
            <w:shd w:val="clear" w:color="auto" w:fill="auto"/>
          </w:tcPr>
          <w:p w14:paraId="50359A81" w14:textId="77777777" w:rsidR="006356D0" w:rsidRPr="00933F18" w:rsidRDefault="006356D0" w:rsidP="00E35EC5">
            <w:pPr>
              <w:spacing w:after="120"/>
              <w:rPr>
                <w:bCs/>
                <w:lang w:val="fr-CH"/>
              </w:rPr>
            </w:pPr>
            <w:r w:rsidRPr="00933F18">
              <w:rPr>
                <w:lang w:val="fr-CH"/>
              </w:rPr>
              <w:t>...</w:t>
            </w:r>
          </w:p>
          <w:p w14:paraId="3375323D" w14:textId="77777777" w:rsidR="006356D0" w:rsidRPr="00866A9F" w:rsidRDefault="006356D0" w:rsidP="00E35EC5">
            <w:pPr>
              <w:spacing w:after="60"/>
              <w:rPr>
                <w:b/>
                <w:lang w:val="fr-FR"/>
              </w:rPr>
            </w:pPr>
            <w:r>
              <w:rPr>
                <w:bCs/>
                <w:lang w:val="fr-FR"/>
              </w:rPr>
              <w:t xml:space="preserve">- </w:t>
            </w:r>
            <w:r w:rsidRPr="008354C7">
              <w:rPr>
                <w:bCs/>
                <w:lang w:val="fr-FR"/>
              </w:rPr>
              <w:t>Mettre à disposition des organismes de contrôle, des centres de remplissage ou des autorités comp</w:t>
            </w:r>
            <w:r w:rsidRPr="006F52C6">
              <w:rPr>
                <w:bCs/>
                <w:lang w:val="fr-FR"/>
              </w:rPr>
              <w:t>étentes, les caractéristiques techniques spécifiques des bouteilles comprenant au moins le numéro de série, le lot de production des bouteilles en acier, le lot de production des surmoulages et la date du surmoulage;</w:t>
            </w:r>
          </w:p>
        </w:tc>
        <w:tc>
          <w:tcPr>
            <w:tcW w:w="3011" w:type="dxa"/>
          </w:tcPr>
          <w:p w14:paraId="32150CCD" w14:textId="77777777" w:rsidR="006356D0" w:rsidRPr="00933F18" w:rsidRDefault="006356D0" w:rsidP="00E35EC5">
            <w:pPr>
              <w:spacing w:after="120"/>
              <w:rPr>
                <w:bCs/>
                <w:lang w:val="fr-FR"/>
              </w:rPr>
            </w:pPr>
            <w:r w:rsidRPr="00933F18">
              <w:rPr>
                <w:lang w:val="fr-FR"/>
              </w:rPr>
              <w:t>...</w:t>
            </w:r>
          </w:p>
          <w:p w14:paraId="6C98E89D" w14:textId="77777777" w:rsidR="006356D0" w:rsidRPr="00BF4918" w:rsidRDefault="006356D0" w:rsidP="00E35EC5">
            <w:pPr>
              <w:spacing w:after="60"/>
              <w:rPr>
                <w:szCs w:val="18"/>
                <w:lang w:val="de-DE"/>
              </w:rPr>
            </w:pPr>
            <w:r>
              <w:rPr>
                <w:bCs/>
                <w:lang w:val="de-DE"/>
              </w:rPr>
              <w:t xml:space="preserve">- </w:t>
            </w:r>
            <w:r w:rsidRPr="006F52C6">
              <w:rPr>
                <w:bCs/>
                <w:lang w:val="de-DE"/>
              </w:rPr>
              <w:t>die Zurverfügungstellung der spezifischen technischen Eigenschaften der Flaschen, zumindest bestehend aus Seriennummer, Produktionslos der Stahlflasche, Produktionslos der Umformung, Zeitpunkt der Umformung, für die Prüfstellen, Befüllzentren und zuständigen Behörden;</w:t>
            </w:r>
          </w:p>
        </w:tc>
        <w:tc>
          <w:tcPr>
            <w:tcW w:w="2691" w:type="dxa"/>
          </w:tcPr>
          <w:p w14:paraId="4120CE90" w14:textId="77777777" w:rsidR="006356D0" w:rsidRPr="00933F18" w:rsidRDefault="006356D0" w:rsidP="00E35EC5">
            <w:pPr>
              <w:spacing w:after="120"/>
              <w:rPr>
                <w:bCs/>
              </w:rPr>
            </w:pPr>
            <w:r>
              <w:t>...</w:t>
            </w:r>
          </w:p>
          <w:p w14:paraId="22A14A26" w14:textId="707A1191" w:rsidR="006356D0" w:rsidRPr="007749A4" w:rsidRDefault="006356D0" w:rsidP="00E35EC5">
            <w:pPr>
              <w:spacing w:after="60"/>
              <w:rPr>
                <w:lang w:val="de-DE"/>
              </w:rPr>
            </w:pPr>
            <w:r>
              <w:t xml:space="preserve">предоставления </w:t>
            </w:r>
            <w:r>
              <w:rPr>
                <w:strike/>
              </w:rPr>
              <w:t>проверяющим</w:t>
            </w:r>
            <w:r>
              <w:t xml:space="preserve"> </w:t>
            </w:r>
            <w:r>
              <w:rPr>
                <w:strike/>
              </w:rPr>
              <w:t>органам</w:t>
            </w:r>
            <w:r>
              <w:rPr>
                <w:b/>
                <w:bCs/>
                <w:u w:val="single"/>
              </w:rPr>
              <w:t xml:space="preserve"> по освидетельствованию (определение которых приведено в разделе 1.2.1)</w:t>
            </w:r>
            <w:r>
              <w:t>, заправочным центрам и компетентным органам информации о конкретных технических характеристиках баллонов, состоящей по крайней мере из следующего: серийный номер; производственная партия стальных корпусов баллонов; производственная партия формованных кожухов; дата установления таких кожухов;</w:t>
            </w:r>
          </w:p>
        </w:tc>
      </w:tr>
    </w:tbl>
    <w:p w14:paraId="27DDF1C0" w14:textId="4AEF2239" w:rsidR="006356D0" w:rsidRPr="00933F18" w:rsidRDefault="006356D0" w:rsidP="006356D0">
      <w:pPr>
        <w:pStyle w:val="HChG"/>
        <w:ind w:left="0" w:firstLine="0"/>
      </w:pPr>
      <w:r>
        <w:rPr>
          <w:bCs/>
        </w:rPr>
        <w:tab/>
      </w:r>
      <w:r>
        <w:rPr>
          <w:bCs/>
        </w:rPr>
        <w:tab/>
        <w:t xml:space="preserve">Определение термина </w:t>
      </w:r>
      <w:r w:rsidR="00E360D7">
        <w:rPr>
          <w:bCs/>
        </w:rPr>
        <w:t>«</w:t>
      </w:r>
      <w:r>
        <w:rPr>
          <w:bCs/>
        </w:rPr>
        <w:t>орган(ы) по освидетельствованию</w:t>
      </w:r>
      <w:r w:rsidR="00E360D7">
        <w:rPr>
          <w:bCs/>
        </w:rPr>
        <w:t>»</w:t>
      </w:r>
      <w:r>
        <w:rPr>
          <w:bCs/>
        </w:rPr>
        <w:t xml:space="preserve"> в других частях ВОПОГ</w:t>
      </w:r>
    </w:p>
    <w:p w14:paraId="08901896" w14:textId="1AA3149A" w:rsidR="006356D0" w:rsidRDefault="006356D0" w:rsidP="006356D0">
      <w:pPr>
        <w:pStyle w:val="SingleTxtG"/>
      </w:pPr>
      <w:r>
        <w:t>5.</w:t>
      </w:r>
      <w:r>
        <w:tab/>
        <w:t xml:space="preserve">В других случаях термин </w:t>
      </w:r>
      <w:r w:rsidR="009A4A26">
        <w:t>«</w:t>
      </w:r>
      <w:r>
        <w:t>inspection body(ies)</w:t>
      </w:r>
      <w:r w:rsidR="009A4A26">
        <w:t>»</w:t>
      </w:r>
      <w:r>
        <w:t xml:space="preserve"> (на английском языке), </w:t>
      </w:r>
      <w:r w:rsidR="009A4A26">
        <w:t>«</w:t>
      </w:r>
      <w:r>
        <w:t>organisme(s) de visite</w:t>
      </w:r>
      <w:r w:rsidR="009A4A26">
        <w:t>»</w:t>
      </w:r>
      <w:r>
        <w:t xml:space="preserve"> (на французском языке), </w:t>
      </w:r>
      <w:r w:rsidR="009A4A26">
        <w:t>«</w:t>
      </w:r>
      <w:r>
        <w:t>Untersuchungsstelle</w:t>
      </w:r>
      <w:r w:rsidR="009A4A26">
        <w:t>»</w:t>
      </w:r>
      <w:r>
        <w:t xml:space="preserve"> (на немецком языке) и </w:t>
      </w:r>
      <w:r w:rsidR="009A4A26">
        <w:t>«</w:t>
      </w:r>
      <w:r>
        <w:t>орган(ы) по освидетельствованию</w:t>
      </w:r>
      <w:r w:rsidR="009A4A26">
        <w:t>»</w:t>
      </w:r>
      <w:r>
        <w:t xml:space="preserve"> (на русском языке) в главе 1.16 и разделах 8.6.1.1, 8.6.1.3, 9.1.0.1 и 9.3.x.1 ВОПОГ используется со ссылкой на определение, приведенное в пункте 1.16.4.</w:t>
      </w:r>
    </w:p>
    <w:p w14:paraId="1B0BF10F" w14:textId="021BE3EB" w:rsidR="006356D0" w:rsidRPr="00933F18" w:rsidRDefault="006356D0" w:rsidP="006356D0">
      <w:pPr>
        <w:pStyle w:val="SingleTxtG"/>
      </w:pPr>
      <w:r>
        <w:t>6.</w:t>
      </w:r>
      <w:r>
        <w:tab/>
        <w:t>Также была отмечена необходимость внесения следующей небольшой редакционной поправки в текст первого предложения пункта</w:t>
      </w:r>
      <w:r w:rsidR="009A4A26">
        <w:t> </w:t>
      </w:r>
      <w:r>
        <w:t>1.16.3.1 на немецком языке (данная поправка к тексту на русском языке не относится):</w:t>
      </w:r>
    </w:p>
    <w:p w14:paraId="342B99A0" w14:textId="1560DC6D" w:rsidR="006356D0" w:rsidRPr="00933F18" w:rsidRDefault="009A4A26" w:rsidP="006356D0">
      <w:pPr>
        <w:pStyle w:val="SingleTxtG"/>
      </w:pPr>
      <w:r>
        <w:t>«</w:t>
      </w:r>
      <w:r w:rsidR="006356D0" w:rsidRPr="0065516F">
        <w:rPr>
          <w:b/>
          <w:bCs/>
        </w:rPr>
        <w:t>1.16.3.1</w:t>
      </w:r>
      <w:r w:rsidR="006356D0">
        <w:tab/>
        <w:t xml:space="preserve">Die Untersuchung des Schiffes wird unter der Aufsicht der zuständigen Behörde </w:t>
      </w:r>
      <w:r w:rsidR="006356D0" w:rsidRPr="0065516F">
        <w:rPr>
          <w:strike/>
        </w:rPr>
        <w:t>einer</w:t>
      </w:r>
      <w:r w:rsidR="006356D0">
        <w:t xml:space="preserve"> </w:t>
      </w:r>
      <w:r w:rsidR="006356D0" w:rsidRPr="0065516F">
        <w:rPr>
          <w:b/>
          <w:bCs/>
          <w:u w:val="single"/>
        </w:rPr>
        <w:t>der</w:t>
      </w:r>
      <w:r w:rsidR="006356D0">
        <w:rPr>
          <w:u w:val="single"/>
        </w:rPr>
        <w:t xml:space="preserve"> </w:t>
      </w:r>
      <w:r w:rsidR="006356D0">
        <w:t>Vertragspartei durchgeführt.</w:t>
      </w:r>
      <w:r>
        <w:t>»</w:t>
      </w:r>
      <w:r w:rsidR="006356D0">
        <w:t xml:space="preserve"> [</w:t>
      </w:r>
      <w:r>
        <w:t>«</w:t>
      </w:r>
      <w:r w:rsidR="006356D0">
        <w:t>Осмотр судна проводится под наблюдением компетентного органа Договаривающейся стороны.</w:t>
      </w:r>
      <w:r>
        <w:t>»</w:t>
      </w:r>
      <w:r w:rsidR="006356D0">
        <w:t>].</w:t>
      </w:r>
    </w:p>
    <w:p w14:paraId="07B16C6A" w14:textId="77777777" w:rsidR="006356D0" w:rsidRPr="00933F18" w:rsidRDefault="006356D0" w:rsidP="006356D0">
      <w:pPr>
        <w:pStyle w:val="HChG"/>
      </w:pPr>
      <w:r>
        <w:tab/>
      </w:r>
      <w:r>
        <w:tab/>
      </w:r>
      <w:r>
        <w:rPr>
          <w:bCs/>
        </w:rPr>
        <w:t>Прочие вопросы</w:t>
      </w:r>
    </w:p>
    <w:p w14:paraId="3C98D774" w14:textId="5AFFD2AF" w:rsidR="006356D0" w:rsidRPr="00933F18" w:rsidRDefault="006356D0" w:rsidP="006356D0">
      <w:pPr>
        <w:pStyle w:val="SingleTxtG"/>
      </w:pPr>
      <w:r>
        <w:t>7.</w:t>
      </w:r>
      <w:r>
        <w:tab/>
        <w:t xml:space="preserve">Поднимался вопрос о том, что понятие </w:t>
      </w:r>
      <w:r w:rsidR="009A4A26">
        <w:t>«</w:t>
      </w:r>
      <w:r>
        <w:t>test body / organisme de contrôle / Prüfstelle / орган по испытаниям</w:t>
      </w:r>
      <w:r w:rsidR="009A4A26">
        <w:t>»</w:t>
      </w:r>
      <w:r>
        <w:t xml:space="preserve"> в пунктах 8.1.2.2 h) </w:t>
      </w:r>
      <w:r w:rsidR="009A4A26">
        <w:br/>
      </w:r>
      <w:r>
        <w:t xml:space="preserve">и 8.1.2.3 u) четко не определено. Авторы исходят из того, что под </w:t>
      </w:r>
      <w:r w:rsidR="009A4A26">
        <w:t>«</w:t>
      </w:r>
      <w:r>
        <w:t>органом по испытаниям</w:t>
      </w:r>
      <w:r w:rsidR="009A4A26">
        <w:t>»</w:t>
      </w:r>
      <w:r>
        <w:t xml:space="preserve"> подразумеваются нотифицированные органы, занимающиеся оценкой соответствия согласно Директиве Европейского союза 2014/34/EU. В этой связи предлагается включить следующие поправки с соответствующими сносками, представленные</w:t>
      </w:r>
      <w:r w:rsidRPr="001668F4">
        <w:t xml:space="preserve"> </w:t>
      </w:r>
      <w:r>
        <w:t>в таблице ниже.</w:t>
      </w:r>
    </w:p>
    <w:tbl>
      <w:tblPr>
        <w:tblStyle w:val="ac"/>
        <w:tblW w:w="13656" w:type="dxa"/>
        <w:jc w:val="center"/>
        <w:tblLayout w:type="fixed"/>
        <w:tblLook w:val="04A0" w:firstRow="1" w:lastRow="0" w:firstColumn="1" w:lastColumn="0" w:noHBand="0" w:noVBand="1"/>
      </w:tblPr>
      <w:tblGrid>
        <w:gridCol w:w="1014"/>
        <w:gridCol w:w="3160"/>
        <w:gridCol w:w="3161"/>
        <w:gridCol w:w="3160"/>
        <w:gridCol w:w="3161"/>
      </w:tblGrid>
      <w:tr w:rsidR="006356D0" w:rsidRPr="004176AD" w14:paraId="42331521" w14:textId="77777777" w:rsidTr="00E35EC5">
        <w:trPr>
          <w:cantSplit/>
          <w:tblHeader/>
          <w:jc w:val="center"/>
        </w:trPr>
        <w:tc>
          <w:tcPr>
            <w:tcW w:w="1014" w:type="dxa"/>
          </w:tcPr>
          <w:p w14:paraId="4E8E58C7" w14:textId="77777777" w:rsidR="006356D0" w:rsidRPr="00933F18" w:rsidRDefault="006356D0" w:rsidP="009A4A26">
            <w:pPr>
              <w:spacing w:after="120"/>
            </w:pPr>
          </w:p>
        </w:tc>
        <w:tc>
          <w:tcPr>
            <w:tcW w:w="3160" w:type="dxa"/>
          </w:tcPr>
          <w:p w14:paraId="45F0A9C0" w14:textId="77777777" w:rsidR="006356D0" w:rsidRPr="004176AD" w:rsidRDefault="006356D0" w:rsidP="009A4A26">
            <w:pPr>
              <w:spacing w:after="120"/>
              <w:jc w:val="center"/>
              <w:rPr>
                <w:b/>
                <w:bCs/>
              </w:rPr>
            </w:pPr>
            <w:r>
              <w:rPr>
                <w:b/>
                <w:bCs/>
              </w:rPr>
              <w:t>Текст на английском языке</w:t>
            </w:r>
          </w:p>
        </w:tc>
        <w:tc>
          <w:tcPr>
            <w:tcW w:w="3161" w:type="dxa"/>
          </w:tcPr>
          <w:p w14:paraId="3CAD1453" w14:textId="77777777" w:rsidR="006356D0" w:rsidRPr="004176AD" w:rsidRDefault="006356D0" w:rsidP="009A4A26">
            <w:pPr>
              <w:spacing w:after="120"/>
              <w:jc w:val="center"/>
              <w:rPr>
                <w:b/>
                <w:bCs/>
              </w:rPr>
            </w:pPr>
            <w:r>
              <w:rPr>
                <w:b/>
                <w:bCs/>
              </w:rPr>
              <w:t>Текст на французском языке</w:t>
            </w:r>
          </w:p>
        </w:tc>
        <w:tc>
          <w:tcPr>
            <w:tcW w:w="3160" w:type="dxa"/>
          </w:tcPr>
          <w:p w14:paraId="56F18B5E" w14:textId="77777777" w:rsidR="006356D0" w:rsidRPr="004176AD" w:rsidRDefault="006356D0" w:rsidP="009A4A26">
            <w:pPr>
              <w:spacing w:after="120"/>
              <w:jc w:val="center"/>
              <w:rPr>
                <w:b/>
                <w:bCs/>
              </w:rPr>
            </w:pPr>
            <w:r>
              <w:rPr>
                <w:b/>
                <w:bCs/>
              </w:rPr>
              <w:t>Текст на немецком языке</w:t>
            </w:r>
          </w:p>
        </w:tc>
        <w:tc>
          <w:tcPr>
            <w:tcW w:w="3161" w:type="dxa"/>
          </w:tcPr>
          <w:p w14:paraId="0B7C7F7A" w14:textId="77777777" w:rsidR="006356D0" w:rsidRDefault="006356D0" w:rsidP="009A4A26">
            <w:pPr>
              <w:spacing w:after="120"/>
              <w:ind w:hanging="2"/>
              <w:jc w:val="center"/>
              <w:rPr>
                <w:b/>
                <w:bCs/>
              </w:rPr>
            </w:pPr>
            <w:r>
              <w:rPr>
                <w:b/>
                <w:bCs/>
              </w:rPr>
              <w:t>Текст на русском языке</w:t>
            </w:r>
          </w:p>
        </w:tc>
      </w:tr>
      <w:tr w:rsidR="006356D0" w:rsidRPr="00933F18" w14:paraId="24A46023" w14:textId="77777777" w:rsidTr="00E35EC5">
        <w:trPr>
          <w:cantSplit/>
          <w:tblHeader/>
          <w:jc w:val="center"/>
        </w:trPr>
        <w:tc>
          <w:tcPr>
            <w:tcW w:w="1014" w:type="dxa"/>
          </w:tcPr>
          <w:p w14:paraId="3CBE7A77" w14:textId="77777777" w:rsidR="006356D0" w:rsidRPr="004176AD" w:rsidRDefault="006356D0" w:rsidP="009A4A26">
            <w:pPr>
              <w:spacing w:after="120"/>
              <w:rPr>
                <w:b/>
                <w:bCs/>
              </w:rPr>
            </w:pPr>
            <w:r>
              <w:rPr>
                <w:b/>
                <w:bCs/>
              </w:rPr>
              <w:t>8.1.2.2</w:t>
            </w:r>
            <w:r>
              <w:t xml:space="preserve"> </w:t>
            </w:r>
            <w:r>
              <w:rPr>
                <w:b/>
                <w:bCs/>
              </w:rPr>
              <w:t>h)</w:t>
            </w:r>
          </w:p>
        </w:tc>
        <w:tc>
          <w:tcPr>
            <w:tcW w:w="3160" w:type="dxa"/>
          </w:tcPr>
          <w:p w14:paraId="726CFB26" w14:textId="28166B40" w:rsidR="006356D0" w:rsidRPr="006356D0" w:rsidRDefault="009A4A26" w:rsidP="009A4A26">
            <w:pPr>
              <w:spacing w:after="120"/>
              <w:rPr>
                <w:lang w:val="en-US"/>
              </w:rPr>
            </w:pPr>
            <w:r w:rsidRPr="009A4A26">
              <w:rPr>
                <w:lang w:val="en-US"/>
              </w:rPr>
              <w:t>–</w:t>
            </w:r>
            <w:r w:rsidR="006356D0" w:rsidRPr="006356D0">
              <w:rPr>
                <w:lang w:val="en-US"/>
              </w:rPr>
              <w:t xml:space="preserve"> Installation/equipment, location, marking (explosion protection level according to IEC 60079-0, equipment category according to Directive 2014/34/EU</w:t>
            </w:r>
            <w:r w:rsidR="006356D0" w:rsidRPr="006356D0">
              <w:rPr>
                <w:bCs/>
                <w:vertAlign w:val="superscript"/>
                <w:lang w:val="en-US"/>
              </w:rPr>
              <w:t>1</w:t>
            </w:r>
            <w:r w:rsidR="006356D0" w:rsidRPr="006356D0">
              <w:rPr>
                <w:vertAlign w:val="superscript"/>
                <w:lang w:val="en-US"/>
              </w:rPr>
              <w:t xml:space="preserve"> </w:t>
            </w:r>
            <w:r w:rsidR="006356D0" w:rsidRPr="006356D0">
              <w:rPr>
                <w:lang w:val="en-US"/>
              </w:rPr>
              <w:t>or equivalent protection level, explosion group, temperature class, type of protection, test body</w:t>
            </w:r>
            <w:r w:rsidR="006356D0" w:rsidRPr="006356D0">
              <w:rPr>
                <w:rFonts w:ascii="Times New Roman Gras" w:eastAsia="Calibri" w:hAnsi="Times New Roman Gras"/>
                <w:b/>
                <w:u w:val="single"/>
                <w:vertAlign w:val="superscript"/>
                <w:lang w:val="en-US"/>
              </w:rPr>
              <w:t>(*)</w:t>
            </w:r>
            <w:r w:rsidR="006356D0" w:rsidRPr="006356D0">
              <w:rPr>
                <w:lang w:val="en-US"/>
              </w:rPr>
              <w:t>) in case of electrical equipment for use in zone 1 (alternatively, a copy of the certificate of conformity according to Directive 2014/34/EU</w:t>
            </w:r>
            <w:r w:rsidR="006356D0" w:rsidRPr="006356D0">
              <w:rPr>
                <w:bCs/>
                <w:vertAlign w:val="superscript"/>
                <w:lang w:val="en-US"/>
              </w:rPr>
              <w:t>1</w:t>
            </w:r>
            <w:r w:rsidR="006356D0" w:rsidRPr="006356D0">
              <w:rPr>
                <w:lang w:val="en-US"/>
              </w:rPr>
              <w:t>);</w:t>
            </w:r>
          </w:p>
        </w:tc>
        <w:tc>
          <w:tcPr>
            <w:tcW w:w="3161" w:type="dxa"/>
          </w:tcPr>
          <w:p w14:paraId="59EBCB6D" w14:textId="77777777" w:rsidR="006356D0" w:rsidRPr="006A582D" w:rsidRDefault="006356D0" w:rsidP="009A4A26">
            <w:pPr>
              <w:spacing w:after="120"/>
              <w:rPr>
                <w:lang w:val="fr-FR"/>
              </w:rPr>
            </w:pPr>
            <w:r>
              <w:rPr>
                <w:lang w:val="fr-FR"/>
              </w:rPr>
              <w:t xml:space="preserve">– </w:t>
            </w:r>
            <w:r w:rsidRPr="006A582D">
              <w:rPr>
                <w:rFonts w:eastAsia="Calibri"/>
                <w:lang w:val="fr-FR"/>
              </w:rPr>
              <w:t xml:space="preserve">Installation/équipement, emplacement, marquage (niveau de protection contre les explosions selon la norme CEI 60079-0, catégorie d’équipement selon la directive </w:t>
            </w:r>
            <w:r w:rsidRPr="006A582D">
              <w:rPr>
                <w:rFonts w:eastAsia="Calibri"/>
                <w:bCs/>
                <w:iCs/>
                <w:lang w:val="fr-FR"/>
              </w:rPr>
              <w:t>2014/34/UE</w:t>
            </w:r>
            <w:r w:rsidRPr="00B52417">
              <w:rPr>
                <w:rStyle w:val="aa"/>
                <w:rFonts w:asciiTheme="majorBidi" w:eastAsia="Calibri" w:hAnsiTheme="majorBidi" w:cstheme="majorBidi"/>
                <w:lang w:val="fr-FR"/>
              </w:rPr>
              <w:t>1</w:t>
            </w:r>
            <w:r w:rsidRPr="006A582D">
              <w:rPr>
                <w:rFonts w:eastAsia="Calibri"/>
                <w:lang w:val="fr-FR"/>
              </w:rPr>
              <w:t xml:space="preserve"> ou niveau de protection équivalent, groupe d’explosion, classe de température, type de protection, organisme de contrôle</w:t>
            </w:r>
            <w:r w:rsidRPr="00B52417">
              <w:rPr>
                <w:rFonts w:ascii="Times New Roman Gras" w:eastAsia="Calibri" w:hAnsi="Times New Roman Gras"/>
                <w:b/>
                <w:u w:val="single"/>
                <w:vertAlign w:val="superscript"/>
                <w:lang w:val="fr-FR"/>
              </w:rPr>
              <w:t>(*)</w:t>
            </w:r>
            <w:r w:rsidRPr="006A582D">
              <w:rPr>
                <w:rFonts w:eastAsia="Calibri"/>
                <w:lang w:val="fr-FR"/>
              </w:rPr>
              <w:t xml:space="preserve">) dans le cas des équipements électriques destinés à être utilisés en zone 1 (ou, en guise d’alternative, copie de la déclaration de conformité selon la directive </w:t>
            </w:r>
            <w:r w:rsidRPr="006A582D">
              <w:rPr>
                <w:rFonts w:eastAsia="Calibri"/>
                <w:bCs/>
                <w:iCs/>
                <w:lang w:val="fr-FR"/>
              </w:rPr>
              <w:t>2014/34/UE</w:t>
            </w:r>
            <w:r w:rsidRPr="006A582D">
              <w:rPr>
                <w:rFonts w:eastAsia="Calibri"/>
                <w:bCs/>
                <w:iCs/>
                <w:vertAlign w:val="superscript"/>
                <w:lang w:val="fr-FR"/>
              </w:rPr>
              <w:t>1</w:t>
            </w:r>
            <w:r w:rsidRPr="006A582D">
              <w:rPr>
                <w:rFonts w:eastAsia="Calibri"/>
                <w:lang w:val="fr-FR"/>
              </w:rPr>
              <w:t>);</w:t>
            </w:r>
          </w:p>
        </w:tc>
        <w:tc>
          <w:tcPr>
            <w:tcW w:w="3160" w:type="dxa"/>
          </w:tcPr>
          <w:p w14:paraId="45E800B8" w14:textId="223C71F5" w:rsidR="006356D0" w:rsidRPr="009D35B2" w:rsidRDefault="009A4A26" w:rsidP="009A4A26">
            <w:pPr>
              <w:autoSpaceDE w:val="0"/>
              <w:autoSpaceDN w:val="0"/>
              <w:adjustRightInd w:val="0"/>
              <w:spacing w:line="240" w:lineRule="auto"/>
              <w:rPr>
                <w:lang w:val="de-DE"/>
              </w:rPr>
            </w:pPr>
            <w:r w:rsidRPr="009A4A26">
              <w:rPr>
                <w:lang w:val="fr-FR" w:eastAsia="en-GB"/>
              </w:rPr>
              <w:t>–</w:t>
            </w:r>
            <w:r w:rsidR="006356D0" w:rsidRPr="009D35B2">
              <w:rPr>
                <w:lang w:val="de-DE" w:eastAsia="en-GB"/>
              </w:rPr>
              <w:t xml:space="preserve"> Anlage/Gerät, Aufstellungsort, Kennzeichnung (Geräteschutzniveau nach IEC 60079-0 oder</w:t>
            </w:r>
            <w:r w:rsidR="006356D0">
              <w:rPr>
                <w:lang w:val="de-DE" w:eastAsia="en-GB"/>
              </w:rPr>
              <w:t xml:space="preserve"> </w:t>
            </w:r>
            <w:r w:rsidR="006356D0" w:rsidRPr="009D35B2">
              <w:rPr>
                <w:lang w:val="de-DE" w:eastAsia="en-GB"/>
              </w:rPr>
              <w:t>Gerätekategorie nach Richtlinie 2014/34/EU</w:t>
            </w:r>
            <w:r w:rsidR="006356D0" w:rsidRPr="009D35B2">
              <w:rPr>
                <w:vertAlign w:val="superscript"/>
                <w:lang w:val="de-DE" w:eastAsia="en-GB"/>
              </w:rPr>
              <w:t>1</w:t>
            </w:r>
            <w:r w:rsidR="006356D0" w:rsidRPr="009D35B2">
              <w:rPr>
                <w:lang w:val="de-DE" w:eastAsia="en-GB"/>
              </w:rPr>
              <w:t>) oder vergleichbares Schutzniveau, Explosionsgruppe</w:t>
            </w:r>
            <w:r w:rsidR="006356D0">
              <w:rPr>
                <w:lang w:val="de-DE" w:eastAsia="en-GB"/>
              </w:rPr>
              <w:t xml:space="preserve"> </w:t>
            </w:r>
            <w:r w:rsidR="006356D0" w:rsidRPr="009D35B2">
              <w:rPr>
                <w:lang w:val="de-DE" w:eastAsia="en-GB"/>
              </w:rPr>
              <w:t>und Temperaturklasse, Zündschutzart, Prüfstelle</w:t>
            </w:r>
            <w:r w:rsidR="006356D0" w:rsidRPr="00B52417">
              <w:rPr>
                <w:rFonts w:ascii="Times New Roman Gras" w:eastAsia="Calibri" w:hAnsi="Times New Roman Gras"/>
                <w:b/>
                <w:u w:val="single"/>
                <w:vertAlign w:val="superscript"/>
                <w:lang w:val="de-DE"/>
              </w:rPr>
              <w:t>(*)</w:t>
            </w:r>
            <w:r w:rsidR="006356D0" w:rsidRPr="009D35B2">
              <w:rPr>
                <w:lang w:val="de-DE" w:eastAsia="en-GB"/>
              </w:rPr>
              <w:t>, bei elektrischen Geräten zum</w:t>
            </w:r>
            <w:r w:rsidR="006356D0">
              <w:rPr>
                <w:lang w:val="de-DE" w:eastAsia="en-GB"/>
              </w:rPr>
              <w:t xml:space="preserve"> </w:t>
            </w:r>
            <w:r w:rsidR="006356D0" w:rsidRPr="009D35B2">
              <w:rPr>
                <w:lang w:val="de-DE" w:eastAsia="en-GB"/>
              </w:rPr>
              <w:t>Einsatz in Zone 1 (alternativ Kopie z.B. Konformitätserklärung nach Richtlinie 2014/34/EU</w:t>
            </w:r>
            <w:r w:rsidR="006356D0" w:rsidRPr="009D35B2">
              <w:rPr>
                <w:vertAlign w:val="superscript"/>
                <w:lang w:val="de-DE" w:eastAsia="en-GB"/>
              </w:rPr>
              <w:t>1</w:t>
            </w:r>
            <w:r w:rsidR="006356D0" w:rsidRPr="009D35B2">
              <w:rPr>
                <w:lang w:val="de-DE" w:eastAsia="en-GB"/>
              </w:rPr>
              <w:t>)</w:t>
            </w:r>
            <w:r w:rsidR="00A43D44">
              <w:rPr>
                <w:lang w:val="de-DE" w:eastAsia="en-GB"/>
              </w:rPr>
              <w:t>;</w:t>
            </w:r>
          </w:p>
        </w:tc>
        <w:tc>
          <w:tcPr>
            <w:tcW w:w="3161" w:type="dxa"/>
          </w:tcPr>
          <w:p w14:paraId="707070CD" w14:textId="5B2A0F42" w:rsidR="006356D0" w:rsidRPr="009D35B2" w:rsidRDefault="009A4A26" w:rsidP="009A4A26">
            <w:pPr>
              <w:autoSpaceDE w:val="0"/>
              <w:autoSpaceDN w:val="0"/>
              <w:adjustRightInd w:val="0"/>
              <w:spacing w:line="240" w:lineRule="auto"/>
              <w:ind w:hanging="2"/>
              <w:rPr>
                <w:lang w:val="de-DE" w:eastAsia="en-GB"/>
              </w:rPr>
            </w:pPr>
            <w:r>
              <w:t>–</w:t>
            </w:r>
            <w:r w:rsidR="006356D0">
              <w:t xml:space="preserve"> установка/оборудование,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006356D0">
              <w:rPr>
                <w:vertAlign w:val="superscript"/>
              </w:rPr>
              <w:t>1</w:t>
            </w:r>
            <w:r w:rsidR="006356D0">
              <w:t xml:space="preserve"> или эквивалентный уровень защиты, группа взрывоопасности, температурный класс, вид взрывозащиты, орган по испытаниям</w:t>
            </w:r>
            <w:r w:rsidR="006356D0">
              <w:rPr>
                <w:u w:val="single"/>
                <w:vertAlign w:val="superscript"/>
              </w:rPr>
              <w:t>(*)</w:t>
            </w:r>
            <w:r w:rsidR="006356D0">
              <w:t>) в случае электрического оборудования для использования в зоне 1 (или, в качестве альтернативы, копия сертификата соответствия согласно директиве 2014/34/EU</w:t>
            </w:r>
            <w:r w:rsidR="006356D0">
              <w:rPr>
                <w:vertAlign w:val="superscript"/>
              </w:rPr>
              <w:t>1</w:t>
            </w:r>
            <w:r w:rsidR="006356D0">
              <w:t>);</w:t>
            </w:r>
          </w:p>
        </w:tc>
      </w:tr>
      <w:tr w:rsidR="006356D0" w:rsidRPr="00933F18" w14:paraId="0BF78271" w14:textId="77777777" w:rsidTr="00E35EC5">
        <w:trPr>
          <w:cantSplit/>
          <w:tblHeader/>
          <w:jc w:val="center"/>
        </w:trPr>
        <w:tc>
          <w:tcPr>
            <w:tcW w:w="1014" w:type="dxa"/>
          </w:tcPr>
          <w:p w14:paraId="5108D556" w14:textId="77777777" w:rsidR="006356D0" w:rsidRPr="004176AD" w:rsidRDefault="006356D0" w:rsidP="009A4A26">
            <w:pPr>
              <w:spacing w:after="120"/>
              <w:rPr>
                <w:b/>
                <w:bCs/>
              </w:rPr>
            </w:pPr>
            <w:r>
              <w:rPr>
                <w:b/>
                <w:bCs/>
              </w:rPr>
              <w:t>8.1.2.3</w:t>
            </w:r>
            <w:r>
              <w:t xml:space="preserve"> </w:t>
            </w:r>
            <w:r>
              <w:rPr>
                <w:b/>
                <w:bCs/>
              </w:rPr>
              <w:t>u)</w:t>
            </w:r>
          </w:p>
        </w:tc>
        <w:tc>
          <w:tcPr>
            <w:tcW w:w="3160" w:type="dxa"/>
          </w:tcPr>
          <w:p w14:paraId="5AED2E0A" w14:textId="77777777" w:rsidR="006356D0" w:rsidRPr="006356D0" w:rsidRDefault="006356D0" w:rsidP="009A4A26">
            <w:pPr>
              <w:spacing w:after="120"/>
              <w:rPr>
                <w:lang w:val="en-US"/>
              </w:rPr>
            </w:pPr>
            <w:r w:rsidRPr="006356D0">
              <w:rPr>
                <w:lang w:val="en-US"/>
              </w:rPr>
              <w:t>– Installations/equipment, location, marking (explosion protection level according to IEC 60079-0, equipment category according to Directive 2014/34/EU</w:t>
            </w:r>
            <w:r w:rsidRPr="006356D0">
              <w:rPr>
                <w:b/>
                <w:bCs/>
                <w:vertAlign w:val="superscript"/>
                <w:lang w:val="en-US"/>
              </w:rPr>
              <w:t>1</w:t>
            </w:r>
            <w:r w:rsidRPr="006356D0">
              <w:rPr>
                <w:lang w:val="en-US"/>
              </w:rPr>
              <w:t xml:space="preserve"> or at least equivalent), including explosion group and temperature class, type of protection and test body</w:t>
            </w:r>
            <w:r w:rsidRPr="006356D0">
              <w:rPr>
                <w:rFonts w:ascii="Times New Roman Gras" w:eastAsia="Calibri" w:hAnsi="Times New Roman Gras"/>
                <w:b/>
                <w:u w:val="single"/>
                <w:vertAlign w:val="superscript"/>
                <w:lang w:val="en-US"/>
              </w:rPr>
              <w:t>(*)</w:t>
            </w:r>
            <w:r w:rsidRPr="006356D0">
              <w:rPr>
                <w:lang w:val="en-US"/>
              </w:rPr>
              <w:t>, in the case of electrical equipment for use in zone 0 or zone 1 and, in the case of non-electrical equipment for use in zone 0; (alternatively, a copy of the inspection certificate, for example the declaration of conformity under Directive 2014/34/EU</w:t>
            </w:r>
            <w:r w:rsidRPr="006356D0">
              <w:rPr>
                <w:bCs/>
                <w:vertAlign w:val="superscript"/>
                <w:lang w:val="en-US"/>
              </w:rPr>
              <w:t>1</w:t>
            </w:r>
            <w:r w:rsidRPr="006356D0">
              <w:rPr>
                <w:lang w:val="en-US"/>
              </w:rPr>
              <w:t>);</w:t>
            </w:r>
          </w:p>
        </w:tc>
        <w:tc>
          <w:tcPr>
            <w:tcW w:w="3161" w:type="dxa"/>
          </w:tcPr>
          <w:p w14:paraId="580C21C1" w14:textId="77777777" w:rsidR="006356D0" w:rsidRPr="006A582D" w:rsidRDefault="006356D0" w:rsidP="009A4A26">
            <w:pPr>
              <w:spacing w:after="120"/>
              <w:rPr>
                <w:lang w:val="fr-FR"/>
              </w:rPr>
            </w:pPr>
            <w:r>
              <w:rPr>
                <w:lang w:val="fr-FR"/>
              </w:rPr>
              <w:t xml:space="preserve">– </w:t>
            </w:r>
            <w:r w:rsidRPr="006A582D">
              <w:rPr>
                <w:lang w:val="fr-FR"/>
              </w:rPr>
              <w:t>Installation/équipement, emplacement, marquage (niveau de protection contre les explosions selon la no</w:t>
            </w:r>
            <w:r>
              <w:rPr>
                <w:lang w:val="fr-FR"/>
              </w:rPr>
              <w:t>rme CEI 60079-0 ou catégorie d’é</w:t>
            </w:r>
            <w:r w:rsidRPr="006A582D">
              <w:rPr>
                <w:lang w:val="fr-FR"/>
              </w:rPr>
              <w:t>quip</w:t>
            </w:r>
            <w:r>
              <w:rPr>
                <w:lang w:val="fr-FR"/>
              </w:rPr>
              <w:t>e</w:t>
            </w:r>
            <w:r w:rsidRPr="006A582D">
              <w:rPr>
                <w:lang w:val="fr-FR"/>
              </w:rPr>
              <w:t xml:space="preserve">ment selon la directive </w:t>
            </w:r>
            <w:r>
              <w:rPr>
                <w:rFonts w:eastAsia="Calibri"/>
                <w:bCs/>
                <w:iCs/>
                <w:lang w:val="fr-FR"/>
              </w:rPr>
              <w:t>2014/34/UE</w:t>
            </w:r>
            <w:r w:rsidRPr="00B52417">
              <w:rPr>
                <w:rFonts w:eastAsia="Calibri"/>
                <w:bCs/>
                <w:iCs/>
                <w:vertAlign w:val="superscript"/>
                <w:lang w:val="fr-FR"/>
              </w:rPr>
              <w:t>1</w:t>
            </w:r>
            <w:r w:rsidRPr="006A582D">
              <w:rPr>
                <w:lang w:val="fr-FR"/>
              </w:rPr>
              <w:t>ou au moins équivalent), y compris le groupe d’explosion et la classe de température, le type de protection, l’organisme de contrôle</w:t>
            </w:r>
            <w:r w:rsidRPr="00B52417">
              <w:rPr>
                <w:rFonts w:ascii="Times New Roman Gras" w:eastAsia="Calibri" w:hAnsi="Times New Roman Gras"/>
                <w:b/>
                <w:u w:val="single"/>
                <w:vertAlign w:val="superscript"/>
                <w:lang w:val="fr-FR"/>
              </w:rPr>
              <w:t>(*)</w:t>
            </w:r>
            <w:r w:rsidRPr="006A582D">
              <w:rPr>
                <w:lang w:val="fr-FR"/>
              </w:rPr>
              <w:t xml:space="preserve"> dans le cas des équipements électriques destinés à être utilisés en zone 0 et en zone 1 ainsi que dans le cas des équipements non électriques destinés à être utilisés en zone 0; (ou, en guise d’alternative, copie de l’attestation de contrôle, par exemple de la déclaration de conformité selon la directive </w:t>
            </w:r>
            <w:r w:rsidRPr="006A582D">
              <w:rPr>
                <w:rFonts w:eastAsia="Calibri"/>
                <w:iCs/>
                <w:lang w:val="fr-FR"/>
              </w:rPr>
              <w:t>2014/34/UE</w:t>
            </w:r>
            <w:r>
              <w:rPr>
                <w:rFonts w:eastAsia="Calibri"/>
                <w:iCs/>
                <w:vertAlign w:val="superscript"/>
                <w:lang w:val="fr-FR"/>
              </w:rPr>
              <w:t>1</w:t>
            </w:r>
            <w:r w:rsidRPr="006A582D">
              <w:rPr>
                <w:lang w:val="fr-FR"/>
              </w:rPr>
              <w:t>);</w:t>
            </w:r>
          </w:p>
        </w:tc>
        <w:tc>
          <w:tcPr>
            <w:tcW w:w="3160" w:type="dxa"/>
          </w:tcPr>
          <w:p w14:paraId="6477C712" w14:textId="65557CC4" w:rsidR="006356D0" w:rsidRPr="004C3D90" w:rsidRDefault="009A4A26" w:rsidP="009A4A26">
            <w:pPr>
              <w:spacing w:after="120"/>
              <w:rPr>
                <w:lang w:val="de-DE"/>
              </w:rPr>
            </w:pPr>
            <w:r w:rsidRPr="009A4A26">
              <w:rPr>
                <w:lang w:val="fr-FR"/>
              </w:rPr>
              <w:t>–</w:t>
            </w:r>
            <w:r w:rsidR="006356D0" w:rsidRPr="004C3D90">
              <w:rPr>
                <w:lang w:val="de-DE"/>
              </w:rPr>
              <w:t xml:space="preserve"> Anlage/Gerät, Aufstellungsort, Kennzeichnung (Geräteschutzniveau nach IEC 60079-0 oder</w:t>
            </w:r>
            <w:r w:rsidR="006356D0">
              <w:rPr>
                <w:lang w:val="de-DE"/>
              </w:rPr>
              <w:t xml:space="preserve"> </w:t>
            </w:r>
            <w:r w:rsidR="006356D0" w:rsidRPr="004C3D90">
              <w:rPr>
                <w:lang w:val="de-DE"/>
              </w:rPr>
              <w:t>Kategorie nach Richtlinie 2014/34/EU</w:t>
            </w:r>
            <w:r w:rsidR="006356D0" w:rsidRPr="004C3D90">
              <w:rPr>
                <w:vertAlign w:val="superscript"/>
                <w:lang w:val="de-DE"/>
              </w:rPr>
              <w:t>1</w:t>
            </w:r>
            <w:r w:rsidR="006356D0" w:rsidRPr="004C3D90">
              <w:rPr>
                <w:lang w:val="de-DE"/>
              </w:rPr>
              <w:t>) oder mindestens gleichwertig) einschließlich Explosionsgruppe</w:t>
            </w:r>
            <w:r w:rsidR="006356D0">
              <w:rPr>
                <w:lang w:val="de-DE"/>
              </w:rPr>
              <w:t xml:space="preserve"> </w:t>
            </w:r>
            <w:r w:rsidR="006356D0" w:rsidRPr="004C3D90">
              <w:rPr>
                <w:lang w:val="de-DE"/>
              </w:rPr>
              <w:t>und Temperaturklasse, Zündschutzart, Prüfstelle</w:t>
            </w:r>
            <w:r w:rsidR="006356D0" w:rsidRPr="00B52417">
              <w:rPr>
                <w:rFonts w:ascii="Times New Roman Gras" w:eastAsia="Calibri" w:hAnsi="Times New Roman Gras"/>
                <w:b/>
                <w:u w:val="single"/>
                <w:vertAlign w:val="superscript"/>
                <w:lang w:val="de-DE"/>
              </w:rPr>
              <w:t>(*)</w:t>
            </w:r>
            <w:r w:rsidR="006356D0" w:rsidRPr="004C3D90">
              <w:rPr>
                <w:lang w:val="de-DE"/>
              </w:rPr>
              <w:t xml:space="preserve"> bei elektrischen Geräten zum</w:t>
            </w:r>
            <w:r w:rsidR="006356D0">
              <w:rPr>
                <w:lang w:val="de-DE"/>
              </w:rPr>
              <w:t xml:space="preserve"> </w:t>
            </w:r>
            <w:r w:rsidR="006356D0" w:rsidRPr="004C3D90">
              <w:rPr>
                <w:lang w:val="de-DE"/>
              </w:rPr>
              <w:t>Einsatz in Zone 0 und Zone 1 sowie bei nicht-elektrischen Geräten zum Einsatz in Zone 0;</w:t>
            </w:r>
            <w:r w:rsidR="006356D0">
              <w:rPr>
                <w:lang w:val="de-DE"/>
              </w:rPr>
              <w:t xml:space="preserve"> </w:t>
            </w:r>
            <w:r w:rsidR="006356D0" w:rsidRPr="004C3D90">
              <w:rPr>
                <w:lang w:val="de-DE"/>
              </w:rPr>
              <w:t>(alternativ Kopie der Prüfbescheinigung z.B. Konformitätserklärung nach Richtlinie</w:t>
            </w:r>
            <w:r w:rsidR="006356D0">
              <w:rPr>
                <w:lang w:val="de-DE"/>
              </w:rPr>
              <w:t xml:space="preserve"> </w:t>
            </w:r>
            <w:r w:rsidR="006356D0" w:rsidRPr="004C3D90">
              <w:rPr>
                <w:lang w:val="de-DE"/>
              </w:rPr>
              <w:t>2014/34/EU</w:t>
            </w:r>
            <w:r w:rsidR="006356D0" w:rsidRPr="004C3D90">
              <w:rPr>
                <w:vertAlign w:val="superscript"/>
                <w:lang w:val="de-DE"/>
              </w:rPr>
              <w:t>1</w:t>
            </w:r>
            <w:r w:rsidR="006356D0" w:rsidRPr="004C3D90">
              <w:rPr>
                <w:lang w:val="de-DE"/>
              </w:rPr>
              <w:t>)</w:t>
            </w:r>
            <w:r w:rsidR="000C7C31">
              <w:rPr>
                <w:lang w:val="de-DE"/>
              </w:rPr>
              <w:t>;</w:t>
            </w:r>
          </w:p>
        </w:tc>
        <w:tc>
          <w:tcPr>
            <w:tcW w:w="3161" w:type="dxa"/>
          </w:tcPr>
          <w:p w14:paraId="621CF533" w14:textId="2EF41850" w:rsidR="006356D0" w:rsidRPr="000C7C31" w:rsidRDefault="009A4A26" w:rsidP="009A4A26">
            <w:pPr>
              <w:spacing w:after="120"/>
              <w:ind w:hanging="2"/>
            </w:pPr>
            <w:r>
              <w:t>–</w:t>
            </w:r>
            <w:r w:rsidR="006356D0">
              <w:t xml:space="preserve"> установки/оборудование,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006356D0">
              <w:rPr>
                <w:vertAlign w:val="superscript"/>
              </w:rPr>
              <w:t>1</w:t>
            </w:r>
            <w:r w:rsidR="006356D0">
              <w:t xml:space="preserve"> или эквивалентный уровень защиты), включая группу взрывоопасности и температурный класс, вид взрывозащиты и орган по испытаниям</w:t>
            </w:r>
            <w:r w:rsidR="006356D0">
              <w:rPr>
                <w:u w:val="single"/>
                <w:vertAlign w:val="superscript"/>
              </w:rPr>
              <w:t>(*)</w:t>
            </w:r>
            <w:r w:rsidR="006356D0">
              <w:t>, в случае электрического оборудования для использования в зоне 0 или зоне 1 и в случае неэлектрического оборудования для использования в зоне 0; (или, в качестве альтернативы, копия сертификата соответствия согласно директиве 2014/34/EU</w:t>
            </w:r>
            <w:r w:rsidR="006356D0">
              <w:rPr>
                <w:vertAlign w:val="superscript"/>
              </w:rPr>
              <w:t>1</w:t>
            </w:r>
            <w:r w:rsidR="006356D0">
              <w:t>)</w:t>
            </w:r>
            <w:r w:rsidR="000C7C31" w:rsidRPr="000C7C31">
              <w:t>;</w:t>
            </w:r>
          </w:p>
        </w:tc>
      </w:tr>
    </w:tbl>
    <w:p w14:paraId="3153E585" w14:textId="77777777" w:rsidR="006356D0" w:rsidRPr="006356D0" w:rsidRDefault="006356D0" w:rsidP="006356D0">
      <w:pPr>
        <w:suppressAutoHyphens w:val="0"/>
        <w:autoSpaceDE w:val="0"/>
        <w:autoSpaceDN w:val="0"/>
        <w:adjustRightInd w:val="0"/>
        <w:spacing w:before="120" w:after="120"/>
        <w:ind w:left="567" w:firstLine="567"/>
        <w:rPr>
          <w:b/>
          <w:u w:val="single"/>
          <w:lang w:val="en-US" w:eastAsia="en-GB"/>
        </w:rPr>
      </w:pPr>
      <w:r w:rsidRPr="006356D0">
        <w:rPr>
          <w:rFonts w:eastAsia="Calibri"/>
          <w:b/>
          <w:u w:val="single"/>
          <w:lang w:val="en-US"/>
        </w:rPr>
        <w:t xml:space="preserve">(*) </w:t>
      </w:r>
      <w:r w:rsidRPr="006356D0">
        <w:rPr>
          <w:rFonts w:eastAsia="Calibri"/>
          <w:b/>
          <w:u w:val="single"/>
          <w:lang w:val="en-US"/>
        </w:rPr>
        <w:tab/>
      </w:r>
      <w:r w:rsidRPr="006356D0">
        <w:rPr>
          <w:b/>
          <w:u w:val="single"/>
          <w:lang w:val="en-US" w:eastAsia="en-GB"/>
        </w:rPr>
        <w:t>No</w:t>
      </w:r>
      <w:r w:rsidRPr="006356D0">
        <w:rPr>
          <w:rFonts w:eastAsia="Calibri"/>
          <w:b/>
          <w:u w:val="single"/>
          <w:lang w:val="en-US" w:eastAsia="en-GB"/>
        </w:rPr>
        <w:t>ti</w:t>
      </w:r>
      <w:r w:rsidRPr="006356D0">
        <w:rPr>
          <w:b/>
          <w:u w:val="single"/>
          <w:lang w:val="en-US" w:eastAsia="en-GB"/>
        </w:rPr>
        <w:t>fied body, in the frame of Directive 2014/34/EU, or equivalent</w:t>
      </w:r>
    </w:p>
    <w:p w14:paraId="7A98E931" w14:textId="77777777" w:rsidR="006356D0" w:rsidRPr="00933F18" w:rsidRDefault="006356D0" w:rsidP="006356D0">
      <w:pPr>
        <w:suppressAutoHyphens w:val="0"/>
        <w:autoSpaceDE w:val="0"/>
        <w:autoSpaceDN w:val="0"/>
        <w:adjustRightInd w:val="0"/>
        <w:spacing w:before="120" w:after="120"/>
        <w:ind w:left="567" w:firstLine="567"/>
        <w:rPr>
          <w:b/>
          <w:bCs/>
          <w:u w:val="single"/>
          <w:lang w:val="fr-CH"/>
        </w:rPr>
      </w:pPr>
      <w:r w:rsidRPr="00933F18">
        <w:rPr>
          <w:b/>
          <w:bCs/>
          <w:u w:val="single"/>
          <w:lang w:val="fr-CH"/>
        </w:rPr>
        <w:t xml:space="preserve">(*) </w:t>
      </w:r>
      <w:r w:rsidRPr="00933F18">
        <w:rPr>
          <w:b/>
          <w:bCs/>
          <w:u w:val="single"/>
          <w:lang w:val="fr-CH"/>
        </w:rPr>
        <w:tab/>
        <w:t>Organisme notifié, dans le cadre de la Directive 2014/34/UE, ou équivalent</w:t>
      </w:r>
    </w:p>
    <w:p w14:paraId="573700C0" w14:textId="77777777" w:rsidR="006356D0" w:rsidRDefault="006356D0" w:rsidP="006356D0">
      <w:pPr>
        <w:pStyle w:val="SingleTxtG"/>
        <w:spacing w:before="120"/>
        <w:rPr>
          <w:b/>
          <w:bCs/>
          <w:i/>
          <w:iCs/>
        </w:rPr>
      </w:pPr>
      <w:r>
        <w:rPr>
          <w:u w:val="single"/>
        </w:rPr>
        <w:t>(*)</w:t>
      </w:r>
      <w:r>
        <w:t xml:space="preserve"> </w:t>
      </w:r>
      <w:r>
        <w:tab/>
      </w:r>
      <w:r>
        <w:rPr>
          <w:b/>
          <w:bCs/>
          <w:i/>
          <w:iCs/>
        </w:rPr>
        <w:t>Формулировку на немецком языке надлежит определить Германии или другой немецкоязычной делегации.</w:t>
      </w:r>
    </w:p>
    <w:p w14:paraId="74249AA4" w14:textId="77777777" w:rsidR="006356D0" w:rsidRPr="00933F18" w:rsidRDefault="006356D0" w:rsidP="006356D0">
      <w:pPr>
        <w:suppressAutoHyphens w:val="0"/>
        <w:autoSpaceDE w:val="0"/>
        <w:autoSpaceDN w:val="0"/>
        <w:adjustRightInd w:val="0"/>
        <w:spacing w:before="120" w:after="120"/>
        <w:ind w:left="567" w:firstLine="567"/>
        <w:rPr>
          <w:b/>
          <w:u w:val="single"/>
        </w:rPr>
      </w:pPr>
      <w:r w:rsidRPr="008440AE">
        <w:rPr>
          <w:b/>
          <w:bCs/>
          <w:u w:val="single"/>
        </w:rPr>
        <w:t xml:space="preserve">(*) </w:t>
      </w:r>
      <w:r w:rsidRPr="008440AE">
        <w:rPr>
          <w:b/>
          <w:bCs/>
          <w:u w:val="single"/>
        </w:rPr>
        <w:tab/>
        <w:t>Нотифицированный</w:t>
      </w:r>
      <w:r>
        <w:rPr>
          <w:b/>
          <w:bCs/>
          <w:u w:val="single"/>
        </w:rPr>
        <w:t xml:space="preserve"> орган в рамках Директивы 2014/34/EU, или его эквивалент</w:t>
      </w:r>
    </w:p>
    <w:p w14:paraId="3B4D7E10" w14:textId="77777777" w:rsidR="006356D0" w:rsidRPr="00933F18" w:rsidRDefault="006356D0" w:rsidP="006356D0">
      <w:pPr>
        <w:pStyle w:val="HChG"/>
      </w:pPr>
      <w:r>
        <w:tab/>
      </w:r>
      <w:r>
        <w:tab/>
      </w:r>
      <w:r>
        <w:rPr>
          <w:bCs/>
        </w:rPr>
        <w:t>Предложения</w:t>
      </w:r>
    </w:p>
    <w:p w14:paraId="26EA08A7" w14:textId="736C24BA" w:rsidR="006356D0" w:rsidRPr="00933F18" w:rsidRDefault="006356D0" w:rsidP="006356D0">
      <w:pPr>
        <w:pStyle w:val="SingleTxtG"/>
      </w:pPr>
      <w:r>
        <w:t>8.</w:t>
      </w:r>
      <w:r>
        <w:tab/>
        <w:t>Комитету по вопросам безопасности предлагается рассмотреть предложения, содержащиеся в пунктах 3</w:t>
      </w:r>
      <w:r w:rsidR="009A4A26">
        <w:t>–</w:t>
      </w:r>
      <w:r>
        <w:t>7 выше, и принять решение, которое он сочтет целесообразным.</w:t>
      </w:r>
    </w:p>
    <w:p w14:paraId="1FB93901" w14:textId="2E08621A" w:rsidR="006356D0" w:rsidRPr="009A4A26" w:rsidRDefault="00090B0F" w:rsidP="00090B0F">
      <w:pPr>
        <w:suppressAutoHyphens w:val="0"/>
        <w:spacing w:before="240" w:line="240" w:lineRule="auto"/>
        <w:jc w:val="center"/>
        <w:rPr>
          <w:rFonts w:eastAsia="Times New Roman" w:cs="Times New Roman"/>
          <w:szCs w:val="20"/>
          <w:u w:val="single"/>
        </w:rPr>
      </w:pP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4B46FBD2" w14:textId="17443094" w:rsidR="00C7785D" w:rsidRPr="006356D0" w:rsidRDefault="00C7785D" w:rsidP="006356D0">
      <w:pPr>
        <w:suppressAutoHyphens w:val="0"/>
        <w:spacing w:line="240" w:lineRule="auto"/>
        <w:rPr>
          <w:rFonts w:eastAsia="Times New Roman" w:cs="Times New Roman"/>
          <w:szCs w:val="20"/>
        </w:rPr>
      </w:pPr>
    </w:p>
    <w:sectPr w:rsidR="00C7785D" w:rsidRPr="006356D0" w:rsidSect="006356D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6D6D" w14:textId="77777777" w:rsidR="00C8613F" w:rsidRPr="00A312BC" w:rsidRDefault="00C8613F" w:rsidP="00A312BC"/>
  </w:endnote>
  <w:endnote w:type="continuationSeparator" w:id="0">
    <w:p w14:paraId="45C8ACFB" w14:textId="77777777" w:rsidR="00C8613F" w:rsidRPr="00A312BC" w:rsidRDefault="00C861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5C16" w14:textId="149A7E74" w:rsidR="00C7785D" w:rsidRPr="00C7785D" w:rsidRDefault="00C7785D">
    <w:pPr>
      <w:pStyle w:val="a8"/>
    </w:pPr>
    <w:r w:rsidRPr="00C7785D">
      <w:rPr>
        <w:b/>
        <w:sz w:val="18"/>
      </w:rPr>
      <w:fldChar w:fldCharType="begin"/>
    </w:r>
    <w:r w:rsidRPr="00C7785D">
      <w:rPr>
        <w:b/>
        <w:sz w:val="18"/>
      </w:rPr>
      <w:instrText xml:space="preserve"> PAGE  \* MERGEFORMAT </w:instrText>
    </w:r>
    <w:r w:rsidRPr="00C7785D">
      <w:rPr>
        <w:b/>
        <w:sz w:val="18"/>
      </w:rPr>
      <w:fldChar w:fldCharType="separate"/>
    </w:r>
    <w:r w:rsidRPr="00C7785D">
      <w:rPr>
        <w:b/>
        <w:noProof/>
        <w:sz w:val="18"/>
      </w:rPr>
      <w:t>2</w:t>
    </w:r>
    <w:r w:rsidRPr="00C7785D">
      <w:rPr>
        <w:b/>
        <w:sz w:val="18"/>
      </w:rPr>
      <w:fldChar w:fldCharType="end"/>
    </w:r>
    <w:r>
      <w:rPr>
        <w:b/>
        <w:sz w:val="18"/>
      </w:rPr>
      <w:tab/>
    </w:r>
    <w:r>
      <w:t>GE.23-10981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BE99" w14:textId="132115CF" w:rsidR="00C7785D" w:rsidRPr="00C7785D" w:rsidRDefault="00C7785D" w:rsidP="00C7785D">
    <w:pPr>
      <w:pStyle w:val="a8"/>
      <w:tabs>
        <w:tab w:val="clear" w:pos="9639"/>
        <w:tab w:val="right" w:pos="9638"/>
      </w:tabs>
      <w:rPr>
        <w:b/>
        <w:sz w:val="18"/>
      </w:rPr>
    </w:pPr>
    <w:r>
      <w:t>GE.23-10981</w:t>
    </w:r>
    <w:r>
      <w:tab/>
    </w:r>
    <w:r w:rsidRPr="00C7785D">
      <w:rPr>
        <w:b/>
        <w:sz w:val="18"/>
      </w:rPr>
      <w:fldChar w:fldCharType="begin"/>
    </w:r>
    <w:r w:rsidRPr="00C7785D">
      <w:rPr>
        <w:b/>
        <w:sz w:val="18"/>
      </w:rPr>
      <w:instrText xml:space="preserve"> PAGE  \* MERGEFORMAT </w:instrText>
    </w:r>
    <w:r w:rsidRPr="00C7785D">
      <w:rPr>
        <w:b/>
        <w:sz w:val="18"/>
      </w:rPr>
      <w:fldChar w:fldCharType="separate"/>
    </w:r>
    <w:r w:rsidRPr="00C7785D">
      <w:rPr>
        <w:b/>
        <w:noProof/>
        <w:sz w:val="18"/>
      </w:rPr>
      <w:t>3</w:t>
    </w:r>
    <w:r w:rsidRPr="00C778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E0CB" w14:textId="7D1DAFEC" w:rsidR="00042B72" w:rsidRPr="00C7785D" w:rsidRDefault="00C7785D" w:rsidP="00C7785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3D58210" wp14:editId="2198B5B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23-10981  (R)</w:t>
    </w:r>
    <w:r>
      <w:rPr>
        <w:noProof/>
      </w:rPr>
      <w:drawing>
        <wp:anchor distT="0" distB="0" distL="114300" distR="114300" simplePos="0" relativeHeight="251659264" behindDoc="0" locked="0" layoutInCell="1" allowOverlap="1" wp14:anchorId="41163969" wp14:editId="16972F5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0D7">
      <w:t xml:space="preserve">  300623  040723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B5B3" w14:textId="6E2FB4CD" w:rsidR="006356D0" w:rsidRPr="006356D0" w:rsidRDefault="006356D0" w:rsidP="006356D0">
    <w:pPr>
      <w:pStyle w:val="a8"/>
    </w:pPr>
    <w:r>
      <w:rPr>
        <w:noProof/>
      </w:rPr>
      <mc:AlternateContent>
        <mc:Choice Requires="wps">
          <w:drawing>
            <wp:anchor distT="0" distB="0" distL="114300" distR="114300" simplePos="0" relativeHeight="251663360" behindDoc="0" locked="0" layoutInCell="1" allowOverlap="1" wp14:anchorId="373807EC" wp14:editId="05B89C9C">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58FDF3" w14:textId="77777777" w:rsidR="006356D0" w:rsidRPr="00C7785D" w:rsidRDefault="006356D0" w:rsidP="006356D0">
                          <w:pPr>
                            <w:pStyle w:val="a8"/>
                          </w:pPr>
                          <w:r w:rsidRPr="00C7785D">
                            <w:rPr>
                              <w:b/>
                              <w:sz w:val="18"/>
                            </w:rPr>
                            <w:fldChar w:fldCharType="begin"/>
                          </w:r>
                          <w:r w:rsidRPr="00C7785D">
                            <w:rPr>
                              <w:b/>
                              <w:sz w:val="18"/>
                            </w:rPr>
                            <w:instrText xml:space="preserve"> PAGE  \* MERGEFORMAT </w:instrText>
                          </w:r>
                          <w:r w:rsidRPr="00C7785D">
                            <w:rPr>
                              <w:b/>
                              <w:sz w:val="18"/>
                            </w:rPr>
                            <w:fldChar w:fldCharType="separate"/>
                          </w:r>
                          <w:r>
                            <w:rPr>
                              <w:b/>
                              <w:sz w:val="18"/>
                            </w:rPr>
                            <w:t>6</w:t>
                          </w:r>
                          <w:r w:rsidRPr="00C7785D">
                            <w:rPr>
                              <w:b/>
                              <w:sz w:val="18"/>
                            </w:rPr>
                            <w:fldChar w:fldCharType="end"/>
                          </w:r>
                          <w:r>
                            <w:rPr>
                              <w:b/>
                              <w:sz w:val="18"/>
                            </w:rPr>
                            <w:tab/>
                          </w:r>
                          <w:r>
                            <w:t>GE.23-10981</w:t>
                          </w:r>
                        </w:p>
                        <w:p w14:paraId="4A3DFEBE" w14:textId="77777777" w:rsidR="006356D0" w:rsidRDefault="006356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3807EC"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958FDF3" w14:textId="77777777" w:rsidR="006356D0" w:rsidRPr="00C7785D" w:rsidRDefault="006356D0" w:rsidP="006356D0">
                    <w:pPr>
                      <w:pStyle w:val="a8"/>
                    </w:pPr>
                    <w:r w:rsidRPr="00C7785D">
                      <w:rPr>
                        <w:b/>
                        <w:sz w:val="18"/>
                      </w:rPr>
                      <w:fldChar w:fldCharType="begin"/>
                    </w:r>
                    <w:r w:rsidRPr="00C7785D">
                      <w:rPr>
                        <w:b/>
                        <w:sz w:val="18"/>
                      </w:rPr>
                      <w:instrText xml:space="preserve"> PAGE  \* MERGEFORMAT </w:instrText>
                    </w:r>
                    <w:r w:rsidRPr="00C7785D">
                      <w:rPr>
                        <w:b/>
                        <w:sz w:val="18"/>
                      </w:rPr>
                      <w:fldChar w:fldCharType="separate"/>
                    </w:r>
                    <w:r>
                      <w:rPr>
                        <w:b/>
                        <w:sz w:val="18"/>
                      </w:rPr>
                      <w:t>6</w:t>
                    </w:r>
                    <w:r w:rsidRPr="00C7785D">
                      <w:rPr>
                        <w:b/>
                        <w:sz w:val="18"/>
                      </w:rPr>
                      <w:fldChar w:fldCharType="end"/>
                    </w:r>
                    <w:r>
                      <w:rPr>
                        <w:b/>
                        <w:sz w:val="18"/>
                      </w:rPr>
                      <w:tab/>
                    </w:r>
                    <w:r>
                      <w:t>GE.23-10981</w:t>
                    </w:r>
                  </w:p>
                  <w:p w14:paraId="4A3DFEBE" w14:textId="77777777" w:rsidR="006356D0" w:rsidRDefault="006356D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D6C3" w14:textId="0B1EA621" w:rsidR="006356D0" w:rsidRPr="006356D0" w:rsidRDefault="006356D0" w:rsidP="006356D0">
    <w:pPr>
      <w:pStyle w:val="a8"/>
    </w:pPr>
    <w:r>
      <w:rPr>
        <w:noProof/>
      </w:rPr>
      <mc:AlternateContent>
        <mc:Choice Requires="wps">
          <w:drawing>
            <wp:anchor distT="0" distB="0" distL="114300" distR="114300" simplePos="0" relativeHeight="251661312" behindDoc="0" locked="0" layoutInCell="1" allowOverlap="1" wp14:anchorId="31D7F6B0" wp14:editId="20D51CB0">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EAEADC" w14:textId="77777777" w:rsidR="006356D0" w:rsidRPr="00C7785D" w:rsidRDefault="006356D0" w:rsidP="006356D0">
                          <w:pPr>
                            <w:pStyle w:val="a8"/>
                            <w:tabs>
                              <w:tab w:val="clear" w:pos="9639"/>
                              <w:tab w:val="right" w:pos="9638"/>
                            </w:tabs>
                            <w:rPr>
                              <w:b/>
                              <w:sz w:val="18"/>
                            </w:rPr>
                          </w:pPr>
                          <w:r>
                            <w:t>GE.23-10981</w:t>
                          </w:r>
                          <w:r>
                            <w:tab/>
                          </w:r>
                          <w:r w:rsidRPr="00C7785D">
                            <w:rPr>
                              <w:b/>
                              <w:sz w:val="18"/>
                            </w:rPr>
                            <w:fldChar w:fldCharType="begin"/>
                          </w:r>
                          <w:r w:rsidRPr="00C7785D">
                            <w:rPr>
                              <w:b/>
                              <w:sz w:val="18"/>
                            </w:rPr>
                            <w:instrText xml:space="preserve"> PAGE  \* MERGEFORMAT </w:instrText>
                          </w:r>
                          <w:r w:rsidRPr="00C7785D">
                            <w:rPr>
                              <w:b/>
                              <w:sz w:val="18"/>
                            </w:rPr>
                            <w:fldChar w:fldCharType="separate"/>
                          </w:r>
                          <w:r>
                            <w:rPr>
                              <w:b/>
                              <w:sz w:val="18"/>
                            </w:rPr>
                            <w:t>5</w:t>
                          </w:r>
                          <w:r w:rsidRPr="00C7785D">
                            <w:rPr>
                              <w:b/>
                              <w:sz w:val="18"/>
                            </w:rPr>
                            <w:fldChar w:fldCharType="end"/>
                          </w:r>
                        </w:p>
                        <w:p w14:paraId="52806DA4" w14:textId="77777777" w:rsidR="006356D0" w:rsidRDefault="006356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D7F6B0"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7AEAEADC" w14:textId="77777777" w:rsidR="006356D0" w:rsidRPr="00C7785D" w:rsidRDefault="006356D0" w:rsidP="006356D0">
                    <w:pPr>
                      <w:pStyle w:val="a8"/>
                      <w:tabs>
                        <w:tab w:val="clear" w:pos="9639"/>
                        <w:tab w:val="right" w:pos="9638"/>
                      </w:tabs>
                      <w:rPr>
                        <w:b/>
                        <w:sz w:val="18"/>
                      </w:rPr>
                    </w:pPr>
                    <w:r>
                      <w:t>GE.23-10981</w:t>
                    </w:r>
                    <w:r>
                      <w:tab/>
                    </w:r>
                    <w:r w:rsidRPr="00C7785D">
                      <w:rPr>
                        <w:b/>
                        <w:sz w:val="18"/>
                      </w:rPr>
                      <w:fldChar w:fldCharType="begin"/>
                    </w:r>
                    <w:r w:rsidRPr="00C7785D">
                      <w:rPr>
                        <w:b/>
                        <w:sz w:val="18"/>
                      </w:rPr>
                      <w:instrText xml:space="preserve"> PAGE  \* MERGEFORMAT </w:instrText>
                    </w:r>
                    <w:r w:rsidRPr="00C7785D">
                      <w:rPr>
                        <w:b/>
                        <w:sz w:val="18"/>
                      </w:rPr>
                      <w:fldChar w:fldCharType="separate"/>
                    </w:r>
                    <w:r>
                      <w:rPr>
                        <w:b/>
                        <w:sz w:val="18"/>
                      </w:rPr>
                      <w:t>5</w:t>
                    </w:r>
                    <w:r w:rsidRPr="00C7785D">
                      <w:rPr>
                        <w:b/>
                        <w:sz w:val="18"/>
                      </w:rPr>
                      <w:fldChar w:fldCharType="end"/>
                    </w:r>
                  </w:p>
                  <w:p w14:paraId="52806DA4" w14:textId="77777777" w:rsidR="006356D0" w:rsidRDefault="006356D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3171" w14:textId="77777777" w:rsidR="00C8613F" w:rsidRPr="001075E9" w:rsidRDefault="00C8613F" w:rsidP="001075E9">
      <w:pPr>
        <w:tabs>
          <w:tab w:val="right" w:pos="2155"/>
        </w:tabs>
        <w:spacing w:after="80" w:line="240" w:lineRule="auto"/>
        <w:ind w:left="680"/>
        <w:rPr>
          <w:u w:val="single"/>
        </w:rPr>
      </w:pPr>
      <w:r>
        <w:rPr>
          <w:u w:val="single"/>
        </w:rPr>
        <w:tab/>
      </w:r>
    </w:p>
  </w:footnote>
  <w:footnote w:type="continuationSeparator" w:id="0">
    <w:p w14:paraId="6D48EDBC" w14:textId="77777777" w:rsidR="00C8613F" w:rsidRDefault="00C8613F" w:rsidP="00407B78">
      <w:pPr>
        <w:tabs>
          <w:tab w:val="right" w:pos="2155"/>
        </w:tabs>
        <w:spacing w:after="80"/>
        <w:ind w:left="680"/>
        <w:rPr>
          <w:u w:val="single"/>
        </w:rPr>
      </w:pPr>
      <w:r>
        <w:rPr>
          <w:u w:val="single"/>
        </w:rPr>
        <w:tab/>
      </w:r>
    </w:p>
  </w:footnote>
  <w:footnote w:id="1">
    <w:p w14:paraId="442B9163" w14:textId="77777777" w:rsidR="00C7785D" w:rsidRPr="00217D68" w:rsidRDefault="00C7785D" w:rsidP="00C7785D">
      <w:pPr>
        <w:pStyle w:val="ad"/>
      </w:pPr>
      <w:r>
        <w:tab/>
      </w:r>
      <w:r w:rsidRPr="00E360D7">
        <w:rPr>
          <w:sz w:val="20"/>
        </w:rPr>
        <w:t>*</w:t>
      </w:r>
      <w:r>
        <w:tab/>
        <w:t>Распространено на немецком языке Центральной комиссией судоходства по Рейну под условным обозначением CCNR-ZKR/ADN/WP.15/AC.2/2023/46.</w:t>
      </w:r>
    </w:p>
  </w:footnote>
  <w:footnote w:id="2">
    <w:p w14:paraId="567569EA" w14:textId="77777777" w:rsidR="00C7785D" w:rsidRPr="00404A27" w:rsidRDefault="00C7785D" w:rsidP="00C7785D">
      <w:pPr>
        <w:pStyle w:val="ad"/>
      </w:pPr>
      <w:r>
        <w:tab/>
      </w:r>
      <w:r w:rsidRPr="00E360D7">
        <w:rPr>
          <w:sz w:val="20"/>
        </w:rPr>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8F94" w14:textId="6F851A74" w:rsidR="00C7785D" w:rsidRPr="00C7785D" w:rsidRDefault="00B46BFE">
    <w:pPr>
      <w:pStyle w:val="a5"/>
    </w:pPr>
    <w:r>
      <w:fldChar w:fldCharType="begin"/>
    </w:r>
    <w:r>
      <w:instrText xml:space="preserve"> TITLE  \* MERGEFORMAT </w:instrText>
    </w:r>
    <w:r>
      <w:fldChar w:fldCharType="separate"/>
    </w:r>
    <w:r>
      <w:t>ECE/TRANS/WP.15/AC.2/2023/46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04A" w14:textId="2E01CCB8" w:rsidR="00C7785D" w:rsidRPr="00C7785D" w:rsidRDefault="00B46BFE" w:rsidP="00C7785D">
    <w:pPr>
      <w:pStyle w:val="a5"/>
      <w:jc w:val="right"/>
    </w:pPr>
    <w:r>
      <w:fldChar w:fldCharType="begin"/>
    </w:r>
    <w:r>
      <w:instrText xml:space="preserve"> TITLE  \* MERGEFORMAT </w:instrText>
    </w:r>
    <w:r>
      <w:fldChar w:fldCharType="separate"/>
    </w:r>
    <w:r>
      <w:t>ECE/TRANS/WP.15/AC.2/2023/46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A62" w14:textId="05C35811" w:rsidR="006356D0" w:rsidRPr="006356D0" w:rsidRDefault="006356D0" w:rsidP="006356D0">
    <w:r>
      <w:rPr>
        <w:noProof/>
      </w:rPr>
      <mc:AlternateContent>
        <mc:Choice Requires="wps">
          <w:drawing>
            <wp:anchor distT="0" distB="0" distL="114300" distR="114300" simplePos="0" relativeHeight="251662336" behindDoc="0" locked="0" layoutInCell="1" allowOverlap="1" wp14:anchorId="32164A63" wp14:editId="5B4241A0">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0BE25F5" w14:textId="1E14A812" w:rsidR="006356D0" w:rsidRPr="00C7785D" w:rsidRDefault="006356D0" w:rsidP="006356D0">
                          <w:pPr>
                            <w:pStyle w:val="a5"/>
                          </w:pPr>
                          <w:fldSimple w:instr=" TITLE  \* MERGEFORMAT ">
                            <w:r w:rsidR="00B46BFE">
                              <w:t>ECE/TRANS/WP.15/AC.2/2023/46</w:t>
                            </w:r>
                          </w:fldSimple>
                        </w:p>
                        <w:p w14:paraId="17421C8E" w14:textId="77777777" w:rsidR="006356D0" w:rsidRDefault="006356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164A63"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30BE25F5" w14:textId="1E14A812" w:rsidR="006356D0" w:rsidRPr="00C7785D" w:rsidRDefault="006356D0" w:rsidP="006356D0">
                    <w:pPr>
                      <w:pStyle w:val="a5"/>
                    </w:pPr>
                    <w:fldSimple w:instr=" TITLE  \* MERGEFORMAT ">
                      <w:r w:rsidR="00B46BFE">
                        <w:t>ECE/TRANS/WP.15/AC.2/2023/46</w:t>
                      </w:r>
                    </w:fldSimple>
                  </w:p>
                  <w:p w14:paraId="17421C8E" w14:textId="77777777" w:rsidR="006356D0" w:rsidRDefault="006356D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D305" w14:textId="1A9A9758" w:rsidR="006356D0" w:rsidRPr="006356D0" w:rsidRDefault="006356D0" w:rsidP="006356D0">
    <w:r>
      <w:rPr>
        <w:noProof/>
      </w:rPr>
      <mc:AlternateContent>
        <mc:Choice Requires="wps">
          <w:drawing>
            <wp:anchor distT="0" distB="0" distL="114300" distR="114300" simplePos="0" relativeHeight="251660288" behindDoc="0" locked="0" layoutInCell="1" allowOverlap="1" wp14:anchorId="37ACD346" wp14:editId="7EC0D65F">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8EF2B6" w14:textId="70AA2E5F" w:rsidR="006356D0" w:rsidRPr="00C7785D" w:rsidRDefault="006356D0" w:rsidP="006356D0">
                          <w:pPr>
                            <w:pStyle w:val="a5"/>
                            <w:jc w:val="right"/>
                          </w:pPr>
                          <w:fldSimple w:instr=" TITLE  \* MERGEFORMAT ">
                            <w:r w:rsidR="00B46BFE">
                              <w:t>ECE/TRANS/WP.15/AC.2/2023/46</w:t>
                            </w:r>
                          </w:fldSimple>
                        </w:p>
                        <w:p w14:paraId="7EE86837" w14:textId="77777777" w:rsidR="006356D0" w:rsidRDefault="006356D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ACD346"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618EF2B6" w14:textId="70AA2E5F" w:rsidR="006356D0" w:rsidRPr="00C7785D" w:rsidRDefault="006356D0" w:rsidP="006356D0">
                    <w:pPr>
                      <w:pStyle w:val="a5"/>
                      <w:jc w:val="right"/>
                    </w:pPr>
                    <w:fldSimple w:instr=" TITLE  \* MERGEFORMAT ">
                      <w:r w:rsidR="00B46BFE">
                        <w:t>ECE/TRANS/WP.15/AC.2/2023/46</w:t>
                      </w:r>
                    </w:fldSimple>
                  </w:p>
                  <w:p w14:paraId="7EE86837" w14:textId="77777777" w:rsidR="006356D0" w:rsidRDefault="006356D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82145414">
    <w:abstractNumId w:val="17"/>
  </w:num>
  <w:num w:numId="2" w16cid:durableId="958681487">
    <w:abstractNumId w:val="12"/>
  </w:num>
  <w:num w:numId="3" w16cid:durableId="204683340">
    <w:abstractNumId w:val="11"/>
  </w:num>
  <w:num w:numId="4" w16cid:durableId="2588160">
    <w:abstractNumId w:val="18"/>
  </w:num>
  <w:num w:numId="5" w16cid:durableId="1415131516">
    <w:abstractNumId w:val="14"/>
  </w:num>
  <w:num w:numId="6" w16cid:durableId="1898203023">
    <w:abstractNumId w:val="8"/>
  </w:num>
  <w:num w:numId="7" w16cid:durableId="1010990346">
    <w:abstractNumId w:val="3"/>
  </w:num>
  <w:num w:numId="8" w16cid:durableId="1102916291">
    <w:abstractNumId w:val="2"/>
  </w:num>
  <w:num w:numId="9" w16cid:durableId="790779398">
    <w:abstractNumId w:val="1"/>
  </w:num>
  <w:num w:numId="10" w16cid:durableId="271591860">
    <w:abstractNumId w:val="0"/>
  </w:num>
  <w:num w:numId="11" w16cid:durableId="1386880452">
    <w:abstractNumId w:val="9"/>
  </w:num>
  <w:num w:numId="12" w16cid:durableId="641082113">
    <w:abstractNumId w:val="7"/>
  </w:num>
  <w:num w:numId="13" w16cid:durableId="895899542">
    <w:abstractNumId w:val="6"/>
  </w:num>
  <w:num w:numId="14" w16cid:durableId="199781398">
    <w:abstractNumId w:val="5"/>
  </w:num>
  <w:num w:numId="15" w16cid:durableId="430786658">
    <w:abstractNumId w:val="4"/>
  </w:num>
  <w:num w:numId="16" w16cid:durableId="175196085">
    <w:abstractNumId w:val="16"/>
  </w:num>
  <w:num w:numId="17" w16cid:durableId="1344625707">
    <w:abstractNumId w:val="13"/>
  </w:num>
  <w:num w:numId="18" w16cid:durableId="642202084">
    <w:abstractNumId w:val="15"/>
  </w:num>
  <w:num w:numId="19" w16cid:durableId="913199148">
    <w:abstractNumId w:val="16"/>
  </w:num>
  <w:num w:numId="20" w16cid:durableId="269627949">
    <w:abstractNumId w:val="13"/>
  </w:num>
  <w:num w:numId="21" w16cid:durableId="979729499">
    <w:abstractNumId w:val="15"/>
  </w:num>
  <w:num w:numId="22" w16cid:durableId="8253227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3F"/>
    <w:rsid w:val="00033EE1"/>
    <w:rsid w:val="00042B72"/>
    <w:rsid w:val="000558BD"/>
    <w:rsid w:val="00090B0F"/>
    <w:rsid w:val="000B57E7"/>
    <w:rsid w:val="000B6373"/>
    <w:rsid w:val="000C7C31"/>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356D0"/>
    <w:rsid w:val="00640F49"/>
    <w:rsid w:val="00680D03"/>
    <w:rsid w:val="00681A10"/>
    <w:rsid w:val="006A1ED8"/>
    <w:rsid w:val="006C2031"/>
    <w:rsid w:val="006D461A"/>
    <w:rsid w:val="006F35EE"/>
    <w:rsid w:val="007021FF"/>
    <w:rsid w:val="00712895"/>
    <w:rsid w:val="007324F8"/>
    <w:rsid w:val="00734ACB"/>
    <w:rsid w:val="00757357"/>
    <w:rsid w:val="00792497"/>
    <w:rsid w:val="00806737"/>
    <w:rsid w:val="00825F8D"/>
    <w:rsid w:val="00833C79"/>
    <w:rsid w:val="00834B71"/>
    <w:rsid w:val="0086445C"/>
    <w:rsid w:val="00894693"/>
    <w:rsid w:val="008A08D7"/>
    <w:rsid w:val="008A37C8"/>
    <w:rsid w:val="008B6909"/>
    <w:rsid w:val="008D53B6"/>
    <w:rsid w:val="008D58DE"/>
    <w:rsid w:val="008F7609"/>
    <w:rsid w:val="00906890"/>
    <w:rsid w:val="00911BE4"/>
    <w:rsid w:val="00951972"/>
    <w:rsid w:val="009608F3"/>
    <w:rsid w:val="009A24AC"/>
    <w:rsid w:val="009A4A26"/>
    <w:rsid w:val="009C59D7"/>
    <w:rsid w:val="009C6FE6"/>
    <w:rsid w:val="009D7E7D"/>
    <w:rsid w:val="00A14DA8"/>
    <w:rsid w:val="00A312BC"/>
    <w:rsid w:val="00A43D44"/>
    <w:rsid w:val="00A84021"/>
    <w:rsid w:val="00A84D35"/>
    <w:rsid w:val="00A917B3"/>
    <w:rsid w:val="00AB4B51"/>
    <w:rsid w:val="00B10CC7"/>
    <w:rsid w:val="00B36DF7"/>
    <w:rsid w:val="00B46BFE"/>
    <w:rsid w:val="00B539E7"/>
    <w:rsid w:val="00B62458"/>
    <w:rsid w:val="00B6614E"/>
    <w:rsid w:val="00BB7538"/>
    <w:rsid w:val="00BC18B2"/>
    <w:rsid w:val="00BD33EE"/>
    <w:rsid w:val="00BE1CC7"/>
    <w:rsid w:val="00C106D6"/>
    <w:rsid w:val="00C119AE"/>
    <w:rsid w:val="00C60F0C"/>
    <w:rsid w:val="00C71E84"/>
    <w:rsid w:val="00C7785D"/>
    <w:rsid w:val="00C805C9"/>
    <w:rsid w:val="00C8613F"/>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60D7"/>
    <w:rsid w:val="00E73F76"/>
    <w:rsid w:val="00E8138A"/>
    <w:rsid w:val="00EA2C9F"/>
    <w:rsid w:val="00EA420E"/>
    <w:rsid w:val="00ED0BDA"/>
    <w:rsid w:val="00EE142A"/>
    <w:rsid w:val="00EF1360"/>
    <w:rsid w:val="00EF3220"/>
    <w:rsid w:val="00F2523A"/>
    <w:rsid w:val="00F43903"/>
    <w:rsid w:val="00F5552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7D50E"/>
  <w15:docId w15:val="{D3F0A6C2-FEA9-4121-8A1D-ADC2D9E9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C7785D"/>
    <w:rPr>
      <w:lang w:val="ru-RU" w:eastAsia="en-US"/>
    </w:rPr>
  </w:style>
  <w:style w:type="paragraph" w:customStyle="1" w:styleId="ParNoG">
    <w:name w:val="_ParNo_G"/>
    <w:basedOn w:val="SingleTxtG"/>
    <w:qFormat/>
    <w:rsid w:val="00C7785D"/>
    <w:pPr>
      <w:numPr>
        <w:numId w:val="22"/>
      </w:numPr>
      <w:tabs>
        <w:tab w:val="clear" w:pos="2268"/>
        <w:tab w:val="clear" w:pos="2835"/>
      </w:tabs>
      <w:suppressAutoHyphens w:val="0"/>
    </w:pPr>
    <w:rPr>
      <w:lang w:val="en-GB" w:eastAsia="fr-FR"/>
    </w:rPr>
  </w:style>
  <w:style w:type="character" w:customStyle="1" w:styleId="HChGChar">
    <w:name w:val="_ H _Ch_G Char"/>
    <w:link w:val="HChG"/>
    <w:rsid w:val="00C7785D"/>
    <w:rPr>
      <w:b/>
      <w:sz w:val="28"/>
      <w:lang w:val="ru-RU" w:eastAsia="ru-RU"/>
    </w:rPr>
  </w:style>
  <w:style w:type="table" w:customStyle="1" w:styleId="Grilledutableau1">
    <w:name w:val="Grille du tableau1"/>
    <w:basedOn w:val="a1"/>
    <w:next w:val="ac"/>
    <w:rsid w:val="00C7785D"/>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F149E-330D-4FD5-AD50-5C7E73BCEAD6}"/>
</file>

<file path=customXml/itemProps2.xml><?xml version="1.0" encoding="utf-8"?>
<ds:datastoreItem xmlns:ds="http://schemas.openxmlformats.org/officeDocument/2006/customXml" ds:itemID="{8DEAB58E-B606-4FE1-AC2D-C8D058C43A3E}"/>
</file>

<file path=docProps/app.xml><?xml version="1.0" encoding="utf-8"?>
<Properties xmlns="http://schemas.openxmlformats.org/officeDocument/2006/extended-properties" xmlns:vt="http://schemas.openxmlformats.org/officeDocument/2006/docPropsVTypes">
  <Template>ECE.dotm</Template>
  <TotalTime>1</TotalTime>
  <Pages>6</Pages>
  <Words>1353</Words>
  <Characters>9318</Characters>
  <Application>Microsoft Office Word</Application>
  <DocSecurity>0</DocSecurity>
  <Lines>300</Lines>
  <Paragraphs>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ECE/TRANS/WP.15/AC.2/2023/46</vt:lpstr>
      <vt:lpstr>A/</vt:lpstr>
      <vt:lpstr>A/</vt:lpstr>
    </vt:vector>
  </TitlesOfParts>
  <Company>DCM</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ECE/TRANS/WP.15/AC.2/2023/46</dc:title>
  <dc:subject/>
  <dc:creator>No author</dc:creator>
  <cp:keywords/>
  <cp:lastModifiedBy>Tatiana Chvets</cp:lastModifiedBy>
  <cp:revision>3</cp:revision>
  <cp:lastPrinted>2023-07-04T11:36:00Z</cp:lastPrinted>
  <dcterms:created xsi:type="dcterms:W3CDTF">2023-07-04T11:36:00Z</dcterms:created>
  <dcterms:modified xsi:type="dcterms:W3CDTF">2023-07-04T11:36:00Z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