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935FF5" w14:paraId="2F0A171E" w14:textId="77777777" w:rsidTr="2B3E51C2">
        <w:trPr>
          <w:cantSplit/>
          <w:trHeight w:hRule="exact" w:val="851"/>
        </w:trPr>
        <w:tc>
          <w:tcPr>
            <w:tcW w:w="1276" w:type="dxa"/>
            <w:tcBorders>
              <w:bottom w:val="single" w:sz="4" w:space="0" w:color="auto"/>
            </w:tcBorders>
            <w:vAlign w:val="bottom"/>
          </w:tcPr>
          <w:p w14:paraId="6A9D3F25" w14:textId="3933C4F5" w:rsidR="009E6CB7" w:rsidRDefault="000F6BB1" w:rsidP="00B20551">
            <w:pPr>
              <w:spacing w:after="80"/>
            </w:pPr>
            <w:r>
              <w:t xml:space="preserve"> </w:t>
            </w:r>
          </w:p>
        </w:tc>
        <w:tc>
          <w:tcPr>
            <w:tcW w:w="2268" w:type="dxa"/>
            <w:tcBorders>
              <w:bottom w:val="single" w:sz="4" w:space="0" w:color="auto"/>
            </w:tcBorders>
            <w:vAlign w:val="bottom"/>
          </w:tcPr>
          <w:p w14:paraId="2D8C53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6A108E" w14:textId="1DE96771" w:rsidR="009E6CB7" w:rsidRPr="00935FF5" w:rsidRDefault="00AA573D" w:rsidP="008F4D9C">
            <w:pPr>
              <w:jc w:val="right"/>
            </w:pPr>
            <w:r w:rsidRPr="00935FF5">
              <w:rPr>
                <w:sz w:val="40"/>
              </w:rPr>
              <w:t>ECE</w:t>
            </w:r>
            <w:r w:rsidRPr="00935FF5">
              <w:t>/TRANS/202</w:t>
            </w:r>
            <w:r w:rsidR="00B15BD3" w:rsidRPr="00935FF5">
              <w:t>4</w:t>
            </w:r>
            <w:r w:rsidRPr="00935FF5">
              <w:t>/</w:t>
            </w:r>
            <w:r w:rsidR="00935FF5" w:rsidRPr="00935FF5">
              <w:t>21</w:t>
            </w:r>
          </w:p>
        </w:tc>
      </w:tr>
      <w:tr w:rsidR="009E6CB7" w14:paraId="64B7E2FA" w14:textId="77777777" w:rsidTr="2B3E51C2">
        <w:trPr>
          <w:cantSplit/>
          <w:trHeight w:hRule="exact" w:val="2835"/>
        </w:trPr>
        <w:tc>
          <w:tcPr>
            <w:tcW w:w="1276" w:type="dxa"/>
            <w:tcBorders>
              <w:top w:val="single" w:sz="4" w:space="0" w:color="auto"/>
              <w:bottom w:val="single" w:sz="12" w:space="0" w:color="auto"/>
            </w:tcBorders>
          </w:tcPr>
          <w:p w14:paraId="3125935F" w14:textId="77777777"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9363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6518480" w14:textId="77777777" w:rsidR="009E6CB7" w:rsidRDefault="008F4D9C" w:rsidP="008F4D9C">
            <w:pPr>
              <w:spacing w:before="240" w:line="240" w:lineRule="exact"/>
            </w:pPr>
            <w:r>
              <w:t>Distr.: General</w:t>
            </w:r>
          </w:p>
          <w:p w14:paraId="30550EB3" w14:textId="011AE44D" w:rsidR="008F4D9C" w:rsidRDefault="0035612D" w:rsidP="008F4D9C">
            <w:pPr>
              <w:spacing w:line="240" w:lineRule="exact"/>
            </w:pPr>
            <w:r>
              <w:t>9</w:t>
            </w:r>
            <w:r w:rsidR="00B15BD3" w:rsidRPr="00304149">
              <w:t xml:space="preserve"> January</w:t>
            </w:r>
            <w:r w:rsidR="00536302" w:rsidRPr="00304149">
              <w:t xml:space="preserve"> </w:t>
            </w:r>
            <w:r w:rsidR="008F4D9C" w:rsidRPr="00304149">
              <w:t>20</w:t>
            </w:r>
            <w:r w:rsidR="00B15BD3" w:rsidRPr="00304149">
              <w:t>24</w:t>
            </w:r>
          </w:p>
          <w:p w14:paraId="4A21A798" w14:textId="77777777" w:rsidR="008F4D9C" w:rsidRDefault="008F4D9C" w:rsidP="008F4D9C">
            <w:pPr>
              <w:spacing w:line="240" w:lineRule="exact"/>
            </w:pPr>
          </w:p>
          <w:p w14:paraId="08273F66" w14:textId="77777777" w:rsidR="008F4D9C" w:rsidRDefault="008F4D9C" w:rsidP="008F4D9C">
            <w:pPr>
              <w:spacing w:line="240" w:lineRule="exact"/>
            </w:pPr>
            <w:r>
              <w:t>Original: English</w:t>
            </w:r>
          </w:p>
        </w:tc>
      </w:tr>
    </w:tbl>
    <w:p w14:paraId="7D8B7020" w14:textId="77777777" w:rsidR="00FA50CA" w:rsidRPr="00FF02F5" w:rsidRDefault="00FA50CA" w:rsidP="00FA50CA">
      <w:pPr>
        <w:spacing w:before="120"/>
        <w:rPr>
          <w:b/>
          <w:bCs/>
          <w:sz w:val="28"/>
          <w:szCs w:val="28"/>
        </w:rPr>
      </w:pPr>
      <w:r w:rsidRPr="00FF02F5">
        <w:rPr>
          <w:b/>
          <w:bCs/>
          <w:sz w:val="28"/>
          <w:szCs w:val="28"/>
        </w:rPr>
        <w:t>Economic Commission for Europe</w:t>
      </w:r>
    </w:p>
    <w:p w14:paraId="69597DA0" w14:textId="77777777" w:rsidR="00FA50CA" w:rsidRPr="00FF02F5" w:rsidRDefault="00FA50CA" w:rsidP="00FA50CA">
      <w:pPr>
        <w:spacing w:before="120"/>
        <w:rPr>
          <w:sz w:val="28"/>
          <w:szCs w:val="28"/>
        </w:rPr>
      </w:pPr>
      <w:r w:rsidRPr="00FF02F5">
        <w:rPr>
          <w:sz w:val="28"/>
          <w:szCs w:val="28"/>
        </w:rPr>
        <w:t>Inland Transport Committee</w:t>
      </w:r>
    </w:p>
    <w:p w14:paraId="293542A9" w14:textId="4A068540" w:rsidR="00FA50CA" w:rsidRPr="00FF02F5" w:rsidRDefault="00FA50CA" w:rsidP="00FA50CA">
      <w:pPr>
        <w:spacing w:before="120"/>
        <w:rPr>
          <w:b/>
          <w:bCs/>
        </w:rPr>
      </w:pPr>
      <w:r w:rsidRPr="00FF02F5">
        <w:rPr>
          <w:b/>
          <w:bCs/>
        </w:rPr>
        <w:t>Eighty-s</w:t>
      </w:r>
      <w:r w:rsidR="00B15BD3">
        <w:rPr>
          <w:b/>
          <w:bCs/>
        </w:rPr>
        <w:t>ixth</w:t>
      </w:r>
      <w:r w:rsidRPr="00FF02F5">
        <w:rPr>
          <w:b/>
          <w:bCs/>
        </w:rPr>
        <w:t xml:space="preserve"> session</w:t>
      </w:r>
    </w:p>
    <w:p w14:paraId="7B4B1792" w14:textId="176415A5" w:rsidR="00FA50CA" w:rsidRPr="00FF02F5" w:rsidRDefault="00FA50CA" w:rsidP="00FA50CA">
      <w:pPr>
        <w:rPr>
          <w:b/>
          <w:bCs/>
        </w:rPr>
      </w:pPr>
      <w:r w:rsidRPr="00FF02F5">
        <w:t xml:space="preserve">Geneva, </w:t>
      </w:r>
      <w:r w:rsidR="005F126E">
        <w:t>20</w:t>
      </w:r>
      <w:r w:rsidR="00607E6D">
        <w:t>-</w:t>
      </w:r>
      <w:r w:rsidRPr="00FF02F5">
        <w:t>2</w:t>
      </w:r>
      <w:r w:rsidR="005F126E">
        <w:t>3</w:t>
      </w:r>
      <w:r w:rsidRPr="00FF02F5">
        <w:t xml:space="preserve"> February 202</w:t>
      </w:r>
      <w:r w:rsidR="00B15BD3">
        <w:t>4</w:t>
      </w:r>
      <w:r w:rsidRPr="00FF02F5">
        <w:br/>
        <w:t>Item</w:t>
      </w:r>
      <w:r w:rsidR="003759CD">
        <w:t xml:space="preserve"> 10</w:t>
      </w:r>
      <w:r w:rsidR="00536302" w:rsidRPr="0052442F">
        <w:t xml:space="preserve"> (</w:t>
      </w:r>
      <w:r w:rsidR="00536302">
        <w:rPr>
          <w:lang w:val="en-US"/>
        </w:rPr>
        <w:t>g)</w:t>
      </w:r>
      <w:r w:rsidRPr="00FF02F5">
        <w:t xml:space="preserve"> of the provisional agenda</w:t>
      </w:r>
      <w:r w:rsidRPr="00FF02F5">
        <w:br/>
      </w:r>
      <w:r w:rsidR="00536302" w:rsidRPr="00536302">
        <w:rPr>
          <w:b/>
          <w:bCs/>
        </w:rPr>
        <w:t>Strategic questions of a horizontal policy or regulatory nature:</w:t>
      </w:r>
      <w:r w:rsidR="00536302">
        <w:rPr>
          <w:b/>
          <w:bCs/>
        </w:rPr>
        <w:br/>
      </w:r>
      <w:r w:rsidR="00536302" w:rsidRPr="00536302">
        <w:rPr>
          <w:b/>
          <w:bCs/>
        </w:rPr>
        <w:t>Analytical work on transport</w:t>
      </w:r>
    </w:p>
    <w:p w14:paraId="0AD43580" w14:textId="6F3E98DB" w:rsidR="008F4D9C" w:rsidRDefault="008F4D9C" w:rsidP="008F4D9C">
      <w:pPr>
        <w:pStyle w:val="HChG"/>
      </w:pPr>
      <w:r>
        <w:tab/>
      </w:r>
      <w:r>
        <w:tab/>
      </w:r>
      <w:r w:rsidR="00861F1A">
        <w:t>Draft</w:t>
      </w:r>
      <w:r>
        <w:t xml:space="preserve"> terms of reference for </w:t>
      </w:r>
      <w:r w:rsidR="0062249E">
        <w:t>an informal task force on elect</w:t>
      </w:r>
      <w:r w:rsidR="005A467C">
        <w:t>r</w:t>
      </w:r>
      <w:r w:rsidR="00425BCD">
        <w:t>ic</w:t>
      </w:r>
      <w:r w:rsidR="0062249E">
        <w:t xml:space="preserve"> mobility</w:t>
      </w:r>
    </w:p>
    <w:p w14:paraId="0A1533EA" w14:textId="2AE9E7F9" w:rsidR="008F4D9C" w:rsidRDefault="008F4D9C" w:rsidP="008F4D9C">
      <w:pPr>
        <w:pStyle w:val="H1G"/>
      </w:pPr>
      <w:r>
        <w:tab/>
      </w:r>
      <w:r>
        <w:tab/>
        <w:t xml:space="preserve">Note by </w:t>
      </w:r>
      <w:r w:rsidR="00D34A06">
        <w:t>the Chair of the Working Party on Transport Trends and Economics</w:t>
      </w:r>
      <w:r w:rsidR="00124AC5">
        <w:t xml:space="preserve"> and the </w:t>
      </w:r>
      <w:r w:rsidR="00304149">
        <w:t>secretariat</w:t>
      </w:r>
      <w:r w:rsidR="001E7E30" w:rsidRPr="001B6511">
        <w:rPr>
          <w:rStyle w:val="FootnoteReference"/>
          <w:sz w:val="20"/>
          <w:vertAlign w:val="baseline"/>
        </w:rPr>
        <w:footnoteReference w:customMarkFollows="1" w:id="2"/>
        <w:t>*</w:t>
      </w:r>
    </w:p>
    <w:p w14:paraId="6A754543" w14:textId="77777777" w:rsidR="008F4D9C" w:rsidRDefault="008F4D9C" w:rsidP="008F4D9C">
      <w:pPr>
        <w:pStyle w:val="HChG"/>
      </w:pPr>
      <w:r>
        <w:tab/>
        <w:t>I.</w:t>
      </w:r>
      <w:r>
        <w:tab/>
        <w:t>Introduction</w:t>
      </w:r>
    </w:p>
    <w:p w14:paraId="2FEF1074" w14:textId="13C6FCAA" w:rsidR="007468DC" w:rsidRPr="0052442F" w:rsidRDefault="008F4D9C" w:rsidP="007468DC">
      <w:pPr>
        <w:pStyle w:val="SingleTxtG"/>
      </w:pPr>
      <w:r w:rsidRPr="0003742D">
        <w:t>1.</w:t>
      </w:r>
      <w:r w:rsidRPr="0003742D">
        <w:tab/>
      </w:r>
      <w:r w:rsidRPr="00FE019C">
        <w:t>This document contains a</w:t>
      </w:r>
      <w:r w:rsidR="00042F42">
        <w:t xml:space="preserve"> proposed</w:t>
      </w:r>
      <w:r w:rsidR="00DF7E4A" w:rsidRPr="00FE019C">
        <w:t xml:space="preserve"> </w:t>
      </w:r>
      <w:r w:rsidRPr="00FE019C">
        <w:t>202</w:t>
      </w:r>
      <w:r w:rsidR="00DF7E4A" w:rsidRPr="00FE019C">
        <w:t>4</w:t>
      </w:r>
      <w:r w:rsidR="00BD3712" w:rsidRPr="00FE019C">
        <w:t>–</w:t>
      </w:r>
      <w:r w:rsidRPr="00FE019C">
        <w:t>202</w:t>
      </w:r>
      <w:r w:rsidR="0057637A">
        <w:t>6</w:t>
      </w:r>
      <w:r w:rsidRPr="00FE019C">
        <w:t xml:space="preserve"> mandate and terms of reference for a </w:t>
      </w:r>
      <w:r w:rsidR="00DF7E4A" w:rsidRPr="00FE019C">
        <w:t>new informal task force on elect</w:t>
      </w:r>
      <w:r w:rsidR="005A467C">
        <w:t>r</w:t>
      </w:r>
      <w:r w:rsidR="00425BCD">
        <w:t>ic</w:t>
      </w:r>
      <w:r w:rsidR="00DF7E4A" w:rsidRPr="00FE019C">
        <w:t xml:space="preserve"> mobility</w:t>
      </w:r>
      <w:r w:rsidR="005A467C">
        <w:t xml:space="preserve"> (</w:t>
      </w:r>
      <w:r w:rsidR="004906C4">
        <w:t>he</w:t>
      </w:r>
      <w:r w:rsidR="00133D2D">
        <w:t>reafter</w:t>
      </w:r>
      <w:r w:rsidR="00425BCD">
        <w:t xml:space="preserve"> referred to as</w:t>
      </w:r>
      <w:r w:rsidR="00133D2D">
        <w:t xml:space="preserve"> </w:t>
      </w:r>
      <w:r w:rsidR="005A467C">
        <w:t>e-mobility)</w:t>
      </w:r>
      <w:r w:rsidR="007468DC" w:rsidRPr="00FE019C">
        <w:t>. T</w:t>
      </w:r>
      <w:r w:rsidR="00462CBB" w:rsidRPr="00FE019C">
        <w:t xml:space="preserve">he Working Party on Transport Trends and Economics (WP.5) </w:t>
      </w:r>
      <w:r w:rsidR="007468DC" w:rsidRPr="00FE019C">
        <w:rPr>
          <w:lang w:val="en-US"/>
        </w:rPr>
        <w:t xml:space="preserve">at its </w:t>
      </w:r>
      <w:r w:rsidR="00DF7E4A" w:rsidRPr="00FE019C">
        <w:rPr>
          <w:lang w:val="en-US"/>
        </w:rPr>
        <w:t>36</w:t>
      </w:r>
      <w:r w:rsidR="00D2036A">
        <w:rPr>
          <w:lang w:val="en-US"/>
        </w:rPr>
        <w:t>th</w:t>
      </w:r>
      <w:r w:rsidR="00DF7E4A" w:rsidRPr="00FE019C">
        <w:rPr>
          <w:lang w:val="en-US"/>
        </w:rPr>
        <w:t xml:space="preserve"> </w:t>
      </w:r>
      <w:r w:rsidR="00304149">
        <w:rPr>
          <w:lang w:val="en-US"/>
        </w:rPr>
        <w:t xml:space="preserve">annual </w:t>
      </w:r>
      <w:r w:rsidR="007468DC" w:rsidRPr="00FE019C">
        <w:rPr>
          <w:lang w:val="en-US"/>
        </w:rPr>
        <w:t xml:space="preserve">session (Geneva, </w:t>
      </w:r>
      <w:r w:rsidR="00DF7E4A" w:rsidRPr="00FE019C">
        <w:rPr>
          <w:lang w:val="en-US"/>
        </w:rPr>
        <w:t>4</w:t>
      </w:r>
      <w:r w:rsidR="00F924A0">
        <w:rPr>
          <w:lang w:val="en-US"/>
        </w:rPr>
        <w:t>–</w:t>
      </w:r>
      <w:r w:rsidR="00DF7E4A" w:rsidRPr="00FE019C">
        <w:rPr>
          <w:lang w:val="en-US"/>
        </w:rPr>
        <w:t xml:space="preserve">6 </w:t>
      </w:r>
      <w:r w:rsidR="007468DC" w:rsidRPr="00FE019C">
        <w:rPr>
          <w:lang w:val="en-US"/>
        </w:rPr>
        <w:t>September 20</w:t>
      </w:r>
      <w:r w:rsidR="007F574D" w:rsidRPr="00FE019C">
        <w:rPr>
          <w:lang w:val="en-US"/>
        </w:rPr>
        <w:t>23</w:t>
      </w:r>
      <w:r w:rsidR="007468DC" w:rsidRPr="00FE019C">
        <w:rPr>
          <w:lang w:val="en-US"/>
        </w:rPr>
        <w:t xml:space="preserve">, </w:t>
      </w:r>
      <w:r w:rsidR="0024765B" w:rsidRPr="0024765B">
        <w:rPr>
          <w:lang w:val="en-US"/>
        </w:rPr>
        <w:t>ECE/TRANS/WP.5/74</w:t>
      </w:r>
      <w:r w:rsidR="007468DC" w:rsidRPr="00FE019C">
        <w:rPr>
          <w:lang w:val="en-US"/>
        </w:rPr>
        <w:t>, para</w:t>
      </w:r>
      <w:r w:rsidR="00E74A53" w:rsidRPr="00FE019C">
        <w:rPr>
          <w:lang w:val="en-US"/>
        </w:rPr>
        <w:t>.</w:t>
      </w:r>
      <w:r w:rsidR="007468DC" w:rsidRPr="00FE019C">
        <w:rPr>
          <w:lang w:val="en-US"/>
        </w:rPr>
        <w:t xml:space="preserve"> 6</w:t>
      </w:r>
      <w:r w:rsidR="0024765B">
        <w:rPr>
          <w:lang w:val="en-US"/>
        </w:rPr>
        <w:t>3</w:t>
      </w:r>
      <w:r w:rsidR="007468DC" w:rsidRPr="00FE019C">
        <w:rPr>
          <w:lang w:val="en-US"/>
        </w:rPr>
        <w:t xml:space="preserve">) </w:t>
      </w:r>
      <w:r w:rsidR="008642A5" w:rsidRPr="008642A5">
        <w:t xml:space="preserve">recognized that to facilitate progress in </w:t>
      </w:r>
      <w:r w:rsidR="00242C79">
        <w:t>e-</w:t>
      </w:r>
      <w:r w:rsidR="008642A5" w:rsidRPr="008642A5">
        <w:t xml:space="preserve">mobility, a dedicated informal task force focused on driving and coordinating efforts related to </w:t>
      </w:r>
      <w:r w:rsidR="00FC2B4B">
        <w:t>E</w:t>
      </w:r>
      <w:r w:rsidR="008642A5" w:rsidRPr="008642A5">
        <w:t xml:space="preserve">lectric </w:t>
      </w:r>
      <w:r w:rsidR="00FC2B4B">
        <w:t>V</w:t>
      </w:r>
      <w:r w:rsidR="008642A5" w:rsidRPr="008642A5">
        <w:t>ehicle</w:t>
      </w:r>
      <w:r w:rsidR="00242C79">
        <w:t xml:space="preserve"> (EV)</w:t>
      </w:r>
      <w:r w:rsidR="008642A5" w:rsidRPr="008642A5">
        <w:t xml:space="preserve"> developments and their charging infrastructure both within ECE (and across its different sub-programmes) and in collaboration with other institutions should be established. In this regard it requested the WP.5 secretariat together with the Chair to develop draft terms of reference for such a task force in close consultation with other relevant Working Parties and relevant intergovernmental groups in the ECE Sustainable Energy Division and submit this to </w:t>
      </w:r>
      <w:r w:rsidR="00CB1109">
        <w:t xml:space="preserve">the </w:t>
      </w:r>
      <w:r w:rsidR="008642A5" w:rsidRPr="008642A5">
        <w:t>I</w:t>
      </w:r>
      <w:r w:rsidR="00CB1109">
        <w:t>nland Transport Committee (ITC)</w:t>
      </w:r>
      <w:r w:rsidR="008642A5" w:rsidRPr="008642A5">
        <w:t xml:space="preserve"> </w:t>
      </w:r>
      <w:r w:rsidR="0077128C">
        <w:t>at its 86</w:t>
      </w:r>
      <w:r w:rsidR="00F924A0">
        <w:t>th</w:t>
      </w:r>
      <w:r w:rsidR="0077128C">
        <w:t xml:space="preserve"> annual session in February 2024</w:t>
      </w:r>
      <w:r w:rsidR="00124AC5">
        <w:t xml:space="preserve"> </w:t>
      </w:r>
      <w:r w:rsidR="008642A5" w:rsidRPr="008642A5">
        <w:t xml:space="preserve">for </w:t>
      </w:r>
      <w:r w:rsidR="008B0A87">
        <w:t>further</w:t>
      </w:r>
      <w:r w:rsidR="00304149">
        <w:t xml:space="preserve"> </w:t>
      </w:r>
      <w:r w:rsidR="003C21D0">
        <w:t xml:space="preserve">guidance </w:t>
      </w:r>
      <w:r w:rsidR="0077128C">
        <w:t>and positive consideration.</w:t>
      </w:r>
    </w:p>
    <w:p w14:paraId="01570850" w14:textId="5691F79D" w:rsidR="008F4D9C" w:rsidRPr="00A31D85" w:rsidRDefault="008F4D9C" w:rsidP="00124AC5">
      <w:pPr>
        <w:pStyle w:val="HChG"/>
      </w:pPr>
      <w:r w:rsidRPr="00A31D85">
        <w:tab/>
        <w:t>II.</w:t>
      </w:r>
      <w:r w:rsidRPr="00A31D85">
        <w:tab/>
        <w:t>Mandate</w:t>
      </w:r>
    </w:p>
    <w:p w14:paraId="02E69432" w14:textId="66F805A5" w:rsidR="008F4D9C" w:rsidRDefault="007468DC" w:rsidP="00A31D85">
      <w:pPr>
        <w:pStyle w:val="SingleTxtG"/>
      </w:pPr>
      <w:r>
        <w:t>2</w:t>
      </w:r>
      <w:r w:rsidR="008F4D9C">
        <w:t>.</w:t>
      </w:r>
      <w:r w:rsidR="008F4D9C">
        <w:tab/>
      </w:r>
      <w:r w:rsidR="008F4D9C" w:rsidRPr="009B7741">
        <w:t xml:space="preserve">The </w:t>
      </w:r>
      <w:r w:rsidR="00D87DAC" w:rsidRPr="009B7741">
        <w:t>informal task force on e</w:t>
      </w:r>
      <w:r w:rsidR="003C21D0">
        <w:t>-</w:t>
      </w:r>
      <w:r w:rsidR="00D87DAC" w:rsidRPr="009B7741">
        <w:t>mobility</w:t>
      </w:r>
      <w:r w:rsidR="008F4D9C" w:rsidRPr="009B7741">
        <w:t xml:space="preserve"> is tasked </w:t>
      </w:r>
      <w:r w:rsidR="00260DEA" w:rsidRPr="009B7741">
        <w:t xml:space="preserve">to </w:t>
      </w:r>
      <w:r w:rsidR="008F4D9C" w:rsidRPr="009B7741">
        <w:t>rais</w:t>
      </w:r>
      <w:r w:rsidR="00260DEA" w:rsidRPr="009B7741">
        <w:t>e</w:t>
      </w:r>
      <w:r w:rsidR="008F4D9C" w:rsidRPr="009B7741">
        <w:t xml:space="preserve"> awareness, build capacity and integrate </w:t>
      </w:r>
      <w:r w:rsidR="009B7741" w:rsidRPr="009B7741">
        <w:t xml:space="preserve">inter-disciplinary </w:t>
      </w:r>
      <w:r w:rsidR="008F4D9C" w:rsidRPr="009B7741">
        <w:t>knowledge from countries</w:t>
      </w:r>
      <w:r w:rsidR="009B7741" w:rsidRPr="009B7741">
        <w:t xml:space="preserve">, </w:t>
      </w:r>
      <w:r w:rsidR="008F4D9C" w:rsidRPr="009B7741">
        <w:t>the scientific community</w:t>
      </w:r>
      <w:r w:rsidR="009B7741" w:rsidRPr="009B7741">
        <w:t xml:space="preserve">, private sector, and nongovernmental bodies </w:t>
      </w:r>
      <w:r w:rsidR="008F4D9C" w:rsidRPr="009B7741">
        <w:t>on</w:t>
      </w:r>
      <w:r w:rsidR="00EA0FA3">
        <w:t xml:space="preserve"> </w:t>
      </w:r>
      <w:r w:rsidR="00304149">
        <w:t xml:space="preserve">latest developments surrounding </w:t>
      </w:r>
      <w:r w:rsidR="00EA0FA3" w:rsidRPr="00304149">
        <w:t>all types of EVs</w:t>
      </w:r>
      <w:r w:rsidR="00124AC5" w:rsidRPr="00304149">
        <w:t xml:space="preserve"> (covering all inland modes</w:t>
      </w:r>
      <w:r w:rsidR="00A31D85">
        <w:t xml:space="preserve"> both for passengers and freight</w:t>
      </w:r>
      <w:r w:rsidR="00124AC5" w:rsidRPr="00304149">
        <w:t>)</w:t>
      </w:r>
      <w:r w:rsidR="00A31D85">
        <w:t xml:space="preserve"> </w:t>
      </w:r>
      <w:r w:rsidR="00A31D85" w:rsidRPr="006110CA">
        <w:t xml:space="preserve">and </w:t>
      </w:r>
      <w:r w:rsidR="005F126E" w:rsidRPr="006110CA">
        <w:t>their charging infrastructure</w:t>
      </w:r>
      <w:r w:rsidR="00D2761A">
        <w:t xml:space="preserve">.  </w:t>
      </w:r>
      <w:r w:rsidR="008F4D9C" w:rsidRPr="00304149">
        <w:t>The</w:t>
      </w:r>
      <w:r w:rsidR="005F126E" w:rsidRPr="00EF1DFF">
        <w:t xml:space="preserve"> informal task force</w:t>
      </w:r>
      <w:r w:rsidR="008F4D9C" w:rsidRPr="00EF1DFF">
        <w:t xml:space="preserve"> is tasked to further</w:t>
      </w:r>
      <w:r w:rsidR="00260DEA" w:rsidRPr="00EF1DFF">
        <w:t xml:space="preserve"> advance the state of knowledge on</w:t>
      </w:r>
      <w:r w:rsidR="000B35AF" w:rsidRPr="00EF1DFF">
        <w:t xml:space="preserve"> Zero Emission Vehicle </w:t>
      </w:r>
      <w:r w:rsidR="00ED5872" w:rsidRPr="00EF1DFF">
        <w:t xml:space="preserve">(ZEV) </w:t>
      </w:r>
      <w:r w:rsidR="000B35AF" w:rsidRPr="00EF1DFF">
        <w:t>charging infrastructure</w:t>
      </w:r>
      <w:r w:rsidR="008F4D9C" w:rsidRPr="00EF1DFF">
        <w:t xml:space="preserve"> a</w:t>
      </w:r>
      <w:r w:rsidR="00ED5872" w:rsidRPr="00EF1DFF">
        <w:t>s well as smart charging solutions</w:t>
      </w:r>
      <w:r w:rsidR="00EF1DFF" w:rsidRPr="00EF1DFF">
        <w:t xml:space="preserve"> including bidirectional charging and their i</w:t>
      </w:r>
      <w:r w:rsidR="0037712B">
        <w:t xml:space="preserve">nteraction </w:t>
      </w:r>
      <w:r w:rsidR="00B15EC0">
        <w:t xml:space="preserve">with </w:t>
      </w:r>
      <w:r w:rsidR="00EF1DFF" w:rsidRPr="00EF1DFF">
        <w:t>the electricity grid.</w:t>
      </w:r>
      <w:r w:rsidR="00AF2F59">
        <w:t xml:space="preserve"> It aims at offering a platform for </w:t>
      </w:r>
      <w:r w:rsidR="00260DEA" w:rsidRPr="00C67B79">
        <w:t>the</w:t>
      </w:r>
      <w:r w:rsidR="008F4D9C" w:rsidRPr="00C67B79">
        <w:t xml:space="preserve"> identification of suitable and cost-effective </w:t>
      </w:r>
      <w:r w:rsidR="00AF2F59" w:rsidRPr="00C67B79">
        <w:t xml:space="preserve">policies and </w:t>
      </w:r>
      <w:r w:rsidR="008F4D9C" w:rsidRPr="00C67B79">
        <w:t>measures</w:t>
      </w:r>
      <w:r w:rsidR="00673F42">
        <w:t>,</w:t>
      </w:r>
      <w:r w:rsidR="00AF2F59" w:rsidRPr="00C67B79">
        <w:t xml:space="preserve"> </w:t>
      </w:r>
      <w:r w:rsidR="00EA0FA3" w:rsidRPr="00EA0FA3">
        <w:t xml:space="preserve">taking </w:t>
      </w:r>
      <w:r w:rsidR="00EA0FA3" w:rsidRPr="00EA0FA3">
        <w:lastRenderedPageBreak/>
        <w:t xml:space="preserve">location efficiency, systemic efficiency and </w:t>
      </w:r>
      <w:r w:rsidR="00EA0FA3">
        <w:t xml:space="preserve">energy system </w:t>
      </w:r>
      <w:r w:rsidR="00EA0FA3" w:rsidRPr="00EA0FA3">
        <w:t>resilience into consideration</w:t>
      </w:r>
      <w:r w:rsidR="00134521">
        <w:rPr>
          <w:rStyle w:val="FootnoteReference"/>
        </w:rPr>
        <w:footnoteReference w:id="3"/>
      </w:r>
      <w:r w:rsidR="00A31D85">
        <w:t>,</w:t>
      </w:r>
      <w:r w:rsidR="00EA0FA3" w:rsidRPr="00A31D85">
        <w:rPr>
          <w:lang w:val="en-US"/>
        </w:rPr>
        <w:t xml:space="preserve"> </w:t>
      </w:r>
      <w:r w:rsidR="00A31D85">
        <w:t xml:space="preserve">which </w:t>
      </w:r>
      <w:r w:rsidR="00AF2F59" w:rsidRPr="00C67B79">
        <w:t xml:space="preserve">can </w:t>
      </w:r>
      <w:r w:rsidR="00F3713F" w:rsidRPr="00C67B79">
        <w:t xml:space="preserve">lead the way to </w:t>
      </w:r>
      <w:r w:rsidR="00890F9E">
        <w:t>a</w:t>
      </w:r>
      <w:r w:rsidR="00015DA6">
        <w:t xml:space="preserve"> future</w:t>
      </w:r>
      <w:r w:rsidR="00C67B79" w:rsidRPr="00C67B79">
        <w:t xml:space="preserve"> </w:t>
      </w:r>
      <w:r w:rsidR="00A31D85" w:rsidRPr="00EA0FA3">
        <w:t>Zero</w:t>
      </w:r>
      <w:r w:rsidR="00A31D85">
        <w:t>-</w:t>
      </w:r>
      <w:r w:rsidR="00A31D85" w:rsidRPr="00EA0FA3">
        <w:t>Emission</w:t>
      </w:r>
      <w:r w:rsidR="00A31D85">
        <w:t xml:space="preserve"> road</w:t>
      </w:r>
      <w:r w:rsidR="00124AC5">
        <w:t>,</w:t>
      </w:r>
      <w:r w:rsidR="00EA0FA3" w:rsidRPr="00EA0FA3">
        <w:t xml:space="preserve"> </w:t>
      </w:r>
      <w:r w:rsidR="00124AC5">
        <w:t>r</w:t>
      </w:r>
      <w:r w:rsidR="00EA0FA3" w:rsidRPr="00EA0FA3">
        <w:t>ail</w:t>
      </w:r>
      <w:r w:rsidR="00124AC5">
        <w:t xml:space="preserve"> and inland waterway</w:t>
      </w:r>
      <w:r w:rsidR="00EA0FA3" w:rsidRPr="00EA0FA3">
        <w:t xml:space="preserve"> transport sector.</w:t>
      </w:r>
      <w:r w:rsidR="00EA0FA3" w:rsidRPr="00A31D85">
        <w:rPr>
          <w:lang w:val="en-US"/>
        </w:rPr>
        <w:t xml:space="preserve"> </w:t>
      </w:r>
      <w:r w:rsidR="00963D90" w:rsidRPr="00D2761A">
        <w:rPr>
          <w:lang w:val="en-US"/>
        </w:rPr>
        <w:t xml:space="preserve">In the conduct of its work, the informal task force will regularly </w:t>
      </w:r>
      <w:r w:rsidR="00D2761A" w:rsidRPr="00D2761A">
        <w:rPr>
          <w:lang w:val="en-US"/>
        </w:rPr>
        <w:t>liaise with</w:t>
      </w:r>
      <w:r w:rsidR="00963D90" w:rsidRPr="00D2761A">
        <w:rPr>
          <w:lang w:val="en-US"/>
        </w:rPr>
        <w:t xml:space="preserve"> relevant working parties and groups of experts under </w:t>
      </w:r>
      <w:r w:rsidR="00921973" w:rsidRPr="00D2761A">
        <w:rPr>
          <w:lang w:val="en-US"/>
        </w:rPr>
        <w:t>ECE ITC</w:t>
      </w:r>
      <w:r w:rsidR="00921973" w:rsidRPr="00D2761A">
        <w:rPr>
          <w:rStyle w:val="FootnoteReference"/>
          <w:lang w:val="en-US"/>
        </w:rPr>
        <w:footnoteReference w:id="4"/>
      </w:r>
      <w:r w:rsidR="00921973" w:rsidRPr="00D2761A">
        <w:rPr>
          <w:lang w:val="en-US"/>
        </w:rPr>
        <w:t xml:space="preserve"> and ECE Committee on Sustainable Energy (CSE)</w:t>
      </w:r>
      <w:r w:rsidR="00921973" w:rsidRPr="00D2761A">
        <w:rPr>
          <w:rStyle w:val="FootnoteReference"/>
          <w:lang w:val="en-US"/>
        </w:rPr>
        <w:footnoteReference w:id="5"/>
      </w:r>
      <w:r w:rsidR="00921973" w:rsidRPr="00D2761A">
        <w:rPr>
          <w:lang w:val="en-US"/>
        </w:rPr>
        <w:t xml:space="preserve"> auspices.</w:t>
      </w:r>
    </w:p>
    <w:p w14:paraId="62CFFF4E" w14:textId="0F2C89F2" w:rsidR="008F4D9C" w:rsidRDefault="007468DC" w:rsidP="008F4D9C">
      <w:pPr>
        <w:pStyle w:val="SingleTxtG"/>
      </w:pPr>
      <w:r>
        <w:t>3</w:t>
      </w:r>
      <w:r w:rsidR="008F4D9C">
        <w:t>.</w:t>
      </w:r>
      <w:r w:rsidR="008F4D9C">
        <w:tab/>
        <w:t xml:space="preserve">The </w:t>
      </w:r>
      <w:r w:rsidR="00D87DAC">
        <w:t>informal task force</w:t>
      </w:r>
      <w:r w:rsidR="00EC41E8">
        <w:t xml:space="preserve"> is</w:t>
      </w:r>
      <w:r w:rsidR="008F4D9C">
        <w:t xml:space="preserve"> established for </w:t>
      </w:r>
      <w:r w:rsidR="00D87DAC">
        <w:t>an initial period of</w:t>
      </w:r>
      <w:r w:rsidR="005641CD">
        <w:t xml:space="preserve"> two</w:t>
      </w:r>
      <w:r w:rsidR="008F4D9C">
        <w:t xml:space="preserve"> years: 202</w:t>
      </w:r>
      <w:r w:rsidR="00D87DAC">
        <w:t>4</w:t>
      </w:r>
      <w:r w:rsidR="00BD3712">
        <w:t>–</w:t>
      </w:r>
      <w:r w:rsidR="008F4D9C">
        <w:t>202</w:t>
      </w:r>
      <w:r w:rsidR="0081729A">
        <w:t>6</w:t>
      </w:r>
      <w:r w:rsidR="00D87DAC">
        <w:t xml:space="preserve"> with </w:t>
      </w:r>
      <w:r w:rsidR="00246624">
        <w:t>a</w:t>
      </w:r>
      <w:r w:rsidR="00D87DAC">
        <w:t xml:space="preserve"> possibility for extension</w:t>
      </w:r>
      <w:r w:rsidR="008F4D9C">
        <w:t>.</w:t>
      </w:r>
    </w:p>
    <w:p w14:paraId="60824110" w14:textId="233AC2E7" w:rsidR="008F4D9C" w:rsidRDefault="008F4D9C" w:rsidP="008F4D9C">
      <w:pPr>
        <w:pStyle w:val="HChG"/>
        <w:rPr>
          <w:lang w:val="en-US"/>
        </w:rPr>
      </w:pPr>
      <w:r>
        <w:rPr>
          <w:lang w:val="en-US"/>
        </w:rPr>
        <w:tab/>
        <w:t>I</w:t>
      </w:r>
      <w:r w:rsidR="00362846">
        <w:rPr>
          <w:lang w:val="en-US"/>
        </w:rPr>
        <w:t>II</w:t>
      </w:r>
      <w:r>
        <w:rPr>
          <w:lang w:val="en-US"/>
        </w:rPr>
        <w:t>.</w:t>
      </w:r>
      <w:r>
        <w:rPr>
          <w:lang w:val="en-US"/>
        </w:rPr>
        <w:tab/>
        <w:t>Terms of Reference</w:t>
      </w:r>
    </w:p>
    <w:p w14:paraId="0006FFB9" w14:textId="77777777" w:rsidR="008F4D9C" w:rsidRPr="00670EE0" w:rsidRDefault="008F4D9C" w:rsidP="008F4D9C">
      <w:pPr>
        <w:pStyle w:val="H1G"/>
        <w:rPr>
          <w:lang w:val="en-US"/>
        </w:rPr>
      </w:pPr>
      <w:r>
        <w:rPr>
          <w:lang w:val="en-US"/>
        </w:rPr>
        <w:tab/>
        <w:t>A.</w:t>
      </w:r>
      <w:r>
        <w:rPr>
          <w:lang w:val="en-US"/>
        </w:rPr>
        <w:tab/>
      </w:r>
      <w:r w:rsidRPr="00670EE0">
        <w:rPr>
          <w:lang w:val="en-US"/>
        </w:rPr>
        <w:t>Tasks</w:t>
      </w:r>
    </w:p>
    <w:p w14:paraId="278D07D1" w14:textId="7A168EA2" w:rsidR="008F4D9C" w:rsidRPr="00670EE0" w:rsidRDefault="007468DC" w:rsidP="008F4D9C">
      <w:pPr>
        <w:pStyle w:val="SingleTxtG"/>
        <w:rPr>
          <w:lang w:val="en-US"/>
        </w:rPr>
      </w:pPr>
      <w:r w:rsidRPr="00670EE0">
        <w:rPr>
          <w:lang w:val="en-US"/>
        </w:rPr>
        <w:t>4</w:t>
      </w:r>
      <w:r w:rsidR="008F4D9C" w:rsidRPr="00670EE0">
        <w:rPr>
          <w:lang w:val="en-US"/>
        </w:rPr>
        <w:t>.</w:t>
      </w:r>
      <w:r w:rsidR="008F4D9C" w:rsidRPr="00670EE0">
        <w:rPr>
          <w:lang w:val="en-US"/>
        </w:rPr>
        <w:tab/>
        <w:t>In line with</w:t>
      </w:r>
      <w:r w:rsidR="004022AC" w:rsidRPr="00670EE0">
        <w:rPr>
          <w:lang w:val="en-US"/>
        </w:rPr>
        <w:t xml:space="preserve"> its mandate and </w:t>
      </w:r>
      <w:r w:rsidR="009565BE">
        <w:rPr>
          <w:lang w:val="en-US"/>
        </w:rPr>
        <w:t xml:space="preserve">building on the existing </w:t>
      </w:r>
      <w:r w:rsidR="004022AC" w:rsidRPr="00670EE0">
        <w:rPr>
          <w:lang w:val="en-US"/>
        </w:rPr>
        <w:t xml:space="preserve">expertise and know-how </w:t>
      </w:r>
      <w:r w:rsidR="005F00F5" w:rsidRPr="00670EE0">
        <w:rPr>
          <w:lang w:val="en-US"/>
        </w:rPr>
        <w:t>in several of the</w:t>
      </w:r>
      <w:r w:rsidR="004022AC" w:rsidRPr="00670EE0">
        <w:rPr>
          <w:lang w:val="en-US"/>
        </w:rPr>
        <w:t xml:space="preserve"> Working Parties under </w:t>
      </w:r>
      <w:r w:rsidR="009F7BEF">
        <w:rPr>
          <w:lang w:val="en-US"/>
        </w:rPr>
        <w:t xml:space="preserve">ECE </w:t>
      </w:r>
      <w:r w:rsidR="0090018A" w:rsidRPr="00670EE0">
        <w:rPr>
          <w:lang w:val="en-US"/>
        </w:rPr>
        <w:t>ITC</w:t>
      </w:r>
      <w:r w:rsidR="004022AC" w:rsidRPr="00670EE0">
        <w:rPr>
          <w:lang w:val="en-US"/>
        </w:rPr>
        <w:t xml:space="preserve"> auspices and</w:t>
      </w:r>
      <w:r w:rsidR="005F00F5" w:rsidRPr="00670EE0">
        <w:rPr>
          <w:lang w:val="en-US"/>
        </w:rPr>
        <w:t xml:space="preserve"> in the framework of</w:t>
      </w:r>
      <w:r w:rsidR="004022AC" w:rsidRPr="00670EE0">
        <w:rPr>
          <w:lang w:val="en-US"/>
        </w:rPr>
        <w:t xml:space="preserve"> the ECE </w:t>
      </w:r>
      <w:r w:rsidR="00BA3ABF">
        <w:rPr>
          <w:lang w:val="en-US"/>
        </w:rPr>
        <w:t>CSE</w:t>
      </w:r>
      <w:r w:rsidR="008F4D9C" w:rsidRPr="009C54B8">
        <w:rPr>
          <w:lang w:val="en-US"/>
        </w:rPr>
        <w:t xml:space="preserve">, this </w:t>
      </w:r>
      <w:r w:rsidR="00107379" w:rsidRPr="009C54B8">
        <w:rPr>
          <w:lang w:val="en-US"/>
        </w:rPr>
        <w:t>informal task force</w:t>
      </w:r>
      <w:r w:rsidR="008F4D9C" w:rsidRPr="009C54B8">
        <w:rPr>
          <w:lang w:val="en-US"/>
        </w:rPr>
        <w:t xml:space="preserve"> should:</w:t>
      </w:r>
    </w:p>
    <w:p w14:paraId="030488FD" w14:textId="6BC1D666" w:rsidR="002E4F84" w:rsidRDefault="008F4D9C" w:rsidP="00501712">
      <w:pPr>
        <w:pStyle w:val="SingleTxtG"/>
        <w:ind w:firstLine="567"/>
      </w:pPr>
      <w:r w:rsidRPr="008E3763">
        <w:t>(a)</w:t>
      </w:r>
      <w:r w:rsidRPr="008E3763">
        <w:tab/>
        <w:t xml:space="preserve">Serve as a platform to </w:t>
      </w:r>
      <w:r w:rsidR="00260DEA" w:rsidRPr="008E3763">
        <w:t xml:space="preserve">collect, </w:t>
      </w:r>
      <w:r w:rsidR="00E61584" w:rsidRPr="008E3763">
        <w:t>integrate,</w:t>
      </w:r>
      <w:r w:rsidRPr="008E3763">
        <w:t xml:space="preserve"> and disseminate</w:t>
      </w:r>
      <w:r w:rsidR="00AE6B35">
        <w:t>,</w:t>
      </w:r>
      <w:r w:rsidRPr="008E3763">
        <w:t xml:space="preserve"> </w:t>
      </w:r>
      <w:r w:rsidR="00222142" w:rsidRPr="008E3763">
        <w:t>at inter-sectoral level</w:t>
      </w:r>
      <w:r w:rsidR="00AE6B35">
        <w:t>,</w:t>
      </w:r>
      <w:r w:rsidR="00222142" w:rsidRPr="008E3763">
        <w:t xml:space="preserve"> </w:t>
      </w:r>
      <w:r w:rsidR="000C302B" w:rsidRPr="008E3763">
        <w:t>knowledge,</w:t>
      </w:r>
      <w:r w:rsidR="00251334">
        <w:t xml:space="preserve"> </w:t>
      </w:r>
      <w:r w:rsidR="0005070D" w:rsidRPr="008E3763">
        <w:t xml:space="preserve">and expertise </w:t>
      </w:r>
      <w:r w:rsidRPr="008E3763">
        <w:t xml:space="preserve">on </w:t>
      </w:r>
      <w:r w:rsidR="00222142" w:rsidRPr="008E3763">
        <w:t xml:space="preserve">electrification of </w:t>
      </w:r>
      <w:r w:rsidR="00124AC5">
        <w:t xml:space="preserve">inland </w:t>
      </w:r>
      <w:r w:rsidR="00D74C04">
        <w:t>transport</w:t>
      </w:r>
      <w:r w:rsidR="00FA52C6">
        <w:t>,</w:t>
      </w:r>
      <w:r w:rsidR="00251334">
        <w:t xml:space="preserve"> as well as</w:t>
      </w:r>
      <w:r w:rsidR="00AE18F9" w:rsidRPr="008E3763">
        <w:t xml:space="preserve"> its</w:t>
      </w:r>
      <w:r w:rsidR="0005070D" w:rsidRPr="008E3763">
        <w:t xml:space="preserve"> </w:t>
      </w:r>
      <w:r w:rsidR="005A0587" w:rsidRPr="008E3763">
        <w:t>interlinkages with EV charging infrastructure</w:t>
      </w:r>
      <w:r w:rsidR="00124AC5">
        <w:t xml:space="preserve"> and the broader electricity grid</w:t>
      </w:r>
      <w:r w:rsidR="00EA0FA3" w:rsidRPr="00EA0FA3">
        <w:t xml:space="preserve">, </w:t>
      </w:r>
      <w:r w:rsidR="00124AC5">
        <w:t xml:space="preserve">including </w:t>
      </w:r>
      <w:r w:rsidR="007C0090">
        <w:t xml:space="preserve">aspects of </w:t>
      </w:r>
      <w:r w:rsidR="00EA0FA3" w:rsidRPr="00EA0FA3">
        <w:t>location efficiency</w:t>
      </w:r>
      <w:r w:rsidR="00B50F72">
        <w:t xml:space="preserve"> and mobility management</w:t>
      </w:r>
      <w:r w:rsidR="006110CA">
        <w:t>.</w:t>
      </w:r>
    </w:p>
    <w:p w14:paraId="54228EB3" w14:textId="43A19BF3" w:rsidR="00730416" w:rsidRPr="00A31D85" w:rsidRDefault="002E4F84" w:rsidP="00EA0FA3">
      <w:pPr>
        <w:pStyle w:val="SingleTxtG"/>
        <w:ind w:firstLine="567"/>
        <w:rPr>
          <w:lang w:val="en-US"/>
        </w:rPr>
      </w:pPr>
      <w:r>
        <w:t>(b)</w:t>
      </w:r>
      <w:r>
        <w:tab/>
      </w:r>
      <w:r w:rsidR="00C23F78">
        <w:t>Explore possibilities for the</w:t>
      </w:r>
      <w:r>
        <w:t xml:space="preserve"> establish</w:t>
      </w:r>
      <w:r w:rsidR="00C23F78">
        <w:t>ment of</w:t>
      </w:r>
      <w:r>
        <w:t xml:space="preserve"> a best practice sharing and coordination mechanism on </w:t>
      </w:r>
      <w:r w:rsidR="00EA0FA3" w:rsidRPr="00EA0FA3">
        <w:t xml:space="preserve">(multi-modal) </w:t>
      </w:r>
      <w:r>
        <w:t>Z</w:t>
      </w:r>
      <w:r w:rsidR="00C23F78">
        <w:t xml:space="preserve">ero </w:t>
      </w:r>
      <w:r>
        <w:t>E</w:t>
      </w:r>
      <w:r w:rsidR="00C23F78">
        <w:t xml:space="preserve">mission </w:t>
      </w:r>
      <w:r>
        <w:t>V</w:t>
      </w:r>
      <w:r w:rsidR="00C23F78">
        <w:t>ehicle (ZEV)</w:t>
      </w:r>
      <w:r>
        <w:t xml:space="preserve"> infrastructure to support policy implementatio</w:t>
      </w:r>
      <w:r w:rsidR="00C23F78">
        <w:t xml:space="preserve">n, including through </w:t>
      </w:r>
      <w:r>
        <w:t xml:space="preserve">providing insights on long-term ZEV infrastructure needs and </w:t>
      </w:r>
      <w:r w:rsidR="002B4372">
        <w:t xml:space="preserve">energy </w:t>
      </w:r>
      <w:r w:rsidR="00EA0FA3" w:rsidRPr="00EA0FA3">
        <w:t>suppl</w:t>
      </w:r>
      <w:r w:rsidR="00BF2355">
        <w:t>y</w:t>
      </w:r>
      <w:r w:rsidR="00EA0FA3" w:rsidRPr="00EA0FA3">
        <w:t xml:space="preserve"> </w:t>
      </w:r>
      <w:r>
        <w:t>exploring the development of new</w:t>
      </w:r>
      <w:r w:rsidR="006110CA">
        <w:t xml:space="preserve"> </w:t>
      </w:r>
      <w:r>
        <w:t>tools and products to support ZEV infrastructure planning and modelling at different levels</w:t>
      </w:r>
      <w:r w:rsidR="6A8DDB51">
        <w:t xml:space="preserve"> (</w:t>
      </w:r>
      <w:r w:rsidR="006110CA">
        <w:t>i.e. local</w:t>
      </w:r>
      <w:r w:rsidR="6A8DDB51">
        <w:t>, region</w:t>
      </w:r>
      <w:r w:rsidR="006110CA">
        <w:t>al</w:t>
      </w:r>
      <w:r w:rsidR="6A8DDB51">
        <w:t>,</w:t>
      </w:r>
      <w:r w:rsidR="006110CA">
        <w:t xml:space="preserve"> national</w:t>
      </w:r>
      <w:r w:rsidR="6A8DDB51">
        <w:t>, international</w:t>
      </w:r>
      <w:r w:rsidR="006110CA">
        <w:t xml:space="preserve"> and </w:t>
      </w:r>
      <w:r w:rsidR="6A8DDB51">
        <w:t>global)</w:t>
      </w:r>
      <w:r w:rsidR="001D0037">
        <w:t>.</w:t>
      </w:r>
    </w:p>
    <w:p w14:paraId="2EEEE6C7" w14:textId="796444D7" w:rsidR="00DE11F1" w:rsidRPr="00A31D85" w:rsidRDefault="0032399C" w:rsidP="006110CA">
      <w:pPr>
        <w:pStyle w:val="SingleTxtG"/>
        <w:ind w:firstLine="567"/>
        <w:rPr>
          <w:lang w:val="en-US"/>
        </w:rPr>
      </w:pPr>
      <w:r>
        <w:t>(c)</w:t>
      </w:r>
      <w:r>
        <w:tab/>
      </w:r>
      <w:r w:rsidR="00374C12">
        <w:t xml:space="preserve">Offer a </w:t>
      </w:r>
      <w:r w:rsidR="004D44A6">
        <w:t>platform for countries to explore possibilities for</w:t>
      </w:r>
      <w:r>
        <w:t xml:space="preserve"> </w:t>
      </w:r>
      <w:r w:rsidR="006110CA">
        <w:t xml:space="preserve">international </w:t>
      </w:r>
      <w:r w:rsidR="00EA0FA3" w:rsidRPr="00EA0FA3">
        <w:t>harmonization of EV charging</w:t>
      </w:r>
      <w:r w:rsidR="00D34A06">
        <w:t xml:space="preserve"> procedures and</w:t>
      </w:r>
      <w:r w:rsidR="00EA0FA3" w:rsidRPr="00EA0FA3">
        <w:t xml:space="preserve"> </w:t>
      </w:r>
      <w:r>
        <w:t>types</w:t>
      </w:r>
      <w:r w:rsidR="00AD0594">
        <w:t>,</w:t>
      </w:r>
      <w:r>
        <w:t xml:space="preserve"> </w:t>
      </w:r>
      <w:r w:rsidR="00D34A06">
        <w:t>considering</w:t>
      </w:r>
      <w:r w:rsidR="00116055">
        <w:t xml:space="preserve"> </w:t>
      </w:r>
      <w:r>
        <w:t>partner initiatives</w:t>
      </w:r>
      <w:r w:rsidR="3FD065F8">
        <w:t xml:space="preserve"> such as the Breakthrough Agenda</w:t>
      </w:r>
      <w:r w:rsidR="12BC97E7">
        <w:t xml:space="preserve"> Road Transport </w:t>
      </w:r>
      <w:r w:rsidR="00921973">
        <w:t>P</w:t>
      </w:r>
      <w:r w:rsidR="12BC97E7">
        <w:t xml:space="preserve">riority on Charging </w:t>
      </w:r>
      <w:r w:rsidR="00921973">
        <w:t>I</w:t>
      </w:r>
      <w:r w:rsidR="7875A0E3">
        <w:t>nfrastructure</w:t>
      </w:r>
      <w:r w:rsidR="12BC97E7">
        <w:t xml:space="preserve"> </w:t>
      </w:r>
      <w:r w:rsidR="20033B42">
        <w:t>(</w:t>
      </w:r>
      <w:r w:rsidR="12BC97E7">
        <w:t>RT4</w:t>
      </w:r>
      <w:r w:rsidR="0B7E346A">
        <w:t>)</w:t>
      </w:r>
      <w:r w:rsidR="12BC97E7">
        <w:t>, the ZEV Transition Council (ZEVTC) Charging Infrastructure Taskforce</w:t>
      </w:r>
      <w:r w:rsidR="292EDA2C">
        <w:t xml:space="preserve"> </w:t>
      </w:r>
      <w:r w:rsidR="006110CA">
        <w:t xml:space="preserve">and </w:t>
      </w:r>
      <w:r w:rsidR="292EDA2C">
        <w:t>others</w:t>
      </w:r>
      <w:r w:rsidR="006110CA">
        <w:t>.</w:t>
      </w:r>
    </w:p>
    <w:p w14:paraId="7040325B" w14:textId="72B73474" w:rsidR="00425BCD" w:rsidRPr="006110CA" w:rsidRDefault="00B97422" w:rsidP="00110BF1">
      <w:pPr>
        <w:pStyle w:val="SingleTxtG"/>
        <w:ind w:firstLine="567"/>
        <w:rPr>
          <w:lang w:val="en-US"/>
        </w:rPr>
      </w:pPr>
      <w:r>
        <w:t>(d)</w:t>
      </w:r>
      <w:r>
        <w:tab/>
      </w:r>
      <w:r w:rsidR="00707A0B">
        <w:t xml:space="preserve">Take stock of the </w:t>
      </w:r>
      <w:r w:rsidR="00A906B8">
        <w:t xml:space="preserve">wide </w:t>
      </w:r>
      <w:r w:rsidR="00707A0B">
        <w:t xml:space="preserve">array of smart and innovative charging </w:t>
      </w:r>
      <w:r w:rsidR="00E43F1F">
        <w:t>solutions deployed</w:t>
      </w:r>
      <w:r w:rsidR="00707A0B">
        <w:t xml:space="preserve"> across the ECE region and beyond,</w:t>
      </w:r>
      <w:r w:rsidR="00725A73">
        <w:t xml:space="preserve"> </w:t>
      </w:r>
      <w:r w:rsidR="00E43F1F">
        <w:t xml:space="preserve">for </w:t>
      </w:r>
      <w:r w:rsidR="7EDC3747">
        <w:t xml:space="preserve">all </w:t>
      </w:r>
      <w:r w:rsidR="7EDC3747" w:rsidRPr="00D2761A">
        <w:t>ty</w:t>
      </w:r>
      <w:r w:rsidR="7EDC3747">
        <w:t xml:space="preserve">pes </w:t>
      </w:r>
      <w:r w:rsidR="7EDC3747" w:rsidRPr="00D2761A">
        <w:t xml:space="preserve">of </w:t>
      </w:r>
      <w:r w:rsidR="00E43F1F" w:rsidRPr="00D2761A">
        <w:t>EVs</w:t>
      </w:r>
      <w:r w:rsidR="00984285" w:rsidRPr="00D2761A">
        <w:t xml:space="preserve">, </w:t>
      </w:r>
      <w:r w:rsidR="1C4F5CF0" w:rsidRPr="00D2761A">
        <w:t>two</w:t>
      </w:r>
      <w:r w:rsidR="1C4F5CF0">
        <w:t>- and three- wheelers, cars, vans, trucks and buses</w:t>
      </w:r>
      <w:r w:rsidR="00E43F1F">
        <w:t>,</w:t>
      </w:r>
      <w:r w:rsidR="00BF4494">
        <w:t xml:space="preserve"> </w:t>
      </w:r>
      <w:r w:rsidR="00EA0FA3" w:rsidRPr="00EA0FA3">
        <w:t>hybrid trains, and special EVs (i.e., tractors, building and construction vehicles)</w:t>
      </w:r>
      <w:r w:rsidR="002B4372">
        <w:t xml:space="preserve"> as well as inland waterway barges</w:t>
      </w:r>
      <w:r w:rsidR="00EA0FA3" w:rsidRPr="00EA0FA3">
        <w:t xml:space="preserve">, </w:t>
      </w:r>
      <w:r w:rsidR="00993CEA">
        <w:t>with a particular emphasis on opportunities for</w:t>
      </w:r>
      <w:r w:rsidR="00707A0B">
        <w:t xml:space="preserve"> </w:t>
      </w:r>
      <w:r w:rsidR="00EA0FA3" w:rsidRPr="00EA0FA3">
        <w:t>bidirectional charging (</w:t>
      </w:r>
      <w:r w:rsidR="007B5DEA">
        <w:t xml:space="preserve">e.g. </w:t>
      </w:r>
      <w:r w:rsidR="00EA0FA3" w:rsidRPr="00EA0FA3">
        <w:t>Vehicle-To-Grid/ V2G</w:t>
      </w:r>
      <w:r w:rsidR="00921973">
        <w:t xml:space="preserve"> and</w:t>
      </w:r>
      <w:r w:rsidR="00EA0FA3" w:rsidRPr="00EA0FA3">
        <w:t xml:space="preserve"> </w:t>
      </w:r>
      <w:r w:rsidR="00921973" w:rsidRPr="00EA0FA3">
        <w:t>Vehicle-To-Home/ V2H</w:t>
      </w:r>
      <w:r w:rsidR="00EA0FA3" w:rsidRPr="00EA0FA3">
        <w:t>).</w:t>
      </w:r>
    </w:p>
    <w:p w14:paraId="603CA48B" w14:textId="77777777" w:rsidR="005E67A7" w:rsidRDefault="00425BCD" w:rsidP="00425BCD">
      <w:pPr>
        <w:pStyle w:val="SingleTxtG"/>
        <w:ind w:firstLine="567"/>
      </w:pPr>
      <w:r w:rsidRPr="003E49EB">
        <w:t>(</w:t>
      </w:r>
      <w:r w:rsidR="00CD5E32" w:rsidRPr="003E49EB">
        <w:t>e</w:t>
      </w:r>
      <w:r w:rsidRPr="003E49EB">
        <w:t>)</w:t>
      </w:r>
      <w:r w:rsidRPr="003E49EB">
        <w:tab/>
      </w:r>
      <w:r w:rsidR="00CD5E32" w:rsidRPr="003E49EB">
        <w:t>In relation to (d)</w:t>
      </w:r>
      <w:r w:rsidR="000F33C7">
        <w:t>:</w:t>
      </w:r>
      <w:r w:rsidR="00CD5E32" w:rsidRPr="003E49EB">
        <w:t xml:space="preserve"> offer </w:t>
      </w:r>
      <w:r w:rsidR="00FD31CC" w:rsidRPr="003E49EB">
        <w:t>a platform to</w:t>
      </w:r>
      <w:r w:rsidR="005E67A7">
        <w:t>:</w:t>
      </w:r>
    </w:p>
    <w:p w14:paraId="69D8C312" w14:textId="588C365F" w:rsidR="00425BCD" w:rsidRPr="003E49EB" w:rsidRDefault="005E67A7" w:rsidP="00127749">
      <w:pPr>
        <w:pStyle w:val="SingleTxtG"/>
        <w:ind w:left="1701"/>
      </w:pPr>
      <w:r>
        <w:t>(i)</w:t>
      </w:r>
      <w:r w:rsidR="00127749">
        <w:tab/>
      </w:r>
      <w:r w:rsidR="004D7E45">
        <w:t>I</w:t>
      </w:r>
      <w:r w:rsidR="00FD31CC" w:rsidRPr="003E49EB">
        <w:t>dentify an</w:t>
      </w:r>
      <w:r w:rsidR="004D7E45">
        <w:t xml:space="preserve">y </w:t>
      </w:r>
      <w:r w:rsidR="00425BCD" w:rsidRPr="003E49EB">
        <w:t>regulatory barriers</w:t>
      </w:r>
      <w:r w:rsidR="00FD31CC" w:rsidRPr="003E49EB">
        <w:t xml:space="preserve"> </w:t>
      </w:r>
      <w:r w:rsidR="002D2B3A">
        <w:t xml:space="preserve">to </w:t>
      </w:r>
      <w:r w:rsidR="00FD31CC" w:rsidRPr="003E49EB">
        <w:t>the deployment of s</w:t>
      </w:r>
      <w:r w:rsidR="00293D85">
        <w:t>mart and</w:t>
      </w:r>
      <w:r w:rsidR="00FD31CC" w:rsidRPr="003E49EB">
        <w:t xml:space="preserve"> </w:t>
      </w:r>
      <w:r w:rsidR="00C07CD7">
        <w:t xml:space="preserve">innovative </w:t>
      </w:r>
      <w:r w:rsidR="00DE11F1">
        <w:t xml:space="preserve">charging </w:t>
      </w:r>
      <w:r w:rsidR="00FD31CC" w:rsidRPr="003E49EB">
        <w:t>solutions</w:t>
      </w:r>
      <w:r w:rsidR="00984285">
        <w:t>,</w:t>
      </w:r>
      <w:r w:rsidR="00CC44AE">
        <w:t xml:space="preserve"> including </w:t>
      </w:r>
      <w:r w:rsidR="00DE11F1">
        <w:t>regarding</w:t>
      </w:r>
      <w:r w:rsidR="00CC44AE">
        <w:t xml:space="preserve"> charging accessibility and </w:t>
      </w:r>
      <w:r w:rsidR="007A1F4E">
        <w:t>affordability as well as</w:t>
      </w:r>
      <w:r w:rsidR="003E49EB" w:rsidRPr="003E49EB">
        <w:t xml:space="preserve"> </w:t>
      </w:r>
      <w:r w:rsidR="00133507">
        <w:t>ways to overcome them</w:t>
      </w:r>
      <w:r w:rsidR="007B5DEA">
        <w:t>.</w:t>
      </w:r>
    </w:p>
    <w:p w14:paraId="3BC066AD" w14:textId="160EC031" w:rsidR="00425BCD" w:rsidRPr="00127749" w:rsidRDefault="00425BCD" w:rsidP="00127749">
      <w:pPr>
        <w:pStyle w:val="SingleTxtG"/>
        <w:ind w:left="1701"/>
      </w:pPr>
      <w:r w:rsidRPr="00127749">
        <w:t>(i</w:t>
      </w:r>
      <w:r w:rsidR="00293D85" w:rsidRPr="00127749">
        <w:t>i</w:t>
      </w:r>
      <w:r w:rsidRPr="00127749">
        <w:t>)</w:t>
      </w:r>
      <w:r w:rsidR="00127749">
        <w:tab/>
      </w:r>
      <w:r w:rsidR="007968F9" w:rsidRPr="00127749">
        <w:t>Design</w:t>
      </w:r>
      <w:r w:rsidR="00F0063A" w:rsidRPr="00127749">
        <w:t xml:space="preserve"> </w:t>
      </w:r>
      <w:r w:rsidRPr="00127749">
        <w:t xml:space="preserve">a supportive </w:t>
      </w:r>
      <w:r w:rsidR="00540EBE" w:rsidRPr="00127749">
        <w:t xml:space="preserve">regulatory </w:t>
      </w:r>
      <w:r w:rsidRPr="00127749">
        <w:t xml:space="preserve">framework </w:t>
      </w:r>
      <w:r w:rsidR="00540EBE" w:rsidRPr="00127749">
        <w:t xml:space="preserve">in the form </w:t>
      </w:r>
      <w:r w:rsidR="00DE11F1" w:rsidRPr="00127749">
        <w:t>of effective</w:t>
      </w:r>
      <w:r w:rsidR="00E97741" w:rsidRPr="00127749">
        <w:t xml:space="preserve"> </w:t>
      </w:r>
      <w:r w:rsidRPr="00127749">
        <w:t xml:space="preserve">taxes, </w:t>
      </w:r>
      <w:r w:rsidR="004F3DF4" w:rsidRPr="00127749">
        <w:t>levies,</w:t>
      </w:r>
      <w:r w:rsidRPr="00127749">
        <w:t xml:space="preserve"> </w:t>
      </w:r>
      <w:r w:rsidR="00E97741" w:rsidRPr="00127749">
        <w:t>or</w:t>
      </w:r>
      <w:r w:rsidRPr="00127749">
        <w:t xml:space="preserve"> surcharges</w:t>
      </w:r>
      <w:r w:rsidR="00A005B8" w:rsidRPr="00127749">
        <w:t xml:space="preserve"> that provides </w:t>
      </w:r>
      <w:r w:rsidR="00C85FB3" w:rsidRPr="00127749">
        <w:t xml:space="preserve">transparency </w:t>
      </w:r>
      <w:r w:rsidR="007B5DEA" w:rsidRPr="00127749">
        <w:t xml:space="preserve">for the client </w:t>
      </w:r>
      <w:r w:rsidR="00C85FB3" w:rsidRPr="00127749">
        <w:t>regarding the emission factor of the e</w:t>
      </w:r>
      <w:r w:rsidR="00921973" w:rsidRPr="00127749">
        <w:t xml:space="preserve">nergy </w:t>
      </w:r>
      <w:r w:rsidR="00C85FB3" w:rsidRPr="00127749">
        <w:t>used</w:t>
      </w:r>
      <w:r w:rsidR="006D5D6B" w:rsidRPr="00127749">
        <w:t>.</w:t>
      </w:r>
    </w:p>
    <w:p w14:paraId="5F2FCC38" w14:textId="4EEFDDEF" w:rsidR="00425BCD" w:rsidRPr="00127749" w:rsidRDefault="00425BCD" w:rsidP="00127749">
      <w:pPr>
        <w:pStyle w:val="SingleTxtG"/>
        <w:ind w:left="1701"/>
      </w:pPr>
      <w:r w:rsidRPr="00127749">
        <w:t>(ii</w:t>
      </w:r>
      <w:r w:rsidR="00495B12" w:rsidRPr="00127749">
        <w:t>i</w:t>
      </w:r>
      <w:r w:rsidRPr="00127749">
        <w:t>)</w:t>
      </w:r>
      <w:r w:rsidR="00127749">
        <w:tab/>
      </w:r>
      <w:r w:rsidRPr="00127749">
        <w:t xml:space="preserve">Develop </w:t>
      </w:r>
      <w:r w:rsidR="00F25F43" w:rsidRPr="00127749">
        <w:t xml:space="preserve">harmonized </w:t>
      </w:r>
      <w:r w:rsidRPr="00127749">
        <w:t>norms and standards for bidirectional charging</w:t>
      </w:r>
      <w:r w:rsidR="00F8630C" w:rsidRPr="00127749">
        <w:t xml:space="preserve"> and other smart charging solutions</w:t>
      </w:r>
      <w:r w:rsidR="00C85FB3" w:rsidRPr="00127749">
        <w:t>, and assess associated infrastructure needs</w:t>
      </w:r>
      <w:r w:rsidR="00204AD5" w:rsidRPr="00127749">
        <w:t xml:space="preserve"> as well as </w:t>
      </w:r>
      <w:r w:rsidR="00C85FB3" w:rsidRPr="00127749">
        <w:t xml:space="preserve">best </w:t>
      </w:r>
      <w:r w:rsidR="00C85FB3" w:rsidRPr="00127749">
        <w:lastRenderedPageBreak/>
        <w:t>practices for managing charging loads to minimize sudden appearance of large undiversified loads on the system.</w:t>
      </w:r>
    </w:p>
    <w:p w14:paraId="47BA6439" w14:textId="6321F443" w:rsidR="00425BCD" w:rsidRPr="00127749" w:rsidRDefault="00425BCD" w:rsidP="00127749">
      <w:pPr>
        <w:pStyle w:val="SingleTxtG"/>
        <w:ind w:left="1701"/>
      </w:pPr>
      <w:r w:rsidRPr="00127749">
        <w:t>(i</w:t>
      </w:r>
      <w:r w:rsidR="00495B12" w:rsidRPr="00127749">
        <w:t>v</w:t>
      </w:r>
      <w:r w:rsidRPr="00127749">
        <w:t>)</w:t>
      </w:r>
      <w:r w:rsidR="00127749">
        <w:tab/>
      </w:r>
      <w:r w:rsidRPr="00127749">
        <w:t>Formulat</w:t>
      </w:r>
      <w:r w:rsidR="00D24463" w:rsidRPr="00127749">
        <w:t>e</w:t>
      </w:r>
      <w:r w:rsidRPr="00127749">
        <w:t xml:space="preserve"> </w:t>
      </w:r>
      <w:r w:rsidR="00CA7D17" w:rsidRPr="00127749">
        <w:t xml:space="preserve">new, </w:t>
      </w:r>
      <w:r w:rsidRPr="00127749">
        <w:t xml:space="preserve">common rules and </w:t>
      </w:r>
      <w:r w:rsidR="00E4618F" w:rsidRPr="00127749">
        <w:t xml:space="preserve">provide guidance on </w:t>
      </w:r>
      <w:r w:rsidRPr="00127749">
        <w:t>enforcing existing rules for data sharing</w:t>
      </w:r>
      <w:r w:rsidR="00DE11F1" w:rsidRPr="00127749">
        <w:t xml:space="preserve"> while assuring adequate data </w:t>
      </w:r>
      <w:r w:rsidR="00C85FB3" w:rsidRPr="00127749">
        <w:t>protection,</w:t>
      </w:r>
      <w:r w:rsidR="006D5D6B" w:rsidRPr="00127749">
        <w:t xml:space="preserve"> and </w:t>
      </w:r>
      <w:r w:rsidR="00204AD5" w:rsidRPr="00127749">
        <w:t xml:space="preserve">cyber </w:t>
      </w:r>
      <w:r w:rsidR="00C85FB3" w:rsidRPr="00127749">
        <w:t>security</w:t>
      </w:r>
      <w:r w:rsidR="00DE11F1" w:rsidRPr="00127749">
        <w:t xml:space="preserve"> levels</w:t>
      </w:r>
      <w:r w:rsidR="00F25F43" w:rsidRPr="00127749">
        <w:t>.</w:t>
      </w:r>
    </w:p>
    <w:p w14:paraId="54A3BD6A" w14:textId="1D7978A4" w:rsidR="00425BCD" w:rsidRPr="00127749" w:rsidRDefault="00425BCD" w:rsidP="00127749">
      <w:pPr>
        <w:pStyle w:val="SingleTxtG"/>
        <w:ind w:left="1701"/>
      </w:pPr>
      <w:r w:rsidRPr="00127749">
        <w:t>(v)</w:t>
      </w:r>
      <w:r w:rsidR="00127749">
        <w:tab/>
      </w:r>
      <w:r w:rsidR="003915DF" w:rsidRPr="00127749">
        <w:t>Offer guidance for h</w:t>
      </w:r>
      <w:r w:rsidRPr="00127749">
        <w:t xml:space="preserve">armonizing grid access rules and develop instruments </w:t>
      </w:r>
      <w:r w:rsidR="00C85FB3" w:rsidRPr="00127749">
        <w:t xml:space="preserve">and technical solutions </w:t>
      </w:r>
      <w:r w:rsidRPr="00127749">
        <w:t xml:space="preserve">to </w:t>
      </w:r>
      <w:r w:rsidR="00826551" w:rsidRPr="00127749">
        <w:t xml:space="preserve">help </w:t>
      </w:r>
      <w:r w:rsidRPr="00127749">
        <w:t>tackle grid congestion</w:t>
      </w:r>
      <w:r w:rsidR="006D5D6B" w:rsidRPr="00127749">
        <w:t xml:space="preserve"> and </w:t>
      </w:r>
      <w:r w:rsidR="00CA7D17" w:rsidRPr="00127749">
        <w:t xml:space="preserve">potential </w:t>
      </w:r>
      <w:r w:rsidR="006D5D6B" w:rsidRPr="00127749">
        <w:t>ove</w:t>
      </w:r>
      <w:r w:rsidR="008B635B" w:rsidRPr="00127749">
        <w:t>rload</w:t>
      </w:r>
      <w:r w:rsidR="00F25F43" w:rsidRPr="00127749">
        <w:t>.</w:t>
      </w:r>
    </w:p>
    <w:p w14:paraId="366C3226" w14:textId="033B8AF9" w:rsidR="002B456C" w:rsidRPr="00127749" w:rsidRDefault="002B456C" w:rsidP="00127749">
      <w:pPr>
        <w:pStyle w:val="SingleTxtG"/>
        <w:ind w:left="1701"/>
      </w:pPr>
      <w:r w:rsidRPr="00127749">
        <w:t>(vi)</w:t>
      </w:r>
      <w:r w:rsidR="00127749">
        <w:tab/>
      </w:r>
      <w:r w:rsidRPr="00127749">
        <w:t xml:space="preserve">Offer guidance on </w:t>
      </w:r>
      <w:r w:rsidR="00890A22" w:rsidRPr="00127749">
        <w:t>user friendly</w:t>
      </w:r>
      <w:r w:rsidR="003A52C8" w:rsidRPr="00127749">
        <w:t xml:space="preserve"> and seamless</w:t>
      </w:r>
      <w:r w:rsidR="00890A22" w:rsidRPr="00127749">
        <w:t xml:space="preserve"> payment methods for </w:t>
      </w:r>
      <w:r w:rsidR="003A52C8" w:rsidRPr="00127749">
        <w:t>public charging</w:t>
      </w:r>
      <w:r w:rsidR="00C85FB3" w:rsidRPr="00127749">
        <w:t xml:space="preserve"> and on harmonization of payment systems</w:t>
      </w:r>
      <w:r w:rsidR="004B5DE1" w:rsidRPr="00127749">
        <w:t xml:space="preserve">, including </w:t>
      </w:r>
      <w:r w:rsidR="00F15F9C" w:rsidRPr="00127749">
        <w:t xml:space="preserve">by </w:t>
      </w:r>
      <w:r w:rsidR="00CB6B56" w:rsidRPr="00127749">
        <w:t>exploring the introduction of dynamic charging rates</w:t>
      </w:r>
      <w:r w:rsidR="003A52C8" w:rsidRPr="00127749">
        <w:t>.</w:t>
      </w:r>
      <w:r w:rsidR="00D2761A" w:rsidRPr="00127749">
        <w:t xml:space="preserve"> </w:t>
      </w:r>
      <w:r w:rsidR="00A86AF9" w:rsidRPr="00127749">
        <w:t xml:space="preserve">Provide a </w:t>
      </w:r>
      <w:r w:rsidR="000C3D7E" w:rsidRPr="00127749">
        <w:t>b</w:t>
      </w:r>
      <w:r w:rsidR="00D2761A" w:rsidRPr="00127749">
        <w:t>enchmark</w:t>
      </w:r>
      <w:r w:rsidR="000C3D7E" w:rsidRPr="00127749">
        <w:t>ing</w:t>
      </w:r>
      <w:r w:rsidR="00A86AF9" w:rsidRPr="00127749">
        <w:t xml:space="preserve"> analysis</w:t>
      </w:r>
      <w:r w:rsidR="00D2761A" w:rsidRPr="00127749">
        <w:t xml:space="preserve"> against methods for purchasing other energy sources (e.g. gas stations) </w:t>
      </w:r>
      <w:r w:rsidR="000C3D7E" w:rsidRPr="00127749">
        <w:t xml:space="preserve">and </w:t>
      </w:r>
      <w:r w:rsidR="004B5DE1" w:rsidRPr="00127749">
        <w:t>consider</w:t>
      </w:r>
      <w:r w:rsidR="00D2761A" w:rsidRPr="00127749">
        <w:t xml:space="preserve"> good practices regarding data and digital frugality.</w:t>
      </w:r>
    </w:p>
    <w:p w14:paraId="28A67C20" w14:textId="5D6807BC" w:rsidR="00425BCD" w:rsidRPr="00127749" w:rsidRDefault="00425BCD" w:rsidP="00127749">
      <w:pPr>
        <w:pStyle w:val="SingleTxtG"/>
        <w:ind w:left="1701"/>
      </w:pPr>
      <w:r w:rsidRPr="00127749">
        <w:t>(v</w:t>
      </w:r>
      <w:r w:rsidR="00495B12" w:rsidRPr="00127749">
        <w:t>i</w:t>
      </w:r>
      <w:r w:rsidR="00C85FB3" w:rsidRPr="00127749">
        <w:t>i</w:t>
      </w:r>
      <w:r w:rsidRPr="00127749">
        <w:t>)</w:t>
      </w:r>
      <w:r w:rsidR="00127749">
        <w:tab/>
      </w:r>
      <w:r w:rsidR="00B65146" w:rsidRPr="00127749">
        <w:t xml:space="preserve">Explore </w:t>
      </w:r>
      <w:r w:rsidR="00713623" w:rsidRPr="00127749">
        <w:t xml:space="preserve">accompanying services to smart and innovative charging solutions </w:t>
      </w:r>
      <w:r w:rsidR="009E0CFE" w:rsidRPr="00127749">
        <w:t xml:space="preserve">and design supportive frameworks for these services to </w:t>
      </w:r>
      <w:r w:rsidRPr="00127749">
        <w:t>access market</w:t>
      </w:r>
      <w:r w:rsidR="00495B12" w:rsidRPr="00127749">
        <w:t>s</w:t>
      </w:r>
      <w:r w:rsidR="00F25F43" w:rsidRPr="00127749">
        <w:t>.</w:t>
      </w:r>
    </w:p>
    <w:p w14:paraId="69A07214" w14:textId="56CB1EC6" w:rsidR="00C85FB3" w:rsidRPr="00134521" w:rsidRDefault="00C85FB3" w:rsidP="00127749">
      <w:pPr>
        <w:pStyle w:val="SingleTxtG"/>
        <w:ind w:left="1701"/>
      </w:pPr>
      <w:r w:rsidRPr="00127749">
        <w:t>(viii)</w:t>
      </w:r>
      <w:r w:rsidRPr="00127749">
        <w:tab/>
        <w:t>Explore alternative models of electricity pricing at public charging infrastructure to provide adequate financial incentive</w:t>
      </w:r>
      <w:r w:rsidR="00DE11F1" w:rsidRPr="00127749">
        <w:t>s</w:t>
      </w:r>
      <w:r w:rsidRPr="00127749">
        <w:t xml:space="preserve"> for development of said infrastructure while also preserving the economic benefit</w:t>
      </w:r>
      <w:r w:rsidR="00DE11F1" w:rsidRPr="00127749">
        <w:t>s</w:t>
      </w:r>
      <w:r w:rsidRPr="00127749">
        <w:t xml:space="preserve"> to the vehicle owner.</w:t>
      </w:r>
    </w:p>
    <w:p w14:paraId="3693D461" w14:textId="674F6042" w:rsidR="00E6697C" w:rsidRDefault="00952574" w:rsidP="00E6697C">
      <w:pPr>
        <w:pStyle w:val="SingleTxtG"/>
        <w:ind w:firstLine="567"/>
      </w:pPr>
      <w:r w:rsidRPr="003E49EB">
        <w:t>(</w:t>
      </w:r>
      <w:r w:rsidR="00DE6A5A">
        <w:t>f</w:t>
      </w:r>
      <w:r w:rsidRPr="003E49EB">
        <w:t>)</w:t>
      </w:r>
      <w:r w:rsidRPr="003E49EB">
        <w:tab/>
      </w:r>
      <w:r w:rsidR="004569D2">
        <w:t>Serve as a platform to map</w:t>
      </w:r>
      <w:r w:rsidR="005B0491">
        <w:t xml:space="preserve"> most widely used </w:t>
      </w:r>
      <w:r w:rsidR="007C4FE9">
        <w:t xml:space="preserve">open </w:t>
      </w:r>
      <w:r w:rsidR="00533D2C">
        <w:t xml:space="preserve">charging protocols and standards </w:t>
      </w:r>
      <w:r w:rsidR="00AF4AEB">
        <w:t xml:space="preserve">enabling interoperability of charging systems and seamless, integrated </w:t>
      </w:r>
      <w:r w:rsidR="007C4FE9">
        <w:t xml:space="preserve">EV </w:t>
      </w:r>
      <w:r w:rsidR="00AF4AEB">
        <w:t>charging solutions across borders.</w:t>
      </w:r>
    </w:p>
    <w:p w14:paraId="16783A1F" w14:textId="0160F853" w:rsidR="008F4D9C" w:rsidRPr="00A31D85" w:rsidRDefault="7B4ED82F" w:rsidP="00C85FB3">
      <w:pPr>
        <w:pStyle w:val="SingleTxtG"/>
        <w:ind w:firstLine="567"/>
        <w:rPr>
          <w:lang w:val="en-US"/>
        </w:rPr>
      </w:pPr>
      <w:r>
        <w:t>(</w:t>
      </w:r>
      <w:r w:rsidR="000F2113">
        <w:t>g</w:t>
      </w:r>
      <w:r>
        <w:t>)</w:t>
      </w:r>
      <w:r w:rsidR="00FA52C6">
        <w:tab/>
      </w:r>
      <w:r w:rsidR="00940ECC">
        <w:t>E</w:t>
      </w:r>
      <w:r>
        <w:t xml:space="preserve">stablish a database of </w:t>
      </w:r>
      <w:r w:rsidR="001718C7">
        <w:t>good practices</w:t>
      </w:r>
      <w:r w:rsidR="00BA3ABF">
        <w:t xml:space="preserve"> </w:t>
      </w:r>
      <w:r w:rsidR="5AD2B4D8">
        <w:t xml:space="preserve">covering examples </w:t>
      </w:r>
      <w:r>
        <w:t>from within and outside the ECE region</w:t>
      </w:r>
      <w:r w:rsidR="5CDF7936">
        <w:t>.</w:t>
      </w:r>
      <w:r w:rsidR="00C85FB3" w:rsidRPr="00A31D85">
        <w:rPr>
          <w:lang w:val="en-US"/>
        </w:rPr>
        <w:t xml:space="preserve"> </w:t>
      </w:r>
    </w:p>
    <w:p w14:paraId="1D5A7455" w14:textId="6B06D027" w:rsidR="008F4D9C" w:rsidRDefault="008F4D9C" w:rsidP="00512F90">
      <w:pPr>
        <w:pStyle w:val="SingleTxtG"/>
        <w:ind w:firstLine="567"/>
      </w:pPr>
      <w:r w:rsidRPr="00591A0B">
        <w:t>(</w:t>
      </w:r>
      <w:r w:rsidR="000F2113">
        <w:t>h</w:t>
      </w:r>
      <w:r w:rsidRPr="00591A0B">
        <w:t>)</w:t>
      </w:r>
      <w:r w:rsidRPr="00591A0B">
        <w:tab/>
      </w:r>
      <w:r w:rsidR="009C6650" w:rsidRPr="00591A0B">
        <w:t>With regard to item (</w:t>
      </w:r>
      <w:r w:rsidR="000F2113">
        <w:t>g</w:t>
      </w:r>
      <w:r w:rsidR="008E2181">
        <w:t xml:space="preserve">) </w:t>
      </w:r>
      <w:r w:rsidR="009C6650" w:rsidRPr="00591A0B">
        <w:t>above</w:t>
      </w:r>
      <w:r w:rsidR="00E6697C">
        <w:t>:</w:t>
      </w:r>
      <w:r w:rsidR="009C6650" w:rsidRPr="00591A0B">
        <w:t xml:space="preserve"> a</w:t>
      </w:r>
      <w:r w:rsidRPr="00591A0B">
        <w:t>nalyse the</w:t>
      </w:r>
      <w:r w:rsidR="008E2181">
        <w:t xml:space="preserve"> innovative </w:t>
      </w:r>
      <w:r w:rsidR="00EE0C68">
        <w:t>practices</w:t>
      </w:r>
      <w:r w:rsidR="00EE0C68" w:rsidRPr="00591A0B">
        <w:t xml:space="preserve"> established</w:t>
      </w:r>
      <w:r w:rsidRPr="00591A0B">
        <w:t xml:space="preserve"> </w:t>
      </w:r>
      <w:r w:rsidR="00591A0B" w:rsidRPr="00591A0B">
        <w:t>in relation to smart</w:t>
      </w:r>
      <w:r w:rsidR="008E2181">
        <w:t xml:space="preserve"> </w:t>
      </w:r>
      <w:r w:rsidR="00591A0B" w:rsidRPr="00591A0B">
        <w:t>charging</w:t>
      </w:r>
      <w:r w:rsidR="001B3502">
        <w:t xml:space="preserve"> solutions and EV</w:t>
      </w:r>
      <w:r w:rsidR="00591A0B" w:rsidRPr="00591A0B">
        <w:t xml:space="preserve"> infrastructure</w:t>
      </w:r>
      <w:r w:rsidRPr="00591A0B">
        <w:t xml:space="preserve"> planning and operational processes and elaborate </w:t>
      </w:r>
      <w:r w:rsidR="00204AD5">
        <w:t>a quick guide</w:t>
      </w:r>
      <w:r w:rsidRPr="00591A0B">
        <w:t xml:space="preserve"> </w:t>
      </w:r>
      <w:r w:rsidR="00EE0C68">
        <w:t xml:space="preserve">for use </w:t>
      </w:r>
      <w:r w:rsidR="00C6742C">
        <w:t>by countries wishing to make progress in this field.</w:t>
      </w:r>
    </w:p>
    <w:p w14:paraId="5BD5343F" w14:textId="07863994" w:rsidR="00C85FB3" w:rsidRPr="00A31D85" w:rsidRDefault="00C85FB3" w:rsidP="00C85FB3">
      <w:pPr>
        <w:pStyle w:val="SingleTxtG"/>
        <w:ind w:firstLine="567"/>
        <w:rPr>
          <w:lang w:val="en-US"/>
        </w:rPr>
      </w:pPr>
      <w:r w:rsidRPr="00C85FB3">
        <w:t>(</w:t>
      </w:r>
      <w:r w:rsidR="000F2113">
        <w:t>i</w:t>
      </w:r>
      <w:r w:rsidRPr="00C85FB3">
        <w:t>)</w:t>
      </w:r>
      <w:r w:rsidRPr="00C85FB3">
        <w:tab/>
        <w:t>With regard to item (</w:t>
      </w:r>
      <w:r w:rsidR="000F2113">
        <w:t>h</w:t>
      </w:r>
      <w:r w:rsidRPr="00C85FB3">
        <w:t>) above: further explore the concept of location efficiency and accessibility as these play a central role in optimising infrastructure planning and reducing the mobility needs, thus also linking buildings, industry, transport, and infrastructure through land use.</w:t>
      </w:r>
      <w:r w:rsidR="000F2113">
        <w:rPr>
          <w:rStyle w:val="FootnoteReference"/>
        </w:rPr>
        <w:footnoteReference w:id="6"/>
      </w:r>
      <w:r w:rsidRPr="00A31D85">
        <w:rPr>
          <w:lang w:val="en-US"/>
        </w:rPr>
        <w:t xml:space="preserve"> </w:t>
      </w:r>
    </w:p>
    <w:p w14:paraId="72FFDB2B" w14:textId="6C228A8A" w:rsidR="003479ED" w:rsidRPr="00E46693" w:rsidRDefault="008F4D9C" w:rsidP="00E46693">
      <w:pPr>
        <w:pStyle w:val="SingleTxtG"/>
        <w:ind w:firstLine="567"/>
        <w:rPr>
          <w:highlight w:val="yellow"/>
        </w:rPr>
      </w:pPr>
      <w:r>
        <w:t>(</w:t>
      </w:r>
      <w:r w:rsidR="00A61056">
        <w:t>j</w:t>
      </w:r>
      <w:r>
        <w:t>)</w:t>
      </w:r>
      <w:r>
        <w:tab/>
        <w:t>Prepare a</w:t>
      </w:r>
      <w:r w:rsidR="63D42DF8">
        <w:t>n</w:t>
      </w:r>
      <w:r>
        <w:t xml:space="preserve"> </w:t>
      </w:r>
      <w:r w:rsidR="16C68CAA">
        <w:t>annual</w:t>
      </w:r>
      <w:r w:rsidR="00605E41">
        <w:t xml:space="preserve"> </w:t>
      </w:r>
      <w:r>
        <w:t xml:space="preserve">report on </w:t>
      </w:r>
      <w:r w:rsidR="00B63154">
        <w:t>its</w:t>
      </w:r>
      <w:r>
        <w:t xml:space="preserve"> achievements</w:t>
      </w:r>
      <w:r w:rsidR="3DD75699">
        <w:t xml:space="preserve"> and progress</w:t>
      </w:r>
      <w:r w:rsidR="00EE0C68">
        <w:t xml:space="preserve">, including a list of recommendations </w:t>
      </w:r>
      <w:r w:rsidR="00461BA1">
        <w:t>to</w:t>
      </w:r>
      <w:r w:rsidR="00EE0C68">
        <w:t xml:space="preserve"> Working Parties/ Groups of Experts under</w:t>
      </w:r>
      <w:r w:rsidR="00BA3ABF">
        <w:t xml:space="preserve"> ECE</w:t>
      </w:r>
      <w:r w:rsidR="00EE0C68">
        <w:t xml:space="preserve"> ITC</w:t>
      </w:r>
      <w:r w:rsidR="00BA3ABF">
        <w:t xml:space="preserve"> and ECE</w:t>
      </w:r>
      <w:r w:rsidR="00110BF1">
        <w:t xml:space="preserve"> </w:t>
      </w:r>
      <w:r w:rsidR="00BA3ABF">
        <w:t>CSE</w:t>
      </w:r>
      <w:r w:rsidR="0003510B">
        <w:t xml:space="preserve"> auspices</w:t>
      </w:r>
      <w:r>
        <w:t>.</w:t>
      </w:r>
    </w:p>
    <w:p w14:paraId="1B91126D" w14:textId="77777777" w:rsidR="008F4D9C" w:rsidRDefault="008F4D9C" w:rsidP="008F4D9C">
      <w:pPr>
        <w:pStyle w:val="H1G"/>
      </w:pPr>
      <w:r w:rsidRPr="003479ED">
        <w:rPr>
          <w:lang w:val="en-US"/>
        </w:rPr>
        <w:tab/>
      </w:r>
      <w:r>
        <w:t>B.</w:t>
      </w:r>
      <w:r>
        <w:tab/>
        <w:t xml:space="preserve">Methods of work </w:t>
      </w:r>
    </w:p>
    <w:p w14:paraId="277C9177" w14:textId="65D74D78" w:rsidR="008F4D9C" w:rsidRDefault="007468DC" w:rsidP="008F4D9C">
      <w:pPr>
        <w:pStyle w:val="SingleTxtG"/>
      </w:pPr>
      <w:r>
        <w:t>5</w:t>
      </w:r>
      <w:r w:rsidR="008F4D9C">
        <w:t>.</w:t>
      </w:r>
      <w:r w:rsidR="008F4D9C">
        <w:tab/>
        <w:t xml:space="preserve">The </w:t>
      </w:r>
      <w:r w:rsidR="00064D38">
        <w:t>informal task force</w:t>
      </w:r>
      <w:r w:rsidR="008F4D9C">
        <w:t xml:space="preserve"> will be established and function in accordance with the ECE Guidelines for teams of specialists approved by the Executive </w:t>
      </w:r>
      <w:r w:rsidR="008F4D9C" w:rsidRPr="007019A3">
        <w:t xml:space="preserve">Committee of ECE on </w:t>
      </w:r>
      <w:r w:rsidR="008F4D9C">
        <w:br/>
      </w:r>
      <w:r w:rsidR="008F4D9C" w:rsidRPr="007019A3">
        <w:t xml:space="preserve">31 March 2010 (ECE/EX/2/Rev.1). At its first meeting, the </w:t>
      </w:r>
      <w:r w:rsidR="00107379">
        <w:t>informal task force</w:t>
      </w:r>
      <w:r w:rsidR="008F4D9C" w:rsidRPr="007019A3">
        <w:t xml:space="preserve"> will </w:t>
      </w:r>
      <w:r w:rsidR="00605E41">
        <w:t>select a Chair an</w:t>
      </w:r>
      <w:r w:rsidR="00042EB5">
        <w:t xml:space="preserve">d </w:t>
      </w:r>
      <w:r w:rsidR="00605E41">
        <w:t xml:space="preserve">Vice-Chair and </w:t>
      </w:r>
      <w:r w:rsidR="008F4D9C" w:rsidRPr="007019A3">
        <w:t>adopt a work plan defining its specific activities, including a time schedule for each activ</w:t>
      </w:r>
      <w:r w:rsidR="008F4D9C">
        <w:t xml:space="preserve">ity. </w:t>
      </w:r>
    </w:p>
    <w:p w14:paraId="70E5445A" w14:textId="2B255296" w:rsidR="008F4D9C" w:rsidRDefault="007468DC" w:rsidP="008F4D9C">
      <w:pPr>
        <w:pStyle w:val="SingleTxtG"/>
      </w:pPr>
      <w:r>
        <w:t>6</w:t>
      </w:r>
      <w:r w:rsidR="008F4D9C">
        <w:t>.</w:t>
      </w:r>
      <w:r w:rsidR="008F4D9C">
        <w:tab/>
        <w:t xml:space="preserve">The </w:t>
      </w:r>
      <w:r w:rsidR="00D23EC6">
        <w:t xml:space="preserve">informal task force </w:t>
      </w:r>
      <w:r w:rsidR="008F4D9C">
        <w:t xml:space="preserve">is expected to meet at least once every six months. The meetings should be held </w:t>
      </w:r>
      <w:r w:rsidR="004022AC">
        <w:t xml:space="preserve">in online </w:t>
      </w:r>
      <w:r w:rsidR="00C63BCA">
        <w:t xml:space="preserve">or </w:t>
      </w:r>
      <w:r w:rsidR="00EB6AC1">
        <w:t xml:space="preserve">hybrid </w:t>
      </w:r>
      <w:r w:rsidR="004022AC">
        <w:t>format</w:t>
      </w:r>
      <w:r w:rsidR="00D74312">
        <w:t xml:space="preserve">. </w:t>
      </w:r>
      <w:r w:rsidR="00823136">
        <w:t xml:space="preserve">They can be held in a hybrid format outside of Geneva </w:t>
      </w:r>
      <w:r w:rsidR="00694D84">
        <w:t xml:space="preserve">when hosted </w:t>
      </w:r>
      <w:r w:rsidR="008F4D9C">
        <w:t>by countries or partner organi</w:t>
      </w:r>
      <w:r w:rsidR="00C85FB3">
        <w:t>z</w:t>
      </w:r>
      <w:r w:rsidR="008F4D9C">
        <w:t>ations</w:t>
      </w:r>
      <w:r w:rsidR="00346EC4">
        <w:t xml:space="preserve"> and subject to availability of funding for travel</w:t>
      </w:r>
      <w:r w:rsidR="008F4D9C">
        <w:t>.</w:t>
      </w:r>
    </w:p>
    <w:p w14:paraId="267C2925" w14:textId="6AC9EE28" w:rsidR="008F4D9C" w:rsidRDefault="007468DC" w:rsidP="008F4D9C">
      <w:pPr>
        <w:pStyle w:val="SingleTxtG"/>
      </w:pPr>
      <w:r>
        <w:t>7</w:t>
      </w:r>
      <w:r w:rsidR="008F4D9C">
        <w:t>.</w:t>
      </w:r>
      <w:r w:rsidR="008F4D9C">
        <w:tab/>
        <w:t xml:space="preserve">The Chair </w:t>
      </w:r>
      <w:r w:rsidR="00D23EC6">
        <w:t>of the informal task force</w:t>
      </w:r>
      <w:r w:rsidR="008F4D9C">
        <w:t xml:space="preserve"> should report on the ongoing work at the annual session of the Working Party on Transport Trends and Economics</w:t>
      </w:r>
      <w:r w:rsidR="00042EB5">
        <w:t xml:space="preserve"> (WP.5)</w:t>
      </w:r>
      <w:r w:rsidR="008F4D9C">
        <w:t>, while the final report should be submitted to the session scheduled for September 202</w:t>
      </w:r>
      <w:r w:rsidR="0012445D">
        <w:t>6</w:t>
      </w:r>
      <w:r w:rsidR="008F4D9C">
        <w:t xml:space="preserve">. </w:t>
      </w:r>
    </w:p>
    <w:p w14:paraId="044336A7" w14:textId="431967FE" w:rsidR="008F4D9C" w:rsidRDefault="007468DC" w:rsidP="008F4D9C">
      <w:pPr>
        <w:pStyle w:val="SingleTxtG"/>
      </w:pPr>
      <w:r>
        <w:t>8</w:t>
      </w:r>
      <w:r w:rsidR="008F4D9C">
        <w:t>.</w:t>
      </w:r>
      <w:r w:rsidR="008F4D9C">
        <w:tab/>
      </w:r>
      <w:r w:rsidR="00BD42A8">
        <w:t>The</w:t>
      </w:r>
      <w:r w:rsidR="008F4D9C">
        <w:t xml:space="preserve"> meetings </w:t>
      </w:r>
      <w:r w:rsidR="00BD42A8">
        <w:t xml:space="preserve">will </w:t>
      </w:r>
      <w:r w:rsidR="008F4D9C">
        <w:t xml:space="preserve">be held, and </w:t>
      </w:r>
      <w:r w:rsidR="00654B7A">
        <w:t xml:space="preserve">all </w:t>
      </w:r>
      <w:r w:rsidR="008F4D9C">
        <w:t>document</w:t>
      </w:r>
      <w:r w:rsidR="00BD42A8">
        <w:t>s</w:t>
      </w:r>
      <w:r w:rsidR="008F4D9C">
        <w:t xml:space="preserve"> </w:t>
      </w:r>
      <w:r w:rsidR="00BD42A8">
        <w:t xml:space="preserve">will </w:t>
      </w:r>
      <w:r w:rsidR="008F4D9C">
        <w:t xml:space="preserve">be produced in English only.  </w:t>
      </w:r>
    </w:p>
    <w:p w14:paraId="21945FB7" w14:textId="34D697CB" w:rsidR="008F4D9C" w:rsidRDefault="007468DC" w:rsidP="008F4D9C">
      <w:pPr>
        <w:pStyle w:val="SingleTxtG"/>
      </w:pPr>
      <w:r>
        <w:lastRenderedPageBreak/>
        <w:t>9</w:t>
      </w:r>
      <w:r w:rsidR="008F4D9C">
        <w:t>.</w:t>
      </w:r>
      <w:r>
        <w:tab/>
      </w:r>
      <w:r w:rsidR="008F4D9C">
        <w:t xml:space="preserve">Participation in the </w:t>
      </w:r>
      <w:r w:rsidR="00BD42A8">
        <w:t>informal task force</w:t>
      </w:r>
      <w:r w:rsidR="008F4D9C">
        <w:t xml:space="preserve"> is open to all concerned United Nations member countries</w:t>
      </w:r>
      <w:r w:rsidR="012B80C7">
        <w:t>, regional economic integration organi</w:t>
      </w:r>
      <w:r w:rsidR="00C85FB3">
        <w:t>z</w:t>
      </w:r>
      <w:r w:rsidR="012B80C7">
        <w:t>ations (REIOs)</w:t>
      </w:r>
      <w:r w:rsidR="008F4D9C">
        <w:t xml:space="preserve"> and experts. </w:t>
      </w:r>
      <w:r w:rsidR="00DA471F">
        <w:t>Participation by Chair</w:t>
      </w:r>
      <w:r w:rsidR="00921973">
        <w:t>s</w:t>
      </w:r>
      <w:r w:rsidR="00DA471F">
        <w:t>/ Vice</w:t>
      </w:r>
      <w:r w:rsidR="00B73CF3">
        <w:t>-</w:t>
      </w:r>
      <w:r w:rsidR="00DA471F">
        <w:t xml:space="preserve">Chairs and national delegates </w:t>
      </w:r>
      <w:r w:rsidR="00AD0F01">
        <w:t xml:space="preserve">participating in </w:t>
      </w:r>
      <w:r w:rsidR="00DA471F">
        <w:t>existing working parties and groups of ex</w:t>
      </w:r>
      <w:r w:rsidR="00D24902">
        <w:t>perts</w:t>
      </w:r>
      <w:r w:rsidR="00DA471F">
        <w:t xml:space="preserve"> under </w:t>
      </w:r>
      <w:r w:rsidR="00D24902">
        <w:t xml:space="preserve">purview of ECE </w:t>
      </w:r>
      <w:r w:rsidR="00DA471F">
        <w:t xml:space="preserve">ITC </w:t>
      </w:r>
      <w:r w:rsidR="00BA3ABF">
        <w:t>and</w:t>
      </w:r>
      <w:r w:rsidR="00D24902">
        <w:t xml:space="preserve"> </w:t>
      </w:r>
      <w:r w:rsidR="000F33C7">
        <w:t xml:space="preserve">ECE </w:t>
      </w:r>
      <w:r w:rsidR="00BA3ABF">
        <w:t>CSE</w:t>
      </w:r>
      <w:r w:rsidR="000F33C7">
        <w:t xml:space="preserve"> is </w:t>
      </w:r>
      <w:r w:rsidR="00AD0F01">
        <w:t xml:space="preserve">strongly </w:t>
      </w:r>
      <w:r w:rsidR="000F33C7">
        <w:t>encouraged.</w:t>
      </w:r>
      <w:r w:rsidR="00D24902">
        <w:t xml:space="preserve"> </w:t>
      </w:r>
      <w:r w:rsidR="00DA471F">
        <w:t xml:space="preserve"> </w:t>
      </w:r>
      <w:r w:rsidR="00CB1250">
        <w:t>Interested</w:t>
      </w:r>
      <w:r w:rsidR="008F4D9C">
        <w:t xml:space="preserve"> intergovernmental and non-governmental organizations, a</w:t>
      </w:r>
      <w:r w:rsidR="004022AC">
        <w:t xml:space="preserve">s well as relevant scientific and private sector associations </w:t>
      </w:r>
      <w:r w:rsidR="008F4D9C">
        <w:t>are invited to participate and provide expert advice in compliance with United Nations rules and practices.</w:t>
      </w:r>
    </w:p>
    <w:p w14:paraId="5428A80D" w14:textId="77777777" w:rsidR="008F4D9C" w:rsidRDefault="008F4D9C" w:rsidP="008F4D9C">
      <w:pPr>
        <w:pStyle w:val="H1G"/>
      </w:pPr>
      <w:r>
        <w:tab/>
        <w:t>C.</w:t>
      </w:r>
      <w:r>
        <w:tab/>
        <w:t>Secretariat</w:t>
      </w:r>
    </w:p>
    <w:p w14:paraId="30E6C36C" w14:textId="2B5BF907" w:rsidR="00E5389A" w:rsidRDefault="008F4D9C" w:rsidP="00E5389A">
      <w:pPr>
        <w:pStyle w:val="SingleTxtG"/>
      </w:pPr>
      <w:r>
        <w:t>1</w:t>
      </w:r>
      <w:r w:rsidR="007468DC">
        <w:t>0</w:t>
      </w:r>
      <w:r>
        <w:t>.</w:t>
      </w:r>
      <w:r>
        <w:tab/>
        <w:t>ECE</w:t>
      </w:r>
      <w:r w:rsidR="006A61FD">
        <w:t>, with a lead from the Sustainable Transport Division,</w:t>
      </w:r>
      <w:r>
        <w:t xml:space="preserve"> will provide secretariat services to the </w:t>
      </w:r>
      <w:r w:rsidR="007A3299">
        <w:t>informal task force</w:t>
      </w:r>
      <w:r>
        <w:t xml:space="preserve"> and shall ensure close cooperation with all stakeholders, including the secretariats</w:t>
      </w:r>
      <w:r w:rsidR="384A1E1D">
        <w:t xml:space="preserve"> to</w:t>
      </w:r>
      <w:r w:rsidR="00110BF1">
        <w:t xml:space="preserve"> the United Nations Framework Convention on Climate Change (UNFCCC), </w:t>
      </w:r>
      <w:r>
        <w:t xml:space="preserve">the regional commissions of the United Nations, and other relevant </w:t>
      </w:r>
      <w:r w:rsidR="00110BF1">
        <w:t>i</w:t>
      </w:r>
      <w:r>
        <w:t>ntergovernmental and non-governmental organizations</w:t>
      </w:r>
      <w:r w:rsidR="00FC6346">
        <w:t xml:space="preserve"> and private sector associations</w:t>
      </w:r>
      <w:r>
        <w:t>.</w:t>
      </w:r>
    </w:p>
    <w:p w14:paraId="0A319322" w14:textId="1EB680E3" w:rsidR="00E5389A" w:rsidRDefault="00E5389A" w:rsidP="00E5389A">
      <w:pPr>
        <w:pStyle w:val="H1G"/>
      </w:pPr>
      <w:r>
        <w:tab/>
      </w:r>
      <w:r w:rsidR="008F0720">
        <w:t>D</w:t>
      </w:r>
      <w:r>
        <w:t>.</w:t>
      </w:r>
      <w:r>
        <w:tab/>
        <w:t>Guidance by the Committee</w:t>
      </w:r>
    </w:p>
    <w:p w14:paraId="020162A2" w14:textId="515BA3A4" w:rsidR="00E5389A" w:rsidRDefault="00E5389A" w:rsidP="0067055E">
      <w:pPr>
        <w:pStyle w:val="SingleTxtG"/>
      </w:pPr>
      <w:r>
        <w:t>11.</w:t>
      </w:r>
      <w:r>
        <w:tab/>
        <w:t>The Committee is invited to</w:t>
      </w:r>
      <w:r w:rsidR="002964C7">
        <w:t xml:space="preserve"> positively</w:t>
      </w:r>
      <w:r>
        <w:t xml:space="preserve"> consider the proposed</w:t>
      </w:r>
      <w:r w:rsidR="008F0720">
        <w:t xml:space="preserve"> draft</w:t>
      </w:r>
      <w:r>
        <w:t xml:space="preserve"> Terms of Reference and provide guidance on </w:t>
      </w:r>
      <w:r w:rsidR="008F0720">
        <w:t xml:space="preserve">any additional tasks that it may wish to see included enabling </w:t>
      </w:r>
      <w:r w:rsidR="00110BF1">
        <w:t xml:space="preserve">the WP.5 Chair to </w:t>
      </w:r>
      <w:r w:rsidR="00921973">
        <w:t>start</w:t>
      </w:r>
      <w:r w:rsidR="00110BF1">
        <w:t>,</w:t>
      </w:r>
      <w:r w:rsidR="008F0720">
        <w:t xml:space="preserve"> </w:t>
      </w:r>
      <w:r w:rsidR="00110BF1">
        <w:t xml:space="preserve">in the first half of 2024, </w:t>
      </w:r>
      <w:r w:rsidR="008F0720">
        <w:t>the work of this informal task force</w:t>
      </w:r>
      <w:r w:rsidR="00110BF1">
        <w:t>.</w:t>
      </w:r>
    </w:p>
    <w:p w14:paraId="38660C7D" w14:textId="5721A5BC" w:rsidR="00172AE5" w:rsidRPr="00E5389A" w:rsidRDefault="008F4D9C" w:rsidP="00D2036A">
      <w:pPr>
        <w:spacing w:before="240"/>
        <w:jc w:val="center"/>
        <w:rPr>
          <w:u w:val="single"/>
          <w:lang w:val="en-US"/>
        </w:rPr>
      </w:pPr>
      <w:r>
        <w:rPr>
          <w:u w:val="single"/>
        </w:rPr>
        <w:tab/>
      </w:r>
      <w:r>
        <w:rPr>
          <w:u w:val="single"/>
        </w:rPr>
        <w:tab/>
      </w:r>
      <w:r>
        <w:rPr>
          <w:u w:val="single"/>
        </w:rPr>
        <w:tab/>
      </w:r>
    </w:p>
    <w:sectPr w:rsidR="00172AE5" w:rsidRPr="00E5389A" w:rsidSect="008F4D9C">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2EA9A" w14:textId="77777777" w:rsidR="006D3057" w:rsidRDefault="006D3057"/>
  </w:endnote>
  <w:endnote w:type="continuationSeparator" w:id="0">
    <w:p w14:paraId="54BBDE97" w14:textId="77777777" w:rsidR="006D3057" w:rsidRDefault="006D3057"/>
  </w:endnote>
  <w:endnote w:type="continuationNotice" w:id="1">
    <w:p w14:paraId="1976C85A" w14:textId="77777777" w:rsidR="006D3057" w:rsidRDefault="006D30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1546" w14:textId="77777777" w:rsidR="008F4D9C" w:rsidRPr="008F4D9C" w:rsidRDefault="008F4D9C" w:rsidP="008F4D9C">
    <w:pPr>
      <w:pStyle w:val="Footer"/>
      <w:tabs>
        <w:tab w:val="right" w:pos="9638"/>
      </w:tabs>
      <w:rPr>
        <w:sz w:val="18"/>
      </w:rPr>
    </w:pPr>
    <w:r w:rsidRPr="008F4D9C">
      <w:rPr>
        <w:b/>
        <w:sz w:val="18"/>
      </w:rPr>
      <w:fldChar w:fldCharType="begin"/>
    </w:r>
    <w:r w:rsidRPr="008F4D9C">
      <w:rPr>
        <w:b/>
        <w:sz w:val="18"/>
      </w:rPr>
      <w:instrText xml:space="preserve"> PAGE  \* MERGEFORMAT </w:instrText>
    </w:r>
    <w:r w:rsidRPr="008F4D9C">
      <w:rPr>
        <w:b/>
        <w:sz w:val="18"/>
      </w:rPr>
      <w:fldChar w:fldCharType="separate"/>
    </w:r>
    <w:r w:rsidRPr="008F4D9C">
      <w:rPr>
        <w:b/>
        <w:noProof/>
        <w:sz w:val="18"/>
      </w:rPr>
      <w:t>2</w:t>
    </w:r>
    <w:r w:rsidRPr="008F4D9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AEB5" w14:textId="77777777" w:rsidR="008F4D9C" w:rsidRPr="008F4D9C" w:rsidRDefault="008F4D9C" w:rsidP="008F4D9C">
    <w:pPr>
      <w:pStyle w:val="Footer"/>
      <w:tabs>
        <w:tab w:val="right" w:pos="9638"/>
      </w:tabs>
      <w:rPr>
        <w:b/>
        <w:sz w:val="18"/>
      </w:rPr>
    </w:pPr>
    <w:r>
      <w:tab/>
    </w:r>
    <w:r w:rsidRPr="008F4D9C">
      <w:rPr>
        <w:b/>
        <w:sz w:val="18"/>
      </w:rPr>
      <w:fldChar w:fldCharType="begin"/>
    </w:r>
    <w:r w:rsidRPr="008F4D9C">
      <w:rPr>
        <w:b/>
        <w:sz w:val="18"/>
      </w:rPr>
      <w:instrText xml:space="preserve"> PAGE  \* MERGEFORMAT </w:instrText>
    </w:r>
    <w:r w:rsidRPr="008F4D9C">
      <w:rPr>
        <w:b/>
        <w:sz w:val="18"/>
      </w:rPr>
      <w:fldChar w:fldCharType="separate"/>
    </w:r>
    <w:r w:rsidRPr="008F4D9C">
      <w:rPr>
        <w:b/>
        <w:noProof/>
        <w:sz w:val="18"/>
      </w:rPr>
      <w:t>3</w:t>
    </w:r>
    <w:r w:rsidRPr="008F4D9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70F9C" w14:textId="77777777" w:rsidR="006D3057" w:rsidRPr="000B175B" w:rsidRDefault="006D3057" w:rsidP="000B175B">
      <w:pPr>
        <w:tabs>
          <w:tab w:val="right" w:pos="2155"/>
        </w:tabs>
        <w:spacing w:after="80"/>
        <w:ind w:left="680"/>
        <w:rPr>
          <w:u w:val="single"/>
        </w:rPr>
      </w:pPr>
      <w:r>
        <w:rPr>
          <w:u w:val="single"/>
        </w:rPr>
        <w:tab/>
      </w:r>
    </w:p>
  </w:footnote>
  <w:footnote w:type="continuationSeparator" w:id="0">
    <w:p w14:paraId="27894812" w14:textId="77777777" w:rsidR="006D3057" w:rsidRPr="00FC68B7" w:rsidRDefault="006D3057" w:rsidP="00FC68B7">
      <w:pPr>
        <w:tabs>
          <w:tab w:val="left" w:pos="2155"/>
        </w:tabs>
        <w:spacing w:after="80"/>
        <w:ind w:left="680"/>
        <w:rPr>
          <w:u w:val="single"/>
        </w:rPr>
      </w:pPr>
      <w:r>
        <w:rPr>
          <w:u w:val="single"/>
        </w:rPr>
        <w:tab/>
      </w:r>
    </w:p>
  </w:footnote>
  <w:footnote w:type="continuationNotice" w:id="1">
    <w:p w14:paraId="56397B6F" w14:textId="77777777" w:rsidR="006D3057" w:rsidRDefault="006D3057"/>
  </w:footnote>
  <w:footnote w:id="2">
    <w:p w14:paraId="6A74F274" w14:textId="77777777" w:rsidR="001E7E30" w:rsidRPr="004B2632" w:rsidRDefault="001E7E30" w:rsidP="001E7E30">
      <w:pPr>
        <w:pStyle w:val="FootnoteText"/>
        <w:rPr>
          <w:szCs w:val="18"/>
          <w:lang w:val="en-US"/>
        </w:rPr>
      </w:pPr>
      <w:r>
        <w:rPr>
          <w:rStyle w:val="FootnoteReference"/>
        </w:rPr>
        <w:tab/>
      </w:r>
      <w:r w:rsidRPr="001B6511">
        <w:rPr>
          <w:rStyle w:val="FootnoteReference"/>
          <w:sz w:val="20"/>
          <w:vertAlign w:val="baseline"/>
        </w:rPr>
        <w:t>*</w:t>
      </w:r>
      <w:r>
        <w:rPr>
          <w:rStyle w:val="FootnoteReference"/>
          <w:sz w:val="20"/>
          <w:vertAlign w:val="baseline"/>
        </w:rPr>
        <w:tab/>
      </w:r>
      <w:r w:rsidRPr="004B2632">
        <w:rPr>
          <w:szCs w:val="18"/>
        </w:rPr>
        <w:t>This document was scheduled for publication after the standard publication date owing to circumstances beyond the submitter's control.</w:t>
      </w:r>
    </w:p>
  </w:footnote>
  <w:footnote w:id="3">
    <w:p w14:paraId="5732DDEE" w14:textId="39F2988F" w:rsidR="00134521" w:rsidRPr="00134521" w:rsidRDefault="00134521" w:rsidP="00134521">
      <w:pPr>
        <w:pStyle w:val="FootnoteText"/>
        <w:widowControl w:val="0"/>
        <w:tabs>
          <w:tab w:val="clear" w:pos="1021"/>
          <w:tab w:val="right" w:pos="1020"/>
        </w:tabs>
        <w:rPr>
          <w:lang w:val="en-US"/>
        </w:rPr>
      </w:pPr>
      <w:r>
        <w:tab/>
      </w:r>
      <w:r>
        <w:rPr>
          <w:rStyle w:val="FootnoteReference"/>
        </w:rPr>
        <w:footnoteRef/>
      </w:r>
      <w:r>
        <w:tab/>
      </w:r>
      <w:r>
        <w:t>ECE/ENERGY/GE.6/2023/2, paras. 20 and 28.</w:t>
      </w:r>
      <w:r>
        <w:t xml:space="preserve"> </w:t>
      </w:r>
    </w:p>
  </w:footnote>
  <w:footnote w:id="4">
    <w:p w14:paraId="01EFE76C" w14:textId="2F55DEF1" w:rsidR="00921973" w:rsidRPr="00A03AE3" w:rsidRDefault="00921973" w:rsidP="00921973">
      <w:pPr>
        <w:pStyle w:val="FootnoteText"/>
        <w:rPr>
          <w:lang w:val="en-US"/>
        </w:rPr>
      </w:pPr>
      <w:r>
        <w:tab/>
      </w:r>
      <w:r>
        <w:rPr>
          <w:rStyle w:val="FootnoteReference"/>
        </w:rPr>
        <w:footnoteRef/>
      </w:r>
      <w:r>
        <w:t xml:space="preserve"> </w:t>
      </w:r>
      <w:r w:rsidR="004C35DC">
        <w:tab/>
      </w:r>
      <w:r w:rsidRPr="00A03AE3">
        <w:rPr>
          <w:lang w:val="en-US"/>
        </w:rPr>
        <w:t>Working Party</w:t>
      </w:r>
      <w:r>
        <w:rPr>
          <w:lang w:val="en-US"/>
        </w:rPr>
        <w:t xml:space="preserve"> on Road Transport (SC.1); Working Party on Inland Water Transport (WP.3/SC.3); Working Party</w:t>
      </w:r>
      <w:r w:rsidRPr="00A03AE3">
        <w:rPr>
          <w:lang w:val="en-US"/>
        </w:rPr>
        <w:t xml:space="preserve"> on Transport Trends a</w:t>
      </w:r>
      <w:r>
        <w:rPr>
          <w:lang w:val="en-US"/>
        </w:rPr>
        <w:t xml:space="preserve">nd Economics (WP.5); Working Party on Transport Statistics (WP.6); Working Party on Intermodal Transport and Logistics (WP.24); World Forum for Harmonization of Vehicle Regulations (WP.29) </w:t>
      </w:r>
      <w:r w:rsidR="002C5B3A">
        <w:rPr>
          <w:lang w:val="en-US"/>
        </w:rPr>
        <w:t>and</w:t>
      </w:r>
      <w:r>
        <w:rPr>
          <w:lang w:val="en-US"/>
        </w:rPr>
        <w:t xml:space="preserve"> its relevant subsidiary bodies.</w:t>
      </w:r>
    </w:p>
  </w:footnote>
  <w:footnote w:id="5">
    <w:p w14:paraId="6B8DC9D0" w14:textId="3612AB11" w:rsidR="00921973" w:rsidRPr="00C0153A" w:rsidRDefault="00921973" w:rsidP="00921973">
      <w:pPr>
        <w:pStyle w:val="FootnoteText"/>
        <w:rPr>
          <w:lang w:val="en-US"/>
        </w:rPr>
      </w:pPr>
      <w:r>
        <w:tab/>
      </w:r>
      <w:r>
        <w:rPr>
          <w:rStyle w:val="FootnoteReference"/>
        </w:rPr>
        <w:footnoteRef/>
      </w:r>
      <w:r>
        <w:t xml:space="preserve"> </w:t>
      </w:r>
      <w:r w:rsidR="004C35DC">
        <w:tab/>
      </w:r>
      <w:r w:rsidRPr="00A31D85">
        <w:t>Committee on Sustainable Energy (CSE) and its relevant subsidiary bodies, notably the Group of Experts on Energy Efficiency (GEEE)</w:t>
      </w:r>
      <w:r>
        <w:t xml:space="preserve"> and the </w:t>
      </w:r>
      <w:r w:rsidRPr="00A31D85">
        <w:t>Group of Experts on Cleaner Electricity Systems (GECES).</w:t>
      </w:r>
    </w:p>
  </w:footnote>
  <w:footnote w:id="6">
    <w:p w14:paraId="435B8FF3" w14:textId="71948A53" w:rsidR="000F2113" w:rsidRPr="000F2113" w:rsidRDefault="000F2113" w:rsidP="000F2113">
      <w:pPr>
        <w:pStyle w:val="FootnoteText"/>
        <w:widowControl w:val="0"/>
        <w:tabs>
          <w:tab w:val="clear" w:pos="1021"/>
          <w:tab w:val="right" w:pos="1020"/>
        </w:tabs>
        <w:rPr>
          <w:lang w:val="en-US"/>
        </w:rPr>
      </w:pPr>
      <w:r>
        <w:tab/>
      </w:r>
      <w:r>
        <w:rPr>
          <w:rStyle w:val="FootnoteReference"/>
        </w:rPr>
        <w:footnoteRef/>
      </w:r>
      <w:r>
        <w:tab/>
      </w:r>
      <w:r w:rsidRPr="005375DA">
        <w:rPr>
          <w:lang w:val="es-ES"/>
        </w:rPr>
        <w:t>ECE/ENERGY/GE.6/2023/2, para</w:t>
      </w:r>
      <w:r w:rsidRPr="005375DA">
        <w:rPr>
          <w:lang w:val="es-ES"/>
        </w:rPr>
        <w:t>.</w:t>
      </w:r>
      <w:r w:rsidRPr="005375DA">
        <w:rPr>
          <w:lang w:val="es-ES"/>
        </w:rPr>
        <w:t xml:space="preserve"> 28</w:t>
      </w:r>
      <w:r w:rsidRPr="005375DA">
        <w:rPr>
          <w:lang w:val="es-ES"/>
        </w:rPr>
        <w:t xml:space="preserve"> (</w:t>
      </w:r>
      <w:r w:rsidRPr="005375DA">
        <w:rPr>
          <w:lang w:val="es-ES"/>
        </w:rPr>
        <w:t>e</w:t>
      </w:r>
      <w:r w:rsidRPr="005375DA">
        <w:rPr>
          <w:lang w:val="es-ES"/>
        </w:rPr>
        <w:t>)</w:t>
      </w:r>
      <w:r w:rsidR="00B71CE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202C" w14:textId="2444789B" w:rsidR="008F4D9C" w:rsidRPr="00107379" w:rsidRDefault="00107379">
    <w:pPr>
      <w:pStyle w:val="Header"/>
      <w:rPr>
        <w:lang w:val="fr-CH"/>
      </w:rPr>
    </w:pPr>
    <w:r>
      <w:rPr>
        <w:lang w:val="fr-CH"/>
      </w:rPr>
      <w:t>ECE/TRANS/2024/21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8375" w14:textId="223AFBA7" w:rsidR="008F4D9C" w:rsidRPr="00107379" w:rsidRDefault="00107379" w:rsidP="008F4D9C">
    <w:pPr>
      <w:pStyle w:val="Header"/>
      <w:jc w:val="right"/>
      <w:rPr>
        <w:lang w:val="fr-CH"/>
      </w:rPr>
    </w:pPr>
    <w:r>
      <w:rPr>
        <w:lang w:val="fr-CH"/>
      </w:rPr>
      <w:t>ECE/TRANS/2024/21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322EAB"/>
    <w:multiLevelType w:val="hybridMultilevel"/>
    <w:tmpl w:val="2E0AA9EE"/>
    <w:lvl w:ilvl="0" w:tplc="100C000F">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16724A5"/>
    <w:multiLevelType w:val="multilevel"/>
    <w:tmpl w:val="EFC4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155611589">
    <w:abstractNumId w:val="1"/>
  </w:num>
  <w:num w:numId="2" w16cid:durableId="635646530">
    <w:abstractNumId w:val="0"/>
  </w:num>
  <w:num w:numId="3" w16cid:durableId="381369304">
    <w:abstractNumId w:val="2"/>
  </w:num>
  <w:num w:numId="4" w16cid:durableId="186993130">
    <w:abstractNumId w:val="3"/>
  </w:num>
  <w:num w:numId="5" w16cid:durableId="1414352491">
    <w:abstractNumId w:val="8"/>
  </w:num>
  <w:num w:numId="6" w16cid:durableId="1869949406">
    <w:abstractNumId w:val="9"/>
  </w:num>
  <w:num w:numId="7" w16cid:durableId="536506338">
    <w:abstractNumId w:val="7"/>
  </w:num>
  <w:num w:numId="8" w16cid:durableId="1435978386">
    <w:abstractNumId w:val="6"/>
  </w:num>
  <w:num w:numId="9" w16cid:durableId="47074648">
    <w:abstractNumId w:val="5"/>
  </w:num>
  <w:num w:numId="10" w16cid:durableId="1390227244">
    <w:abstractNumId w:val="4"/>
  </w:num>
  <w:num w:numId="11" w16cid:durableId="636029877">
    <w:abstractNumId w:val="16"/>
  </w:num>
  <w:num w:numId="12" w16cid:durableId="1393892384">
    <w:abstractNumId w:val="15"/>
  </w:num>
  <w:num w:numId="13" w16cid:durableId="1516843367">
    <w:abstractNumId w:val="10"/>
  </w:num>
  <w:num w:numId="14" w16cid:durableId="2007708799">
    <w:abstractNumId w:val="13"/>
  </w:num>
  <w:num w:numId="15" w16cid:durableId="1081834350">
    <w:abstractNumId w:val="17"/>
  </w:num>
  <w:num w:numId="16" w16cid:durableId="528378049">
    <w:abstractNumId w:val="14"/>
  </w:num>
  <w:num w:numId="17" w16cid:durableId="929698057">
    <w:abstractNumId w:val="19"/>
  </w:num>
  <w:num w:numId="18" w16cid:durableId="1858273777">
    <w:abstractNumId w:val="20"/>
  </w:num>
  <w:num w:numId="19" w16cid:durableId="1461147728">
    <w:abstractNumId w:val="11"/>
  </w:num>
  <w:num w:numId="20" w16cid:durableId="1174414280">
    <w:abstractNumId w:val="11"/>
  </w:num>
  <w:num w:numId="21" w16cid:durableId="1342047657">
    <w:abstractNumId w:val="12"/>
  </w:num>
  <w:num w:numId="22" w16cid:durableId="165375211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9C"/>
    <w:rsid w:val="00002A7D"/>
    <w:rsid w:val="000038A8"/>
    <w:rsid w:val="00006790"/>
    <w:rsid w:val="00015DA6"/>
    <w:rsid w:val="00027624"/>
    <w:rsid w:val="0003510B"/>
    <w:rsid w:val="00042EB5"/>
    <w:rsid w:val="00042F42"/>
    <w:rsid w:val="00047C8D"/>
    <w:rsid w:val="00050618"/>
    <w:rsid w:val="0005070D"/>
    <w:rsid w:val="00050F6B"/>
    <w:rsid w:val="00064D38"/>
    <w:rsid w:val="00065995"/>
    <w:rsid w:val="000678CD"/>
    <w:rsid w:val="00072C8C"/>
    <w:rsid w:val="00081CE0"/>
    <w:rsid w:val="00084B1C"/>
    <w:rsid w:val="00084D30"/>
    <w:rsid w:val="00090320"/>
    <w:rsid w:val="000931C0"/>
    <w:rsid w:val="0009732C"/>
    <w:rsid w:val="000A01F9"/>
    <w:rsid w:val="000A2E09"/>
    <w:rsid w:val="000B0B1D"/>
    <w:rsid w:val="000B175B"/>
    <w:rsid w:val="000B35AF"/>
    <w:rsid w:val="000B3A0F"/>
    <w:rsid w:val="000C302B"/>
    <w:rsid w:val="000C3D7E"/>
    <w:rsid w:val="000D42F0"/>
    <w:rsid w:val="000E0415"/>
    <w:rsid w:val="000F2113"/>
    <w:rsid w:val="000F33C7"/>
    <w:rsid w:val="000F6BB1"/>
    <w:rsid w:val="000F7715"/>
    <w:rsid w:val="00107379"/>
    <w:rsid w:val="0010783A"/>
    <w:rsid w:val="00110BF1"/>
    <w:rsid w:val="00116055"/>
    <w:rsid w:val="001170C9"/>
    <w:rsid w:val="00122D43"/>
    <w:rsid w:val="0012445D"/>
    <w:rsid w:val="00124AC5"/>
    <w:rsid w:val="00127749"/>
    <w:rsid w:val="0013106B"/>
    <w:rsid w:val="00133507"/>
    <w:rsid w:val="00133596"/>
    <w:rsid w:val="00133D2D"/>
    <w:rsid w:val="00134521"/>
    <w:rsid w:val="0014069B"/>
    <w:rsid w:val="00141E67"/>
    <w:rsid w:val="00156B99"/>
    <w:rsid w:val="00166124"/>
    <w:rsid w:val="0017123C"/>
    <w:rsid w:val="001718C7"/>
    <w:rsid w:val="00172AE5"/>
    <w:rsid w:val="00184DDA"/>
    <w:rsid w:val="001900CD"/>
    <w:rsid w:val="00191554"/>
    <w:rsid w:val="001A0452"/>
    <w:rsid w:val="001B3502"/>
    <w:rsid w:val="001B4B04"/>
    <w:rsid w:val="001B5875"/>
    <w:rsid w:val="001C1B24"/>
    <w:rsid w:val="001C4B9C"/>
    <w:rsid w:val="001C6663"/>
    <w:rsid w:val="001C7895"/>
    <w:rsid w:val="001D0037"/>
    <w:rsid w:val="001D26DF"/>
    <w:rsid w:val="001D3BF1"/>
    <w:rsid w:val="001E2E9C"/>
    <w:rsid w:val="001E7E30"/>
    <w:rsid w:val="001F1599"/>
    <w:rsid w:val="001F19C4"/>
    <w:rsid w:val="001F7035"/>
    <w:rsid w:val="002043F0"/>
    <w:rsid w:val="00204AD5"/>
    <w:rsid w:val="00211E0B"/>
    <w:rsid w:val="0021482B"/>
    <w:rsid w:val="00222142"/>
    <w:rsid w:val="00224D41"/>
    <w:rsid w:val="00231872"/>
    <w:rsid w:val="00232575"/>
    <w:rsid w:val="00242C79"/>
    <w:rsid w:val="00246624"/>
    <w:rsid w:val="00247258"/>
    <w:rsid w:val="0024765B"/>
    <w:rsid w:val="00251334"/>
    <w:rsid w:val="00253E27"/>
    <w:rsid w:val="00257CAC"/>
    <w:rsid w:val="00260DEA"/>
    <w:rsid w:val="00264441"/>
    <w:rsid w:val="0027237A"/>
    <w:rsid w:val="00280514"/>
    <w:rsid w:val="0029123D"/>
    <w:rsid w:val="00293D85"/>
    <w:rsid w:val="002964C7"/>
    <w:rsid w:val="002974E9"/>
    <w:rsid w:val="002A7F94"/>
    <w:rsid w:val="002B109A"/>
    <w:rsid w:val="002B4372"/>
    <w:rsid w:val="002B456C"/>
    <w:rsid w:val="002C305A"/>
    <w:rsid w:val="002C5B3A"/>
    <w:rsid w:val="002C6D45"/>
    <w:rsid w:val="002D2B3A"/>
    <w:rsid w:val="002D4605"/>
    <w:rsid w:val="002D6E53"/>
    <w:rsid w:val="002E3ACF"/>
    <w:rsid w:val="002E4BBE"/>
    <w:rsid w:val="002E4F84"/>
    <w:rsid w:val="002F046D"/>
    <w:rsid w:val="002F3023"/>
    <w:rsid w:val="00301764"/>
    <w:rsid w:val="00301CE2"/>
    <w:rsid w:val="00301DC9"/>
    <w:rsid w:val="00304149"/>
    <w:rsid w:val="0031018E"/>
    <w:rsid w:val="00314444"/>
    <w:rsid w:val="003229D8"/>
    <w:rsid w:val="0032399C"/>
    <w:rsid w:val="00336C97"/>
    <w:rsid w:val="00337F88"/>
    <w:rsid w:val="00342432"/>
    <w:rsid w:val="00346EC4"/>
    <w:rsid w:val="003479ED"/>
    <w:rsid w:val="0035223F"/>
    <w:rsid w:val="00352D4B"/>
    <w:rsid w:val="0035612D"/>
    <w:rsid w:val="0035638C"/>
    <w:rsid w:val="00362846"/>
    <w:rsid w:val="00363777"/>
    <w:rsid w:val="00374C12"/>
    <w:rsid w:val="003759CD"/>
    <w:rsid w:val="0037712B"/>
    <w:rsid w:val="0038084F"/>
    <w:rsid w:val="003824E1"/>
    <w:rsid w:val="003915DF"/>
    <w:rsid w:val="003A46BB"/>
    <w:rsid w:val="003A4EC7"/>
    <w:rsid w:val="003A52C8"/>
    <w:rsid w:val="003A7295"/>
    <w:rsid w:val="003B1F60"/>
    <w:rsid w:val="003B3FB5"/>
    <w:rsid w:val="003C21D0"/>
    <w:rsid w:val="003C2CC4"/>
    <w:rsid w:val="003C6277"/>
    <w:rsid w:val="003D4B23"/>
    <w:rsid w:val="003E1E56"/>
    <w:rsid w:val="003E278A"/>
    <w:rsid w:val="003E49EB"/>
    <w:rsid w:val="003F5682"/>
    <w:rsid w:val="003F65AA"/>
    <w:rsid w:val="004022AC"/>
    <w:rsid w:val="004075EF"/>
    <w:rsid w:val="00413520"/>
    <w:rsid w:val="00417298"/>
    <w:rsid w:val="00425BCD"/>
    <w:rsid w:val="00426CAA"/>
    <w:rsid w:val="004325CB"/>
    <w:rsid w:val="00440A07"/>
    <w:rsid w:val="00447A77"/>
    <w:rsid w:val="004569D2"/>
    <w:rsid w:val="00461BA1"/>
    <w:rsid w:val="00462880"/>
    <w:rsid w:val="00462CBB"/>
    <w:rsid w:val="00476F24"/>
    <w:rsid w:val="004906C4"/>
    <w:rsid w:val="00491470"/>
    <w:rsid w:val="00495B12"/>
    <w:rsid w:val="004A1A0E"/>
    <w:rsid w:val="004A2602"/>
    <w:rsid w:val="004B5DE1"/>
    <w:rsid w:val="004C35DC"/>
    <w:rsid w:val="004C55B0"/>
    <w:rsid w:val="004D3069"/>
    <w:rsid w:val="004D44A6"/>
    <w:rsid w:val="004D7E45"/>
    <w:rsid w:val="004E6212"/>
    <w:rsid w:val="004E7DCA"/>
    <w:rsid w:val="004F3DF4"/>
    <w:rsid w:val="004F6BA0"/>
    <w:rsid w:val="00501712"/>
    <w:rsid w:val="00503BEA"/>
    <w:rsid w:val="00511870"/>
    <w:rsid w:val="00512F90"/>
    <w:rsid w:val="00522466"/>
    <w:rsid w:val="0052266F"/>
    <w:rsid w:val="0052442F"/>
    <w:rsid w:val="00533616"/>
    <w:rsid w:val="00533D2C"/>
    <w:rsid w:val="00533E8A"/>
    <w:rsid w:val="00535ABA"/>
    <w:rsid w:val="00536302"/>
    <w:rsid w:val="005375DA"/>
    <w:rsid w:val="0053768B"/>
    <w:rsid w:val="00540EBE"/>
    <w:rsid w:val="005420F2"/>
    <w:rsid w:val="0054285C"/>
    <w:rsid w:val="00547AAB"/>
    <w:rsid w:val="00562C30"/>
    <w:rsid w:val="005641CD"/>
    <w:rsid w:val="0057637A"/>
    <w:rsid w:val="00580D69"/>
    <w:rsid w:val="00584173"/>
    <w:rsid w:val="00591A0B"/>
    <w:rsid w:val="00592AF3"/>
    <w:rsid w:val="00595520"/>
    <w:rsid w:val="00596E8C"/>
    <w:rsid w:val="005A0587"/>
    <w:rsid w:val="005A1CD6"/>
    <w:rsid w:val="005A44B9"/>
    <w:rsid w:val="005A467C"/>
    <w:rsid w:val="005A57F2"/>
    <w:rsid w:val="005A7EEB"/>
    <w:rsid w:val="005B0491"/>
    <w:rsid w:val="005B1BA0"/>
    <w:rsid w:val="005B3DB3"/>
    <w:rsid w:val="005D15CA"/>
    <w:rsid w:val="005D7969"/>
    <w:rsid w:val="005E67A7"/>
    <w:rsid w:val="005F00F5"/>
    <w:rsid w:val="005F08DF"/>
    <w:rsid w:val="005F126E"/>
    <w:rsid w:val="005F3066"/>
    <w:rsid w:val="005F3E61"/>
    <w:rsid w:val="00604DDD"/>
    <w:rsid w:val="00605E41"/>
    <w:rsid w:val="006066D7"/>
    <w:rsid w:val="00607E6D"/>
    <w:rsid w:val="006110CA"/>
    <w:rsid w:val="006115CC"/>
    <w:rsid w:val="00611FC4"/>
    <w:rsid w:val="006176FB"/>
    <w:rsid w:val="0062249E"/>
    <w:rsid w:val="00625CCB"/>
    <w:rsid w:val="00630FCB"/>
    <w:rsid w:val="006314B7"/>
    <w:rsid w:val="006322F7"/>
    <w:rsid w:val="00640B26"/>
    <w:rsid w:val="00654B7A"/>
    <w:rsid w:val="0065766B"/>
    <w:rsid w:val="00667C6A"/>
    <w:rsid w:val="0067055E"/>
    <w:rsid w:val="00670EE0"/>
    <w:rsid w:val="00673F42"/>
    <w:rsid w:val="006770B2"/>
    <w:rsid w:val="00686A48"/>
    <w:rsid w:val="00692141"/>
    <w:rsid w:val="006940E1"/>
    <w:rsid w:val="00694D84"/>
    <w:rsid w:val="00696C87"/>
    <w:rsid w:val="006A3C72"/>
    <w:rsid w:val="006A61FD"/>
    <w:rsid w:val="006A7392"/>
    <w:rsid w:val="006A791C"/>
    <w:rsid w:val="006B03A1"/>
    <w:rsid w:val="006B399E"/>
    <w:rsid w:val="006B67D9"/>
    <w:rsid w:val="006C5535"/>
    <w:rsid w:val="006D0589"/>
    <w:rsid w:val="006D1889"/>
    <w:rsid w:val="006D3057"/>
    <w:rsid w:val="006D5D6B"/>
    <w:rsid w:val="006E4BD6"/>
    <w:rsid w:val="006E564B"/>
    <w:rsid w:val="006E7154"/>
    <w:rsid w:val="007003CD"/>
    <w:rsid w:val="0070701E"/>
    <w:rsid w:val="00707A0B"/>
    <w:rsid w:val="00713623"/>
    <w:rsid w:val="00725A73"/>
    <w:rsid w:val="0072632A"/>
    <w:rsid w:val="00730416"/>
    <w:rsid w:val="007358E8"/>
    <w:rsid w:val="00736ECE"/>
    <w:rsid w:val="0074533B"/>
    <w:rsid w:val="007468DC"/>
    <w:rsid w:val="00760AC6"/>
    <w:rsid w:val="00763AC1"/>
    <w:rsid w:val="007643BC"/>
    <w:rsid w:val="0077128C"/>
    <w:rsid w:val="00780C68"/>
    <w:rsid w:val="00787D85"/>
    <w:rsid w:val="007959FE"/>
    <w:rsid w:val="00796049"/>
    <w:rsid w:val="007968F9"/>
    <w:rsid w:val="007A0CF1"/>
    <w:rsid w:val="007A1F4E"/>
    <w:rsid w:val="007A3299"/>
    <w:rsid w:val="007A478E"/>
    <w:rsid w:val="007B5DEA"/>
    <w:rsid w:val="007B6BA5"/>
    <w:rsid w:val="007C0090"/>
    <w:rsid w:val="007C3390"/>
    <w:rsid w:val="007C42D8"/>
    <w:rsid w:val="007C4F4B"/>
    <w:rsid w:val="007C4FE9"/>
    <w:rsid w:val="007D5406"/>
    <w:rsid w:val="007D7362"/>
    <w:rsid w:val="007F574D"/>
    <w:rsid w:val="007F5CE2"/>
    <w:rsid w:val="007F6611"/>
    <w:rsid w:val="00800522"/>
    <w:rsid w:val="00810BAC"/>
    <w:rsid w:val="0081729A"/>
    <w:rsid w:val="008175E9"/>
    <w:rsid w:val="00823136"/>
    <w:rsid w:val="008242D7"/>
    <w:rsid w:val="0082577B"/>
    <w:rsid w:val="00826551"/>
    <w:rsid w:val="008272DD"/>
    <w:rsid w:val="00861F1A"/>
    <w:rsid w:val="008642A5"/>
    <w:rsid w:val="00866893"/>
    <w:rsid w:val="00866F02"/>
    <w:rsid w:val="00867D18"/>
    <w:rsid w:val="00871F9A"/>
    <w:rsid w:val="00871FD5"/>
    <w:rsid w:val="0088172E"/>
    <w:rsid w:val="00881EFA"/>
    <w:rsid w:val="008879CB"/>
    <w:rsid w:val="00890A22"/>
    <w:rsid w:val="00890F9E"/>
    <w:rsid w:val="00896C6D"/>
    <w:rsid w:val="008979B1"/>
    <w:rsid w:val="008A4B5A"/>
    <w:rsid w:val="008A58B3"/>
    <w:rsid w:val="008A6B25"/>
    <w:rsid w:val="008A6C4F"/>
    <w:rsid w:val="008A77AE"/>
    <w:rsid w:val="008B0A87"/>
    <w:rsid w:val="008B1F6C"/>
    <w:rsid w:val="008B389E"/>
    <w:rsid w:val="008B635B"/>
    <w:rsid w:val="008C2038"/>
    <w:rsid w:val="008D045E"/>
    <w:rsid w:val="008D3F25"/>
    <w:rsid w:val="008D4D82"/>
    <w:rsid w:val="008D652B"/>
    <w:rsid w:val="008E0E46"/>
    <w:rsid w:val="008E2181"/>
    <w:rsid w:val="008E3763"/>
    <w:rsid w:val="008E7116"/>
    <w:rsid w:val="008F0720"/>
    <w:rsid w:val="008F143B"/>
    <w:rsid w:val="008F3882"/>
    <w:rsid w:val="008F4B7C"/>
    <w:rsid w:val="008F4D9C"/>
    <w:rsid w:val="0090018A"/>
    <w:rsid w:val="0090233A"/>
    <w:rsid w:val="00912E05"/>
    <w:rsid w:val="00913AD0"/>
    <w:rsid w:val="00921973"/>
    <w:rsid w:val="00926E47"/>
    <w:rsid w:val="00935FF5"/>
    <w:rsid w:val="00940ECC"/>
    <w:rsid w:val="00942914"/>
    <w:rsid w:val="00947162"/>
    <w:rsid w:val="009515AD"/>
    <w:rsid w:val="00952574"/>
    <w:rsid w:val="0095504F"/>
    <w:rsid w:val="009565BE"/>
    <w:rsid w:val="009610D0"/>
    <w:rsid w:val="0096375C"/>
    <w:rsid w:val="00963D90"/>
    <w:rsid w:val="009662E6"/>
    <w:rsid w:val="0097095E"/>
    <w:rsid w:val="00980B0B"/>
    <w:rsid w:val="00984285"/>
    <w:rsid w:val="0098592B"/>
    <w:rsid w:val="00985FC4"/>
    <w:rsid w:val="00990766"/>
    <w:rsid w:val="00991261"/>
    <w:rsid w:val="00991AD9"/>
    <w:rsid w:val="00993CEA"/>
    <w:rsid w:val="009964C4"/>
    <w:rsid w:val="009A7B81"/>
    <w:rsid w:val="009B05E3"/>
    <w:rsid w:val="009B3098"/>
    <w:rsid w:val="009B7741"/>
    <w:rsid w:val="009C54B8"/>
    <w:rsid w:val="009C6650"/>
    <w:rsid w:val="009D01C0"/>
    <w:rsid w:val="009D2F62"/>
    <w:rsid w:val="009D6A08"/>
    <w:rsid w:val="009E0A16"/>
    <w:rsid w:val="009E0CFE"/>
    <w:rsid w:val="009E6CB7"/>
    <w:rsid w:val="009E7596"/>
    <w:rsid w:val="009E7970"/>
    <w:rsid w:val="009F2EAC"/>
    <w:rsid w:val="009F57E3"/>
    <w:rsid w:val="009F7BEF"/>
    <w:rsid w:val="00A005B8"/>
    <w:rsid w:val="00A03AE3"/>
    <w:rsid w:val="00A10F4F"/>
    <w:rsid w:val="00A11067"/>
    <w:rsid w:val="00A1704A"/>
    <w:rsid w:val="00A31D85"/>
    <w:rsid w:val="00A339E2"/>
    <w:rsid w:val="00A425EB"/>
    <w:rsid w:val="00A45AC2"/>
    <w:rsid w:val="00A61056"/>
    <w:rsid w:val="00A719C4"/>
    <w:rsid w:val="00A72F22"/>
    <w:rsid w:val="00A733BC"/>
    <w:rsid w:val="00A748A6"/>
    <w:rsid w:val="00A76A69"/>
    <w:rsid w:val="00A83715"/>
    <w:rsid w:val="00A86AF9"/>
    <w:rsid w:val="00A879A4"/>
    <w:rsid w:val="00A906B8"/>
    <w:rsid w:val="00AA0FF8"/>
    <w:rsid w:val="00AA52B4"/>
    <w:rsid w:val="00AA573D"/>
    <w:rsid w:val="00AB0F2A"/>
    <w:rsid w:val="00AB43D2"/>
    <w:rsid w:val="00AC0F2C"/>
    <w:rsid w:val="00AC3800"/>
    <w:rsid w:val="00AC3D75"/>
    <w:rsid w:val="00AC502A"/>
    <w:rsid w:val="00AD0594"/>
    <w:rsid w:val="00AD0DAE"/>
    <w:rsid w:val="00AD0F01"/>
    <w:rsid w:val="00AE18F9"/>
    <w:rsid w:val="00AE6B35"/>
    <w:rsid w:val="00AF2F59"/>
    <w:rsid w:val="00AF4AEB"/>
    <w:rsid w:val="00AF58C1"/>
    <w:rsid w:val="00B04A3F"/>
    <w:rsid w:val="00B06643"/>
    <w:rsid w:val="00B15055"/>
    <w:rsid w:val="00B15BD3"/>
    <w:rsid w:val="00B15EC0"/>
    <w:rsid w:val="00B17BB9"/>
    <w:rsid w:val="00B20551"/>
    <w:rsid w:val="00B2069E"/>
    <w:rsid w:val="00B26657"/>
    <w:rsid w:val="00B30179"/>
    <w:rsid w:val="00B33155"/>
    <w:rsid w:val="00B33FC7"/>
    <w:rsid w:val="00B37B15"/>
    <w:rsid w:val="00B45C02"/>
    <w:rsid w:val="00B50F72"/>
    <w:rsid w:val="00B63154"/>
    <w:rsid w:val="00B65146"/>
    <w:rsid w:val="00B70B63"/>
    <w:rsid w:val="00B71CE6"/>
    <w:rsid w:val="00B72A1E"/>
    <w:rsid w:val="00B73CF3"/>
    <w:rsid w:val="00B81E12"/>
    <w:rsid w:val="00B9247A"/>
    <w:rsid w:val="00B97422"/>
    <w:rsid w:val="00BA1DF8"/>
    <w:rsid w:val="00BA339B"/>
    <w:rsid w:val="00BA3ABF"/>
    <w:rsid w:val="00BB23CC"/>
    <w:rsid w:val="00BC1E7E"/>
    <w:rsid w:val="00BC74E9"/>
    <w:rsid w:val="00BD3712"/>
    <w:rsid w:val="00BD42A8"/>
    <w:rsid w:val="00BE36A9"/>
    <w:rsid w:val="00BE4E47"/>
    <w:rsid w:val="00BE618E"/>
    <w:rsid w:val="00BE6208"/>
    <w:rsid w:val="00BE6F5F"/>
    <w:rsid w:val="00BE7BEC"/>
    <w:rsid w:val="00BF0A5A"/>
    <w:rsid w:val="00BF0E63"/>
    <w:rsid w:val="00BF12A3"/>
    <w:rsid w:val="00BF16D7"/>
    <w:rsid w:val="00BF2355"/>
    <w:rsid w:val="00BF2373"/>
    <w:rsid w:val="00BF4494"/>
    <w:rsid w:val="00C0153A"/>
    <w:rsid w:val="00C02062"/>
    <w:rsid w:val="00C0294F"/>
    <w:rsid w:val="00C044E2"/>
    <w:rsid w:val="00C048CB"/>
    <w:rsid w:val="00C066F3"/>
    <w:rsid w:val="00C07CD7"/>
    <w:rsid w:val="00C23F78"/>
    <w:rsid w:val="00C2687A"/>
    <w:rsid w:val="00C36536"/>
    <w:rsid w:val="00C408B7"/>
    <w:rsid w:val="00C411EB"/>
    <w:rsid w:val="00C4172F"/>
    <w:rsid w:val="00C463DD"/>
    <w:rsid w:val="00C63BCA"/>
    <w:rsid w:val="00C6742C"/>
    <w:rsid w:val="00C67B79"/>
    <w:rsid w:val="00C745C3"/>
    <w:rsid w:val="00C836F5"/>
    <w:rsid w:val="00C85FB3"/>
    <w:rsid w:val="00C978F5"/>
    <w:rsid w:val="00CA24A4"/>
    <w:rsid w:val="00CA414E"/>
    <w:rsid w:val="00CA71DC"/>
    <w:rsid w:val="00CA7D17"/>
    <w:rsid w:val="00CB1109"/>
    <w:rsid w:val="00CB1250"/>
    <w:rsid w:val="00CB348D"/>
    <w:rsid w:val="00CB6B56"/>
    <w:rsid w:val="00CC44AE"/>
    <w:rsid w:val="00CD46F5"/>
    <w:rsid w:val="00CD5E32"/>
    <w:rsid w:val="00CE0C93"/>
    <w:rsid w:val="00CE4A8F"/>
    <w:rsid w:val="00CE78F6"/>
    <w:rsid w:val="00CF071D"/>
    <w:rsid w:val="00CF4BFA"/>
    <w:rsid w:val="00D0123D"/>
    <w:rsid w:val="00D15364"/>
    <w:rsid w:val="00D15B04"/>
    <w:rsid w:val="00D2031B"/>
    <w:rsid w:val="00D2036A"/>
    <w:rsid w:val="00D23EC6"/>
    <w:rsid w:val="00D24463"/>
    <w:rsid w:val="00D24902"/>
    <w:rsid w:val="00D25FE2"/>
    <w:rsid w:val="00D2761A"/>
    <w:rsid w:val="00D34A06"/>
    <w:rsid w:val="00D368BE"/>
    <w:rsid w:val="00D37C1B"/>
    <w:rsid w:val="00D37DA9"/>
    <w:rsid w:val="00D406A7"/>
    <w:rsid w:val="00D40765"/>
    <w:rsid w:val="00D43252"/>
    <w:rsid w:val="00D44D86"/>
    <w:rsid w:val="00D50B7D"/>
    <w:rsid w:val="00D52012"/>
    <w:rsid w:val="00D56D7E"/>
    <w:rsid w:val="00D704E5"/>
    <w:rsid w:val="00D72727"/>
    <w:rsid w:val="00D74312"/>
    <w:rsid w:val="00D746A7"/>
    <w:rsid w:val="00D74C04"/>
    <w:rsid w:val="00D84CE6"/>
    <w:rsid w:val="00D87DAC"/>
    <w:rsid w:val="00D978C6"/>
    <w:rsid w:val="00DA0956"/>
    <w:rsid w:val="00DA357F"/>
    <w:rsid w:val="00DA3E12"/>
    <w:rsid w:val="00DA471F"/>
    <w:rsid w:val="00DB5BC2"/>
    <w:rsid w:val="00DC18AD"/>
    <w:rsid w:val="00DC6B8B"/>
    <w:rsid w:val="00DE11F1"/>
    <w:rsid w:val="00DE40FA"/>
    <w:rsid w:val="00DE6A5A"/>
    <w:rsid w:val="00DF7CAE"/>
    <w:rsid w:val="00DF7E4A"/>
    <w:rsid w:val="00E02248"/>
    <w:rsid w:val="00E11186"/>
    <w:rsid w:val="00E25E25"/>
    <w:rsid w:val="00E36F5B"/>
    <w:rsid w:val="00E423C0"/>
    <w:rsid w:val="00E43F1F"/>
    <w:rsid w:val="00E4618F"/>
    <w:rsid w:val="00E46693"/>
    <w:rsid w:val="00E5389A"/>
    <w:rsid w:val="00E61584"/>
    <w:rsid w:val="00E6414C"/>
    <w:rsid w:val="00E6697C"/>
    <w:rsid w:val="00E7260F"/>
    <w:rsid w:val="00E74A53"/>
    <w:rsid w:val="00E83792"/>
    <w:rsid w:val="00E8702D"/>
    <w:rsid w:val="00E905F4"/>
    <w:rsid w:val="00E916A9"/>
    <w:rsid w:val="00E916DE"/>
    <w:rsid w:val="00E925AD"/>
    <w:rsid w:val="00E96630"/>
    <w:rsid w:val="00E97741"/>
    <w:rsid w:val="00EA0FA3"/>
    <w:rsid w:val="00EB6AC1"/>
    <w:rsid w:val="00EC30B7"/>
    <w:rsid w:val="00EC41E8"/>
    <w:rsid w:val="00ED18DC"/>
    <w:rsid w:val="00ED2CEE"/>
    <w:rsid w:val="00ED5872"/>
    <w:rsid w:val="00ED6201"/>
    <w:rsid w:val="00ED7A2A"/>
    <w:rsid w:val="00EE0C68"/>
    <w:rsid w:val="00EE33F1"/>
    <w:rsid w:val="00EF1D7F"/>
    <w:rsid w:val="00EF1DFF"/>
    <w:rsid w:val="00EF32F2"/>
    <w:rsid w:val="00EF79EE"/>
    <w:rsid w:val="00F0063A"/>
    <w:rsid w:val="00F0137E"/>
    <w:rsid w:val="00F13780"/>
    <w:rsid w:val="00F15F9C"/>
    <w:rsid w:val="00F21786"/>
    <w:rsid w:val="00F25F43"/>
    <w:rsid w:val="00F32FCC"/>
    <w:rsid w:val="00F3713F"/>
    <w:rsid w:val="00F3742B"/>
    <w:rsid w:val="00F41FDB"/>
    <w:rsid w:val="00F442A0"/>
    <w:rsid w:val="00F50596"/>
    <w:rsid w:val="00F51195"/>
    <w:rsid w:val="00F52A30"/>
    <w:rsid w:val="00F56D63"/>
    <w:rsid w:val="00F57152"/>
    <w:rsid w:val="00F609A9"/>
    <w:rsid w:val="00F80C99"/>
    <w:rsid w:val="00F8629C"/>
    <w:rsid w:val="00F8630C"/>
    <w:rsid w:val="00F867EC"/>
    <w:rsid w:val="00F91B2B"/>
    <w:rsid w:val="00F924A0"/>
    <w:rsid w:val="00F92538"/>
    <w:rsid w:val="00FA50CA"/>
    <w:rsid w:val="00FA52C6"/>
    <w:rsid w:val="00FA7439"/>
    <w:rsid w:val="00FC03CD"/>
    <w:rsid w:val="00FC0646"/>
    <w:rsid w:val="00FC2B4B"/>
    <w:rsid w:val="00FC472D"/>
    <w:rsid w:val="00FC6346"/>
    <w:rsid w:val="00FC68B7"/>
    <w:rsid w:val="00FD31CC"/>
    <w:rsid w:val="00FE019C"/>
    <w:rsid w:val="00FE6985"/>
    <w:rsid w:val="012B80C7"/>
    <w:rsid w:val="044EF4C4"/>
    <w:rsid w:val="05FC3D65"/>
    <w:rsid w:val="0803D081"/>
    <w:rsid w:val="0B7E346A"/>
    <w:rsid w:val="12BC97E7"/>
    <w:rsid w:val="16C68CAA"/>
    <w:rsid w:val="16E66F41"/>
    <w:rsid w:val="1C4F5CF0"/>
    <w:rsid w:val="1CC8D383"/>
    <w:rsid w:val="1CCA92D8"/>
    <w:rsid w:val="1DE3CD9F"/>
    <w:rsid w:val="1ED4F4F1"/>
    <w:rsid w:val="20033B42"/>
    <w:rsid w:val="221E362C"/>
    <w:rsid w:val="237E03DB"/>
    <w:rsid w:val="25674F2E"/>
    <w:rsid w:val="2653A1D0"/>
    <w:rsid w:val="292EDA2C"/>
    <w:rsid w:val="2A101FB4"/>
    <w:rsid w:val="2B3E51C2"/>
    <w:rsid w:val="2BBD6855"/>
    <w:rsid w:val="2E54ABC6"/>
    <w:rsid w:val="2EF50917"/>
    <w:rsid w:val="2F60CBD2"/>
    <w:rsid w:val="30C1BDD9"/>
    <w:rsid w:val="37F2AEFF"/>
    <w:rsid w:val="384A1E1D"/>
    <w:rsid w:val="3DD75699"/>
    <w:rsid w:val="3FD065F8"/>
    <w:rsid w:val="4124246C"/>
    <w:rsid w:val="4810C04F"/>
    <w:rsid w:val="49AC90B0"/>
    <w:rsid w:val="4A4CEB72"/>
    <w:rsid w:val="4B486111"/>
    <w:rsid w:val="5AD2B4D8"/>
    <w:rsid w:val="5B468B6E"/>
    <w:rsid w:val="5BB24E29"/>
    <w:rsid w:val="5CD0E38F"/>
    <w:rsid w:val="5CDF7936"/>
    <w:rsid w:val="63D42DF8"/>
    <w:rsid w:val="66229AC6"/>
    <w:rsid w:val="6A3AC45C"/>
    <w:rsid w:val="6A8DDB51"/>
    <w:rsid w:val="7875A0E3"/>
    <w:rsid w:val="7B4ED82F"/>
    <w:rsid w:val="7EDC3747"/>
    <w:rsid w:val="7F5DCE1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671EC"/>
  <w15:docId w15:val="{57D67B2E-25AF-490E-A43D-BDABE811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ftref,Знак сноски 1, Char Char,16 Point,Superscript 6 Point,ftref1,ftref2,ftref11,Normal + Font:9 Point,Superscript 3 Point Times,BVI fnr,BVI fnr Char1 Char Char Char Char Char Char, BVI fnr,Ref,de nota al pie"/>
    <w:basedOn w:val="DefaultParagraphFont"/>
    <w:link w:val="BVIfnrChar1CharCharCharCharChar"/>
    <w:qFormat/>
    <w:rsid w:val="00E925AD"/>
    <w:rPr>
      <w:rFonts w:ascii="Times New Roman" w:hAnsi="Times New Roman"/>
      <w:sz w:val="18"/>
      <w:vertAlign w:val="superscript"/>
    </w:rPr>
  </w:style>
  <w:style w:type="paragraph" w:styleId="FootnoteText">
    <w:name w:val="footnote text"/>
    <w:aliases w:val="5_G,single space,Текст сноски Знак,Footnote Text Char Char Char,FOOTNOTES,fn,ft,Footnote Text Char Char Char Char Char Char Char Char Char Char,Footnote Text Char Char Char Char Char Char Char Char Char Char Char Char,ft2,f Char"/>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customStyle="1" w:styleId="Default">
    <w:name w:val="Default"/>
    <w:basedOn w:val="Normal"/>
    <w:rsid w:val="00172AE5"/>
    <w:pPr>
      <w:suppressAutoHyphens w:val="0"/>
      <w:autoSpaceDE w:val="0"/>
      <w:autoSpaceDN w:val="0"/>
      <w:spacing w:line="240" w:lineRule="auto"/>
    </w:pPr>
    <w:rPr>
      <w:rFonts w:eastAsiaTheme="minorEastAsia"/>
      <w:color w:val="000000"/>
      <w:sz w:val="24"/>
      <w:szCs w:val="24"/>
      <w:lang w:val="fr-CH" w:eastAsia="zh-CN"/>
    </w:rPr>
  </w:style>
  <w:style w:type="paragraph" w:styleId="NormalWeb">
    <w:name w:val="Normal (Web)"/>
    <w:basedOn w:val="Normal"/>
    <w:uiPriority w:val="99"/>
    <w:semiHidden/>
    <w:unhideWhenUsed/>
    <w:rsid w:val="00314444"/>
    <w:pPr>
      <w:suppressAutoHyphens w:val="0"/>
      <w:spacing w:before="100" w:beforeAutospacing="1" w:after="100" w:afterAutospacing="1" w:line="240" w:lineRule="auto"/>
    </w:pPr>
    <w:rPr>
      <w:sz w:val="24"/>
      <w:szCs w:val="24"/>
      <w:lang w:val="fr-CH" w:eastAsia="zh-CN"/>
    </w:rPr>
  </w:style>
  <w:style w:type="character" w:customStyle="1" w:styleId="H1GChar">
    <w:name w:val="_ H_1_G Char"/>
    <w:link w:val="H1G"/>
    <w:rsid w:val="003479ED"/>
    <w:rPr>
      <w:b/>
      <w:sz w:val="24"/>
      <w:lang w:val="en-GB"/>
    </w:rPr>
  </w:style>
  <w:style w:type="paragraph" w:styleId="CommentText">
    <w:name w:val="annotation text"/>
    <w:basedOn w:val="Normal"/>
    <w:link w:val="CommentTextChar"/>
    <w:unhideWhenUsed/>
    <w:pPr>
      <w:spacing w:line="240" w:lineRule="auto"/>
    </w:pPr>
  </w:style>
  <w:style w:type="character" w:customStyle="1" w:styleId="CommentTextChar">
    <w:name w:val="Comment Text Char"/>
    <w:basedOn w:val="DefaultParagraphFont"/>
    <w:link w:val="CommentText"/>
    <w:rPr>
      <w:lang w:val="en-GB"/>
    </w:rPr>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31018E"/>
    <w:rPr>
      <w:lang w:val="en-GB"/>
    </w:rPr>
  </w:style>
  <w:style w:type="paragraph" w:styleId="CommentSubject">
    <w:name w:val="annotation subject"/>
    <w:basedOn w:val="CommentText"/>
    <w:next w:val="CommentText"/>
    <w:link w:val="CommentSubjectChar"/>
    <w:semiHidden/>
    <w:unhideWhenUsed/>
    <w:rsid w:val="008B1F6C"/>
    <w:rPr>
      <w:b/>
      <w:bCs/>
    </w:rPr>
  </w:style>
  <w:style w:type="character" w:customStyle="1" w:styleId="CommentSubjectChar">
    <w:name w:val="Comment Subject Char"/>
    <w:basedOn w:val="CommentTextChar"/>
    <w:link w:val="CommentSubject"/>
    <w:semiHidden/>
    <w:rsid w:val="008B1F6C"/>
    <w:rPr>
      <w:b/>
      <w:bCs/>
      <w:lang w:val="en-GB"/>
    </w:rPr>
  </w:style>
  <w:style w:type="character" w:customStyle="1" w:styleId="normaltextrun">
    <w:name w:val="normaltextrun"/>
    <w:basedOn w:val="DefaultParagraphFont"/>
    <w:rsid w:val="00D2761A"/>
  </w:style>
  <w:style w:type="character" w:customStyle="1" w:styleId="eop">
    <w:name w:val="eop"/>
    <w:basedOn w:val="DefaultParagraphFont"/>
    <w:rsid w:val="00D2761A"/>
  </w:style>
  <w:style w:type="character" w:customStyle="1" w:styleId="FootnoteTextChar">
    <w:name w:val="Footnote Text Char"/>
    <w:aliases w:val="5_G Char,single space Char,Текст сноски Знак Char,Footnote Text Char Char Char Char,FOOTNOTES Char,fn Char,ft Char,Footnote Text Char Char Char Char Char Char Char Char Char Char Char,ft2 Char,f Char Char"/>
    <w:basedOn w:val="DefaultParagraphFont"/>
    <w:link w:val="FootnoteText"/>
    <w:uiPriority w:val="99"/>
    <w:rsid w:val="001E7E30"/>
    <w:rPr>
      <w:sz w:val="18"/>
      <w:lang w:val="en-GB"/>
    </w:rPr>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BVI fnr Car Car Char1 Char Char Char Char Char"/>
    <w:basedOn w:val="Normal"/>
    <w:link w:val="FootnoteReference"/>
    <w:rsid w:val="001E7E30"/>
    <w:pPr>
      <w:suppressAutoHyphens w:val="0"/>
      <w:spacing w:after="160" w:line="240" w:lineRule="exact"/>
    </w:pPr>
    <w:rPr>
      <w:sz w:val="18"/>
      <w:vertAlign w:val="superscript"/>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2525">
      <w:bodyDiv w:val="1"/>
      <w:marLeft w:val="0"/>
      <w:marRight w:val="0"/>
      <w:marTop w:val="0"/>
      <w:marBottom w:val="0"/>
      <w:divBdr>
        <w:top w:val="none" w:sz="0" w:space="0" w:color="auto"/>
        <w:left w:val="none" w:sz="0" w:space="0" w:color="auto"/>
        <w:bottom w:val="none" w:sz="0" w:space="0" w:color="auto"/>
        <w:right w:val="none" w:sz="0" w:space="0" w:color="auto"/>
      </w:divBdr>
    </w:div>
    <w:div w:id="110051403">
      <w:bodyDiv w:val="1"/>
      <w:marLeft w:val="0"/>
      <w:marRight w:val="0"/>
      <w:marTop w:val="0"/>
      <w:marBottom w:val="0"/>
      <w:divBdr>
        <w:top w:val="none" w:sz="0" w:space="0" w:color="auto"/>
        <w:left w:val="none" w:sz="0" w:space="0" w:color="auto"/>
        <w:bottom w:val="none" w:sz="0" w:space="0" w:color="auto"/>
        <w:right w:val="none" w:sz="0" w:space="0" w:color="auto"/>
      </w:divBdr>
    </w:div>
    <w:div w:id="134683358">
      <w:bodyDiv w:val="1"/>
      <w:marLeft w:val="0"/>
      <w:marRight w:val="0"/>
      <w:marTop w:val="0"/>
      <w:marBottom w:val="0"/>
      <w:divBdr>
        <w:top w:val="none" w:sz="0" w:space="0" w:color="auto"/>
        <w:left w:val="none" w:sz="0" w:space="0" w:color="auto"/>
        <w:bottom w:val="none" w:sz="0" w:space="0" w:color="auto"/>
        <w:right w:val="none" w:sz="0" w:space="0" w:color="auto"/>
      </w:divBdr>
    </w:div>
    <w:div w:id="147940933">
      <w:bodyDiv w:val="1"/>
      <w:marLeft w:val="0"/>
      <w:marRight w:val="0"/>
      <w:marTop w:val="0"/>
      <w:marBottom w:val="0"/>
      <w:divBdr>
        <w:top w:val="none" w:sz="0" w:space="0" w:color="auto"/>
        <w:left w:val="none" w:sz="0" w:space="0" w:color="auto"/>
        <w:bottom w:val="none" w:sz="0" w:space="0" w:color="auto"/>
        <w:right w:val="none" w:sz="0" w:space="0" w:color="auto"/>
      </w:divBdr>
    </w:div>
    <w:div w:id="223873759">
      <w:bodyDiv w:val="1"/>
      <w:marLeft w:val="0"/>
      <w:marRight w:val="0"/>
      <w:marTop w:val="0"/>
      <w:marBottom w:val="0"/>
      <w:divBdr>
        <w:top w:val="none" w:sz="0" w:space="0" w:color="auto"/>
        <w:left w:val="none" w:sz="0" w:space="0" w:color="auto"/>
        <w:bottom w:val="none" w:sz="0" w:space="0" w:color="auto"/>
        <w:right w:val="none" w:sz="0" w:space="0" w:color="auto"/>
      </w:divBdr>
    </w:div>
    <w:div w:id="262883722">
      <w:bodyDiv w:val="1"/>
      <w:marLeft w:val="0"/>
      <w:marRight w:val="0"/>
      <w:marTop w:val="0"/>
      <w:marBottom w:val="0"/>
      <w:divBdr>
        <w:top w:val="none" w:sz="0" w:space="0" w:color="auto"/>
        <w:left w:val="none" w:sz="0" w:space="0" w:color="auto"/>
        <w:bottom w:val="none" w:sz="0" w:space="0" w:color="auto"/>
        <w:right w:val="none" w:sz="0" w:space="0" w:color="auto"/>
      </w:divBdr>
    </w:div>
    <w:div w:id="369843542">
      <w:bodyDiv w:val="1"/>
      <w:marLeft w:val="0"/>
      <w:marRight w:val="0"/>
      <w:marTop w:val="0"/>
      <w:marBottom w:val="0"/>
      <w:divBdr>
        <w:top w:val="none" w:sz="0" w:space="0" w:color="auto"/>
        <w:left w:val="none" w:sz="0" w:space="0" w:color="auto"/>
        <w:bottom w:val="none" w:sz="0" w:space="0" w:color="auto"/>
        <w:right w:val="none" w:sz="0" w:space="0" w:color="auto"/>
      </w:divBdr>
    </w:div>
    <w:div w:id="380833372">
      <w:bodyDiv w:val="1"/>
      <w:marLeft w:val="0"/>
      <w:marRight w:val="0"/>
      <w:marTop w:val="0"/>
      <w:marBottom w:val="0"/>
      <w:divBdr>
        <w:top w:val="none" w:sz="0" w:space="0" w:color="auto"/>
        <w:left w:val="none" w:sz="0" w:space="0" w:color="auto"/>
        <w:bottom w:val="none" w:sz="0" w:space="0" w:color="auto"/>
        <w:right w:val="none" w:sz="0" w:space="0" w:color="auto"/>
      </w:divBdr>
    </w:div>
    <w:div w:id="425273088">
      <w:bodyDiv w:val="1"/>
      <w:marLeft w:val="0"/>
      <w:marRight w:val="0"/>
      <w:marTop w:val="0"/>
      <w:marBottom w:val="0"/>
      <w:divBdr>
        <w:top w:val="none" w:sz="0" w:space="0" w:color="auto"/>
        <w:left w:val="none" w:sz="0" w:space="0" w:color="auto"/>
        <w:bottom w:val="none" w:sz="0" w:space="0" w:color="auto"/>
        <w:right w:val="none" w:sz="0" w:space="0" w:color="auto"/>
      </w:divBdr>
    </w:div>
    <w:div w:id="672729246">
      <w:bodyDiv w:val="1"/>
      <w:marLeft w:val="0"/>
      <w:marRight w:val="0"/>
      <w:marTop w:val="0"/>
      <w:marBottom w:val="0"/>
      <w:divBdr>
        <w:top w:val="none" w:sz="0" w:space="0" w:color="auto"/>
        <w:left w:val="none" w:sz="0" w:space="0" w:color="auto"/>
        <w:bottom w:val="none" w:sz="0" w:space="0" w:color="auto"/>
        <w:right w:val="none" w:sz="0" w:space="0" w:color="auto"/>
      </w:divBdr>
    </w:div>
    <w:div w:id="766579914">
      <w:bodyDiv w:val="1"/>
      <w:marLeft w:val="0"/>
      <w:marRight w:val="0"/>
      <w:marTop w:val="0"/>
      <w:marBottom w:val="0"/>
      <w:divBdr>
        <w:top w:val="none" w:sz="0" w:space="0" w:color="auto"/>
        <w:left w:val="none" w:sz="0" w:space="0" w:color="auto"/>
        <w:bottom w:val="none" w:sz="0" w:space="0" w:color="auto"/>
        <w:right w:val="none" w:sz="0" w:space="0" w:color="auto"/>
      </w:divBdr>
    </w:div>
    <w:div w:id="930355166">
      <w:bodyDiv w:val="1"/>
      <w:marLeft w:val="0"/>
      <w:marRight w:val="0"/>
      <w:marTop w:val="0"/>
      <w:marBottom w:val="0"/>
      <w:divBdr>
        <w:top w:val="none" w:sz="0" w:space="0" w:color="auto"/>
        <w:left w:val="none" w:sz="0" w:space="0" w:color="auto"/>
        <w:bottom w:val="none" w:sz="0" w:space="0" w:color="auto"/>
        <w:right w:val="none" w:sz="0" w:space="0" w:color="auto"/>
      </w:divBdr>
    </w:div>
    <w:div w:id="952632271">
      <w:bodyDiv w:val="1"/>
      <w:marLeft w:val="0"/>
      <w:marRight w:val="0"/>
      <w:marTop w:val="0"/>
      <w:marBottom w:val="0"/>
      <w:divBdr>
        <w:top w:val="none" w:sz="0" w:space="0" w:color="auto"/>
        <w:left w:val="none" w:sz="0" w:space="0" w:color="auto"/>
        <w:bottom w:val="none" w:sz="0" w:space="0" w:color="auto"/>
        <w:right w:val="none" w:sz="0" w:space="0" w:color="auto"/>
      </w:divBdr>
    </w:div>
    <w:div w:id="1020089906">
      <w:bodyDiv w:val="1"/>
      <w:marLeft w:val="0"/>
      <w:marRight w:val="0"/>
      <w:marTop w:val="0"/>
      <w:marBottom w:val="0"/>
      <w:divBdr>
        <w:top w:val="none" w:sz="0" w:space="0" w:color="auto"/>
        <w:left w:val="none" w:sz="0" w:space="0" w:color="auto"/>
        <w:bottom w:val="none" w:sz="0" w:space="0" w:color="auto"/>
        <w:right w:val="none" w:sz="0" w:space="0" w:color="auto"/>
      </w:divBdr>
    </w:div>
    <w:div w:id="1228956143">
      <w:bodyDiv w:val="1"/>
      <w:marLeft w:val="0"/>
      <w:marRight w:val="0"/>
      <w:marTop w:val="0"/>
      <w:marBottom w:val="0"/>
      <w:divBdr>
        <w:top w:val="none" w:sz="0" w:space="0" w:color="auto"/>
        <w:left w:val="none" w:sz="0" w:space="0" w:color="auto"/>
        <w:bottom w:val="none" w:sz="0" w:space="0" w:color="auto"/>
        <w:right w:val="none" w:sz="0" w:space="0" w:color="auto"/>
      </w:divBdr>
    </w:div>
    <w:div w:id="1236083945">
      <w:bodyDiv w:val="1"/>
      <w:marLeft w:val="0"/>
      <w:marRight w:val="0"/>
      <w:marTop w:val="0"/>
      <w:marBottom w:val="0"/>
      <w:divBdr>
        <w:top w:val="none" w:sz="0" w:space="0" w:color="auto"/>
        <w:left w:val="none" w:sz="0" w:space="0" w:color="auto"/>
        <w:bottom w:val="none" w:sz="0" w:space="0" w:color="auto"/>
        <w:right w:val="none" w:sz="0" w:space="0" w:color="auto"/>
      </w:divBdr>
    </w:div>
    <w:div w:id="1272929876">
      <w:bodyDiv w:val="1"/>
      <w:marLeft w:val="0"/>
      <w:marRight w:val="0"/>
      <w:marTop w:val="0"/>
      <w:marBottom w:val="0"/>
      <w:divBdr>
        <w:top w:val="none" w:sz="0" w:space="0" w:color="auto"/>
        <w:left w:val="none" w:sz="0" w:space="0" w:color="auto"/>
        <w:bottom w:val="none" w:sz="0" w:space="0" w:color="auto"/>
        <w:right w:val="none" w:sz="0" w:space="0" w:color="auto"/>
      </w:divBdr>
    </w:div>
    <w:div w:id="1496921115">
      <w:bodyDiv w:val="1"/>
      <w:marLeft w:val="0"/>
      <w:marRight w:val="0"/>
      <w:marTop w:val="0"/>
      <w:marBottom w:val="0"/>
      <w:divBdr>
        <w:top w:val="none" w:sz="0" w:space="0" w:color="auto"/>
        <w:left w:val="none" w:sz="0" w:space="0" w:color="auto"/>
        <w:bottom w:val="none" w:sz="0" w:space="0" w:color="auto"/>
        <w:right w:val="none" w:sz="0" w:space="0" w:color="auto"/>
      </w:divBdr>
    </w:div>
    <w:div w:id="1549143339">
      <w:bodyDiv w:val="1"/>
      <w:marLeft w:val="0"/>
      <w:marRight w:val="0"/>
      <w:marTop w:val="0"/>
      <w:marBottom w:val="0"/>
      <w:divBdr>
        <w:top w:val="none" w:sz="0" w:space="0" w:color="auto"/>
        <w:left w:val="none" w:sz="0" w:space="0" w:color="auto"/>
        <w:bottom w:val="none" w:sz="0" w:space="0" w:color="auto"/>
        <w:right w:val="none" w:sz="0" w:space="0" w:color="auto"/>
      </w:divBdr>
    </w:div>
    <w:div w:id="1586723976">
      <w:bodyDiv w:val="1"/>
      <w:marLeft w:val="0"/>
      <w:marRight w:val="0"/>
      <w:marTop w:val="0"/>
      <w:marBottom w:val="0"/>
      <w:divBdr>
        <w:top w:val="none" w:sz="0" w:space="0" w:color="auto"/>
        <w:left w:val="none" w:sz="0" w:space="0" w:color="auto"/>
        <w:bottom w:val="none" w:sz="0" w:space="0" w:color="auto"/>
        <w:right w:val="none" w:sz="0" w:space="0" w:color="auto"/>
      </w:divBdr>
    </w:div>
    <w:div w:id="1594557577">
      <w:bodyDiv w:val="1"/>
      <w:marLeft w:val="0"/>
      <w:marRight w:val="0"/>
      <w:marTop w:val="0"/>
      <w:marBottom w:val="0"/>
      <w:divBdr>
        <w:top w:val="none" w:sz="0" w:space="0" w:color="auto"/>
        <w:left w:val="none" w:sz="0" w:space="0" w:color="auto"/>
        <w:bottom w:val="none" w:sz="0" w:space="0" w:color="auto"/>
        <w:right w:val="none" w:sz="0" w:space="0" w:color="auto"/>
      </w:divBdr>
    </w:div>
    <w:div w:id="1610121135">
      <w:bodyDiv w:val="1"/>
      <w:marLeft w:val="0"/>
      <w:marRight w:val="0"/>
      <w:marTop w:val="0"/>
      <w:marBottom w:val="0"/>
      <w:divBdr>
        <w:top w:val="none" w:sz="0" w:space="0" w:color="auto"/>
        <w:left w:val="none" w:sz="0" w:space="0" w:color="auto"/>
        <w:bottom w:val="none" w:sz="0" w:space="0" w:color="auto"/>
        <w:right w:val="none" w:sz="0" w:space="0" w:color="auto"/>
      </w:divBdr>
    </w:div>
    <w:div w:id="1630043984">
      <w:bodyDiv w:val="1"/>
      <w:marLeft w:val="0"/>
      <w:marRight w:val="0"/>
      <w:marTop w:val="0"/>
      <w:marBottom w:val="0"/>
      <w:divBdr>
        <w:top w:val="none" w:sz="0" w:space="0" w:color="auto"/>
        <w:left w:val="none" w:sz="0" w:space="0" w:color="auto"/>
        <w:bottom w:val="none" w:sz="0" w:space="0" w:color="auto"/>
        <w:right w:val="none" w:sz="0" w:space="0" w:color="auto"/>
      </w:divBdr>
    </w:div>
    <w:div w:id="1635209795">
      <w:bodyDiv w:val="1"/>
      <w:marLeft w:val="0"/>
      <w:marRight w:val="0"/>
      <w:marTop w:val="0"/>
      <w:marBottom w:val="0"/>
      <w:divBdr>
        <w:top w:val="none" w:sz="0" w:space="0" w:color="auto"/>
        <w:left w:val="none" w:sz="0" w:space="0" w:color="auto"/>
        <w:bottom w:val="none" w:sz="0" w:space="0" w:color="auto"/>
        <w:right w:val="none" w:sz="0" w:space="0" w:color="auto"/>
      </w:divBdr>
    </w:div>
    <w:div w:id="1914922715">
      <w:bodyDiv w:val="1"/>
      <w:marLeft w:val="0"/>
      <w:marRight w:val="0"/>
      <w:marTop w:val="0"/>
      <w:marBottom w:val="0"/>
      <w:divBdr>
        <w:top w:val="none" w:sz="0" w:space="0" w:color="auto"/>
        <w:left w:val="none" w:sz="0" w:space="0" w:color="auto"/>
        <w:bottom w:val="none" w:sz="0" w:space="0" w:color="auto"/>
        <w:right w:val="none" w:sz="0" w:space="0" w:color="auto"/>
      </w:divBdr>
    </w:div>
    <w:div w:id="1969427796">
      <w:bodyDiv w:val="1"/>
      <w:marLeft w:val="0"/>
      <w:marRight w:val="0"/>
      <w:marTop w:val="0"/>
      <w:marBottom w:val="0"/>
      <w:divBdr>
        <w:top w:val="none" w:sz="0" w:space="0" w:color="auto"/>
        <w:left w:val="none" w:sz="0" w:space="0" w:color="auto"/>
        <w:bottom w:val="none" w:sz="0" w:space="0" w:color="auto"/>
        <w:right w:val="none" w:sz="0" w:space="0" w:color="auto"/>
      </w:divBdr>
    </w:div>
    <w:div w:id="1979453675">
      <w:bodyDiv w:val="1"/>
      <w:marLeft w:val="0"/>
      <w:marRight w:val="0"/>
      <w:marTop w:val="0"/>
      <w:marBottom w:val="0"/>
      <w:divBdr>
        <w:top w:val="none" w:sz="0" w:space="0" w:color="auto"/>
        <w:left w:val="none" w:sz="0" w:space="0" w:color="auto"/>
        <w:bottom w:val="none" w:sz="0" w:space="0" w:color="auto"/>
        <w:right w:val="none" w:sz="0" w:space="0" w:color="auto"/>
      </w:divBdr>
    </w:div>
    <w:div w:id="2034651961">
      <w:bodyDiv w:val="1"/>
      <w:marLeft w:val="0"/>
      <w:marRight w:val="0"/>
      <w:marTop w:val="0"/>
      <w:marBottom w:val="0"/>
      <w:divBdr>
        <w:top w:val="none" w:sz="0" w:space="0" w:color="auto"/>
        <w:left w:val="none" w:sz="0" w:space="0" w:color="auto"/>
        <w:bottom w:val="none" w:sz="0" w:space="0" w:color="auto"/>
        <w:right w:val="none" w:sz="0" w:space="0" w:color="auto"/>
      </w:divBdr>
    </w:div>
    <w:div w:id="203846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Anastasia Barinova</DisplayName>
        <AccountId>19</AccountId>
        <AccountType/>
      </UserInfo>
      <UserInfo>
        <DisplayName>Yuwei Li</DisplayName>
        <AccountId>42</AccountId>
        <AccountType/>
      </UserInfo>
      <UserInfo>
        <DisplayName>Georgios Georgiadis</DisplayName>
        <AccountId>41</AccountId>
        <AccountType/>
      </UserInfo>
      <UserInfo>
        <DisplayName>Franziska Hirsch</DisplayName>
        <AccountId>1339</AccountId>
        <AccountType/>
      </UserInfo>
      <UserInfo>
        <DisplayName>Christine Seifert</DisplayName>
        <AccountId>941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769422-73FD-44D6-B1A2-EA503493040D}">
  <ds:schemaRefs>
    <ds:schemaRef ds:uri="http://schemas.microsoft.com/sharepoint/v3/contenttype/forms"/>
  </ds:schemaRefs>
</ds:datastoreItem>
</file>

<file path=customXml/itemProps2.xml><?xml version="1.0" encoding="utf-8"?>
<ds:datastoreItem xmlns:ds="http://schemas.openxmlformats.org/officeDocument/2006/customXml" ds:itemID="{86A0864C-F78A-4498-9ED2-36377FE28F43}">
  <ds:schemaRefs>
    <ds:schemaRef ds:uri="http://schemas.openxmlformats.org/officeDocument/2006/bibliography"/>
  </ds:schemaRefs>
</ds:datastoreItem>
</file>

<file path=customXml/itemProps3.xml><?xml version="1.0" encoding="utf-8"?>
<ds:datastoreItem xmlns:ds="http://schemas.openxmlformats.org/officeDocument/2006/customXml" ds:itemID="{7C12DD83-280B-4452-B76E-6E837EBE8082}">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85ec44e-1bab-4c0b-9df0-6ba128686fc9"/>
    <ds:schemaRef ds:uri="acccb6d4-dbe5-46d2-b4d3-5733603d8cc6"/>
    <ds:schemaRef ds:uri="http://www.w3.org/XML/1998/namespace"/>
  </ds:schemaRefs>
</ds:datastoreItem>
</file>

<file path=customXml/itemProps4.xml><?xml version="1.0" encoding="utf-8"?>
<ds:datastoreItem xmlns:ds="http://schemas.openxmlformats.org/officeDocument/2006/customXml" ds:itemID="{5187A79D-FA3E-4445-9DD8-10DDB4C3F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TRANS_WP1_24_E.dotm</Template>
  <TotalTime>85</TotalTime>
  <Pages>4</Pages>
  <Words>1449</Words>
  <Characters>8361</Characters>
  <Application>Microsoft Office Word</Application>
  <DocSecurity>0</DocSecurity>
  <Lines>147</Lines>
  <Paragraphs>48</Paragraphs>
  <ScaleCrop>false</ScaleCrop>
  <HeadingPairs>
    <vt:vector size="2" baseType="variant">
      <vt:variant>
        <vt:lpstr>Title</vt:lpstr>
      </vt:variant>
      <vt:variant>
        <vt:i4>1</vt:i4>
      </vt:variant>
    </vt:vector>
  </HeadingPairs>
  <TitlesOfParts>
    <vt:vector size="1" baseType="lpstr">
      <vt:lpstr>ECE/TRANS/2020/6</vt:lpstr>
    </vt:vector>
  </TitlesOfParts>
  <Company>CSD</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ECE/TRANS/2020/6</dc:title>
  <dc:subject/>
  <dc:creator>Maria Mostovets</dc:creator>
  <cp:keywords/>
  <cp:lastModifiedBy>Anastasia Barinova</cp:lastModifiedBy>
  <cp:revision>13</cp:revision>
  <cp:lastPrinted>2009-02-18T18:36:00Z</cp:lastPrinted>
  <dcterms:created xsi:type="dcterms:W3CDTF">2024-01-09T08:55:00Z</dcterms:created>
  <dcterms:modified xsi:type="dcterms:W3CDTF">2024-01-09T10:25:00Z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