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2CAFCCD" w14:textId="77777777" w:rsidTr="00C97039">
        <w:trPr>
          <w:trHeight w:hRule="exact" w:val="851"/>
        </w:trPr>
        <w:tc>
          <w:tcPr>
            <w:tcW w:w="1276" w:type="dxa"/>
            <w:tcBorders>
              <w:bottom w:val="single" w:sz="4" w:space="0" w:color="auto"/>
            </w:tcBorders>
          </w:tcPr>
          <w:p w14:paraId="4E585BE7" w14:textId="77777777" w:rsidR="00F35BAF" w:rsidRPr="00DB58B5" w:rsidRDefault="00F35BAF" w:rsidP="003B2B2C"/>
        </w:tc>
        <w:tc>
          <w:tcPr>
            <w:tcW w:w="2268" w:type="dxa"/>
            <w:tcBorders>
              <w:bottom w:val="single" w:sz="4" w:space="0" w:color="auto"/>
            </w:tcBorders>
            <w:vAlign w:val="bottom"/>
          </w:tcPr>
          <w:p w14:paraId="2ECA7AB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8D1C6F9" w14:textId="626808D0" w:rsidR="00F35BAF" w:rsidRPr="00DB58B5" w:rsidRDefault="003B2B2C" w:rsidP="003B2B2C">
            <w:pPr>
              <w:jc w:val="right"/>
            </w:pPr>
            <w:r w:rsidRPr="003B2B2C">
              <w:rPr>
                <w:sz w:val="40"/>
              </w:rPr>
              <w:t>ECE</w:t>
            </w:r>
            <w:r>
              <w:t>/TRANS/WP.29/GRPE/2024/17</w:t>
            </w:r>
          </w:p>
        </w:tc>
      </w:tr>
      <w:tr w:rsidR="00F35BAF" w:rsidRPr="00DB58B5" w14:paraId="7DD4F852" w14:textId="77777777" w:rsidTr="00C97039">
        <w:trPr>
          <w:trHeight w:hRule="exact" w:val="2835"/>
        </w:trPr>
        <w:tc>
          <w:tcPr>
            <w:tcW w:w="1276" w:type="dxa"/>
            <w:tcBorders>
              <w:top w:val="single" w:sz="4" w:space="0" w:color="auto"/>
              <w:bottom w:val="single" w:sz="12" w:space="0" w:color="auto"/>
            </w:tcBorders>
          </w:tcPr>
          <w:p w14:paraId="1050FCBF" w14:textId="77777777" w:rsidR="00F35BAF" w:rsidRPr="00DB58B5" w:rsidRDefault="00F35BAF" w:rsidP="00C97039">
            <w:pPr>
              <w:spacing w:before="120"/>
              <w:jc w:val="center"/>
            </w:pPr>
            <w:r>
              <w:rPr>
                <w:noProof/>
                <w:lang w:eastAsia="fr-CH"/>
              </w:rPr>
              <w:drawing>
                <wp:inline distT="0" distB="0" distL="0" distR="0" wp14:anchorId="43CD062E" wp14:editId="2B72E96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FCEEA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E186200" w14:textId="77777777" w:rsidR="00F35BAF" w:rsidRDefault="003B2B2C" w:rsidP="00C97039">
            <w:pPr>
              <w:spacing w:before="240"/>
            </w:pPr>
            <w:r>
              <w:t>Distr. générale</w:t>
            </w:r>
          </w:p>
          <w:p w14:paraId="0A62683B" w14:textId="37049924" w:rsidR="003B2B2C" w:rsidRDefault="003B2B2C" w:rsidP="003B2B2C">
            <w:pPr>
              <w:spacing w:line="240" w:lineRule="exact"/>
            </w:pPr>
            <w:r>
              <w:t>31 octobre 2023</w:t>
            </w:r>
          </w:p>
          <w:p w14:paraId="2A202D3A" w14:textId="77777777" w:rsidR="003B2B2C" w:rsidRDefault="003B2B2C" w:rsidP="003B2B2C">
            <w:pPr>
              <w:spacing w:line="240" w:lineRule="exact"/>
            </w:pPr>
            <w:r>
              <w:t>Français</w:t>
            </w:r>
          </w:p>
          <w:p w14:paraId="3B5D1AAB" w14:textId="0A5A6612" w:rsidR="003B2B2C" w:rsidRPr="00DB58B5" w:rsidRDefault="003B2B2C" w:rsidP="003B2B2C">
            <w:pPr>
              <w:spacing w:line="240" w:lineRule="exact"/>
            </w:pPr>
            <w:r>
              <w:t>Original : anglais</w:t>
            </w:r>
          </w:p>
        </w:tc>
      </w:tr>
    </w:tbl>
    <w:p w14:paraId="6E4758B3" w14:textId="09584126" w:rsidR="007F20FA" w:rsidRPr="000312C0" w:rsidRDefault="007F20FA" w:rsidP="007F20FA">
      <w:pPr>
        <w:spacing w:before="120"/>
        <w:rPr>
          <w:b/>
          <w:sz w:val="28"/>
          <w:szCs w:val="28"/>
        </w:rPr>
      </w:pPr>
      <w:r w:rsidRPr="000312C0">
        <w:rPr>
          <w:b/>
          <w:sz w:val="28"/>
          <w:szCs w:val="28"/>
        </w:rPr>
        <w:t>Commission économique pour l</w:t>
      </w:r>
      <w:r w:rsidR="00B21C23">
        <w:rPr>
          <w:b/>
          <w:sz w:val="28"/>
          <w:szCs w:val="28"/>
        </w:rPr>
        <w:t>’</w:t>
      </w:r>
      <w:r w:rsidRPr="000312C0">
        <w:rPr>
          <w:b/>
          <w:sz w:val="28"/>
          <w:szCs w:val="28"/>
        </w:rPr>
        <w:t>Europe</w:t>
      </w:r>
    </w:p>
    <w:p w14:paraId="4222AF0F" w14:textId="77777777" w:rsidR="007F20FA" w:rsidRDefault="007F20FA" w:rsidP="007F20FA">
      <w:pPr>
        <w:spacing w:before="120"/>
        <w:rPr>
          <w:sz w:val="28"/>
          <w:szCs w:val="28"/>
        </w:rPr>
      </w:pPr>
      <w:r w:rsidRPr="00685843">
        <w:rPr>
          <w:sz w:val="28"/>
          <w:szCs w:val="28"/>
        </w:rPr>
        <w:t>Comité des transports intérieurs</w:t>
      </w:r>
    </w:p>
    <w:p w14:paraId="6B87033D" w14:textId="2945D33E" w:rsidR="003B2B2C" w:rsidRDefault="003B2B2C" w:rsidP="00AF0CB5">
      <w:pPr>
        <w:spacing w:before="120"/>
        <w:rPr>
          <w:b/>
          <w:sz w:val="24"/>
          <w:szCs w:val="24"/>
        </w:rPr>
      </w:pPr>
      <w:r w:rsidRPr="00685843">
        <w:rPr>
          <w:b/>
          <w:sz w:val="24"/>
          <w:szCs w:val="24"/>
        </w:rPr>
        <w:t>Forum mondial de l</w:t>
      </w:r>
      <w:r w:rsidR="00B21C23">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359434D8" w14:textId="1C2BCB10" w:rsidR="003B2B2C" w:rsidRDefault="003B2B2C" w:rsidP="00257168">
      <w:pPr>
        <w:spacing w:before="120" w:after="120" w:line="240" w:lineRule="exact"/>
        <w:rPr>
          <w:b/>
        </w:rPr>
      </w:pPr>
      <w:r>
        <w:rPr>
          <w:b/>
        </w:rPr>
        <w:t>Groupe de travail de la pollution et de l</w:t>
      </w:r>
      <w:r w:rsidR="00B21C23">
        <w:rPr>
          <w:b/>
        </w:rPr>
        <w:t>’</w:t>
      </w:r>
      <w:r>
        <w:rPr>
          <w:b/>
        </w:rPr>
        <w:t>énergie</w:t>
      </w:r>
    </w:p>
    <w:p w14:paraId="11BC1BB6" w14:textId="37AB947C" w:rsidR="003B2B2C" w:rsidRDefault="003B2B2C" w:rsidP="00257168">
      <w:pPr>
        <w:spacing w:before="120" w:line="240" w:lineRule="exact"/>
        <w:rPr>
          <w:b/>
        </w:rPr>
      </w:pPr>
      <w:r>
        <w:rPr>
          <w:b/>
          <w:bCs/>
          <w:lang w:val="fr-FR"/>
        </w:rPr>
        <w:t>Quatre-vingt-dixième</w:t>
      </w:r>
      <w:r>
        <w:rPr>
          <w:b/>
        </w:rPr>
        <w:t xml:space="preserve"> session</w:t>
      </w:r>
    </w:p>
    <w:p w14:paraId="787FD567" w14:textId="4E4228CC" w:rsidR="003B2B2C" w:rsidRDefault="003B2B2C" w:rsidP="00257168">
      <w:pPr>
        <w:spacing w:line="240" w:lineRule="exact"/>
      </w:pPr>
      <w:r>
        <w:t xml:space="preserve">Genève, </w:t>
      </w:r>
      <w:r>
        <w:rPr>
          <w:lang w:val="fr-FR"/>
        </w:rPr>
        <w:t>9-12 janvier 2024</w:t>
      </w:r>
    </w:p>
    <w:p w14:paraId="5B2ACAC6" w14:textId="1A202BCB" w:rsidR="003B2B2C" w:rsidRDefault="003B2B2C" w:rsidP="00257168">
      <w:pPr>
        <w:spacing w:line="240" w:lineRule="exact"/>
      </w:pPr>
      <w:r>
        <w:t xml:space="preserve">Point </w:t>
      </w:r>
      <w:r>
        <w:rPr>
          <w:lang w:val="fr-FR"/>
        </w:rPr>
        <w:t>6 a)</w:t>
      </w:r>
      <w:r>
        <w:t xml:space="preserve"> de l</w:t>
      </w:r>
      <w:r w:rsidR="00B21C23">
        <w:t>’</w:t>
      </w:r>
      <w:r>
        <w:t>ordre du jour provisoire</w:t>
      </w:r>
    </w:p>
    <w:p w14:paraId="637E60A8" w14:textId="11A4E68F" w:rsidR="003B2B2C" w:rsidRPr="001C3816" w:rsidRDefault="003B2B2C" w:rsidP="003B2B2C">
      <w:pPr>
        <w:rPr>
          <w:rFonts w:eastAsia="MS Mincho"/>
          <w:b/>
          <w:bCs/>
        </w:rPr>
      </w:pPr>
      <w:r>
        <w:rPr>
          <w:b/>
          <w:bCs/>
          <w:lang w:val="fr-FR"/>
        </w:rPr>
        <w:t>Tracteurs agricoles et forestiers et engins mobiles non routiers</w:t>
      </w:r>
      <w:r>
        <w:rPr>
          <w:b/>
          <w:bCs/>
          <w:lang w:val="fr-FR"/>
        </w:rPr>
        <w:t> </w:t>
      </w:r>
      <w:r>
        <w:rPr>
          <w:b/>
          <w:bCs/>
          <w:lang w:val="fr-FR"/>
        </w:rPr>
        <w:t xml:space="preserve">: </w:t>
      </w:r>
      <w:r>
        <w:rPr>
          <w:b/>
          <w:bCs/>
          <w:lang w:val="fr-FR"/>
        </w:rPr>
        <w:br/>
      </w:r>
      <w:r>
        <w:rPr>
          <w:b/>
          <w:bCs/>
          <w:lang w:val="fr-FR"/>
        </w:rPr>
        <w:t>Règlements ONU n</w:t>
      </w:r>
      <w:r w:rsidRPr="00B21C23">
        <w:rPr>
          <w:b/>
          <w:bCs/>
          <w:vertAlign w:val="superscript"/>
          <w:lang w:val="fr-FR"/>
        </w:rPr>
        <w:t>os</w:t>
      </w:r>
      <w:r w:rsidR="00B21C23">
        <w:rPr>
          <w:b/>
          <w:bCs/>
          <w:lang w:val="fr-FR"/>
        </w:rPr>
        <w:t> </w:t>
      </w:r>
      <w:r>
        <w:rPr>
          <w:b/>
          <w:bCs/>
          <w:lang w:val="fr-FR"/>
        </w:rPr>
        <w:t xml:space="preserve">96 (Émissions des moteurs diesel (tracteurs agricoles)) </w:t>
      </w:r>
      <w:r>
        <w:rPr>
          <w:b/>
          <w:bCs/>
          <w:lang w:val="fr-FR"/>
        </w:rPr>
        <w:br/>
      </w:r>
      <w:r>
        <w:rPr>
          <w:b/>
          <w:bCs/>
          <w:lang w:val="fr-FR"/>
        </w:rPr>
        <w:t>et 120 (Puissance nette des tracteurs et des engins mobiles non routiers)</w:t>
      </w:r>
    </w:p>
    <w:p w14:paraId="024F0658" w14:textId="18C95A1B" w:rsidR="003B2B2C" w:rsidRPr="001C3816" w:rsidRDefault="003B2B2C" w:rsidP="003B2B2C">
      <w:pPr>
        <w:pStyle w:val="HChG"/>
      </w:pPr>
      <w:r>
        <w:rPr>
          <w:lang w:val="fr-FR"/>
        </w:rPr>
        <w:tab/>
      </w:r>
      <w:r>
        <w:rPr>
          <w:lang w:val="fr-FR"/>
        </w:rPr>
        <w:tab/>
        <w:t>Proposition de nouveau complément à la série 02 d</w:t>
      </w:r>
      <w:r w:rsidR="00B21C23">
        <w:rPr>
          <w:lang w:val="fr-FR"/>
        </w:rPr>
        <w:t>’</w:t>
      </w:r>
      <w:r>
        <w:rPr>
          <w:lang w:val="fr-FR"/>
        </w:rPr>
        <w:t>amendements au Règlement ONU n</w:t>
      </w:r>
      <w:r w:rsidRPr="00B21C23">
        <w:rPr>
          <w:vertAlign w:val="superscript"/>
          <w:lang w:val="fr-FR"/>
        </w:rPr>
        <w:t>o</w:t>
      </w:r>
      <w:r w:rsidR="00B21C23">
        <w:rPr>
          <w:lang w:val="fr-FR"/>
        </w:rPr>
        <w:t> </w:t>
      </w:r>
      <w:r>
        <w:rPr>
          <w:lang w:val="fr-FR"/>
        </w:rPr>
        <w:t>120 (Prescriptions uniformes relatives à l</w:t>
      </w:r>
      <w:r w:rsidR="00B21C23">
        <w:rPr>
          <w:lang w:val="fr-FR"/>
        </w:rPr>
        <w:t>’</w:t>
      </w:r>
      <w:r>
        <w:rPr>
          <w:lang w:val="fr-FR"/>
        </w:rPr>
        <w:t>homologation des moteurs à</w:t>
      </w:r>
      <w:r w:rsidR="00B21C23">
        <w:rPr>
          <w:lang w:val="fr-FR"/>
        </w:rPr>
        <w:t> </w:t>
      </w:r>
      <w:r>
        <w:rPr>
          <w:lang w:val="fr-FR"/>
        </w:rPr>
        <w:t>combustion interne destinés aux tracteurs agricoles et</w:t>
      </w:r>
      <w:r w:rsidR="00B21C23">
        <w:rPr>
          <w:lang w:val="fr-FR"/>
        </w:rPr>
        <w:t> </w:t>
      </w:r>
      <w:r>
        <w:rPr>
          <w:lang w:val="fr-FR"/>
        </w:rPr>
        <w:t>forestiers ainsi qu</w:t>
      </w:r>
      <w:r w:rsidR="00B21C23">
        <w:rPr>
          <w:lang w:val="fr-FR"/>
        </w:rPr>
        <w:t>’</w:t>
      </w:r>
      <w:r>
        <w:rPr>
          <w:lang w:val="fr-FR"/>
        </w:rPr>
        <w:t xml:space="preserve">aux engins mobiles non routiers </w:t>
      </w:r>
      <w:r w:rsidR="00B21C23">
        <w:rPr>
          <w:lang w:val="fr-FR"/>
        </w:rPr>
        <w:br/>
      </w:r>
      <w:r>
        <w:rPr>
          <w:lang w:val="fr-FR"/>
        </w:rPr>
        <w:t xml:space="preserve">en ce qui concerne la puissance nette, le couple net </w:t>
      </w:r>
      <w:r w:rsidR="00B21C23">
        <w:rPr>
          <w:lang w:val="fr-FR"/>
        </w:rPr>
        <w:br/>
      </w:r>
      <w:r>
        <w:rPr>
          <w:lang w:val="fr-FR"/>
        </w:rPr>
        <w:t>et la consommation spécifique)</w:t>
      </w:r>
    </w:p>
    <w:p w14:paraId="2CB3145E" w14:textId="44594D3C" w:rsidR="003B2B2C" w:rsidRPr="001C3816" w:rsidRDefault="003B2B2C" w:rsidP="003B2B2C">
      <w:pPr>
        <w:pStyle w:val="H1G"/>
      </w:pPr>
      <w:r>
        <w:rPr>
          <w:lang w:val="fr-FR"/>
        </w:rPr>
        <w:tab/>
      </w:r>
      <w:r>
        <w:rPr>
          <w:lang w:val="fr-FR"/>
        </w:rPr>
        <w:tab/>
        <w:t>Communication de l</w:t>
      </w:r>
      <w:r w:rsidR="00B21C23">
        <w:rPr>
          <w:lang w:val="fr-FR"/>
        </w:rPr>
        <w:t>’</w:t>
      </w:r>
      <w:r>
        <w:rPr>
          <w:lang w:val="fr-FR"/>
        </w:rPr>
        <w:t>expert d</w:t>
      </w:r>
      <w:r w:rsidR="00B21C23">
        <w:rPr>
          <w:lang w:val="fr-FR"/>
        </w:rPr>
        <w:t>’</w:t>
      </w:r>
      <w:r>
        <w:rPr>
          <w:lang w:val="fr-FR"/>
        </w:rPr>
        <w:t>Euromot</w:t>
      </w:r>
      <w:r w:rsidRPr="003B2B2C">
        <w:rPr>
          <w:rStyle w:val="Appelnotedebasdep"/>
          <w:b w:val="0"/>
          <w:bCs/>
          <w:sz w:val="20"/>
          <w:vertAlign w:val="baseline"/>
        </w:rPr>
        <w:footnoteReference w:customMarkFollows="1" w:id="2"/>
        <w:t>*</w:t>
      </w:r>
    </w:p>
    <w:p w14:paraId="6D212F0B" w14:textId="4E92AF96" w:rsidR="003B2B2C" w:rsidRDefault="003B2B2C" w:rsidP="003B2B2C">
      <w:pPr>
        <w:pStyle w:val="SingleTxtG"/>
        <w:ind w:firstLine="567"/>
        <w:rPr>
          <w:lang w:val="fr-FR"/>
        </w:rPr>
      </w:pPr>
      <w:r>
        <w:rPr>
          <w:lang w:val="fr-FR"/>
        </w:rPr>
        <w:t>Le texte ci-après a été établi par les experts de la European Association of Internal Combustion Engine Manufacturers (EUROMOT). Il vise à corriger des erreurs d</w:t>
      </w:r>
      <w:r w:rsidR="00B21C23">
        <w:rPr>
          <w:lang w:val="fr-FR"/>
        </w:rPr>
        <w:t>’</w:t>
      </w:r>
      <w:r>
        <w:rPr>
          <w:lang w:val="fr-FR"/>
        </w:rPr>
        <w:t>orthographe et de typographie, ainsi qu</w:t>
      </w:r>
      <w:r w:rsidR="00B21C23">
        <w:rPr>
          <w:lang w:val="fr-FR"/>
        </w:rPr>
        <w:t>’</w:t>
      </w:r>
      <w:r>
        <w:rPr>
          <w:lang w:val="fr-FR"/>
        </w:rPr>
        <w:t>à autoriser l</w:t>
      </w:r>
      <w:r w:rsidR="00B21C23">
        <w:rPr>
          <w:lang w:val="fr-FR"/>
        </w:rPr>
        <w:t>’</w:t>
      </w:r>
      <w:r>
        <w:rPr>
          <w:lang w:val="fr-FR"/>
        </w:rPr>
        <w:t>utilisation de l</w:t>
      </w:r>
      <w:r w:rsidR="00B21C23">
        <w:rPr>
          <w:lang w:val="fr-FR"/>
        </w:rPr>
        <w:t>’</w:t>
      </w:r>
      <w:r>
        <w:rPr>
          <w:lang w:val="fr-FR"/>
        </w:rPr>
        <w:t>hydrogène (H</w:t>
      </w:r>
      <w:r w:rsidRPr="00B21C23">
        <w:rPr>
          <w:vertAlign w:val="subscript"/>
          <w:lang w:val="fr-FR"/>
        </w:rPr>
        <w:t>2</w:t>
      </w:r>
      <w:r>
        <w:rPr>
          <w:lang w:val="fr-FR"/>
        </w:rPr>
        <w:t>) comme carburant dans le cadre de l</w:t>
      </w:r>
      <w:r w:rsidR="00B21C23">
        <w:rPr>
          <w:lang w:val="fr-FR"/>
        </w:rPr>
        <w:t>’</w:t>
      </w:r>
      <w:r>
        <w:rPr>
          <w:lang w:val="fr-FR"/>
        </w:rPr>
        <w:t>homologation des moteurs à combustion interne destinés aux tracteurs agricoles et forestiers ainsi qu</w:t>
      </w:r>
      <w:r w:rsidR="00B21C23">
        <w:rPr>
          <w:lang w:val="fr-FR"/>
        </w:rPr>
        <w:t>’</w:t>
      </w:r>
      <w:r>
        <w:rPr>
          <w:lang w:val="fr-FR"/>
        </w:rPr>
        <w:t>aux engins mobiles non routiers en ce qui concerne la puissance nette, le couple net et la consommation spécifique. Les modifications qu</w:t>
      </w:r>
      <w:r w:rsidR="00B21C23">
        <w:rPr>
          <w:lang w:val="fr-FR"/>
        </w:rPr>
        <w:t>’</w:t>
      </w:r>
      <w:r>
        <w:rPr>
          <w:lang w:val="fr-FR"/>
        </w:rPr>
        <w:t>il est proposé d</w:t>
      </w:r>
      <w:r w:rsidR="00B21C23">
        <w:rPr>
          <w:lang w:val="fr-FR"/>
        </w:rPr>
        <w:t>’</w:t>
      </w:r>
      <w:r>
        <w:rPr>
          <w:lang w:val="fr-FR"/>
        </w:rPr>
        <w:t>apporter au texte actuel du Règlement figurent en caractères gras pour les ajouts et biffés pour les suppressions.</w:t>
      </w:r>
    </w:p>
    <w:p w14:paraId="4893797E" w14:textId="574C9A62" w:rsidR="003B2B2C" w:rsidRDefault="003B2B2C" w:rsidP="003B2B2C">
      <w:pPr>
        <w:pStyle w:val="SingleTxtG"/>
      </w:pPr>
      <w:r>
        <w:br w:type="page"/>
      </w:r>
    </w:p>
    <w:p w14:paraId="2D16A21F" w14:textId="21DA5E6C" w:rsidR="003B2B2C" w:rsidRPr="001C3816" w:rsidRDefault="003B2B2C" w:rsidP="003B2B2C">
      <w:pPr>
        <w:pStyle w:val="HChG"/>
      </w:pPr>
      <w:r>
        <w:rPr>
          <w:lang w:val="fr-FR"/>
        </w:rPr>
        <w:lastRenderedPageBreak/>
        <w:tab/>
      </w:r>
      <w:r>
        <w:rPr>
          <w:lang w:val="fr-FR"/>
        </w:rPr>
        <w:t>I.</w:t>
      </w:r>
      <w:r>
        <w:rPr>
          <w:lang w:val="fr-FR"/>
        </w:rPr>
        <w:tab/>
        <w:t>Proposition</w:t>
      </w:r>
    </w:p>
    <w:p w14:paraId="5856531B" w14:textId="77777777" w:rsidR="003B2B2C" w:rsidRPr="001C3816" w:rsidRDefault="003B2B2C" w:rsidP="003B2B2C">
      <w:pPr>
        <w:pStyle w:val="SingleTxtG"/>
        <w:rPr>
          <w:bCs/>
        </w:rPr>
      </w:pPr>
      <w:bookmarkStart w:id="0" w:name="_Hlk100828880"/>
      <w:r w:rsidRPr="003B2B2C">
        <w:rPr>
          <w:i/>
          <w:iCs/>
          <w:lang w:val="fr-FR"/>
        </w:rPr>
        <w:t>Paragraphe 5.2.1</w:t>
      </w:r>
      <w:r>
        <w:rPr>
          <w:lang w:val="fr-FR"/>
        </w:rPr>
        <w:t>, lire :</w:t>
      </w:r>
    </w:p>
    <w:p w14:paraId="02BF1678" w14:textId="42CB394B" w:rsidR="003B2B2C" w:rsidRPr="001C3816" w:rsidRDefault="003B2B2C" w:rsidP="003B2B2C">
      <w:pPr>
        <w:pStyle w:val="SingleTxtG"/>
        <w:ind w:left="2268" w:hanging="1134"/>
      </w:pPr>
      <w:r>
        <w:rPr>
          <w:lang w:val="fr-FR"/>
        </w:rPr>
        <w:t>« 5.2.1.</w:t>
      </w:r>
      <w:r>
        <w:rPr>
          <w:lang w:val="fr-FR"/>
        </w:rPr>
        <w:tab/>
        <w:t>L</w:t>
      </w:r>
      <w:r w:rsidR="00B21C23">
        <w:rPr>
          <w:lang w:val="fr-FR"/>
        </w:rPr>
        <w:t>’</w:t>
      </w:r>
      <w:r>
        <w:rPr>
          <w:lang w:val="fr-FR"/>
        </w:rPr>
        <w:t>essai de détermination de la puissance nette est exécuté</w:t>
      </w:r>
      <w:r w:rsidR="000563D6">
        <w:rPr>
          <w:lang w:val="fr-FR"/>
        </w:rPr>
        <w:t> </w:t>
      </w:r>
      <w:r>
        <w:rPr>
          <w:lang w:val="fr-FR"/>
        </w:rPr>
        <w:t>:</w:t>
      </w:r>
    </w:p>
    <w:p w14:paraId="77CD9D08" w14:textId="43E6CF1E" w:rsidR="003B2B2C" w:rsidRPr="001C3816" w:rsidRDefault="003B2B2C" w:rsidP="003B2B2C">
      <w:pPr>
        <w:pStyle w:val="SingleTxtG"/>
        <w:ind w:left="2835" w:hanging="567"/>
      </w:pPr>
      <w:r w:rsidRPr="001C3816">
        <w:t>a)</w:t>
      </w:r>
      <w:r w:rsidRPr="001C3816">
        <w:tab/>
      </w:r>
      <w:r>
        <w:rPr>
          <w:lang w:val="fr-FR"/>
        </w:rPr>
        <w:t>Soit à pleine ouverture des gaz pour les moteurs à gestion mécanique à allumage commandé</w:t>
      </w:r>
      <w:r w:rsidR="000563D6">
        <w:rPr>
          <w:lang w:val="fr-FR"/>
        </w:rPr>
        <w:t> </w:t>
      </w:r>
      <w:r>
        <w:rPr>
          <w:b/>
          <w:bCs/>
          <w:lang w:val="fr-FR"/>
        </w:rPr>
        <w:t>;</w:t>
      </w:r>
    </w:p>
    <w:p w14:paraId="260E38E4" w14:textId="0691C8AB" w:rsidR="003B2B2C" w:rsidRPr="001C3816" w:rsidRDefault="003B2B2C" w:rsidP="003B2B2C">
      <w:pPr>
        <w:pStyle w:val="SingleTxtG"/>
        <w:ind w:left="2835" w:hanging="567"/>
      </w:pPr>
      <w:r>
        <w:rPr>
          <w:b/>
          <w:bCs/>
          <w:lang w:val="fr-FR"/>
        </w:rPr>
        <w:t>b)</w:t>
      </w:r>
      <w:r>
        <w:rPr>
          <w:lang w:val="fr-FR"/>
        </w:rPr>
        <w:tab/>
      </w:r>
      <w:r>
        <w:rPr>
          <w:b/>
          <w:bCs/>
          <w:lang w:val="fr-FR"/>
        </w:rPr>
        <w:t>Soit</w:t>
      </w:r>
      <w:r>
        <w:rPr>
          <w:lang w:val="fr-FR"/>
        </w:rPr>
        <w:t xml:space="preserve"> au réglage fixe de pleine charge de la pompe d</w:t>
      </w:r>
      <w:r w:rsidR="00B21C23">
        <w:rPr>
          <w:lang w:val="fr-FR"/>
        </w:rPr>
        <w:t>’</w:t>
      </w:r>
      <w:r>
        <w:rPr>
          <w:lang w:val="fr-FR"/>
        </w:rPr>
        <w:t>injection de carburant pour les moteurs à gestion mécanique à allumage par compression</w:t>
      </w:r>
      <w:r w:rsidR="000563D6">
        <w:rPr>
          <w:lang w:val="fr-FR"/>
        </w:rPr>
        <w:t> </w:t>
      </w:r>
      <w:r>
        <w:rPr>
          <w:lang w:val="fr-FR"/>
        </w:rPr>
        <w:t>;</w:t>
      </w:r>
    </w:p>
    <w:p w14:paraId="0AA94C7C" w14:textId="2C151083" w:rsidR="003B2B2C" w:rsidRPr="001C3816" w:rsidRDefault="003B2B2C" w:rsidP="003B2B2C">
      <w:pPr>
        <w:pStyle w:val="SingleTxtG"/>
        <w:ind w:left="2835" w:hanging="567"/>
      </w:pPr>
      <w:r>
        <w:rPr>
          <w:lang w:val="fr-FR"/>
        </w:rPr>
        <w:t>c)</w:t>
      </w:r>
      <w:r>
        <w:rPr>
          <w:lang w:val="fr-FR"/>
        </w:rPr>
        <w:tab/>
        <w:t>Soit aux réglages du système d</w:t>
      </w:r>
      <w:r w:rsidR="00B21C23">
        <w:rPr>
          <w:lang w:val="fr-FR"/>
        </w:rPr>
        <w:t>’</w:t>
      </w:r>
      <w:r>
        <w:rPr>
          <w:lang w:val="fr-FR"/>
        </w:rPr>
        <w:t>injection de carburant prescrits pour produire la puissance spécifiée par le constructeur pour les moteurs à gestion électronique.</w:t>
      </w:r>
    </w:p>
    <w:p w14:paraId="1BE7F9BB" w14:textId="5D63BC39" w:rsidR="003B2B2C" w:rsidRPr="001C3816" w:rsidRDefault="003B2B2C" w:rsidP="003B2B2C">
      <w:pPr>
        <w:pStyle w:val="SingleTxtG"/>
        <w:ind w:left="2268"/>
      </w:pPr>
      <w:r>
        <w:rPr>
          <w:lang w:val="fr-FR"/>
        </w:rPr>
        <w:t>Le moteur est muni des auxiliaires et équipements énumérés dans le tableau 1 de l</w:t>
      </w:r>
      <w:r w:rsidR="00B21C23">
        <w:rPr>
          <w:lang w:val="fr-FR"/>
        </w:rPr>
        <w:t>’</w:t>
      </w:r>
      <w:r>
        <w:rPr>
          <w:lang w:val="fr-FR"/>
        </w:rPr>
        <w:t>annexe 4 du présent Règlement. ».</w:t>
      </w:r>
    </w:p>
    <w:p w14:paraId="2D6435C1" w14:textId="1F5C0BC3" w:rsidR="003B2B2C" w:rsidRPr="001C3816" w:rsidRDefault="003B2B2C" w:rsidP="003B2B2C">
      <w:pPr>
        <w:pStyle w:val="SingleTxtG"/>
      </w:pPr>
      <w:r>
        <w:rPr>
          <w:i/>
          <w:iCs/>
          <w:lang w:val="fr-FR"/>
        </w:rPr>
        <w:t>Paragraphe 5.2.3</w:t>
      </w:r>
      <w:r>
        <w:rPr>
          <w:lang w:val="fr-FR"/>
        </w:rPr>
        <w:t>, lire</w:t>
      </w:r>
      <w:r>
        <w:rPr>
          <w:lang w:val="fr-FR"/>
        </w:rPr>
        <w:t> </w:t>
      </w:r>
      <w:r>
        <w:rPr>
          <w:lang w:val="fr-FR"/>
        </w:rPr>
        <w:t>:</w:t>
      </w:r>
      <w:bookmarkEnd w:id="0"/>
    </w:p>
    <w:p w14:paraId="786EF724" w14:textId="4C95838F" w:rsidR="003B2B2C" w:rsidRPr="001C3816" w:rsidRDefault="003B2B2C" w:rsidP="003B2B2C">
      <w:pPr>
        <w:pStyle w:val="SingleTxtG"/>
        <w:ind w:left="2268" w:hanging="1134"/>
        <w:rPr>
          <w:spacing w:val="-2"/>
        </w:rPr>
      </w:pPr>
      <w:r>
        <w:rPr>
          <w:lang w:val="fr-FR"/>
        </w:rPr>
        <w:t>« 5.2.3.</w:t>
      </w:r>
      <w:r>
        <w:rPr>
          <w:lang w:val="fr-FR"/>
        </w:rPr>
        <w:tab/>
        <w:t>L</w:t>
      </w:r>
      <w:r w:rsidR="00B21C23">
        <w:rPr>
          <w:lang w:val="fr-FR"/>
        </w:rPr>
        <w:t>’</w:t>
      </w:r>
      <w:r>
        <w:rPr>
          <w:lang w:val="fr-FR"/>
        </w:rPr>
        <w:t>essai d</w:t>
      </w:r>
      <w:r w:rsidR="00B21C23">
        <w:rPr>
          <w:lang w:val="fr-FR"/>
        </w:rPr>
        <w:t>’</w:t>
      </w:r>
      <w:r>
        <w:rPr>
          <w:lang w:val="fr-FR"/>
        </w:rPr>
        <w:t>un type de moteur ou d</w:t>
      </w:r>
      <w:r w:rsidR="00B21C23">
        <w:rPr>
          <w:lang w:val="fr-FR"/>
        </w:rPr>
        <w:t>’</w:t>
      </w:r>
      <w:r>
        <w:rPr>
          <w:lang w:val="fr-FR"/>
        </w:rPr>
        <w:t>une famille de moteurs est réalisé en utilisant, selon qu</w:t>
      </w:r>
      <w:r w:rsidR="00B21C23">
        <w:rPr>
          <w:lang w:val="fr-FR"/>
        </w:rPr>
        <w:t>’</w:t>
      </w:r>
      <w:r>
        <w:rPr>
          <w:lang w:val="fr-FR"/>
        </w:rPr>
        <w:t>il convient, les carburants ou les mélanges de carburants de référence suivants décrits à l</w:t>
      </w:r>
      <w:r w:rsidR="00B21C23">
        <w:rPr>
          <w:lang w:val="fr-FR"/>
        </w:rPr>
        <w:t>’</w:t>
      </w:r>
      <w:r>
        <w:rPr>
          <w:lang w:val="fr-FR"/>
        </w:rPr>
        <w:t xml:space="preserve">annexe 7 : </w:t>
      </w:r>
    </w:p>
    <w:p w14:paraId="540C0B99" w14:textId="3EA616F5" w:rsidR="003B2B2C" w:rsidRPr="001C3816" w:rsidRDefault="003B2B2C" w:rsidP="003B2B2C">
      <w:pPr>
        <w:pStyle w:val="SingleTxtG"/>
        <w:ind w:left="2835" w:hanging="567"/>
        <w:rPr>
          <w:spacing w:val="-2"/>
        </w:rPr>
      </w:pPr>
      <w:r>
        <w:rPr>
          <w:lang w:val="fr-FR"/>
        </w:rPr>
        <w:t>a)</w:t>
      </w:r>
      <w:r>
        <w:rPr>
          <w:lang w:val="fr-FR"/>
        </w:rPr>
        <w:tab/>
        <w:t>Gazole</w:t>
      </w:r>
      <w:r w:rsidR="000563D6">
        <w:rPr>
          <w:lang w:val="fr-FR"/>
        </w:rPr>
        <w:t> </w:t>
      </w:r>
      <w:r>
        <w:rPr>
          <w:lang w:val="fr-FR"/>
        </w:rPr>
        <w:t xml:space="preserve">; </w:t>
      </w:r>
    </w:p>
    <w:p w14:paraId="6D25DF98" w14:textId="04CB9118" w:rsidR="003B2B2C" w:rsidRPr="001C3816" w:rsidRDefault="003B2B2C" w:rsidP="003B2B2C">
      <w:pPr>
        <w:pStyle w:val="SingleTxtG"/>
        <w:ind w:left="2835" w:hanging="567"/>
        <w:rPr>
          <w:spacing w:val="-2"/>
        </w:rPr>
      </w:pPr>
      <w:r>
        <w:rPr>
          <w:lang w:val="fr-FR"/>
        </w:rPr>
        <w:t>b)</w:t>
      </w:r>
      <w:r>
        <w:rPr>
          <w:lang w:val="fr-FR"/>
        </w:rPr>
        <w:tab/>
        <w:t xml:space="preserve">Essence ; </w:t>
      </w:r>
    </w:p>
    <w:p w14:paraId="60FFC373" w14:textId="108A0244" w:rsidR="003B2B2C" w:rsidRPr="001C3816" w:rsidRDefault="003B2B2C" w:rsidP="003B2B2C">
      <w:pPr>
        <w:pStyle w:val="SingleTxtG"/>
        <w:ind w:left="2835" w:hanging="567"/>
        <w:rPr>
          <w:spacing w:val="-2"/>
        </w:rPr>
      </w:pPr>
      <w:r>
        <w:rPr>
          <w:lang w:val="fr-FR"/>
        </w:rPr>
        <w:t>c)</w:t>
      </w:r>
      <w:r>
        <w:rPr>
          <w:lang w:val="fr-FR"/>
        </w:rPr>
        <w:tab/>
        <w:t xml:space="preserve">Mélange essence/huile pour moteurs à deux temps à allumage commandé ; </w:t>
      </w:r>
    </w:p>
    <w:p w14:paraId="4EFA0F15" w14:textId="19859531" w:rsidR="003B2B2C" w:rsidRPr="001C3816" w:rsidRDefault="003B2B2C" w:rsidP="003B2B2C">
      <w:pPr>
        <w:pStyle w:val="SingleTxtG"/>
        <w:ind w:left="2835" w:hanging="567"/>
        <w:rPr>
          <w:spacing w:val="-2"/>
        </w:rPr>
      </w:pPr>
      <w:r>
        <w:rPr>
          <w:lang w:val="fr-FR"/>
        </w:rPr>
        <w:t>d)</w:t>
      </w:r>
      <w:r>
        <w:rPr>
          <w:lang w:val="fr-FR"/>
        </w:rPr>
        <w:tab/>
        <w:t xml:space="preserve">Gaz naturel/biométhane ; </w:t>
      </w:r>
    </w:p>
    <w:p w14:paraId="6A217F94" w14:textId="34B92BE7" w:rsidR="003B2B2C" w:rsidRPr="001C3816" w:rsidRDefault="003B2B2C" w:rsidP="003B2B2C">
      <w:pPr>
        <w:pStyle w:val="SingleTxtG"/>
        <w:ind w:left="2835" w:hanging="567"/>
        <w:rPr>
          <w:spacing w:val="-2"/>
        </w:rPr>
      </w:pPr>
      <w:r>
        <w:rPr>
          <w:lang w:val="fr-FR"/>
        </w:rPr>
        <w:t>e)</w:t>
      </w:r>
      <w:r>
        <w:rPr>
          <w:lang w:val="fr-FR"/>
        </w:rPr>
        <w:tab/>
        <w:t xml:space="preserve">Gaz de pétrole liquéfié (GPL) ; </w:t>
      </w:r>
    </w:p>
    <w:p w14:paraId="222840A3" w14:textId="28ABA495" w:rsidR="003B2B2C" w:rsidRPr="001C3816" w:rsidRDefault="003B2B2C" w:rsidP="003B2B2C">
      <w:pPr>
        <w:pStyle w:val="SingleTxtG"/>
        <w:ind w:left="2835" w:hanging="567"/>
        <w:rPr>
          <w:spacing w:val="-2"/>
        </w:rPr>
      </w:pPr>
      <w:r>
        <w:rPr>
          <w:lang w:val="fr-FR"/>
        </w:rPr>
        <w:t>f)</w:t>
      </w:r>
      <w:r>
        <w:rPr>
          <w:lang w:val="fr-FR"/>
        </w:rPr>
        <w:tab/>
        <w:t>Éthanol</w:t>
      </w:r>
      <w:r>
        <w:rPr>
          <w:lang w:val="fr-FR"/>
        </w:rPr>
        <w:t> </w:t>
      </w:r>
      <w:r>
        <w:rPr>
          <w:lang w:val="fr-FR"/>
        </w:rPr>
        <w:t>;</w:t>
      </w:r>
    </w:p>
    <w:p w14:paraId="7D4467F5" w14:textId="77777777" w:rsidR="003B2B2C" w:rsidRPr="001C3816" w:rsidRDefault="003B2B2C" w:rsidP="003B2B2C">
      <w:pPr>
        <w:pStyle w:val="SingleTxtG"/>
        <w:ind w:left="2835" w:hanging="567"/>
        <w:rPr>
          <w:b/>
          <w:bCs/>
          <w:spacing w:val="-2"/>
        </w:rPr>
      </w:pPr>
      <w:r>
        <w:rPr>
          <w:b/>
          <w:bCs/>
          <w:lang w:val="fr-FR"/>
        </w:rPr>
        <w:t>g)</w:t>
      </w:r>
      <w:r>
        <w:rPr>
          <w:lang w:val="fr-FR"/>
        </w:rPr>
        <w:tab/>
      </w:r>
      <w:r>
        <w:rPr>
          <w:b/>
          <w:bCs/>
          <w:lang w:val="fr-FR"/>
        </w:rPr>
        <w:t>Hydrogène.</w:t>
      </w:r>
    </w:p>
    <w:p w14:paraId="44550B6E" w14:textId="5C899622" w:rsidR="003B2B2C" w:rsidRPr="001C3816" w:rsidRDefault="003B2B2C" w:rsidP="003B2B2C">
      <w:pPr>
        <w:pStyle w:val="SingleTxtG"/>
        <w:ind w:left="2268"/>
        <w:rPr>
          <w:spacing w:val="-2"/>
        </w:rPr>
      </w:pPr>
      <w:r>
        <w:rPr>
          <w:lang w:val="fr-FR"/>
        </w:rPr>
        <w:t>Le type de moteur ou la famille de moteurs respecte en outre les prescriptions énoncées au paragraphe 5.1.1 concernant tout autre carburant, mélange de carburants ou émulsion de carburant indiqué par un fabricant dans une demande d</w:t>
      </w:r>
      <w:r w:rsidR="00B21C23">
        <w:rPr>
          <w:lang w:val="fr-FR"/>
        </w:rPr>
        <w:t>’</w:t>
      </w:r>
      <w:r>
        <w:rPr>
          <w:lang w:val="fr-FR"/>
        </w:rPr>
        <w:t>homologation de type et décrit à l</w:t>
      </w:r>
      <w:r w:rsidR="00B21C23">
        <w:rPr>
          <w:lang w:val="fr-FR"/>
        </w:rPr>
        <w:t>’</w:t>
      </w:r>
      <w:r>
        <w:rPr>
          <w:lang w:val="fr-FR"/>
        </w:rPr>
        <w:t>annexe 1 du présent Règlement. ».</w:t>
      </w:r>
    </w:p>
    <w:p w14:paraId="0DA44452" w14:textId="18A895BB" w:rsidR="003B2B2C" w:rsidRPr="001C3816" w:rsidRDefault="003B2B2C" w:rsidP="003B2B2C">
      <w:pPr>
        <w:pStyle w:val="SingleTxtG"/>
      </w:pPr>
      <w:bookmarkStart w:id="1" w:name="_Toc494903432"/>
      <w:bookmarkStart w:id="2" w:name="_Toc495070765"/>
      <w:r>
        <w:rPr>
          <w:i/>
          <w:iCs/>
          <w:lang w:val="fr-FR"/>
        </w:rPr>
        <w:t>Annexe 1, appendice A.1, paragraphe 2.8.1</w:t>
      </w:r>
      <w:r>
        <w:rPr>
          <w:lang w:val="fr-FR"/>
        </w:rPr>
        <w:t>, lire</w:t>
      </w:r>
      <w:r w:rsidR="000563D6">
        <w:rPr>
          <w:lang w:val="fr-FR"/>
        </w:rPr>
        <w:t> </w:t>
      </w:r>
      <w:r>
        <w:rPr>
          <w:lang w:val="fr-FR"/>
        </w:rPr>
        <w:t>:</w:t>
      </w:r>
    </w:p>
    <w:bookmarkEnd w:id="1"/>
    <w:bookmarkEnd w:id="2"/>
    <w:p w14:paraId="71DDAA98" w14:textId="735D4A67" w:rsidR="003B2B2C" w:rsidRPr="001C3816" w:rsidRDefault="003B2B2C" w:rsidP="003B2B2C">
      <w:pPr>
        <w:pStyle w:val="SingleTxtG"/>
        <w:ind w:left="2268" w:hanging="1134"/>
        <w:rPr>
          <w:spacing w:val="-2"/>
        </w:rPr>
      </w:pPr>
      <w:r>
        <w:rPr>
          <w:lang w:val="fr-FR"/>
        </w:rPr>
        <w:t>« 2.8.1.</w:t>
      </w:r>
      <w:r>
        <w:rPr>
          <w:lang w:val="fr-FR"/>
        </w:rPr>
        <w:tab/>
        <w:t>Type de carburant</w:t>
      </w:r>
      <w:r w:rsidRPr="006B3FCB">
        <w:rPr>
          <w:sz w:val="18"/>
          <w:szCs w:val="18"/>
          <w:vertAlign w:val="superscript"/>
          <w:lang w:val="fr-FR"/>
        </w:rPr>
        <w:t>1</w:t>
      </w:r>
      <w:r w:rsidR="000563D6" w:rsidRPr="000563D6">
        <w:rPr>
          <w:lang w:val="fr-FR"/>
        </w:rPr>
        <w:t> </w:t>
      </w:r>
      <w:r>
        <w:rPr>
          <w:lang w:val="fr-FR"/>
        </w:rPr>
        <w:t>: diesel (gazole non routier)/éthanol pour moteurs à allumage par compression spécialement adaptés (ED95)/essence (E10)</w:t>
      </w:r>
      <w:r w:rsidR="0068648D">
        <w:rPr>
          <w:lang w:val="fr-FR"/>
        </w:rPr>
        <w:t>/</w:t>
      </w:r>
      <w:r>
        <w:rPr>
          <w:lang w:val="fr-FR"/>
        </w:rPr>
        <w:t>éthanol</w:t>
      </w:r>
      <w:r w:rsidR="0068648D">
        <w:rPr>
          <w:lang w:val="fr-FR"/>
        </w:rPr>
        <w:t xml:space="preserve"> </w:t>
      </w:r>
      <w:r>
        <w:rPr>
          <w:lang w:val="fr-FR"/>
        </w:rPr>
        <w:t>(E85)/(gaz naturel/biométhane)/gaz de pétrole liquéfié (GPL)</w:t>
      </w:r>
      <w:r>
        <w:rPr>
          <w:b/>
          <w:bCs/>
          <w:lang w:val="fr-FR"/>
        </w:rPr>
        <w:t>/hydrogène</w:t>
      </w:r>
      <w:r>
        <w:rPr>
          <w:lang w:val="fr-FR"/>
        </w:rPr>
        <w:t> ».</w:t>
      </w:r>
    </w:p>
    <w:p w14:paraId="5FE67AE2" w14:textId="6349909A" w:rsidR="003B2B2C" w:rsidRPr="001C3816" w:rsidRDefault="003B2B2C" w:rsidP="003B2B2C">
      <w:pPr>
        <w:pStyle w:val="SingleTxtG"/>
      </w:pPr>
      <w:r>
        <w:rPr>
          <w:i/>
          <w:iCs/>
          <w:lang w:val="fr-FR"/>
        </w:rPr>
        <w:t>Annexe 1, appendice A.1, paragraphe 3.14.1</w:t>
      </w:r>
      <w:r>
        <w:rPr>
          <w:lang w:val="fr-FR"/>
        </w:rPr>
        <w:t>, lire</w:t>
      </w:r>
      <w:r w:rsidR="000563D6">
        <w:rPr>
          <w:lang w:val="fr-FR"/>
        </w:rPr>
        <w:t> </w:t>
      </w:r>
      <w:r>
        <w:rPr>
          <w:lang w:val="fr-FR"/>
        </w:rPr>
        <w:t>:</w:t>
      </w:r>
    </w:p>
    <w:p w14:paraId="28051F12" w14:textId="77777777" w:rsidR="003B2B2C" w:rsidRDefault="003B2B2C" w:rsidP="003B2B2C">
      <w:pPr>
        <w:rPr>
          <w:spacing w:val="-2"/>
          <w:lang w:eastAsia="en-GB"/>
        </w:rPr>
      </w:pPr>
      <w:r w:rsidRPr="0020651F">
        <w:rPr>
          <w:lang w:val="fr-FR" w:eastAsia="fr-FR"/>
        </w:rPr>
        <w:t>«</w:t>
      </w:r>
      <w:r>
        <w:rPr>
          <w:spacing w:val="-2"/>
          <w:lang w:eastAsia="en-GB"/>
        </w:rPr>
        <w:t> </w:t>
      </w:r>
    </w:p>
    <w:tbl>
      <w:tblPr>
        <w:tblStyle w:val="Grilledutableau"/>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3B2B2C" w:rsidRPr="003B2B2C" w14:paraId="533EB223" w14:textId="77777777" w:rsidTr="009634C1">
        <w:tc>
          <w:tcPr>
            <w:tcW w:w="996" w:type="dxa"/>
            <w:vAlign w:val="center"/>
          </w:tcPr>
          <w:p w14:paraId="3DD4E7FE" w14:textId="0497AC63" w:rsidR="003B2B2C" w:rsidRPr="009B2DA4" w:rsidRDefault="003B2B2C" w:rsidP="009634C1">
            <w:pPr>
              <w:spacing w:before="40" w:after="40" w:line="220" w:lineRule="exact"/>
              <w:ind w:left="57"/>
              <w:rPr>
                <w:b/>
                <w:spacing w:val="-2"/>
                <w:lang w:eastAsia="en-GB"/>
              </w:rPr>
            </w:pPr>
            <w:r>
              <w:rPr>
                <w:lang w:val="fr-FR"/>
              </w:rPr>
              <w:t>3.14.1.</w:t>
            </w:r>
          </w:p>
        </w:tc>
        <w:tc>
          <w:tcPr>
            <w:tcW w:w="3827" w:type="dxa"/>
            <w:vAlign w:val="center"/>
          </w:tcPr>
          <w:p w14:paraId="2BD4E081" w14:textId="5CFC579D" w:rsidR="003B2B2C" w:rsidRPr="003B2B2C" w:rsidRDefault="003B2B2C" w:rsidP="009634C1">
            <w:pPr>
              <w:spacing w:before="40" w:after="40" w:line="220" w:lineRule="exact"/>
              <w:ind w:left="57"/>
              <w:rPr>
                <w:b/>
                <w:spacing w:val="-2"/>
                <w:lang w:eastAsia="en-GB"/>
              </w:rPr>
            </w:pPr>
            <w:r w:rsidRPr="001C3816">
              <w:t>Carburant</w:t>
            </w:r>
            <w:r w:rsidR="000563D6">
              <w:t> </w:t>
            </w:r>
            <w:r w:rsidRPr="001C3816">
              <w:t>: GPL/GN-H/GN-L/</w:t>
            </w:r>
            <w:r w:rsidR="0068648D">
              <w:br/>
            </w:r>
            <w:r w:rsidRPr="001C3816">
              <w:t>GNHL/GNL/GNL spécifique</w:t>
            </w:r>
            <w:r w:rsidRPr="001C3816">
              <w:rPr>
                <w:b/>
                <w:bCs/>
              </w:rPr>
              <w:t>/ hydrogène</w:t>
            </w:r>
          </w:p>
        </w:tc>
        <w:tc>
          <w:tcPr>
            <w:tcW w:w="718" w:type="dxa"/>
            <w:vAlign w:val="center"/>
          </w:tcPr>
          <w:p w14:paraId="20B5778D" w14:textId="77777777" w:rsidR="003B2B2C" w:rsidRPr="003B2B2C" w:rsidRDefault="003B2B2C" w:rsidP="009634C1">
            <w:pPr>
              <w:spacing w:before="40" w:after="40" w:line="220" w:lineRule="exact"/>
              <w:ind w:left="57"/>
              <w:rPr>
                <w:spacing w:val="-2"/>
                <w:lang w:eastAsia="en-GB"/>
              </w:rPr>
            </w:pPr>
          </w:p>
        </w:tc>
        <w:tc>
          <w:tcPr>
            <w:tcW w:w="512" w:type="dxa"/>
            <w:vAlign w:val="center"/>
          </w:tcPr>
          <w:p w14:paraId="6CB82906" w14:textId="77777777" w:rsidR="003B2B2C" w:rsidRPr="003B2B2C" w:rsidRDefault="003B2B2C" w:rsidP="009634C1">
            <w:pPr>
              <w:spacing w:before="40" w:after="40" w:line="220" w:lineRule="exact"/>
              <w:ind w:left="57"/>
              <w:rPr>
                <w:spacing w:val="-2"/>
                <w:lang w:eastAsia="en-GB"/>
              </w:rPr>
            </w:pPr>
          </w:p>
        </w:tc>
        <w:tc>
          <w:tcPr>
            <w:tcW w:w="512" w:type="dxa"/>
            <w:vAlign w:val="center"/>
          </w:tcPr>
          <w:p w14:paraId="700AABFC" w14:textId="77777777" w:rsidR="003B2B2C" w:rsidRPr="003B2B2C" w:rsidRDefault="003B2B2C" w:rsidP="009634C1">
            <w:pPr>
              <w:spacing w:before="40" w:after="40" w:line="220" w:lineRule="exact"/>
              <w:ind w:left="57"/>
              <w:rPr>
                <w:spacing w:val="-2"/>
                <w:lang w:eastAsia="en-GB"/>
              </w:rPr>
            </w:pPr>
          </w:p>
        </w:tc>
        <w:tc>
          <w:tcPr>
            <w:tcW w:w="512" w:type="dxa"/>
            <w:vAlign w:val="center"/>
          </w:tcPr>
          <w:p w14:paraId="6474D676" w14:textId="77777777" w:rsidR="003B2B2C" w:rsidRPr="003B2B2C" w:rsidRDefault="003B2B2C" w:rsidP="009634C1">
            <w:pPr>
              <w:spacing w:before="40" w:after="40" w:line="220" w:lineRule="exact"/>
              <w:ind w:left="57"/>
              <w:rPr>
                <w:spacing w:val="-2"/>
                <w:lang w:eastAsia="en-GB"/>
              </w:rPr>
            </w:pPr>
          </w:p>
        </w:tc>
        <w:tc>
          <w:tcPr>
            <w:tcW w:w="512" w:type="dxa"/>
            <w:vAlign w:val="center"/>
          </w:tcPr>
          <w:p w14:paraId="715446B4" w14:textId="77777777" w:rsidR="003B2B2C" w:rsidRPr="003B2B2C" w:rsidRDefault="003B2B2C" w:rsidP="009634C1">
            <w:pPr>
              <w:spacing w:before="40" w:after="40" w:line="220" w:lineRule="exact"/>
              <w:ind w:left="57"/>
              <w:rPr>
                <w:spacing w:val="-2"/>
                <w:lang w:eastAsia="en-GB"/>
              </w:rPr>
            </w:pPr>
          </w:p>
        </w:tc>
        <w:tc>
          <w:tcPr>
            <w:tcW w:w="2050" w:type="dxa"/>
            <w:vAlign w:val="center"/>
          </w:tcPr>
          <w:p w14:paraId="49295F6D" w14:textId="77777777" w:rsidR="003B2B2C" w:rsidRPr="003B2B2C" w:rsidRDefault="003B2B2C" w:rsidP="009634C1">
            <w:pPr>
              <w:spacing w:before="40" w:after="40" w:line="220" w:lineRule="exact"/>
              <w:ind w:left="57"/>
              <w:rPr>
                <w:spacing w:val="-2"/>
                <w:lang w:eastAsia="en-GB"/>
              </w:rPr>
            </w:pPr>
          </w:p>
        </w:tc>
      </w:tr>
    </w:tbl>
    <w:p w14:paraId="485BE111" w14:textId="77777777" w:rsidR="003B2B2C" w:rsidRPr="0020651F" w:rsidRDefault="003B2B2C" w:rsidP="003B2B2C">
      <w:pPr>
        <w:jc w:val="right"/>
        <w:rPr>
          <w:lang w:eastAsia="en-GB"/>
        </w:rPr>
      </w:pPr>
      <w:r w:rsidRPr="00495CEF">
        <w:t> </w:t>
      </w:r>
      <w:r>
        <w:rPr>
          <w:lang w:val="fr-FR"/>
        </w:rPr>
        <w:t>».</w:t>
      </w:r>
    </w:p>
    <w:p w14:paraId="07D633F4" w14:textId="57F04586" w:rsidR="003B2B2C" w:rsidRPr="001C3816" w:rsidRDefault="003B2B2C" w:rsidP="003B2B2C">
      <w:pPr>
        <w:pStyle w:val="SingleTxtG"/>
      </w:pPr>
      <w:r>
        <w:rPr>
          <w:i/>
          <w:iCs/>
          <w:lang w:val="fr-FR"/>
        </w:rPr>
        <w:t>Annexe 2, paragraphe 2.8.1</w:t>
      </w:r>
      <w:r>
        <w:rPr>
          <w:lang w:val="fr-FR"/>
        </w:rPr>
        <w:t>, lire</w:t>
      </w:r>
      <w:r w:rsidR="000563D6">
        <w:rPr>
          <w:lang w:val="fr-FR"/>
        </w:rPr>
        <w:t> </w:t>
      </w:r>
      <w:r>
        <w:rPr>
          <w:lang w:val="fr-FR"/>
        </w:rPr>
        <w:t>:</w:t>
      </w:r>
    </w:p>
    <w:p w14:paraId="3F93C4E6" w14:textId="439D9C01" w:rsidR="003B2B2C" w:rsidRPr="001C3816" w:rsidRDefault="003B2B2C" w:rsidP="003B2B2C">
      <w:pPr>
        <w:pStyle w:val="SingleTxtG"/>
        <w:ind w:left="2268" w:hanging="1134"/>
        <w:rPr>
          <w:spacing w:val="-2"/>
        </w:rPr>
      </w:pPr>
      <w:r>
        <w:rPr>
          <w:lang w:val="fr-FR"/>
        </w:rPr>
        <w:t>« 2.8.1.</w:t>
      </w:r>
      <w:r>
        <w:rPr>
          <w:lang w:val="fr-FR"/>
        </w:rPr>
        <w:tab/>
        <w:t>Type(s) de carburant</w:t>
      </w:r>
      <w:r w:rsidR="000563D6">
        <w:rPr>
          <w:lang w:val="fr-FR"/>
        </w:rPr>
        <w:t> </w:t>
      </w:r>
      <w:r>
        <w:rPr>
          <w:lang w:val="fr-FR"/>
        </w:rPr>
        <w:t>: diesel (gazole non routier)/éthanol pour moteurs à allumage par compression spécialement adaptés (ED95)/essence (E10)/éthanol (E85)/(gaz naturel/biométhane)/gaz de pétrole liquéfié (GPL)</w:t>
      </w:r>
      <w:r w:rsidRPr="006B3FCB">
        <w:rPr>
          <w:sz w:val="18"/>
          <w:szCs w:val="18"/>
          <w:vertAlign w:val="superscript"/>
          <w:lang w:val="fr-FR"/>
        </w:rPr>
        <w:t>2</w:t>
      </w:r>
      <w:r>
        <w:rPr>
          <w:b/>
          <w:bCs/>
          <w:lang w:val="fr-FR"/>
        </w:rPr>
        <w:t>/hydrogène</w:t>
      </w:r>
      <w:bookmarkStart w:id="3" w:name="_Toc494903436"/>
      <w:bookmarkStart w:id="4" w:name="_Toc495070769"/>
      <w:r>
        <w:rPr>
          <w:lang w:val="fr-FR"/>
        </w:rPr>
        <w:t> ».</w:t>
      </w:r>
    </w:p>
    <w:p w14:paraId="22F57A4E" w14:textId="43CAB11F" w:rsidR="003B2B2C" w:rsidRPr="001C3816" w:rsidRDefault="003B2B2C" w:rsidP="0068648D">
      <w:pPr>
        <w:pStyle w:val="SingleTxtG"/>
        <w:keepNext/>
      </w:pPr>
      <w:bookmarkStart w:id="5" w:name="_Hlk138830655"/>
      <w:r>
        <w:rPr>
          <w:i/>
          <w:iCs/>
          <w:lang w:val="fr-FR"/>
        </w:rPr>
        <w:lastRenderedPageBreak/>
        <w:t xml:space="preserve">Annexe 2, appendice A.1 </w:t>
      </w:r>
      <w:r>
        <w:rPr>
          <w:i/>
          <w:iCs/>
          <w:lang w:val="fr-FR"/>
        </w:rPr>
        <w:t>−</w:t>
      </w:r>
      <w:r>
        <w:rPr>
          <w:i/>
          <w:iCs/>
          <w:lang w:val="fr-FR"/>
        </w:rPr>
        <w:t xml:space="preserve"> Modèle de procès-verbal d</w:t>
      </w:r>
      <w:r w:rsidR="00B21C23">
        <w:rPr>
          <w:i/>
          <w:iCs/>
          <w:lang w:val="fr-FR"/>
        </w:rPr>
        <w:t>’</w:t>
      </w:r>
      <w:r>
        <w:rPr>
          <w:i/>
          <w:iCs/>
          <w:lang w:val="fr-FR"/>
        </w:rPr>
        <w:t>essai A.1.3</w:t>
      </w:r>
      <w:r>
        <w:rPr>
          <w:lang w:val="fr-FR"/>
        </w:rPr>
        <w:t>, ajouter un nouveau paragraphe libellé comme suit</w:t>
      </w:r>
      <w:r>
        <w:rPr>
          <w:lang w:val="fr-FR"/>
        </w:rPr>
        <w:t> </w:t>
      </w:r>
      <w:r>
        <w:rPr>
          <w:lang w:val="fr-FR"/>
        </w:rPr>
        <w:t>:</w:t>
      </w:r>
      <w:bookmarkEnd w:id="3"/>
      <w:bookmarkEnd w:id="4"/>
      <w:bookmarkEnd w:id="5"/>
    </w:p>
    <w:p w14:paraId="3E61D881" w14:textId="5A73AAD1" w:rsidR="003B2B2C" w:rsidRPr="001C3816" w:rsidRDefault="003B2B2C" w:rsidP="0068648D">
      <w:pPr>
        <w:pStyle w:val="SingleTxtG"/>
        <w:keepNext/>
        <w:ind w:left="2268" w:hanging="1134"/>
        <w:rPr>
          <w:spacing w:val="-2"/>
        </w:rPr>
      </w:pPr>
      <w:r>
        <w:rPr>
          <w:lang w:val="fr-FR"/>
        </w:rPr>
        <w:t>« </w:t>
      </w:r>
      <w:r w:rsidRPr="003B2B2C">
        <w:rPr>
          <w:b/>
          <w:bCs/>
          <w:lang w:val="fr-FR"/>
        </w:rPr>
        <w:t>4.5.</w:t>
      </w:r>
      <w:r w:rsidRPr="003B2B2C">
        <w:rPr>
          <w:b/>
          <w:bCs/>
          <w:lang w:val="fr-FR"/>
        </w:rPr>
        <w:tab/>
        <w:t xml:space="preserve">Carburant gazeux </w:t>
      </w:r>
      <w:r>
        <w:rPr>
          <w:b/>
          <w:bCs/>
          <w:lang w:val="fr-FR"/>
        </w:rPr>
        <w:t>−</w:t>
      </w:r>
      <w:r w:rsidRPr="003B2B2C">
        <w:rPr>
          <w:b/>
          <w:bCs/>
          <w:lang w:val="fr-FR"/>
        </w:rPr>
        <w:t xml:space="preserve"> Hydrogène</w:t>
      </w:r>
    </w:p>
    <w:p w14:paraId="4ABBA25B" w14:textId="34CD0C26" w:rsidR="003B2B2C" w:rsidRPr="001C3816" w:rsidRDefault="003B2B2C" w:rsidP="0068648D">
      <w:pPr>
        <w:pStyle w:val="SingleTxtG"/>
        <w:keepNext/>
        <w:tabs>
          <w:tab w:val="right" w:leader="dot" w:pos="8505"/>
        </w:tabs>
        <w:ind w:left="2268" w:hanging="1134"/>
        <w:rPr>
          <w:b/>
          <w:bCs/>
          <w:spacing w:val="-2"/>
        </w:rPr>
      </w:pPr>
      <w:r>
        <w:rPr>
          <w:b/>
          <w:bCs/>
          <w:lang w:val="fr-FR"/>
        </w:rPr>
        <w:t>4.5.1.</w:t>
      </w:r>
      <w:r>
        <w:rPr>
          <w:lang w:val="fr-FR"/>
        </w:rPr>
        <w:tab/>
      </w:r>
      <w:r>
        <w:rPr>
          <w:b/>
          <w:bCs/>
          <w:lang w:val="fr-FR"/>
        </w:rPr>
        <w:t>Marque</w:t>
      </w:r>
      <w:r w:rsidR="000563D6">
        <w:rPr>
          <w:b/>
          <w:bCs/>
          <w:lang w:val="fr-FR"/>
        </w:rPr>
        <w:t> </w:t>
      </w:r>
      <w:r>
        <w:rPr>
          <w:b/>
          <w:bCs/>
          <w:lang w:val="fr-FR"/>
        </w:rPr>
        <w:t>:</w:t>
      </w:r>
      <w:r>
        <w:rPr>
          <w:lang w:val="fr-FR"/>
        </w:rPr>
        <w:tab/>
      </w:r>
    </w:p>
    <w:p w14:paraId="1B506091" w14:textId="7A814C14" w:rsidR="003B2B2C" w:rsidRPr="001C3816" w:rsidRDefault="003B2B2C" w:rsidP="00A04B6F">
      <w:pPr>
        <w:pStyle w:val="SingleTxtG"/>
        <w:tabs>
          <w:tab w:val="right" w:leader="dot" w:pos="8505"/>
        </w:tabs>
        <w:ind w:left="2268" w:hanging="1134"/>
        <w:rPr>
          <w:b/>
          <w:bCs/>
          <w:spacing w:val="-2"/>
        </w:rPr>
      </w:pPr>
      <w:r>
        <w:rPr>
          <w:b/>
          <w:bCs/>
          <w:lang w:val="fr-FR"/>
        </w:rPr>
        <w:t>4.5.2.</w:t>
      </w:r>
      <w:r>
        <w:rPr>
          <w:lang w:val="fr-FR"/>
        </w:rPr>
        <w:tab/>
      </w:r>
      <w:r>
        <w:rPr>
          <w:b/>
          <w:bCs/>
          <w:lang w:val="fr-FR"/>
        </w:rPr>
        <w:t>Type</w:t>
      </w:r>
      <w:r w:rsidR="000563D6">
        <w:rPr>
          <w:b/>
          <w:bCs/>
          <w:lang w:val="fr-FR"/>
        </w:rPr>
        <w:t> </w:t>
      </w:r>
      <w:r>
        <w:rPr>
          <w:b/>
          <w:bCs/>
          <w:lang w:val="fr-FR"/>
        </w:rPr>
        <w:t>:</w:t>
      </w:r>
      <w:r>
        <w:rPr>
          <w:lang w:val="fr-FR"/>
        </w:rPr>
        <w:tab/>
      </w:r>
    </w:p>
    <w:p w14:paraId="7595568A" w14:textId="370A0202" w:rsidR="003B2B2C" w:rsidRPr="001C3816" w:rsidRDefault="003B2B2C" w:rsidP="00A04B6F">
      <w:pPr>
        <w:pStyle w:val="SingleTxtG"/>
        <w:tabs>
          <w:tab w:val="right" w:leader="dot" w:pos="8505"/>
        </w:tabs>
        <w:ind w:left="2268" w:hanging="1134"/>
        <w:rPr>
          <w:b/>
          <w:bCs/>
          <w:spacing w:val="-2"/>
        </w:rPr>
      </w:pPr>
      <w:r>
        <w:rPr>
          <w:b/>
          <w:bCs/>
          <w:lang w:val="fr-FR"/>
        </w:rPr>
        <w:t>4.5.3.</w:t>
      </w:r>
      <w:r>
        <w:rPr>
          <w:lang w:val="fr-FR"/>
        </w:rPr>
        <w:tab/>
      </w:r>
      <w:r w:rsidR="000563D6">
        <w:rPr>
          <w:b/>
          <w:bCs/>
          <w:lang w:val="fr-FR"/>
        </w:rPr>
        <w:t>Qualité</w:t>
      </w:r>
      <w:r>
        <w:rPr>
          <w:b/>
          <w:bCs/>
          <w:lang w:val="fr-FR"/>
        </w:rPr>
        <w:t> :</w:t>
      </w:r>
      <w:r>
        <w:rPr>
          <w:lang w:val="fr-FR"/>
        </w:rPr>
        <w:tab/>
      </w:r>
    </w:p>
    <w:p w14:paraId="7D25F15A" w14:textId="57BA0829" w:rsidR="003B2B2C" w:rsidRPr="001C3816" w:rsidRDefault="003B2B2C" w:rsidP="00A04B6F">
      <w:pPr>
        <w:pStyle w:val="SingleTxtG"/>
        <w:ind w:left="2268" w:hanging="1134"/>
        <w:rPr>
          <w:spacing w:val="-2"/>
        </w:rPr>
      </w:pPr>
      <w:r>
        <w:rPr>
          <w:lang w:val="fr-FR"/>
        </w:rPr>
        <w:t>4.</w:t>
      </w:r>
      <w:r>
        <w:rPr>
          <w:strike/>
          <w:lang w:val="fr-FR"/>
        </w:rPr>
        <w:t>5</w:t>
      </w:r>
      <w:r>
        <w:rPr>
          <w:b/>
          <w:bCs/>
          <w:lang w:val="fr-FR"/>
        </w:rPr>
        <w:t>6</w:t>
      </w:r>
      <w:r>
        <w:rPr>
          <w:lang w:val="fr-FR"/>
        </w:rPr>
        <w:t xml:space="preserve">. </w:t>
      </w:r>
      <w:r>
        <w:rPr>
          <w:lang w:val="fr-FR"/>
        </w:rPr>
        <w:tab/>
        <w:t>Moteur à bicarburation (en plus des sections pertinentes ci-dessus)</w:t>
      </w:r>
    </w:p>
    <w:p w14:paraId="33A90866" w14:textId="52B0DD17" w:rsidR="003B2B2C" w:rsidRPr="001C3816" w:rsidRDefault="003B2B2C" w:rsidP="00A04B6F">
      <w:pPr>
        <w:pStyle w:val="SingleTxtG"/>
        <w:tabs>
          <w:tab w:val="right" w:leader="dot" w:pos="8505"/>
        </w:tabs>
        <w:ind w:left="2268" w:hanging="1134"/>
        <w:rPr>
          <w:spacing w:val="-2"/>
        </w:rPr>
      </w:pPr>
      <w:r>
        <w:rPr>
          <w:lang w:val="fr-FR"/>
        </w:rPr>
        <w:t>4.</w:t>
      </w:r>
      <w:r>
        <w:rPr>
          <w:strike/>
          <w:lang w:val="fr-FR"/>
        </w:rPr>
        <w:t>5</w:t>
      </w:r>
      <w:r>
        <w:rPr>
          <w:b/>
          <w:bCs/>
          <w:lang w:val="fr-FR"/>
        </w:rPr>
        <w:t>6</w:t>
      </w:r>
      <w:r>
        <w:rPr>
          <w:lang w:val="fr-FR"/>
        </w:rPr>
        <w:t xml:space="preserve">.1. </w:t>
      </w:r>
      <w:r>
        <w:rPr>
          <w:lang w:val="fr-FR"/>
        </w:rPr>
        <w:tab/>
        <w:t>Apport énergétique relatif du gaz pendant le cycle d</w:t>
      </w:r>
      <w:r w:rsidR="00B21C23">
        <w:rPr>
          <w:lang w:val="fr-FR"/>
        </w:rPr>
        <w:t>’</w:t>
      </w:r>
      <w:r>
        <w:rPr>
          <w:lang w:val="fr-FR"/>
        </w:rPr>
        <w:t>essai :</w:t>
      </w:r>
      <w:r>
        <w:rPr>
          <w:lang w:val="fr-FR"/>
        </w:rPr>
        <w:tab/>
        <w:t>»</w:t>
      </w:r>
    </w:p>
    <w:p w14:paraId="76B410E3" w14:textId="77777777" w:rsidR="003B2B2C" w:rsidRPr="001C3816" w:rsidRDefault="003B2B2C" w:rsidP="00A04B6F">
      <w:pPr>
        <w:pStyle w:val="SingleTxtG"/>
      </w:pPr>
      <w:r>
        <w:rPr>
          <w:i/>
          <w:iCs/>
          <w:lang w:val="fr-FR"/>
        </w:rPr>
        <w:t>Annexe 4, paragraphe 3,10</w:t>
      </w:r>
      <w:r>
        <w:rPr>
          <w:lang w:val="fr-FR"/>
        </w:rPr>
        <w:t>, modification sans objet en français.</w:t>
      </w:r>
    </w:p>
    <w:p w14:paraId="74F8BA84" w14:textId="2760A83E" w:rsidR="003B2B2C" w:rsidRPr="001C3816" w:rsidRDefault="003B2B2C" w:rsidP="00A04B6F">
      <w:pPr>
        <w:pStyle w:val="SingleTxtG"/>
      </w:pPr>
      <w:r>
        <w:rPr>
          <w:i/>
          <w:iCs/>
          <w:lang w:val="fr-FR"/>
        </w:rPr>
        <w:t>Annexe 5, paragraphe 2.3.6</w:t>
      </w:r>
      <w:r>
        <w:rPr>
          <w:lang w:val="fr-FR"/>
        </w:rPr>
        <w:t>, lire</w:t>
      </w:r>
      <w:r w:rsidR="000563D6">
        <w:rPr>
          <w:lang w:val="fr-FR"/>
        </w:rPr>
        <w:t> </w:t>
      </w:r>
      <w:r>
        <w:rPr>
          <w:lang w:val="fr-FR"/>
        </w:rPr>
        <w:t>:</w:t>
      </w:r>
    </w:p>
    <w:p w14:paraId="05184315" w14:textId="16D7FCD7" w:rsidR="003B2B2C" w:rsidRPr="001C3816" w:rsidRDefault="003B2B2C" w:rsidP="00AC2AF0">
      <w:pPr>
        <w:pStyle w:val="SingleTxtG"/>
        <w:ind w:left="2268" w:hanging="1134"/>
        <w:rPr>
          <w:rFonts w:eastAsia="Calibri"/>
          <w:szCs w:val="22"/>
        </w:rPr>
      </w:pPr>
      <w:r>
        <w:rPr>
          <w:lang w:val="fr-FR"/>
        </w:rPr>
        <w:t>« 2.3.6.</w:t>
      </w:r>
      <w:r>
        <w:rPr>
          <w:lang w:val="fr-FR"/>
        </w:rPr>
        <w:tab/>
        <w:t>Type de carburant</w:t>
      </w:r>
    </w:p>
    <w:p w14:paraId="0ED22A1D" w14:textId="770B85D1" w:rsidR="003B2B2C" w:rsidRPr="001C3816" w:rsidRDefault="003B2B2C" w:rsidP="00AC2AF0">
      <w:pPr>
        <w:pStyle w:val="SingleTxtG"/>
        <w:ind w:left="2835" w:hanging="567"/>
        <w:rPr>
          <w:rFonts w:eastAsia="Calibri"/>
          <w:szCs w:val="22"/>
        </w:rPr>
      </w:pPr>
      <w:r>
        <w:rPr>
          <w:lang w:val="fr-FR"/>
        </w:rPr>
        <w:t>a)</w:t>
      </w:r>
      <w:r>
        <w:rPr>
          <w:lang w:val="fr-FR"/>
        </w:rPr>
        <w:tab/>
        <w:t>Diesel (gazole non routier) ;</w:t>
      </w:r>
    </w:p>
    <w:p w14:paraId="2FA657D4" w14:textId="7209AA58" w:rsidR="003B2B2C" w:rsidRPr="001C3816" w:rsidRDefault="003B2B2C" w:rsidP="00AC2AF0">
      <w:pPr>
        <w:pStyle w:val="SingleTxtG"/>
        <w:ind w:left="2835" w:hanging="567"/>
        <w:rPr>
          <w:rFonts w:eastAsia="Calibri"/>
          <w:szCs w:val="22"/>
        </w:rPr>
      </w:pPr>
      <w:r>
        <w:rPr>
          <w:lang w:val="fr-FR"/>
        </w:rPr>
        <w:t>b)</w:t>
      </w:r>
      <w:r>
        <w:rPr>
          <w:lang w:val="fr-FR"/>
        </w:rPr>
        <w:tab/>
        <w:t xml:space="preserve">Éthanol pour moteurs à allumage par compression spécialement adaptés (ED95) ; </w:t>
      </w:r>
    </w:p>
    <w:p w14:paraId="1B8429D3" w14:textId="0976A94D" w:rsidR="003B2B2C" w:rsidRPr="001C3816" w:rsidRDefault="003B2B2C" w:rsidP="00AC2AF0">
      <w:pPr>
        <w:pStyle w:val="SingleTxtG"/>
        <w:ind w:left="2835" w:hanging="567"/>
        <w:rPr>
          <w:rFonts w:eastAsia="Calibri"/>
          <w:szCs w:val="22"/>
          <w:lang w:val="es-AR"/>
        </w:rPr>
      </w:pPr>
      <w:r w:rsidRPr="001C3816">
        <w:rPr>
          <w:lang w:val="es-AR"/>
        </w:rPr>
        <w:t>c)</w:t>
      </w:r>
      <w:r w:rsidRPr="001C3816">
        <w:rPr>
          <w:lang w:val="es-AR"/>
        </w:rPr>
        <w:tab/>
        <w:t xml:space="preserve">Essence (E10) ; </w:t>
      </w:r>
    </w:p>
    <w:p w14:paraId="384533E8" w14:textId="2849B508" w:rsidR="003B2B2C" w:rsidRPr="001C3816" w:rsidRDefault="003B2B2C" w:rsidP="00AC2AF0">
      <w:pPr>
        <w:pStyle w:val="SingleTxtG"/>
        <w:ind w:left="2835" w:hanging="567"/>
        <w:rPr>
          <w:rFonts w:eastAsia="Calibri"/>
          <w:szCs w:val="22"/>
          <w:lang w:val="es-AR"/>
        </w:rPr>
      </w:pPr>
      <w:r w:rsidRPr="001C3816">
        <w:rPr>
          <w:lang w:val="es-AR"/>
        </w:rPr>
        <w:t>d)</w:t>
      </w:r>
      <w:r w:rsidRPr="001C3816">
        <w:rPr>
          <w:lang w:val="es-AR"/>
        </w:rPr>
        <w:tab/>
        <w:t>Éthanol (E85) ;</w:t>
      </w:r>
    </w:p>
    <w:p w14:paraId="51E52438" w14:textId="56F6BE2B" w:rsidR="003B2B2C" w:rsidRPr="001C3816" w:rsidRDefault="003B2B2C" w:rsidP="00AC2AF0">
      <w:pPr>
        <w:pStyle w:val="SingleTxtG"/>
        <w:ind w:left="2835" w:hanging="567"/>
        <w:rPr>
          <w:rFonts w:eastAsia="Calibri"/>
          <w:szCs w:val="22"/>
        </w:rPr>
      </w:pPr>
      <w:r>
        <w:rPr>
          <w:lang w:val="fr-FR"/>
        </w:rPr>
        <w:t>e)</w:t>
      </w:r>
      <w:r>
        <w:rPr>
          <w:lang w:val="fr-FR"/>
        </w:rPr>
        <w:tab/>
        <w:t>Gaz naturel/biométhane</w:t>
      </w:r>
      <w:r w:rsidR="0068648D">
        <w:rPr>
          <w:lang w:val="fr-FR"/>
        </w:rPr>
        <w:t> :</w:t>
      </w:r>
    </w:p>
    <w:p w14:paraId="5EAB697C" w14:textId="0C2AE4B5" w:rsidR="003B2B2C" w:rsidRPr="001C3816" w:rsidRDefault="003B2B2C" w:rsidP="00AC2AF0">
      <w:pPr>
        <w:pStyle w:val="SingleTxtG"/>
        <w:ind w:left="3402" w:hanging="567"/>
        <w:rPr>
          <w:rFonts w:eastAsia="Calibri"/>
          <w:szCs w:val="22"/>
        </w:rPr>
      </w:pPr>
      <w:r>
        <w:rPr>
          <w:lang w:val="fr-FR"/>
        </w:rPr>
        <w:t>i)</w:t>
      </w:r>
      <w:r>
        <w:rPr>
          <w:lang w:val="fr-FR"/>
        </w:rPr>
        <w:tab/>
        <w:t xml:space="preserve">Tous carburants − carburant à haut pouvoir calorifique (gaz H) et carburant à faible pouvoir calorifique (gaz L) ; </w:t>
      </w:r>
    </w:p>
    <w:p w14:paraId="70FA9E86" w14:textId="13DD9C8B" w:rsidR="003B2B2C" w:rsidRPr="001C3816" w:rsidRDefault="003B2B2C" w:rsidP="00AC2AF0">
      <w:pPr>
        <w:pStyle w:val="SingleTxtG"/>
        <w:ind w:left="3402" w:hanging="567"/>
        <w:rPr>
          <w:rFonts w:eastAsia="Calibri"/>
          <w:szCs w:val="22"/>
        </w:rPr>
      </w:pPr>
      <w:r>
        <w:rPr>
          <w:lang w:val="fr-FR"/>
        </w:rPr>
        <w:t>ii)</w:t>
      </w:r>
      <w:r>
        <w:rPr>
          <w:lang w:val="fr-FR"/>
        </w:rPr>
        <w:tab/>
        <w:t xml:space="preserve">Gamme restreinte de carburants − carburant à haut pouvoir calorifique (gaz H) ; </w:t>
      </w:r>
    </w:p>
    <w:p w14:paraId="59A06AC5" w14:textId="37CB3C5D" w:rsidR="003B2B2C" w:rsidRPr="001C3816" w:rsidRDefault="003B2B2C" w:rsidP="00AC2AF0">
      <w:pPr>
        <w:pStyle w:val="SingleTxtG"/>
        <w:ind w:left="3402" w:hanging="567"/>
        <w:rPr>
          <w:rFonts w:eastAsia="Calibri"/>
          <w:szCs w:val="22"/>
        </w:rPr>
      </w:pPr>
      <w:r>
        <w:rPr>
          <w:lang w:val="fr-FR"/>
        </w:rPr>
        <w:t>iii)</w:t>
      </w:r>
      <w:r>
        <w:rPr>
          <w:lang w:val="fr-FR"/>
        </w:rPr>
        <w:tab/>
        <w:t xml:space="preserve">Gamme restreinte de carburants − carburant à faible pouvoir calorifique (gaz L) ; </w:t>
      </w:r>
    </w:p>
    <w:p w14:paraId="7A2CFD93" w14:textId="0AD79AA6" w:rsidR="003B2B2C" w:rsidRPr="001C3816" w:rsidRDefault="003B2B2C" w:rsidP="00AC2AF0">
      <w:pPr>
        <w:pStyle w:val="SingleTxtG"/>
        <w:ind w:left="3402" w:hanging="567"/>
        <w:rPr>
          <w:rFonts w:eastAsia="Calibri"/>
          <w:szCs w:val="22"/>
        </w:rPr>
      </w:pPr>
      <w:r>
        <w:rPr>
          <w:lang w:val="fr-FR"/>
        </w:rPr>
        <w:t>iv)</w:t>
      </w:r>
      <w:r>
        <w:rPr>
          <w:lang w:val="fr-FR"/>
        </w:rPr>
        <w:tab/>
        <w:t xml:space="preserve">GNL spécifique ; </w:t>
      </w:r>
    </w:p>
    <w:p w14:paraId="2B08F3D4" w14:textId="2C0AC7A6" w:rsidR="003B2B2C" w:rsidRPr="001C3816" w:rsidRDefault="003B2B2C" w:rsidP="00AC2AF0">
      <w:pPr>
        <w:pStyle w:val="SingleTxtG"/>
        <w:ind w:left="2835" w:hanging="567"/>
        <w:rPr>
          <w:rFonts w:eastAsia="Calibri"/>
          <w:szCs w:val="22"/>
        </w:rPr>
      </w:pPr>
      <w:r>
        <w:rPr>
          <w:lang w:val="fr-FR"/>
        </w:rPr>
        <w:t>f)</w:t>
      </w:r>
      <w:r>
        <w:rPr>
          <w:lang w:val="fr-FR"/>
        </w:rPr>
        <w:tab/>
        <w:t>Gaz de pétrole liquéfié (GPL)</w:t>
      </w:r>
      <w:r w:rsidR="00AC2AF0">
        <w:rPr>
          <w:lang w:val="fr-FR"/>
        </w:rPr>
        <w:t> </w:t>
      </w:r>
      <w:r>
        <w:rPr>
          <w:lang w:val="fr-FR"/>
        </w:rPr>
        <w:t>;</w:t>
      </w:r>
    </w:p>
    <w:p w14:paraId="117ED693" w14:textId="77777777" w:rsidR="003B2B2C" w:rsidRPr="001C3816" w:rsidRDefault="003B2B2C" w:rsidP="00AC2AF0">
      <w:pPr>
        <w:pStyle w:val="SingleTxtG"/>
        <w:ind w:left="2835" w:hanging="567"/>
        <w:rPr>
          <w:rFonts w:eastAsia="Calibri"/>
          <w:b/>
          <w:bCs/>
          <w:szCs w:val="22"/>
        </w:rPr>
      </w:pPr>
      <w:r>
        <w:rPr>
          <w:b/>
          <w:bCs/>
          <w:lang w:val="fr-FR"/>
        </w:rPr>
        <w:t>g)</w:t>
      </w:r>
      <w:r>
        <w:rPr>
          <w:lang w:val="fr-FR"/>
        </w:rPr>
        <w:tab/>
      </w:r>
      <w:r>
        <w:rPr>
          <w:b/>
          <w:bCs/>
          <w:lang w:val="fr-FR"/>
        </w:rPr>
        <w:t>Hydrogène.</w:t>
      </w:r>
      <w:r>
        <w:rPr>
          <w:lang w:val="fr-FR"/>
        </w:rPr>
        <w:t> »</w:t>
      </w:r>
    </w:p>
    <w:p w14:paraId="49FA6E9D" w14:textId="54F79C2E" w:rsidR="003B2B2C" w:rsidRPr="001C3816" w:rsidRDefault="003B2B2C" w:rsidP="00AC2AF0">
      <w:pPr>
        <w:pStyle w:val="SingleTxtG"/>
      </w:pPr>
      <w:r>
        <w:rPr>
          <w:i/>
          <w:iCs/>
          <w:lang w:val="fr-FR"/>
        </w:rPr>
        <w:t>Annexe 7, ajouter un nouveau paragraphe 3.3</w:t>
      </w:r>
      <w:r>
        <w:rPr>
          <w:lang w:val="fr-FR"/>
        </w:rPr>
        <w:t>, libellé comme suit</w:t>
      </w:r>
      <w:r w:rsidR="000563D6">
        <w:rPr>
          <w:lang w:val="fr-FR"/>
        </w:rPr>
        <w:t> </w:t>
      </w:r>
      <w:r>
        <w:rPr>
          <w:lang w:val="fr-FR"/>
        </w:rPr>
        <w:t>:</w:t>
      </w:r>
    </w:p>
    <w:p w14:paraId="27725321" w14:textId="4898CF13" w:rsidR="003B2B2C" w:rsidRDefault="003B2B2C" w:rsidP="00AC2AF0">
      <w:pPr>
        <w:pStyle w:val="SingleTxtG"/>
        <w:ind w:left="2268" w:hanging="1134"/>
        <w:rPr>
          <w:b/>
          <w:bCs/>
          <w:lang w:val="fr-FR"/>
        </w:rPr>
      </w:pPr>
      <w:r>
        <w:rPr>
          <w:b/>
          <w:bCs/>
          <w:lang w:val="fr-FR"/>
        </w:rPr>
        <w:t>3.3.</w:t>
      </w:r>
      <w:r>
        <w:rPr>
          <w:lang w:val="fr-FR"/>
        </w:rPr>
        <w:tab/>
      </w:r>
      <w:r>
        <w:rPr>
          <w:b/>
          <w:bCs/>
          <w:lang w:val="fr-FR"/>
        </w:rPr>
        <w:t>Type</w:t>
      </w:r>
      <w:r w:rsidR="000563D6">
        <w:rPr>
          <w:b/>
          <w:bCs/>
          <w:lang w:val="fr-FR"/>
        </w:rPr>
        <w:t> </w:t>
      </w:r>
      <w:r>
        <w:rPr>
          <w:b/>
          <w:bCs/>
          <w:lang w:val="fr-FR"/>
        </w:rPr>
        <w:t>: hydrogène</w:t>
      </w:r>
    </w:p>
    <w:tbl>
      <w:tblPr>
        <w:tblW w:w="7087" w:type="dxa"/>
        <w:tblInd w:w="1134" w:type="dxa"/>
        <w:tblLayout w:type="fixed"/>
        <w:tblLook w:val="0000" w:firstRow="0" w:lastRow="0" w:firstColumn="0" w:lastColumn="0" w:noHBand="0" w:noVBand="0"/>
      </w:tblPr>
      <w:tblGrid>
        <w:gridCol w:w="1842"/>
        <w:gridCol w:w="1134"/>
        <w:gridCol w:w="2406"/>
        <w:gridCol w:w="1705"/>
      </w:tblGrid>
      <w:tr w:rsidR="00AC2AF0" w:rsidRPr="009B2DA4" w14:paraId="14932243"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614BE404" w14:textId="77777777" w:rsidR="00AC2AF0" w:rsidRPr="009B2DA4" w:rsidRDefault="00AC2AF0" w:rsidP="009634C1">
            <w:pPr>
              <w:spacing w:before="80" w:after="80" w:line="240" w:lineRule="auto"/>
              <w:rPr>
                <w:rFonts w:eastAsia="Calibri"/>
                <w:b/>
                <w:bCs/>
                <w:i/>
                <w:noProof/>
                <w:spacing w:val="-2"/>
                <w:sz w:val="18"/>
                <w:szCs w:val="18"/>
              </w:rPr>
            </w:pPr>
            <w:r>
              <w:rPr>
                <w:b/>
                <w:bCs/>
                <w:i/>
                <w:iCs/>
                <w:lang w:val="fr-FR"/>
              </w:rPr>
              <w:t>Paramètre</w:t>
            </w:r>
            <w:r w:rsidRPr="006B3FCB">
              <w:rPr>
                <w:b/>
                <w:bCs/>
                <w:i/>
                <w:iCs/>
                <w:sz w:val="18"/>
                <w:szCs w:val="18"/>
                <w:vertAlign w:val="superscript"/>
                <w:lang w:val="fr-FR"/>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775CCC" w14:textId="77777777" w:rsidR="00AC2AF0" w:rsidRPr="009B2DA4" w:rsidRDefault="00AC2AF0" w:rsidP="009634C1">
            <w:pPr>
              <w:spacing w:before="80" w:after="80" w:line="240" w:lineRule="auto"/>
              <w:jc w:val="center"/>
              <w:rPr>
                <w:rFonts w:eastAsia="Calibri"/>
                <w:b/>
                <w:bCs/>
                <w:i/>
                <w:noProof/>
                <w:spacing w:val="-2"/>
                <w:sz w:val="18"/>
                <w:szCs w:val="18"/>
              </w:rPr>
            </w:pPr>
            <w:r>
              <w:rPr>
                <w:b/>
                <w:bCs/>
                <w:i/>
                <w:iCs/>
                <w:lang w:val="fr-FR"/>
              </w:rPr>
              <w:t>Unité</w:t>
            </w:r>
          </w:p>
        </w:tc>
        <w:tc>
          <w:tcPr>
            <w:tcW w:w="2406" w:type="dxa"/>
            <w:tcBorders>
              <w:top w:val="single" w:sz="4" w:space="0" w:color="auto"/>
              <w:left w:val="single" w:sz="4" w:space="0" w:color="auto"/>
              <w:bottom w:val="single" w:sz="4" w:space="0" w:color="auto"/>
              <w:right w:val="single" w:sz="4" w:space="0" w:color="auto"/>
            </w:tcBorders>
            <w:vAlign w:val="center"/>
          </w:tcPr>
          <w:p w14:paraId="792FD4CC" w14:textId="77777777" w:rsidR="00AC2AF0" w:rsidRPr="009B2DA4" w:rsidRDefault="00AC2AF0" w:rsidP="009634C1">
            <w:pPr>
              <w:spacing w:before="80" w:after="80" w:line="240" w:lineRule="auto"/>
              <w:jc w:val="center"/>
              <w:rPr>
                <w:rFonts w:eastAsia="Calibri"/>
                <w:b/>
                <w:bCs/>
                <w:i/>
                <w:noProof/>
                <w:spacing w:val="-2"/>
                <w:sz w:val="18"/>
                <w:szCs w:val="18"/>
              </w:rPr>
            </w:pPr>
            <w:r>
              <w:rPr>
                <w:b/>
                <w:bCs/>
                <w:i/>
                <w:iCs/>
                <w:lang w:val="fr-FR"/>
              </w:rPr>
              <w:t>Limites</w:t>
            </w:r>
          </w:p>
        </w:tc>
        <w:tc>
          <w:tcPr>
            <w:tcW w:w="1705" w:type="dxa"/>
            <w:tcBorders>
              <w:top w:val="single" w:sz="4" w:space="0" w:color="auto"/>
              <w:left w:val="single" w:sz="4" w:space="0" w:color="auto"/>
              <w:bottom w:val="single" w:sz="4" w:space="0" w:color="auto"/>
              <w:right w:val="single" w:sz="4" w:space="0" w:color="auto"/>
            </w:tcBorders>
            <w:vAlign w:val="center"/>
          </w:tcPr>
          <w:p w14:paraId="3B039C62" w14:textId="41790C5E" w:rsidR="00AC2AF0" w:rsidRPr="009B2DA4" w:rsidRDefault="00AC2AF0" w:rsidP="009634C1">
            <w:pPr>
              <w:spacing w:before="80" w:after="80" w:line="240" w:lineRule="auto"/>
              <w:jc w:val="center"/>
              <w:rPr>
                <w:rFonts w:eastAsia="Calibri"/>
                <w:b/>
                <w:bCs/>
                <w:i/>
                <w:noProof/>
                <w:spacing w:val="-2"/>
                <w:sz w:val="18"/>
                <w:szCs w:val="18"/>
              </w:rPr>
            </w:pPr>
            <w:r>
              <w:rPr>
                <w:b/>
                <w:bCs/>
                <w:i/>
                <w:iCs/>
                <w:lang w:val="fr-FR"/>
              </w:rPr>
              <w:t>Méthode d</w:t>
            </w:r>
            <w:r w:rsidR="00B21C23">
              <w:rPr>
                <w:b/>
                <w:bCs/>
                <w:i/>
                <w:iCs/>
                <w:lang w:val="fr-FR"/>
              </w:rPr>
              <w:t>’</w:t>
            </w:r>
            <w:r>
              <w:rPr>
                <w:b/>
                <w:bCs/>
                <w:i/>
                <w:iCs/>
                <w:lang w:val="fr-FR"/>
              </w:rPr>
              <w:t>essai</w:t>
            </w:r>
          </w:p>
        </w:tc>
      </w:tr>
      <w:tr w:rsidR="00AC2AF0" w:rsidRPr="009B2DA4" w14:paraId="10B7CC55"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6B9622D4" w14:textId="2B9B8EC2" w:rsidR="00AC2AF0" w:rsidRPr="001C3816" w:rsidRDefault="00AC2AF0" w:rsidP="009634C1">
            <w:pPr>
              <w:spacing w:before="80" w:after="80" w:line="240" w:lineRule="auto"/>
              <w:rPr>
                <w:rFonts w:eastAsia="Calibri"/>
                <w:b/>
                <w:bCs/>
                <w:iCs/>
                <w:noProof/>
                <w:spacing w:val="-2"/>
                <w:sz w:val="18"/>
                <w:szCs w:val="18"/>
              </w:rPr>
            </w:pPr>
            <w:r>
              <w:rPr>
                <w:b/>
                <w:bCs/>
                <w:lang w:val="fr-FR"/>
              </w:rPr>
              <w:t>Fraction molaire minimale de l</w:t>
            </w:r>
            <w:r w:rsidR="00B21C23">
              <w:rPr>
                <w:b/>
                <w:bCs/>
                <w:lang w:val="fr-FR"/>
              </w:rPr>
              <w:t>’</w:t>
            </w:r>
            <w:r>
              <w:rPr>
                <w:b/>
                <w:bCs/>
                <w:lang w:val="fr-FR"/>
              </w:rPr>
              <w:t>hydrogène</w:t>
            </w:r>
            <w:r w:rsidRPr="006B3FCB">
              <w:rPr>
                <w:b/>
                <w:bCs/>
                <w:sz w:val="18"/>
                <w:szCs w:val="18"/>
                <w:vertAlign w:val="superscript"/>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14:paraId="79C30B95" w14:textId="77777777" w:rsidR="00AC2AF0" w:rsidRPr="009B2DA4" w:rsidRDefault="00AC2AF0" w:rsidP="009634C1">
            <w:pPr>
              <w:spacing w:before="40" w:after="40" w:line="240" w:lineRule="auto"/>
              <w:ind w:left="113"/>
              <w:jc w:val="center"/>
              <w:rPr>
                <w:rFonts w:eastAsia="Calibri"/>
                <w:b/>
                <w:bCs/>
                <w:i/>
                <w:noProof/>
                <w:spacing w:val="-2"/>
                <w:sz w:val="18"/>
                <w:szCs w:val="18"/>
              </w:rPr>
            </w:pPr>
            <w:r>
              <w:rPr>
                <w:b/>
                <w:bCs/>
                <w:lang w:val="fr-FR"/>
              </w:rPr>
              <w:t>%</w:t>
            </w:r>
          </w:p>
        </w:tc>
        <w:tc>
          <w:tcPr>
            <w:tcW w:w="2406" w:type="dxa"/>
            <w:tcBorders>
              <w:top w:val="single" w:sz="4" w:space="0" w:color="auto"/>
              <w:left w:val="single" w:sz="4" w:space="0" w:color="auto"/>
              <w:bottom w:val="single" w:sz="4" w:space="0" w:color="auto"/>
              <w:right w:val="single" w:sz="4" w:space="0" w:color="auto"/>
            </w:tcBorders>
            <w:vAlign w:val="center"/>
          </w:tcPr>
          <w:p w14:paraId="4AA05AF9"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99,97</w:t>
            </w:r>
          </w:p>
        </w:tc>
        <w:tc>
          <w:tcPr>
            <w:tcW w:w="1705" w:type="dxa"/>
            <w:tcBorders>
              <w:top w:val="single" w:sz="4" w:space="0" w:color="auto"/>
              <w:left w:val="single" w:sz="4" w:space="0" w:color="auto"/>
              <w:bottom w:val="single" w:sz="4" w:space="0" w:color="auto"/>
              <w:right w:val="single" w:sz="4" w:space="0" w:color="auto"/>
            </w:tcBorders>
            <w:vAlign w:val="center"/>
          </w:tcPr>
          <w:p w14:paraId="04CEE870"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7A2EB878"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7626A2D5" w14:textId="37DE7FE9" w:rsidR="00AC2AF0" w:rsidRPr="001C3816" w:rsidRDefault="00AC2AF0" w:rsidP="009634C1">
            <w:pPr>
              <w:spacing w:before="80" w:after="80" w:line="240" w:lineRule="auto"/>
              <w:rPr>
                <w:rFonts w:eastAsia="Calibri"/>
                <w:b/>
                <w:bCs/>
                <w:iCs/>
                <w:noProof/>
                <w:spacing w:val="-2"/>
                <w:sz w:val="18"/>
                <w:szCs w:val="18"/>
              </w:rPr>
            </w:pPr>
            <w:r>
              <w:rPr>
                <w:b/>
                <w:bCs/>
                <w:lang w:val="fr-FR"/>
              </w:rPr>
              <w:t>Gaz totaux autres que l</w:t>
            </w:r>
            <w:r w:rsidR="00B21C23">
              <w:rPr>
                <w:b/>
                <w:bCs/>
                <w:lang w:val="fr-FR"/>
              </w:rPr>
              <w:t>’</w:t>
            </w:r>
            <w:r>
              <w:rPr>
                <w:b/>
                <w:bCs/>
                <w:lang w:val="fr-FR"/>
              </w:rPr>
              <w:t>hydrogène (max.)</w:t>
            </w:r>
          </w:p>
        </w:tc>
        <w:tc>
          <w:tcPr>
            <w:tcW w:w="1134" w:type="dxa"/>
            <w:tcBorders>
              <w:top w:val="single" w:sz="4" w:space="0" w:color="auto"/>
              <w:left w:val="single" w:sz="4" w:space="0" w:color="auto"/>
              <w:bottom w:val="single" w:sz="4" w:space="0" w:color="auto"/>
              <w:right w:val="single" w:sz="4" w:space="0" w:color="auto"/>
            </w:tcBorders>
            <w:vAlign w:val="center"/>
          </w:tcPr>
          <w:p w14:paraId="4341A9EF"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92106AC"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1309CDF4"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8E6082" w14:paraId="5B694778"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6D67C196" w14:textId="06F9917B" w:rsidR="00AC2AF0" w:rsidRPr="001C3816" w:rsidRDefault="00AC2AF0" w:rsidP="009634C1">
            <w:pPr>
              <w:spacing w:before="80" w:after="80" w:line="240" w:lineRule="auto"/>
              <w:rPr>
                <w:rFonts w:eastAsia="Calibri"/>
                <w:b/>
                <w:bCs/>
                <w:iCs/>
                <w:noProof/>
                <w:spacing w:val="-2"/>
                <w:sz w:val="18"/>
                <w:szCs w:val="18"/>
              </w:rPr>
            </w:pPr>
            <w:r>
              <w:rPr>
                <w:b/>
                <w:bCs/>
                <w:lang w:val="fr-FR"/>
              </w:rPr>
              <w:t>Concentration maximale autorisée pour chaque contaminant</w:t>
            </w:r>
            <w:r w:rsidR="000563D6">
              <w:rPr>
                <w:b/>
                <w:bCs/>
                <w:lang w:val="fr-FR"/>
              </w:rPr>
              <w:t> </w:t>
            </w:r>
            <w:r>
              <w:rPr>
                <w:b/>
                <w:bCs/>
                <w:lang w:val="fr-FR"/>
              </w:rPr>
              <w:t>:</w:t>
            </w:r>
            <w:r>
              <w:rPr>
                <w:lang w:val="fr-FR"/>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07A8A35" w14:textId="77777777" w:rsidR="00AC2AF0" w:rsidRPr="001C3816" w:rsidRDefault="00AC2AF0" w:rsidP="009634C1">
            <w:pPr>
              <w:spacing w:before="80" w:after="80" w:line="240" w:lineRule="auto"/>
              <w:jc w:val="center"/>
              <w:rPr>
                <w:rFonts w:eastAsia="Calibri"/>
                <w:b/>
                <w:bCs/>
                <w:i/>
                <w:noProof/>
                <w:spacing w:val="-2"/>
                <w:sz w:val="18"/>
                <w:szCs w:val="18"/>
                <w:lang w:eastAsia="en-GB"/>
              </w:rPr>
            </w:pPr>
          </w:p>
        </w:tc>
        <w:tc>
          <w:tcPr>
            <w:tcW w:w="2406" w:type="dxa"/>
            <w:tcBorders>
              <w:top w:val="single" w:sz="4" w:space="0" w:color="auto"/>
              <w:left w:val="single" w:sz="4" w:space="0" w:color="auto"/>
              <w:bottom w:val="single" w:sz="4" w:space="0" w:color="auto"/>
              <w:right w:val="single" w:sz="4" w:space="0" w:color="auto"/>
            </w:tcBorders>
            <w:vAlign w:val="center"/>
          </w:tcPr>
          <w:p w14:paraId="3814F0B1" w14:textId="77777777" w:rsidR="00AC2AF0" w:rsidRPr="001C3816" w:rsidRDefault="00AC2AF0" w:rsidP="009634C1">
            <w:pPr>
              <w:spacing w:before="80" w:after="80" w:line="240" w:lineRule="auto"/>
              <w:jc w:val="center"/>
              <w:rPr>
                <w:rFonts w:eastAsia="Calibri"/>
                <w:b/>
                <w:bCs/>
                <w:i/>
                <w:noProof/>
                <w:spacing w:val="-2"/>
                <w:sz w:val="18"/>
                <w:szCs w:val="18"/>
                <w:lang w:eastAsia="en-GB"/>
              </w:rPr>
            </w:pPr>
          </w:p>
        </w:tc>
        <w:tc>
          <w:tcPr>
            <w:tcW w:w="1705" w:type="dxa"/>
            <w:tcBorders>
              <w:top w:val="single" w:sz="4" w:space="0" w:color="auto"/>
              <w:left w:val="single" w:sz="4" w:space="0" w:color="auto"/>
              <w:bottom w:val="single" w:sz="4" w:space="0" w:color="auto"/>
              <w:right w:val="single" w:sz="4" w:space="0" w:color="auto"/>
            </w:tcBorders>
            <w:vAlign w:val="center"/>
          </w:tcPr>
          <w:p w14:paraId="16627D30" w14:textId="77777777" w:rsidR="00AC2AF0" w:rsidRPr="001C3816" w:rsidRDefault="00AC2AF0" w:rsidP="009634C1">
            <w:pPr>
              <w:spacing w:before="80" w:after="80" w:line="240" w:lineRule="auto"/>
              <w:jc w:val="center"/>
              <w:rPr>
                <w:rFonts w:eastAsia="Calibri"/>
                <w:b/>
                <w:bCs/>
                <w:i/>
                <w:noProof/>
                <w:spacing w:val="-2"/>
                <w:sz w:val="18"/>
                <w:szCs w:val="18"/>
                <w:lang w:eastAsia="en-GB"/>
              </w:rPr>
            </w:pPr>
          </w:p>
        </w:tc>
      </w:tr>
      <w:tr w:rsidR="00AC2AF0" w:rsidRPr="009B2DA4" w14:paraId="4E08F5A7"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70E7A6CD"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Eau</w:t>
            </w:r>
          </w:p>
        </w:tc>
        <w:tc>
          <w:tcPr>
            <w:tcW w:w="1134" w:type="dxa"/>
            <w:tcBorders>
              <w:top w:val="single" w:sz="4" w:space="0" w:color="auto"/>
              <w:left w:val="single" w:sz="4" w:space="0" w:color="auto"/>
              <w:bottom w:val="single" w:sz="4" w:space="0" w:color="auto"/>
              <w:right w:val="single" w:sz="4" w:space="0" w:color="auto"/>
            </w:tcBorders>
            <w:vAlign w:val="center"/>
          </w:tcPr>
          <w:p w14:paraId="01F6E902"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78559FCE"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5</w:t>
            </w:r>
          </w:p>
        </w:tc>
        <w:tc>
          <w:tcPr>
            <w:tcW w:w="1705" w:type="dxa"/>
            <w:tcBorders>
              <w:top w:val="single" w:sz="4" w:space="0" w:color="auto"/>
              <w:left w:val="single" w:sz="4" w:space="0" w:color="auto"/>
              <w:bottom w:val="single" w:sz="4" w:space="0" w:color="auto"/>
              <w:right w:val="single" w:sz="4" w:space="0" w:color="auto"/>
            </w:tcBorders>
            <w:vAlign w:val="center"/>
          </w:tcPr>
          <w:p w14:paraId="07E096E1"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1391A365"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48C4DF2F" w14:textId="77777777" w:rsidR="00AC2AF0" w:rsidRPr="009B2DA4" w:rsidRDefault="00AC2AF0" w:rsidP="009634C1">
            <w:pPr>
              <w:spacing w:before="80" w:after="80" w:line="240" w:lineRule="auto"/>
              <w:rPr>
                <w:rFonts w:eastAsia="Calibri"/>
                <w:b/>
                <w:bCs/>
                <w:iCs/>
                <w:noProof/>
                <w:spacing w:val="-2"/>
                <w:sz w:val="18"/>
                <w:szCs w:val="18"/>
                <w:vertAlign w:val="superscript"/>
              </w:rPr>
            </w:pPr>
            <w:r>
              <w:rPr>
                <w:b/>
                <w:bCs/>
                <w:lang w:val="fr-FR"/>
              </w:rPr>
              <w:t>Hydrocarbures totaux (sauf méthane)</w:t>
            </w:r>
            <w:r w:rsidRPr="006B3FCB">
              <w:rPr>
                <w:b/>
                <w:bCs/>
                <w:sz w:val="18"/>
                <w:szCs w:val="18"/>
                <w:vertAlign w:val="superscript"/>
                <w:lang w:val="fr-FR"/>
              </w:rPr>
              <w:t>3</w:t>
            </w:r>
          </w:p>
        </w:tc>
        <w:tc>
          <w:tcPr>
            <w:tcW w:w="1134" w:type="dxa"/>
            <w:tcBorders>
              <w:top w:val="single" w:sz="4" w:space="0" w:color="auto"/>
              <w:left w:val="single" w:sz="4" w:space="0" w:color="auto"/>
              <w:bottom w:val="single" w:sz="4" w:space="0" w:color="auto"/>
              <w:right w:val="single" w:sz="4" w:space="0" w:color="auto"/>
            </w:tcBorders>
            <w:vAlign w:val="center"/>
          </w:tcPr>
          <w:p w14:paraId="43B2EDE8"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25DC355"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2</w:t>
            </w:r>
          </w:p>
        </w:tc>
        <w:tc>
          <w:tcPr>
            <w:tcW w:w="1705" w:type="dxa"/>
            <w:tcBorders>
              <w:top w:val="single" w:sz="4" w:space="0" w:color="auto"/>
              <w:left w:val="single" w:sz="4" w:space="0" w:color="auto"/>
              <w:bottom w:val="single" w:sz="4" w:space="0" w:color="auto"/>
              <w:right w:val="single" w:sz="4" w:space="0" w:color="auto"/>
            </w:tcBorders>
            <w:vAlign w:val="center"/>
          </w:tcPr>
          <w:p w14:paraId="221B7CDB"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089DDE6B"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55361841"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lastRenderedPageBreak/>
              <w:t>Méthane (CH</w:t>
            </w:r>
            <w:r w:rsidRPr="006B3FCB">
              <w:rPr>
                <w:b/>
                <w:bCs/>
                <w:vertAlign w:val="subscript"/>
                <w:lang w:val="fr-FR"/>
              </w:rPr>
              <w:t>4</w:t>
            </w:r>
            <w:r>
              <w:rPr>
                <w:b/>
                <w:bCs/>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174D6928"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0FC7DA75"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100</w:t>
            </w:r>
          </w:p>
        </w:tc>
        <w:tc>
          <w:tcPr>
            <w:tcW w:w="1705" w:type="dxa"/>
            <w:tcBorders>
              <w:top w:val="single" w:sz="4" w:space="0" w:color="auto"/>
              <w:left w:val="single" w:sz="4" w:space="0" w:color="auto"/>
              <w:bottom w:val="single" w:sz="4" w:space="0" w:color="auto"/>
              <w:right w:val="single" w:sz="4" w:space="0" w:color="auto"/>
            </w:tcBorders>
            <w:vAlign w:val="center"/>
          </w:tcPr>
          <w:p w14:paraId="01147374"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5AC19832"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2B6A67F8"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Oxygène (O</w:t>
            </w:r>
            <w:r w:rsidRPr="006B3FCB">
              <w:rPr>
                <w:b/>
                <w:bCs/>
                <w:vertAlign w:val="subscript"/>
                <w:lang w:val="fr-FR"/>
              </w:rPr>
              <w:t>2</w:t>
            </w:r>
            <w:r>
              <w:rPr>
                <w:b/>
                <w:bCs/>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2C2363CF"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4B8BBB3"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5</w:t>
            </w:r>
          </w:p>
        </w:tc>
        <w:tc>
          <w:tcPr>
            <w:tcW w:w="1705" w:type="dxa"/>
            <w:tcBorders>
              <w:top w:val="single" w:sz="4" w:space="0" w:color="auto"/>
              <w:left w:val="single" w:sz="4" w:space="0" w:color="auto"/>
              <w:bottom w:val="single" w:sz="4" w:space="0" w:color="auto"/>
              <w:right w:val="single" w:sz="4" w:space="0" w:color="auto"/>
            </w:tcBorders>
            <w:vAlign w:val="center"/>
          </w:tcPr>
          <w:p w14:paraId="1E05ACC4"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1A540536"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4FF88A75"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Hélium (He)</w:t>
            </w:r>
          </w:p>
        </w:tc>
        <w:tc>
          <w:tcPr>
            <w:tcW w:w="1134" w:type="dxa"/>
            <w:tcBorders>
              <w:top w:val="single" w:sz="4" w:space="0" w:color="auto"/>
              <w:left w:val="single" w:sz="4" w:space="0" w:color="auto"/>
              <w:bottom w:val="single" w:sz="4" w:space="0" w:color="auto"/>
              <w:right w:val="single" w:sz="4" w:space="0" w:color="auto"/>
            </w:tcBorders>
            <w:vAlign w:val="center"/>
          </w:tcPr>
          <w:p w14:paraId="0CE4919C"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37B2BEC0"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5F4CA49D"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5C44E1B9"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2458AADB"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Azote (N</w:t>
            </w:r>
            <w:r w:rsidRPr="006B3FCB">
              <w:rPr>
                <w:b/>
                <w:bCs/>
                <w:vertAlign w:val="subscript"/>
                <w:lang w:val="fr-FR"/>
              </w:rPr>
              <w:t>2</w:t>
            </w:r>
            <w:r>
              <w:rPr>
                <w:b/>
                <w:bCs/>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789F5CE9"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14BC502E"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175CC02B"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3766A65C"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59946793"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Argon (Ar)</w:t>
            </w:r>
          </w:p>
        </w:tc>
        <w:tc>
          <w:tcPr>
            <w:tcW w:w="1134" w:type="dxa"/>
            <w:tcBorders>
              <w:top w:val="single" w:sz="4" w:space="0" w:color="auto"/>
              <w:left w:val="single" w:sz="4" w:space="0" w:color="auto"/>
              <w:bottom w:val="single" w:sz="4" w:space="0" w:color="auto"/>
              <w:right w:val="single" w:sz="4" w:space="0" w:color="auto"/>
            </w:tcBorders>
            <w:vAlign w:val="center"/>
          </w:tcPr>
          <w:p w14:paraId="2D56456D"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1B223F6"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0A1A8B82"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0A73C1DC"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7808F0BC"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Dioxyde de carbone (CO</w:t>
            </w:r>
            <w:r w:rsidRPr="006B3FCB">
              <w:rPr>
                <w:b/>
                <w:bCs/>
                <w:vertAlign w:val="subscript"/>
                <w:lang w:val="fr-FR"/>
              </w:rPr>
              <w:t>2</w:t>
            </w:r>
            <w:r>
              <w:rPr>
                <w:b/>
                <w:bCs/>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0A0849EC"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7B088C51"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2</w:t>
            </w:r>
          </w:p>
        </w:tc>
        <w:tc>
          <w:tcPr>
            <w:tcW w:w="1705" w:type="dxa"/>
            <w:tcBorders>
              <w:top w:val="single" w:sz="4" w:space="0" w:color="auto"/>
              <w:left w:val="single" w:sz="4" w:space="0" w:color="auto"/>
              <w:bottom w:val="single" w:sz="4" w:space="0" w:color="auto"/>
              <w:right w:val="single" w:sz="4" w:space="0" w:color="auto"/>
            </w:tcBorders>
            <w:vAlign w:val="center"/>
          </w:tcPr>
          <w:p w14:paraId="11FBF85D"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35B685CD"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15E0BFA2"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Monoxyde de carbone (CO)</w:t>
            </w:r>
            <w:r w:rsidRPr="006B3FCB">
              <w:rPr>
                <w:b/>
                <w:bCs/>
                <w:sz w:val="18"/>
                <w:szCs w:val="18"/>
                <w:vertAlign w:val="superscript"/>
                <w:lang w:val="fr-FR"/>
              </w:rPr>
              <w:t>4</w:t>
            </w:r>
          </w:p>
        </w:tc>
        <w:tc>
          <w:tcPr>
            <w:tcW w:w="1134" w:type="dxa"/>
            <w:tcBorders>
              <w:top w:val="single" w:sz="4" w:space="0" w:color="auto"/>
              <w:left w:val="single" w:sz="4" w:space="0" w:color="auto"/>
              <w:bottom w:val="single" w:sz="4" w:space="0" w:color="auto"/>
              <w:right w:val="single" w:sz="4" w:space="0" w:color="auto"/>
            </w:tcBorders>
            <w:vAlign w:val="center"/>
          </w:tcPr>
          <w:p w14:paraId="6A2471DB"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1330CDC1"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0,2</w:t>
            </w:r>
          </w:p>
        </w:tc>
        <w:tc>
          <w:tcPr>
            <w:tcW w:w="1705" w:type="dxa"/>
            <w:tcBorders>
              <w:top w:val="single" w:sz="4" w:space="0" w:color="auto"/>
              <w:left w:val="single" w:sz="4" w:space="0" w:color="auto"/>
              <w:bottom w:val="single" w:sz="4" w:space="0" w:color="auto"/>
              <w:right w:val="single" w:sz="4" w:space="0" w:color="auto"/>
            </w:tcBorders>
            <w:vAlign w:val="center"/>
          </w:tcPr>
          <w:p w14:paraId="52522DDE"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0F4A4ADC"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3637CF62" w14:textId="77777777" w:rsidR="00AC2AF0" w:rsidRPr="001C3816" w:rsidRDefault="00AC2AF0" w:rsidP="009634C1">
            <w:pPr>
              <w:spacing w:before="80" w:after="80" w:line="240" w:lineRule="auto"/>
              <w:rPr>
                <w:rFonts w:eastAsia="Calibri"/>
                <w:b/>
                <w:bCs/>
                <w:iCs/>
                <w:noProof/>
                <w:spacing w:val="-2"/>
                <w:sz w:val="18"/>
                <w:szCs w:val="18"/>
              </w:rPr>
            </w:pPr>
            <w:r>
              <w:rPr>
                <w:b/>
                <w:bCs/>
                <w:lang w:val="fr-FR"/>
              </w:rPr>
              <w:t>Composés sulfurés totaux (base s1)</w:t>
            </w:r>
            <w:r w:rsidRPr="006B3FCB">
              <w:rPr>
                <w:b/>
                <w:bCs/>
                <w:sz w:val="18"/>
                <w:szCs w:val="18"/>
                <w:vertAlign w:val="superscript"/>
                <w:lang w:val="fr-FR"/>
              </w:rPr>
              <w:t>5</w:t>
            </w:r>
          </w:p>
        </w:tc>
        <w:tc>
          <w:tcPr>
            <w:tcW w:w="1134" w:type="dxa"/>
            <w:tcBorders>
              <w:top w:val="single" w:sz="4" w:space="0" w:color="auto"/>
              <w:left w:val="single" w:sz="4" w:space="0" w:color="auto"/>
              <w:bottom w:val="single" w:sz="4" w:space="0" w:color="auto"/>
              <w:right w:val="single" w:sz="4" w:space="0" w:color="auto"/>
            </w:tcBorders>
            <w:vAlign w:val="center"/>
          </w:tcPr>
          <w:p w14:paraId="161BA823"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3E0E0FC5"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0,004</w:t>
            </w:r>
          </w:p>
        </w:tc>
        <w:tc>
          <w:tcPr>
            <w:tcW w:w="1705" w:type="dxa"/>
            <w:tcBorders>
              <w:top w:val="single" w:sz="4" w:space="0" w:color="auto"/>
              <w:left w:val="single" w:sz="4" w:space="0" w:color="auto"/>
              <w:bottom w:val="single" w:sz="4" w:space="0" w:color="auto"/>
              <w:right w:val="single" w:sz="4" w:space="0" w:color="auto"/>
            </w:tcBorders>
            <w:vAlign w:val="center"/>
          </w:tcPr>
          <w:p w14:paraId="3C7FD63A"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246D5C48"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3026A0F5"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Formaldéhyde</w:t>
            </w:r>
            <w:r w:rsidRPr="006B3FCB">
              <w:rPr>
                <w:b/>
                <w:bCs/>
                <w:sz w:val="18"/>
                <w:szCs w:val="18"/>
                <w:vertAlign w:val="superscript"/>
                <w:lang w:val="fr-FR"/>
              </w:rPr>
              <w:t>4</w:t>
            </w:r>
          </w:p>
        </w:tc>
        <w:tc>
          <w:tcPr>
            <w:tcW w:w="1134" w:type="dxa"/>
            <w:tcBorders>
              <w:top w:val="single" w:sz="4" w:space="0" w:color="auto"/>
              <w:left w:val="single" w:sz="4" w:space="0" w:color="auto"/>
              <w:bottom w:val="single" w:sz="4" w:space="0" w:color="auto"/>
              <w:right w:val="single" w:sz="4" w:space="0" w:color="auto"/>
            </w:tcBorders>
            <w:vAlign w:val="center"/>
          </w:tcPr>
          <w:p w14:paraId="54F991F9"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0561D56D"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0,2</w:t>
            </w:r>
          </w:p>
        </w:tc>
        <w:tc>
          <w:tcPr>
            <w:tcW w:w="1705" w:type="dxa"/>
            <w:tcBorders>
              <w:top w:val="single" w:sz="4" w:space="0" w:color="auto"/>
              <w:left w:val="single" w:sz="4" w:space="0" w:color="auto"/>
              <w:bottom w:val="single" w:sz="4" w:space="0" w:color="auto"/>
              <w:right w:val="single" w:sz="4" w:space="0" w:color="auto"/>
            </w:tcBorders>
            <w:vAlign w:val="center"/>
          </w:tcPr>
          <w:p w14:paraId="15457384"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79E2476E"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1279FB05"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Acide formique</w:t>
            </w:r>
            <w:r w:rsidRPr="006B3FCB">
              <w:rPr>
                <w:b/>
                <w:bCs/>
                <w:sz w:val="18"/>
                <w:szCs w:val="18"/>
                <w:vertAlign w:val="superscript"/>
                <w:lang w:val="fr-FR"/>
              </w:rPr>
              <w:t>4</w:t>
            </w:r>
          </w:p>
        </w:tc>
        <w:tc>
          <w:tcPr>
            <w:tcW w:w="1134" w:type="dxa"/>
            <w:tcBorders>
              <w:top w:val="single" w:sz="4" w:space="0" w:color="auto"/>
              <w:left w:val="single" w:sz="4" w:space="0" w:color="auto"/>
              <w:bottom w:val="single" w:sz="4" w:space="0" w:color="auto"/>
              <w:right w:val="single" w:sz="4" w:space="0" w:color="auto"/>
            </w:tcBorders>
            <w:vAlign w:val="center"/>
          </w:tcPr>
          <w:p w14:paraId="6C9F9F84"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2B78DB4"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0,2</w:t>
            </w:r>
          </w:p>
        </w:tc>
        <w:tc>
          <w:tcPr>
            <w:tcW w:w="1705" w:type="dxa"/>
            <w:tcBorders>
              <w:top w:val="single" w:sz="4" w:space="0" w:color="auto"/>
              <w:left w:val="single" w:sz="4" w:space="0" w:color="auto"/>
              <w:bottom w:val="single" w:sz="4" w:space="0" w:color="auto"/>
              <w:right w:val="single" w:sz="4" w:space="0" w:color="auto"/>
            </w:tcBorders>
            <w:vAlign w:val="center"/>
          </w:tcPr>
          <w:p w14:paraId="16C40AE2"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57AC6152"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78DB442A" w14:textId="77777777" w:rsidR="00AC2AF0" w:rsidRPr="009B2DA4" w:rsidRDefault="00AC2AF0" w:rsidP="009634C1">
            <w:pPr>
              <w:spacing w:before="80" w:after="80" w:line="240" w:lineRule="auto"/>
              <w:rPr>
                <w:rFonts w:eastAsia="Calibri"/>
                <w:b/>
                <w:bCs/>
                <w:iCs/>
                <w:noProof/>
                <w:spacing w:val="-2"/>
                <w:sz w:val="18"/>
                <w:szCs w:val="18"/>
              </w:rPr>
            </w:pPr>
            <w:r>
              <w:rPr>
                <w:b/>
                <w:bCs/>
                <w:lang w:val="fr-FR"/>
              </w:rPr>
              <w:t>Ammoniac (NH</w:t>
            </w:r>
            <w:r w:rsidRPr="006B3FCB">
              <w:rPr>
                <w:b/>
                <w:bCs/>
                <w:vertAlign w:val="subscript"/>
                <w:lang w:val="fr-FR"/>
              </w:rPr>
              <w:t>3</w:t>
            </w:r>
            <w:r>
              <w:rPr>
                <w:b/>
                <w:bCs/>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0ED2ED2E"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CE1C32B"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0,1</w:t>
            </w:r>
          </w:p>
        </w:tc>
        <w:tc>
          <w:tcPr>
            <w:tcW w:w="1705" w:type="dxa"/>
            <w:tcBorders>
              <w:top w:val="single" w:sz="4" w:space="0" w:color="auto"/>
              <w:left w:val="single" w:sz="4" w:space="0" w:color="auto"/>
              <w:bottom w:val="single" w:sz="4" w:space="0" w:color="auto"/>
              <w:right w:val="single" w:sz="4" w:space="0" w:color="auto"/>
            </w:tcBorders>
            <w:vAlign w:val="center"/>
          </w:tcPr>
          <w:p w14:paraId="0C093113"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76432316"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0B1E6235" w14:textId="77777777" w:rsidR="00AC2AF0" w:rsidRPr="001C3816" w:rsidRDefault="00AC2AF0" w:rsidP="009634C1">
            <w:pPr>
              <w:spacing w:before="80" w:after="80" w:line="240" w:lineRule="auto"/>
              <w:rPr>
                <w:rFonts w:eastAsia="Calibri"/>
                <w:b/>
                <w:bCs/>
                <w:iCs/>
                <w:noProof/>
                <w:spacing w:val="-2"/>
                <w:sz w:val="18"/>
                <w:szCs w:val="18"/>
              </w:rPr>
            </w:pPr>
            <w:r>
              <w:rPr>
                <w:b/>
                <w:bCs/>
                <w:lang w:val="fr-FR"/>
              </w:rPr>
              <w:t>Composés halogénés</w:t>
            </w:r>
          </w:p>
          <w:p w14:paraId="27AA2F72" w14:textId="77777777" w:rsidR="00AC2AF0" w:rsidRPr="001C3816" w:rsidRDefault="00AC2AF0" w:rsidP="009634C1">
            <w:pPr>
              <w:spacing w:before="80" w:after="80" w:line="240" w:lineRule="auto"/>
              <w:rPr>
                <w:rFonts w:eastAsia="Calibri"/>
                <w:b/>
                <w:bCs/>
                <w:iCs/>
                <w:noProof/>
                <w:spacing w:val="-2"/>
                <w:sz w:val="18"/>
                <w:szCs w:val="18"/>
              </w:rPr>
            </w:pPr>
            <w:r>
              <w:rPr>
                <w:b/>
                <w:bCs/>
                <w:lang w:val="fr-FR"/>
              </w:rPr>
              <w:t>(base halogène ion)</w:t>
            </w:r>
            <w:r w:rsidRPr="006B3FCB">
              <w:rPr>
                <w:b/>
                <w:bCs/>
                <w:sz w:val="18"/>
                <w:szCs w:val="18"/>
                <w:vertAlign w:val="superscript"/>
                <w:lang w:val="fr-FR"/>
              </w:rPr>
              <w:t>6</w:t>
            </w:r>
          </w:p>
        </w:tc>
        <w:tc>
          <w:tcPr>
            <w:tcW w:w="1134" w:type="dxa"/>
            <w:tcBorders>
              <w:top w:val="single" w:sz="4" w:space="0" w:color="auto"/>
              <w:left w:val="single" w:sz="4" w:space="0" w:color="auto"/>
              <w:bottom w:val="single" w:sz="4" w:space="0" w:color="auto"/>
              <w:right w:val="single" w:sz="4" w:space="0" w:color="auto"/>
            </w:tcBorders>
            <w:vAlign w:val="center"/>
          </w:tcPr>
          <w:p w14:paraId="46EAF7FD"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3F387B01"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0,05</w:t>
            </w:r>
          </w:p>
        </w:tc>
        <w:tc>
          <w:tcPr>
            <w:tcW w:w="1705" w:type="dxa"/>
            <w:tcBorders>
              <w:top w:val="single" w:sz="4" w:space="0" w:color="auto"/>
              <w:left w:val="single" w:sz="4" w:space="0" w:color="auto"/>
              <w:bottom w:val="single" w:sz="4" w:space="0" w:color="auto"/>
              <w:right w:val="single" w:sz="4" w:space="0" w:color="auto"/>
            </w:tcBorders>
            <w:vAlign w:val="center"/>
          </w:tcPr>
          <w:p w14:paraId="74D3A3E3"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r w:rsidR="00AC2AF0" w:rsidRPr="009B2DA4" w14:paraId="798D3492" w14:textId="77777777" w:rsidTr="009634C1">
        <w:tc>
          <w:tcPr>
            <w:tcW w:w="1842" w:type="dxa"/>
            <w:tcBorders>
              <w:top w:val="single" w:sz="4" w:space="0" w:color="auto"/>
              <w:left w:val="single" w:sz="4" w:space="0" w:color="auto"/>
              <w:bottom w:val="single" w:sz="4" w:space="0" w:color="auto"/>
              <w:right w:val="single" w:sz="4" w:space="0" w:color="auto"/>
            </w:tcBorders>
            <w:vAlign w:val="center"/>
          </w:tcPr>
          <w:p w14:paraId="08A60B4A" w14:textId="77777777" w:rsidR="00AC2AF0" w:rsidRPr="001C3816" w:rsidRDefault="00AC2AF0" w:rsidP="009634C1">
            <w:pPr>
              <w:spacing w:before="80" w:after="80" w:line="240" w:lineRule="auto"/>
              <w:rPr>
                <w:rFonts w:eastAsia="Calibri"/>
                <w:b/>
                <w:bCs/>
                <w:iCs/>
                <w:noProof/>
                <w:spacing w:val="-2"/>
                <w:sz w:val="18"/>
                <w:szCs w:val="18"/>
              </w:rPr>
            </w:pPr>
            <w:r>
              <w:rPr>
                <w:b/>
                <w:bCs/>
                <w:lang w:val="fr-FR"/>
              </w:rPr>
              <w:t>Concentration maximale de matières particulaires</w:t>
            </w:r>
            <w:r w:rsidRPr="006B3FCB">
              <w:rPr>
                <w:b/>
                <w:bCs/>
                <w:sz w:val="18"/>
                <w:szCs w:val="18"/>
                <w:vertAlign w:val="superscript"/>
                <w:lang w:val="fr-FR"/>
              </w:rPr>
              <w:t>7</w:t>
            </w:r>
          </w:p>
        </w:tc>
        <w:tc>
          <w:tcPr>
            <w:tcW w:w="1134" w:type="dxa"/>
            <w:tcBorders>
              <w:top w:val="single" w:sz="4" w:space="0" w:color="auto"/>
              <w:left w:val="single" w:sz="4" w:space="0" w:color="auto"/>
              <w:bottom w:val="single" w:sz="4" w:space="0" w:color="auto"/>
              <w:right w:val="single" w:sz="4" w:space="0" w:color="auto"/>
            </w:tcBorders>
            <w:vAlign w:val="center"/>
          </w:tcPr>
          <w:p w14:paraId="650BD8F1" w14:textId="77777777" w:rsidR="00AC2AF0" w:rsidRPr="009B2DA4" w:rsidRDefault="00AC2AF0" w:rsidP="009634C1">
            <w:pPr>
              <w:spacing w:before="80" w:after="80" w:line="240" w:lineRule="auto"/>
              <w:jc w:val="center"/>
              <w:rPr>
                <w:rFonts w:eastAsia="Calibri"/>
                <w:b/>
                <w:bCs/>
                <w:noProof/>
                <w:spacing w:val="-2"/>
                <w:sz w:val="18"/>
                <w:szCs w:val="18"/>
              </w:rPr>
            </w:pPr>
            <w:r>
              <w:rPr>
                <w:b/>
                <w:bCs/>
                <w:lang w:val="fr-FR"/>
              </w:rPr>
              <w:t>mg/kg</w:t>
            </w:r>
          </w:p>
        </w:tc>
        <w:tc>
          <w:tcPr>
            <w:tcW w:w="2406" w:type="dxa"/>
            <w:tcBorders>
              <w:top w:val="single" w:sz="4" w:space="0" w:color="auto"/>
              <w:left w:val="single" w:sz="4" w:space="0" w:color="auto"/>
              <w:bottom w:val="single" w:sz="4" w:space="0" w:color="auto"/>
              <w:right w:val="single" w:sz="4" w:space="0" w:color="auto"/>
            </w:tcBorders>
            <w:vAlign w:val="center"/>
          </w:tcPr>
          <w:p w14:paraId="128E8532" w14:textId="77777777" w:rsidR="00AC2AF0" w:rsidRPr="009B2DA4" w:rsidRDefault="00AC2AF0" w:rsidP="009634C1">
            <w:pPr>
              <w:spacing w:before="80" w:after="80" w:line="240" w:lineRule="auto"/>
              <w:jc w:val="center"/>
              <w:rPr>
                <w:rFonts w:eastAsia="Calibri"/>
                <w:b/>
                <w:bCs/>
                <w:iCs/>
                <w:noProof/>
                <w:spacing w:val="-2"/>
                <w:sz w:val="18"/>
                <w:szCs w:val="18"/>
              </w:rPr>
            </w:pPr>
            <w:r>
              <w:rPr>
                <w:b/>
                <w:bCs/>
                <w:lang w:val="fr-FR"/>
              </w:rPr>
              <w:t>1</w:t>
            </w:r>
          </w:p>
        </w:tc>
        <w:tc>
          <w:tcPr>
            <w:tcW w:w="1705" w:type="dxa"/>
            <w:tcBorders>
              <w:top w:val="single" w:sz="4" w:space="0" w:color="auto"/>
              <w:left w:val="single" w:sz="4" w:space="0" w:color="auto"/>
              <w:bottom w:val="single" w:sz="4" w:space="0" w:color="auto"/>
              <w:right w:val="single" w:sz="4" w:space="0" w:color="auto"/>
            </w:tcBorders>
            <w:vAlign w:val="center"/>
          </w:tcPr>
          <w:p w14:paraId="00989B5F" w14:textId="77777777" w:rsidR="00AC2AF0" w:rsidRPr="009B2DA4" w:rsidRDefault="00AC2AF0" w:rsidP="009634C1">
            <w:pPr>
              <w:spacing w:before="80" w:after="80" w:line="240" w:lineRule="auto"/>
              <w:jc w:val="center"/>
              <w:rPr>
                <w:rFonts w:eastAsia="Calibri"/>
                <w:b/>
                <w:bCs/>
                <w:i/>
                <w:noProof/>
                <w:spacing w:val="-2"/>
                <w:sz w:val="18"/>
                <w:szCs w:val="18"/>
              </w:rPr>
            </w:pPr>
            <w:r>
              <w:rPr>
                <w:b/>
                <w:bCs/>
                <w:lang w:val="fr-FR"/>
              </w:rPr>
              <w:t>ISO 21087:2019</w:t>
            </w:r>
          </w:p>
        </w:tc>
      </w:tr>
    </w:tbl>
    <w:p w14:paraId="1D97F4E0" w14:textId="62276B2B" w:rsidR="003B2B2C" w:rsidRPr="006D4515" w:rsidRDefault="003B2B2C" w:rsidP="006B3FCB">
      <w:pPr>
        <w:pStyle w:val="SingleTxtG"/>
        <w:spacing w:before="80" w:after="80" w:line="240" w:lineRule="auto"/>
        <w:rPr>
          <w:rFonts w:eastAsia="Calibri"/>
          <w:b/>
          <w:bCs/>
          <w:i/>
          <w:iCs/>
          <w:noProof/>
          <w:spacing w:val="-2"/>
          <w:sz w:val="18"/>
          <w:szCs w:val="18"/>
        </w:rPr>
      </w:pPr>
      <w:r w:rsidRPr="006D4515">
        <w:rPr>
          <w:b/>
          <w:bCs/>
          <w:i/>
          <w:iCs/>
          <w:sz w:val="18"/>
          <w:szCs w:val="18"/>
          <w:lang w:val="fr-FR"/>
        </w:rPr>
        <w:t>Notes</w:t>
      </w:r>
      <w:r w:rsidR="000563D6">
        <w:rPr>
          <w:b/>
          <w:bCs/>
          <w:i/>
          <w:iCs/>
          <w:sz w:val="18"/>
          <w:szCs w:val="18"/>
          <w:lang w:val="fr-FR"/>
        </w:rPr>
        <w:t> </w:t>
      </w:r>
      <w:r w:rsidRPr="006D4515">
        <w:rPr>
          <w:b/>
          <w:bCs/>
          <w:i/>
          <w:iCs/>
          <w:sz w:val="18"/>
          <w:szCs w:val="18"/>
          <w:lang w:val="fr-FR"/>
        </w:rPr>
        <w:t>:</w:t>
      </w:r>
    </w:p>
    <w:p w14:paraId="6999F057" w14:textId="1B209603" w:rsidR="003B2B2C" w:rsidRPr="006D4515" w:rsidRDefault="006D4515" w:rsidP="006B3FCB">
      <w:pPr>
        <w:pStyle w:val="SingleTxtG"/>
        <w:spacing w:before="80" w:after="80" w:line="240" w:lineRule="auto"/>
        <w:rPr>
          <w:b/>
          <w:bCs/>
          <w:sz w:val="18"/>
          <w:szCs w:val="18"/>
          <w:lang w:val="fr-FR"/>
        </w:rPr>
      </w:pPr>
      <w:r w:rsidRPr="006D4515">
        <w:rPr>
          <w:b/>
          <w:bCs/>
          <w:sz w:val="18"/>
          <w:szCs w:val="18"/>
          <w:vertAlign w:val="superscript"/>
          <w:lang w:val="fr-FR"/>
        </w:rPr>
        <w:t>1</w:t>
      </w:r>
      <w:r>
        <w:rPr>
          <w:b/>
          <w:bCs/>
          <w:sz w:val="18"/>
          <w:szCs w:val="18"/>
          <w:lang w:val="fr-FR"/>
        </w:rPr>
        <w:t xml:space="preserve"> </w:t>
      </w:r>
      <w:r w:rsidR="003B2B2C" w:rsidRPr="006D4515">
        <w:rPr>
          <w:b/>
          <w:bCs/>
          <w:sz w:val="18"/>
          <w:szCs w:val="18"/>
          <w:lang w:val="fr-FR"/>
        </w:rPr>
        <w:t xml:space="preserve">Pour les constituants qui sont additifs, tels que les hydrocarbures totaux et les composés sulfurés totaux, la somme des constituants doit être inférieure ou égale à la limite acceptable. </w:t>
      </w:r>
    </w:p>
    <w:p w14:paraId="51A637EF" w14:textId="01635ED0" w:rsidR="003B2B2C" w:rsidRPr="006D4515"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2</w:t>
      </w:r>
      <w:r w:rsidRPr="006D4515">
        <w:rPr>
          <w:b/>
          <w:bCs/>
          <w:sz w:val="18"/>
          <w:szCs w:val="18"/>
          <w:lang w:val="fr-FR"/>
        </w:rPr>
        <w:t xml:space="preserve"> On calcule l</w:t>
      </w:r>
      <w:r w:rsidR="00B21C23">
        <w:rPr>
          <w:b/>
          <w:bCs/>
          <w:sz w:val="18"/>
          <w:szCs w:val="18"/>
          <w:lang w:val="fr-FR"/>
        </w:rPr>
        <w:t>’</w:t>
      </w:r>
      <w:r w:rsidRPr="006D4515">
        <w:rPr>
          <w:b/>
          <w:bCs/>
          <w:sz w:val="18"/>
          <w:szCs w:val="18"/>
          <w:lang w:val="fr-FR"/>
        </w:rPr>
        <w:t>indice du combustible hydrogène en soustrayant de 100 mol</w:t>
      </w:r>
      <w:r w:rsidR="000563D6">
        <w:rPr>
          <w:b/>
          <w:bCs/>
          <w:sz w:val="18"/>
          <w:szCs w:val="18"/>
          <w:lang w:val="fr-FR"/>
        </w:rPr>
        <w:t> </w:t>
      </w:r>
      <w:r w:rsidRPr="006D4515">
        <w:rPr>
          <w:b/>
          <w:bCs/>
          <w:sz w:val="18"/>
          <w:szCs w:val="18"/>
          <w:lang w:val="fr-FR"/>
        </w:rPr>
        <w:t>% le contenu total, exprimé en mol %, des constituants gazeux autres que l</w:t>
      </w:r>
      <w:r w:rsidR="00B21C23">
        <w:rPr>
          <w:b/>
          <w:bCs/>
          <w:sz w:val="18"/>
          <w:szCs w:val="18"/>
          <w:lang w:val="fr-FR"/>
        </w:rPr>
        <w:t>’</w:t>
      </w:r>
      <w:r w:rsidRPr="006D4515">
        <w:rPr>
          <w:b/>
          <w:bCs/>
          <w:sz w:val="18"/>
          <w:szCs w:val="18"/>
          <w:lang w:val="fr-FR"/>
        </w:rPr>
        <w:t>hydrogène énumérés dans le tableau (gaz</w:t>
      </w:r>
      <w:r w:rsidR="006B3FCB">
        <w:rPr>
          <w:b/>
          <w:bCs/>
          <w:sz w:val="18"/>
          <w:szCs w:val="18"/>
          <w:lang w:val="fr-FR"/>
        </w:rPr>
        <w:t> </w:t>
      </w:r>
      <w:r w:rsidRPr="006D4515">
        <w:rPr>
          <w:b/>
          <w:bCs/>
          <w:sz w:val="18"/>
          <w:szCs w:val="18"/>
          <w:lang w:val="fr-FR"/>
        </w:rPr>
        <w:t xml:space="preserve">totaux). </w:t>
      </w:r>
    </w:p>
    <w:p w14:paraId="70BCAF1A" w14:textId="74D6EAF6" w:rsidR="003B2B2C" w:rsidRPr="006D4515"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3</w:t>
      </w:r>
      <w:r w:rsidR="006D4515">
        <w:rPr>
          <w:b/>
          <w:bCs/>
          <w:sz w:val="18"/>
          <w:szCs w:val="18"/>
          <w:lang w:val="fr-FR"/>
        </w:rPr>
        <w:t xml:space="preserve"> </w:t>
      </w:r>
      <w:r w:rsidRPr="006D4515">
        <w:rPr>
          <w:b/>
          <w:bCs/>
          <w:sz w:val="18"/>
          <w:szCs w:val="18"/>
          <w:lang w:val="fr-FR"/>
        </w:rPr>
        <w:t>Les hydrocarbures totaux à l</w:t>
      </w:r>
      <w:r w:rsidR="00B21C23">
        <w:rPr>
          <w:b/>
          <w:bCs/>
          <w:sz w:val="18"/>
          <w:szCs w:val="18"/>
          <w:lang w:val="fr-FR"/>
        </w:rPr>
        <w:t>’</w:t>
      </w:r>
      <w:r w:rsidRPr="006D4515">
        <w:rPr>
          <w:b/>
          <w:bCs/>
          <w:sz w:val="18"/>
          <w:szCs w:val="18"/>
          <w:lang w:val="fr-FR"/>
        </w:rPr>
        <w:t>exception du méthane incluent les espèces organiques oxygénées. Les hydrocarbures totaux à l</w:t>
      </w:r>
      <w:r w:rsidR="00B21C23">
        <w:rPr>
          <w:b/>
          <w:bCs/>
          <w:sz w:val="18"/>
          <w:szCs w:val="18"/>
          <w:lang w:val="fr-FR"/>
        </w:rPr>
        <w:t>’</w:t>
      </w:r>
      <w:r w:rsidRPr="006D4515">
        <w:rPr>
          <w:b/>
          <w:bCs/>
          <w:sz w:val="18"/>
          <w:szCs w:val="18"/>
          <w:lang w:val="fr-FR"/>
        </w:rPr>
        <w:t>exception du méthane doivent être mesurés sur la base de l</w:t>
      </w:r>
      <w:r w:rsidR="00B21C23">
        <w:rPr>
          <w:b/>
          <w:bCs/>
          <w:sz w:val="18"/>
          <w:szCs w:val="18"/>
          <w:lang w:val="fr-FR"/>
        </w:rPr>
        <w:t>’</w:t>
      </w:r>
      <w:r w:rsidRPr="006D4515">
        <w:rPr>
          <w:b/>
          <w:bCs/>
          <w:sz w:val="18"/>
          <w:szCs w:val="18"/>
          <w:lang w:val="fr-FR"/>
        </w:rPr>
        <w:t xml:space="preserve">équivalent C1 (μmolC/mol). </w:t>
      </w:r>
    </w:p>
    <w:p w14:paraId="11966C23" w14:textId="680E1CAD" w:rsidR="003B2B2C" w:rsidRPr="006D4515"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4</w:t>
      </w:r>
      <w:r w:rsidR="006D4515">
        <w:rPr>
          <w:b/>
          <w:bCs/>
          <w:sz w:val="18"/>
          <w:szCs w:val="18"/>
          <w:lang w:val="fr-FR"/>
        </w:rPr>
        <w:t xml:space="preserve"> </w:t>
      </w:r>
      <w:r w:rsidRPr="006D4515">
        <w:rPr>
          <w:b/>
          <w:bCs/>
          <w:sz w:val="18"/>
          <w:szCs w:val="18"/>
          <w:lang w:val="fr-FR"/>
        </w:rPr>
        <w:t>La somme des valeurs mesurées pour le CO, le HCHO et le HCOOH ne doit pas dépasser 0,2</w:t>
      </w:r>
      <w:r w:rsidR="000563D6">
        <w:rPr>
          <w:b/>
          <w:bCs/>
          <w:sz w:val="18"/>
          <w:szCs w:val="18"/>
          <w:lang w:val="fr-FR"/>
        </w:rPr>
        <w:t> </w:t>
      </w:r>
      <w:r w:rsidRPr="006D4515">
        <w:rPr>
          <w:b/>
          <w:bCs/>
          <w:sz w:val="18"/>
          <w:szCs w:val="18"/>
          <w:lang w:val="fr-FR"/>
        </w:rPr>
        <w:t xml:space="preserve">μmol/mol. </w:t>
      </w:r>
    </w:p>
    <w:p w14:paraId="52BF3F93" w14:textId="04CA0D0D" w:rsidR="003B2B2C" w:rsidRPr="006D4515"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5</w:t>
      </w:r>
      <w:r w:rsidR="006D4515" w:rsidRPr="006B3FCB">
        <w:rPr>
          <w:b/>
          <w:bCs/>
          <w:sz w:val="18"/>
          <w:szCs w:val="18"/>
          <w:lang w:val="fr-FR"/>
        </w:rPr>
        <w:t xml:space="preserve"> </w:t>
      </w:r>
      <w:r w:rsidRPr="006D4515">
        <w:rPr>
          <w:b/>
          <w:bCs/>
          <w:sz w:val="18"/>
          <w:szCs w:val="18"/>
          <w:lang w:val="fr-FR"/>
        </w:rPr>
        <w:t>Au minimum, les composés sulfurés totaux incluent H</w:t>
      </w:r>
      <w:r w:rsidRPr="000563D6">
        <w:rPr>
          <w:b/>
          <w:bCs/>
          <w:sz w:val="18"/>
          <w:szCs w:val="18"/>
          <w:vertAlign w:val="subscript"/>
          <w:lang w:val="fr-FR"/>
        </w:rPr>
        <w:t>2</w:t>
      </w:r>
      <w:r w:rsidRPr="006D4515">
        <w:rPr>
          <w:b/>
          <w:bCs/>
          <w:sz w:val="18"/>
          <w:szCs w:val="18"/>
          <w:lang w:val="fr-FR"/>
        </w:rPr>
        <w:t>S, COS, CS</w:t>
      </w:r>
      <w:r w:rsidRPr="000563D6">
        <w:rPr>
          <w:b/>
          <w:bCs/>
          <w:sz w:val="18"/>
          <w:szCs w:val="18"/>
          <w:vertAlign w:val="subscript"/>
          <w:lang w:val="fr-FR"/>
        </w:rPr>
        <w:t>2</w:t>
      </w:r>
      <w:r w:rsidRPr="006D4515">
        <w:rPr>
          <w:b/>
          <w:bCs/>
          <w:sz w:val="18"/>
          <w:szCs w:val="18"/>
          <w:lang w:val="fr-FR"/>
        </w:rPr>
        <w:t xml:space="preserve"> et les mercaptans, qui sont normalement présents dans le gaz naturel. </w:t>
      </w:r>
    </w:p>
    <w:p w14:paraId="0DF6C179" w14:textId="498043BF" w:rsidR="003B2B2C" w:rsidRPr="006D4515"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6</w:t>
      </w:r>
      <w:r w:rsidR="006D4515">
        <w:rPr>
          <w:b/>
          <w:bCs/>
          <w:sz w:val="18"/>
          <w:szCs w:val="18"/>
          <w:lang w:val="fr-FR"/>
        </w:rPr>
        <w:t xml:space="preserve"> </w:t>
      </w:r>
      <w:r w:rsidRPr="006D4515">
        <w:rPr>
          <w:b/>
          <w:bCs/>
          <w:sz w:val="18"/>
          <w:szCs w:val="18"/>
          <w:lang w:val="fr-FR"/>
        </w:rPr>
        <w:t>Les valeurs pour tous les composés halogénés susceptibles d</w:t>
      </w:r>
      <w:r w:rsidR="00B21C23">
        <w:rPr>
          <w:b/>
          <w:bCs/>
          <w:sz w:val="18"/>
          <w:szCs w:val="18"/>
          <w:lang w:val="fr-FR"/>
        </w:rPr>
        <w:t>’</w:t>
      </w:r>
      <w:r w:rsidRPr="006D4515">
        <w:rPr>
          <w:b/>
          <w:bCs/>
          <w:sz w:val="18"/>
          <w:szCs w:val="18"/>
          <w:lang w:val="fr-FR"/>
        </w:rPr>
        <w:t>être présents dans l</w:t>
      </w:r>
      <w:r w:rsidR="00B21C23">
        <w:rPr>
          <w:b/>
          <w:bCs/>
          <w:sz w:val="18"/>
          <w:szCs w:val="18"/>
          <w:lang w:val="fr-FR"/>
        </w:rPr>
        <w:t>’</w:t>
      </w:r>
      <w:r w:rsidRPr="006D4515">
        <w:rPr>
          <w:b/>
          <w:bCs/>
          <w:sz w:val="18"/>
          <w:szCs w:val="18"/>
          <w:lang w:val="fr-FR"/>
        </w:rPr>
        <w:t>hydrogène gazeux (par exemple, le chlorure d</w:t>
      </w:r>
      <w:r w:rsidR="00B21C23">
        <w:rPr>
          <w:b/>
          <w:bCs/>
          <w:sz w:val="18"/>
          <w:szCs w:val="18"/>
          <w:lang w:val="fr-FR"/>
        </w:rPr>
        <w:t>’</w:t>
      </w:r>
      <w:r w:rsidRPr="006D4515">
        <w:rPr>
          <w:b/>
          <w:bCs/>
          <w:sz w:val="18"/>
          <w:szCs w:val="18"/>
          <w:lang w:val="fr-FR"/>
        </w:rPr>
        <w:t>hydrogène (HCl) et les chlorures organiques (R-Cl)) devraient être déterminées dans le cadre du plan de contrôle qualité de l</w:t>
      </w:r>
      <w:r w:rsidR="00B21C23">
        <w:rPr>
          <w:b/>
          <w:bCs/>
          <w:sz w:val="18"/>
          <w:szCs w:val="18"/>
          <w:lang w:val="fr-FR"/>
        </w:rPr>
        <w:t>’</w:t>
      </w:r>
      <w:r w:rsidRPr="006D4515">
        <w:rPr>
          <w:b/>
          <w:bCs/>
          <w:sz w:val="18"/>
          <w:szCs w:val="18"/>
          <w:lang w:val="fr-FR"/>
        </w:rPr>
        <w:t>hydrogène visé par la norme ISO</w:t>
      </w:r>
      <w:r w:rsidR="000563D6">
        <w:rPr>
          <w:b/>
          <w:bCs/>
          <w:sz w:val="18"/>
          <w:szCs w:val="18"/>
          <w:lang w:val="fr-FR"/>
        </w:rPr>
        <w:t> </w:t>
      </w:r>
      <w:r w:rsidRPr="006D4515">
        <w:rPr>
          <w:b/>
          <w:bCs/>
          <w:sz w:val="18"/>
          <w:szCs w:val="18"/>
          <w:lang w:val="fr-FR"/>
        </w:rPr>
        <w:t xml:space="preserve">19880-8. Elles doivent être mesurées sur une base halogène ion (µmol/mol). </w:t>
      </w:r>
    </w:p>
    <w:p w14:paraId="7818BBE5" w14:textId="617F8470" w:rsidR="00F9573C" w:rsidRDefault="003B2B2C" w:rsidP="006B3FCB">
      <w:pPr>
        <w:pStyle w:val="SingleTxtG"/>
        <w:spacing w:before="80" w:after="80" w:line="240" w:lineRule="auto"/>
        <w:rPr>
          <w:b/>
          <w:bCs/>
          <w:sz w:val="18"/>
          <w:szCs w:val="18"/>
          <w:lang w:val="fr-FR"/>
        </w:rPr>
      </w:pPr>
      <w:r w:rsidRPr="006D4515">
        <w:rPr>
          <w:b/>
          <w:bCs/>
          <w:sz w:val="18"/>
          <w:szCs w:val="18"/>
          <w:vertAlign w:val="superscript"/>
          <w:lang w:val="fr-FR"/>
        </w:rPr>
        <w:t>7</w:t>
      </w:r>
      <w:r w:rsidR="006D4515">
        <w:rPr>
          <w:b/>
          <w:bCs/>
          <w:sz w:val="18"/>
          <w:szCs w:val="18"/>
          <w:lang w:val="fr-FR"/>
        </w:rPr>
        <w:t xml:space="preserve"> </w:t>
      </w:r>
      <w:r w:rsidRPr="006D4515">
        <w:rPr>
          <w:b/>
          <w:bCs/>
          <w:sz w:val="18"/>
          <w:szCs w:val="18"/>
          <w:lang w:val="fr-FR"/>
        </w:rPr>
        <w:t>Y compris les matières particulaires solides et liquides présentes dans les brouillards huileux. Les matières particulaires de gros calibre peuvent nuire au fonctionnement des composants du véhicule et leur présence doit être réduite au moyen d</w:t>
      </w:r>
      <w:r w:rsidR="00B21C23">
        <w:rPr>
          <w:b/>
          <w:bCs/>
          <w:sz w:val="18"/>
          <w:szCs w:val="18"/>
          <w:lang w:val="fr-FR"/>
        </w:rPr>
        <w:t>’</w:t>
      </w:r>
      <w:r w:rsidRPr="006D4515">
        <w:rPr>
          <w:b/>
          <w:bCs/>
          <w:sz w:val="18"/>
          <w:szCs w:val="18"/>
          <w:lang w:val="fr-FR"/>
        </w:rPr>
        <w:t>un filtre, comme précisé dans la norme ISO 19880-1. Aucune trace d</w:t>
      </w:r>
      <w:r w:rsidR="00B21C23">
        <w:rPr>
          <w:b/>
          <w:bCs/>
          <w:sz w:val="18"/>
          <w:szCs w:val="18"/>
          <w:lang w:val="fr-FR"/>
        </w:rPr>
        <w:t>’</w:t>
      </w:r>
      <w:r w:rsidRPr="006D4515">
        <w:rPr>
          <w:b/>
          <w:bCs/>
          <w:sz w:val="18"/>
          <w:szCs w:val="18"/>
          <w:lang w:val="fr-FR"/>
        </w:rPr>
        <w:t>huile ne doit être visible dans le carburant au niveau de la buse.</w:t>
      </w:r>
    </w:p>
    <w:p w14:paraId="64249F4C" w14:textId="4C0A4ECE" w:rsidR="006D4515" w:rsidRPr="006D4515" w:rsidRDefault="006D4515" w:rsidP="006D4515">
      <w:pPr>
        <w:pStyle w:val="SingleTxtG"/>
        <w:spacing w:before="240" w:after="0"/>
        <w:jc w:val="center"/>
        <w:rPr>
          <w:u w:val="single"/>
        </w:rPr>
      </w:pPr>
      <w:r>
        <w:rPr>
          <w:u w:val="single"/>
        </w:rPr>
        <w:tab/>
      </w:r>
      <w:r>
        <w:rPr>
          <w:u w:val="single"/>
        </w:rPr>
        <w:tab/>
      </w:r>
      <w:r>
        <w:rPr>
          <w:u w:val="single"/>
        </w:rPr>
        <w:tab/>
      </w:r>
      <w:r>
        <w:rPr>
          <w:u w:val="single"/>
        </w:rPr>
        <w:tab/>
      </w:r>
    </w:p>
    <w:sectPr w:rsidR="006D4515" w:rsidRPr="006D4515" w:rsidSect="003B2B2C">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E44E" w14:textId="77777777" w:rsidR="00CF28F2" w:rsidRDefault="00CF28F2" w:rsidP="00F95C08">
      <w:pPr>
        <w:spacing w:line="240" w:lineRule="auto"/>
      </w:pPr>
    </w:p>
  </w:endnote>
  <w:endnote w:type="continuationSeparator" w:id="0">
    <w:p w14:paraId="4EA80083" w14:textId="77777777" w:rsidR="00CF28F2" w:rsidRPr="00AC3823" w:rsidRDefault="00CF28F2" w:rsidP="00AC3823">
      <w:pPr>
        <w:pStyle w:val="Pieddepage"/>
      </w:pPr>
    </w:p>
  </w:endnote>
  <w:endnote w:type="continuationNotice" w:id="1">
    <w:p w14:paraId="1150856E" w14:textId="77777777" w:rsidR="00CF28F2" w:rsidRDefault="00CF28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86CA" w14:textId="3120B7D9" w:rsidR="003B2B2C" w:rsidRPr="003B2B2C" w:rsidRDefault="003B2B2C" w:rsidP="003B2B2C">
    <w:pPr>
      <w:pStyle w:val="Pieddepage"/>
      <w:tabs>
        <w:tab w:val="right" w:pos="9638"/>
      </w:tabs>
    </w:pPr>
    <w:r w:rsidRPr="003B2B2C">
      <w:rPr>
        <w:b/>
        <w:sz w:val="18"/>
      </w:rPr>
      <w:fldChar w:fldCharType="begin"/>
    </w:r>
    <w:r w:rsidRPr="003B2B2C">
      <w:rPr>
        <w:b/>
        <w:sz w:val="18"/>
      </w:rPr>
      <w:instrText xml:space="preserve"> PAGE  \* MERGEFORMAT </w:instrText>
    </w:r>
    <w:r w:rsidRPr="003B2B2C">
      <w:rPr>
        <w:b/>
        <w:sz w:val="18"/>
      </w:rPr>
      <w:fldChar w:fldCharType="separate"/>
    </w:r>
    <w:r w:rsidRPr="003B2B2C">
      <w:rPr>
        <w:b/>
        <w:noProof/>
        <w:sz w:val="18"/>
      </w:rPr>
      <w:t>2</w:t>
    </w:r>
    <w:r w:rsidRPr="003B2B2C">
      <w:rPr>
        <w:b/>
        <w:sz w:val="18"/>
      </w:rPr>
      <w:fldChar w:fldCharType="end"/>
    </w:r>
    <w:r>
      <w:rPr>
        <w:b/>
        <w:sz w:val="18"/>
      </w:rPr>
      <w:tab/>
    </w:r>
    <w:r>
      <w:t>GE.23-21125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BEEE" w14:textId="39D026ED" w:rsidR="003B2B2C" w:rsidRPr="003B2B2C" w:rsidRDefault="003B2B2C" w:rsidP="003B2B2C">
    <w:pPr>
      <w:pStyle w:val="Pieddepage"/>
      <w:tabs>
        <w:tab w:val="right" w:pos="9638"/>
      </w:tabs>
      <w:rPr>
        <w:b/>
        <w:sz w:val="18"/>
      </w:rPr>
    </w:pPr>
    <w:r>
      <w:t>GE.23-21125</w:t>
    </w:r>
    <w:r>
      <w:tab/>
    </w:r>
    <w:r w:rsidRPr="003B2B2C">
      <w:rPr>
        <w:b/>
        <w:sz w:val="18"/>
      </w:rPr>
      <w:fldChar w:fldCharType="begin"/>
    </w:r>
    <w:r w:rsidRPr="003B2B2C">
      <w:rPr>
        <w:b/>
        <w:sz w:val="18"/>
      </w:rPr>
      <w:instrText xml:space="preserve"> PAGE  \* MERGEFORMAT </w:instrText>
    </w:r>
    <w:r w:rsidRPr="003B2B2C">
      <w:rPr>
        <w:b/>
        <w:sz w:val="18"/>
      </w:rPr>
      <w:fldChar w:fldCharType="separate"/>
    </w:r>
    <w:r w:rsidRPr="003B2B2C">
      <w:rPr>
        <w:b/>
        <w:noProof/>
        <w:sz w:val="18"/>
      </w:rPr>
      <w:t>3</w:t>
    </w:r>
    <w:r w:rsidRPr="003B2B2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46F7" w14:textId="334FA622" w:rsidR="007F20FA" w:rsidRPr="003B2B2C" w:rsidRDefault="003B2B2C" w:rsidP="003B2B2C">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8B36B7D" wp14:editId="2EBF950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23-21125  (F)</w:t>
    </w:r>
    <w:r>
      <w:rPr>
        <w:noProof/>
        <w:sz w:val="20"/>
      </w:rPr>
      <w:drawing>
        <wp:anchor distT="0" distB="0" distL="114300" distR="114300" simplePos="0" relativeHeight="251660288" behindDoc="0" locked="0" layoutInCell="1" allowOverlap="1" wp14:anchorId="21A2CD6D" wp14:editId="26A02D55">
          <wp:simplePos x="0" y="0"/>
          <wp:positionH relativeFrom="margin">
            <wp:posOffset>5489575</wp:posOffset>
          </wp:positionH>
          <wp:positionV relativeFrom="margin">
            <wp:posOffset>8891905</wp:posOffset>
          </wp:positionV>
          <wp:extent cx="638175" cy="638175"/>
          <wp:effectExtent l="0" t="0" r="9525" b="9525"/>
          <wp:wrapNone/>
          <wp:docPr id="36563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3D6">
      <w:rPr>
        <w:sz w:val="20"/>
      </w:rPr>
      <w:t xml:space="preserve">    100124    100124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012C" w14:textId="77777777" w:rsidR="00CF28F2" w:rsidRPr="00AC3823" w:rsidRDefault="00CF28F2" w:rsidP="00AC3823">
      <w:pPr>
        <w:pStyle w:val="Pieddepage"/>
        <w:tabs>
          <w:tab w:val="right" w:pos="2155"/>
        </w:tabs>
        <w:spacing w:after="80" w:line="240" w:lineRule="atLeast"/>
        <w:ind w:left="680"/>
        <w:rPr>
          <w:u w:val="single"/>
        </w:rPr>
      </w:pPr>
      <w:r>
        <w:rPr>
          <w:u w:val="single"/>
        </w:rPr>
        <w:tab/>
      </w:r>
    </w:p>
  </w:footnote>
  <w:footnote w:type="continuationSeparator" w:id="0">
    <w:p w14:paraId="5013B342" w14:textId="77777777" w:rsidR="00CF28F2" w:rsidRPr="00AC3823" w:rsidRDefault="00CF28F2" w:rsidP="00AC3823">
      <w:pPr>
        <w:pStyle w:val="Pieddepage"/>
        <w:tabs>
          <w:tab w:val="right" w:pos="2155"/>
        </w:tabs>
        <w:spacing w:after="80" w:line="240" w:lineRule="atLeast"/>
        <w:ind w:left="680"/>
        <w:rPr>
          <w:u w:val="single"/>
        </w:rPr>
      </w:pPr>
      <w:r>
        <w:rPr>
          <w:u w:val="single"/>
        </w:rPr>
        <w:tab/>
      </w:r>
    </w:p>
  </w:footnote>
  <w:footnote w:type="continuationNotice" w:id="1">
    <w:p w14:paraId="4BAAFCA0" w14:textId="77777777" w:rsidR="00CF28F2" w:rsidRPr="00AC3823" w:rsidRDefault="00CF28F2">
      <w:pPr>
        <w:spacing w:line="240" w:lineRule="auto"/>
        <w:rPr>
          <w:sz w:val="2"/>
          <w:szCs w:val="2"/>
        </w:rPr>
      </w:pPr>
    </w:p>
  </w:footnote>
  <w:footnote w:id="2">
    <w:p w14:paraId="6679DE9C" w14:textId="0E3819EF" w:rsidR="003B2B2C" w:rsidRPr="003B2B2C" w:rsidRDefault="003B2B2C">
      <w:pPr>
        <w:pStyle w:val="Notedebasdepage"/>
      </w:pPr>
      <w:r>
        <w:rPr>
          <w:rStyle w:val="Appelnotedebasdep"/>
        </w:rPr>
        <w:tab/>
      </w:r>
      <w:r w:rsidRPr="003B2B2C">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2023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77F2" w14:textId="792F7AA7" w:rsidR="003B2B2C" w:rsidRPr="003B2B2C" w:rsidRDefault="003B2B2C">
    <w:pPr>
      <w:pStyle w:val="En-tte"/>
    </w:pPr>
    <w:fldSimple w:instr=" TITLE  \* MERGEFORMAT ">
      <w:r w:rsidR="00524037">
        <w:t>ECE/TRANS/WP.29/GRPE/2024/17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24EC" w14:textId="54F9433E" w:rsidR="003B2B2C" w:rsidRPr="003B2B2C" w:rsidRDefault="003B2B2C" w:rsidP="003B2B2C">
    <w:pPr>
      <w:pStyle w:val="En-tte"/>
      <w:jc w:val="right"/>
    </w:pPr>
    <w:fldSimple w:instr=" TITLE  \* MERGEFORMAT ">
      <w:r w:rsidR="00524037">
        <w:t>ECE/TRANS/WP.29/GRPE/2024/17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55628135">
    <w:abstractNumId w:val="12"/>
  </w:num>
  <w:num w:numId="2" w16cid:durableId="1542211774">
    <w:abstractNumId w:val="11"/>
  </w:num>
  <w:num w:numId="3" w16cid:durableId="1753312291">
    <w:abstractNumId w:val="10"/>
  </w:num>
  <w:num w:numId="4" w16cid:durableId="1347176173">
    <w:abstractNumId w:val="8"/>
  </w:num>
  <w:num w:numId="5" w16cid:durableId="679544729">
    <w:abstractNumId w:val="3"/>
  </w:num>
  <w:num w:numId="6" w16cid:durableId="415369795">
    <w:abstractNumId w:val="2"/>
  </w:num>
  <w:num w:numId="7" w16cid:durableId="1622960173">
    <w:abstractNumId w:val="1"/>
  </w:num>
  <w:num w:numId="8" w16cid:durableId="221791120">
    <w:abstractNumId w:val="0"/>
  </w:num>
  <w:num w:numId="9" w16cid:durableId="1245147075">
    <w:abstractNumId w:val="9"/>
  </w:num>
  <w:num w:numId="10" w16cid:durableId="465438370">
    <w:abstractNumId w:val="7"/>
  </w:num>
  <w:num w:numId="11" w16cid:durableId="1209490426">
    <w:abstractNumId w:val="6"/>
  </w:num>
  <w:num w:numId="12" w16cid:durableId="498231731">
    <w:abstractNumId w:val="5"/>
  </w:num>
  <w:num w:numId="13" w16cid:durableId="247352590">
    <w:abstractNumId w:val="4"/>
  </w:num>
  <w:num w:numId="14" w16cid:durableId="620495534">
    <w:abstractNumId w:val="12"/>
  </w:num>
  <w:num w:numId="15" w16cid:durableId="1676953437">
    <w:abstractNumId w:val="11"/>
  </w:num>
  <w:num w:numId="16" w16cid:durableId="1059669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F2"/>
    <w:rsid w:val="00017F94"/>
    <w:rsid w:val="00023842"/>
    <w:rsid w:val="000334F9"/>
    <w:rsid w:val="00045FEB"/>
    <w:rsid w:val="000563D6"/>
    <w:rsid w:val="0007796D"/>
    <w:rsid w:val="000842BF"/>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B2B2C"/>
    <w:rsid w:val="00421996"/>
    <w:rsid w:val="00441C3B"/>
    <w:rsid w:val="00446FE5"/>
    <w:rsid w:val="00452396"/>
    <w:rsid w:val="00477EB2"/>
    <w:rsid w:val="004837D8"/>
    <w:rsid w:val="004E2EED"/>
    <w:rsid w:val="004E468C"/>
    <w:rsid w:val="00524037"/>
    <w:rsid w:val="005505B7"/>
    <w:rsid w:val="00573BE5"/>
    <w:rsid w:val="00586ED3"/>
    <w:rsid w:val="00596AA9"/>
    <w:rsid w:val="0068648D"/>
    <w:rsid w:val="006B3FCB"/>
    <w:rsid w:val="006D4515"/>
    <w:rsid w:val="0071601D"/>
    <w:rsid w:val="007A62E6"/>
    <w:rsid w:val="007F20FA"/>
    <w:rsid w:val="007F484E"/>
    <w:rsid w:val="0080684C"/>
    <w:rsid w:val="00871C75"/>
    <w:rsid w:val="008776DC"/>
    <w:rsid w:val="008D5EF9"/>
    <w:rsid w:val="009446C0"/>
    <w:rsid w:val="009705C8"/>
    <w:rsid w:val="009C1CF4"/>
    <w:rsid w:val="009F6B74"/>
    <w:rsid w:val="00A04B6F"/>
    <w:rsid w:val="00A3029F"/>
    <w:rsid w:val="00A30353"/>
    <w:rsid w:val="00AC2AF0"/>
    <w:rsid w:val="00AC3823"/>
    <w:rsid w:val="00AE323C"/>
    <w:rsid w:val="00AF0CB5"/>
    <w:rsid w:val="00B00181"/>
    <w:rsid w:val="00B00B0D"/>
    <w:rsid w:val="00B21C23"/>
    <w:rsid w:val="00B45F2E"/>
    <w:rsid w:val="00B765F7"/>
    <w:rsid w:val="00B77993"/>
    <w:rsid w:val="00BA0CA9"/>
    <w:rsid w:val="00C02897"/>
    <w:rsid w:val="00C97039"/>
    <w:rsid w:val="00CF28F2"/>
    <w:rsid w:val="00D3439C"/>
    <w:rsid w:val="00D7622E"/>
    <w:rsid w:val="00DB1831"/>
    <w:rsid w:val="00DD3BFD"/>
    <w:rsid w:val="00DF6678"/>
    <w:rsid w:val="00E0299A"/>
    <w:rsid w:val="00E85C74"/>
    <w:rsid w:val="00EA6547"/>
    <w:rsid w:val="00ED7237"/>
    <w:rsid w:val="00EF2E22"/>
    <w:rsid w:val="00F0260F"/>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990F"/>
  <w15:docId w15:val="{7C5173F5-1CDC-41D7-A3EE-5A18455D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5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3B2B2C"/>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1C2B4-729B-475C-862A-E440C1143C31}"/>
</file>

<file path=customXml/itemProps2.xml><?xml version="1.0" encoding="utf-8"?>
<ds:datastoreItem xmlns:ds="http://schemas.openxmlformats.org/officeDocument/2006/customXml" ds:itemID="{F8AD42E7-6B6E-400C-B11A-A39AB28DB876}"/>
</file>

<file path=docProps/app.xml><?xml version="1.0" encoding="utf-8"?>
<Properties xmlns="http://schemas.openxmlformats.org/officeDocument/2006/extended-properties" xmlns:vt="http://schemas.openxmlformats.org/officeDocument/2006/docPropsVTypes">
  <Template>ECE_TRANS.dotm</Template>
  <TotalTime>4</TotalTime>
  <Pages>4</Pages>
  <Words>926</Words>
  <Characters>6489</Characters>
  <Application>Microsoft Office Word</Application>
  <DocSecurity>0</DocSecurity>
  <Lines>540</Lines>
  <Paragraphs>296</Paragraphs>
  <ScaleCrop>false</ScaleCrop>
  <HeadingPairs>
    <vt:vector size="2" baseType="variant">
      <vt:variant>
        <vt:lpstr>Titre</vt:lpstr>
      </vt:variant>
      <vt:variant>
        <vt:i4>1</vt:i4>
      </vt:variant>
    </vt:vector>
  </HeadingPairs>
  <TitlesOfParts>
    <vt:vector size="1" baseType="lpstr">
      <vt:lpstr>ECE/TRANS/WP.29/GRPE/2024/17</vt:lpstr>
    </vt:vector>
  </TitlesOfParts>
  <Company>DCM</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ECE/TRANS/WP.29/GRPE/2024/17</dc:title>
  <dc:subject/>
  <dc:creator>Julien OKRZESIK</dc:creator>
  <cp:keywords/>
  <cp:lastModifiedBy>Julien Okrzesik</cp:lastModifiedBy>
  <cp:revision>3</cp:revision>
  <cp:lastPrinted>2024-01-10T11:52:00Z</cp:lastPrinted>
  <dcterms:created xsi:type="dcterms:W3CDTF">2024-01-10T11:51:00Z</dcterms:created>
  <dcterms:modified xsi:type="dcterms:W3CDTF">2024-01-10T11:56:00Z</dcterms:modified>
</cp:coreProperties>
</file>