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9F72BE2" w14:textId="77777777" w:rsidTr="00C97039">
        <w:trPr>
          <w:trHeight w:hRule="exact" w:val="851"/>
        </w:trPr>
        <w:tc>
          <w:tcPr>
            <w:tcW w:w="1276" w:type="dxa"/>
            <w:tcBorders>
              <w:bottom w:val="single" w:sz="4" w:space="0" w:color="auto"/>
            </w:tcBorders>
          </w:tcPr>
          <w:p w14:paraId="06C1C825" w14:textId="77777777" w:rsidR="00F35BAF" w:rsidRPr="00DB58B5" w:rsidRDefault="00F35BAF" w:rsidP="008648C6"/>
        </w:tc>
        <w:tc>
          <w:tcPr>
            <w:tcW w:w="2268" w:type="dxa"/>
            <w:tcBorders>
              <w:bottom w:val="single" w:sz="4" w:space="0" w:color="auto"/>
            </w:tcBorders>
            <w:vAlign w:val="bottom"/>
          </w:tcPr>
          <w:p w14:paraId="5327DA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06ABBC" w14:textId="3F4FEDB7" w:rsidR="00F35BAF" w:rsidRPr="00DB58B5" w:rsidRDefault="008648C6" w:rsidP="008648C6">
            <w:pPr>
              <w:jc w:val="right"/>
            </w:pPr>
            <w:r w:rsidRPr="008648C6">
              <w:rPr>
                <w:sz w:val="40"/>
              </w:rPr>
              <w:t>ECE</w:t>
            </w:r>
            <w:r>
              <w:t>/TRANS/WP.29/GRBP/2024/15</w:t>
            </w:r>
          </w:p>
        </w:tc>
      </w:tr>
      <w:tr w:rsidR="00F35BAF" w:rsidRPr="00DB58B5" w14:paraId="05766C7C" w14:textId="77777777" w:rsidTr="00C97039">
        <w:trPr>
          <w:trHeight w:hRule="exact" w:val="2835"/>
        </w:trPr>
        <w:tc>
          <w:tcPr>
            <w:tcW w:w="1276" w:type="dxa"/>
            <w:tcBorders>
              <w:top w:val="single" w:sz="4" w:space="0" w:color="auto"/>
              <w:bottom w:val="single" w:sz="12" w:space="0" w:color="auto"/>
            </w:tcBorders>
          </w:tcPr>
          <w:p w14:paraId="6A5B35BF" w14:textId="77777777" w:rsidR="00F35BAF" w:rsidRPr="00DB58B5" w:rsidRDefault="00F35BAF" w:rsidP="00C97039">
            <w:pPr>
              <w:spacing w:before="120"/>
              <w:jc w:val="center"/>
            </w:pPr>
            <w:r>
              <w:rPr>
                <w:noProof/>
                <w:lang w:eastAsia="fr-CH"/>
              </w:rPr>
              <w:drawing>
                <wp:inline distT="0" distB="0" distL="0" distR="0" wp14:anchorId="70A2713D" wp14:editId="22DF21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9C68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67585A" w14:textId="77777777" w:rsidR="00F35BAF" w:rsidRDefault="008648C6" w:rsidP="00C97039">
            <w:pPr>
              <w:spacing w:before="240"/>
            </w:pPr>
            <w:r>
              <w:t>Distr. générale</w:t>
            </w:r>
          </w:p>
          <w:p w14:paraId="4D31DF0E" w14:textId="3678137B" w:rsidR="008648C6" w:rsidRDefault="008648C6" w:rsidP="008648C6">
            <w:pPr>
              <w:spacing w:line="240" w:lineRule="exact"/>
            </w:pPr>
            <w:r>
              <w:t>24 novembre 2023</w:t>
            </w:r>
          </w:p>
          <w:p w14:paraId="5A9B1978" w14:textId="77777777" w:rsidR="008648C6" w:rsidRDefault="008648C6" w:rsidP="008648C6">
            <w:pPr>
              <w:spacing w:line="240" w:lineRule="exact"/>
            </w:pPr>
            <w:r>
              <w:t>Français</w:t>
            </w:r>
          </w:p>
          <w:p w14:paraId="05B17F89" w14:textId="2DEFA238" w:rsidR="008648C6" w:rsidRPr="00DB58B5" w:rsidRDefault="008648C6" w:rsidP="008648C6">
            <w:pPr>
              <w:spacing w:line="240" w:lineRule="exact"/>
            </w:pPr>
            <w:r>
              <w:t>Original : anglais</w:t>
            </w:r>
          </w:p>
        </w:tc>
      </w:tr>
    </w:tbl>
    <w:p w14:paraId="2B2C8FFD" w14:textId="77777777" w:rsidR="007F20FA" w:rsidRPr="000312C0" w:rsidRDefault="007F20FA" w:rsidP="007F20FA">
      <w:pPr>
        <w:spacing w:before="120"/>
        <w:rPr>
          <w:b/>
          <w:sz w:val="28"/>
          <w:szCs w:val="28"/>
        </w:rPr>
      </w:pPr>
      <w:r w:rsidRPr="000312C0">
        <w:rPr>
          <w:b/>
          <w:sz w:val="28"/>
          <w:szCs w:val="28"/>
        </w:rPr>
        <w:t>Commission économique pour l’Europe</w:t>
      </w:r>
    </w:p>
    <w:p w14:paraId="679CA690" w14:textId="77777777" w:rsidR="007F20FA" w:rsidRDefault="007F20FA" w:rsidP="007F20FA">
      <w:pPr>
        <w:spacing w:before="120"/>
        <w:rPr>
          <w:sz w:val="28"/>
          <w:szCs w:val="28"/>
        </w:rPr>
      </w:pPr>
      <w:r w:rsidRPr="00685843">
        <w:rPr>
          <w:sz w:val="28"/>
          <w:szCs w:val="28"/>
        </w:rPr>
        <w:t>Comité des transports intérieurs</w:t>
      </w:r>
    </w:p>
    <w:p w14:paraId="78EC5BD2" w14:textId="1FDB64AD" w:rsidR="008648C6" w:rsidRDefault="008648C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E8B88B1" w14:textId="6347BB0E" w:rsidR="008648C6" w:rsidRDefault="008648C6" w:rsidP="00257168">
      <w:pPr>
        <w:spacing w:before="120" w:after="120" w:line="240" w:lineRule="exact"/>
        <w:rPr>
          <w:b/>
        </w:rPr>
      </w:pPr>
      <w:r>
        <w:rPr>
          <w:b/>
        </w:rPr>
        <w:t>Groupe de travail du bruit et des pneumatiques</w:t>
      </w:r>
    </w:p>
    <w:p w14:paraId="6A07BC73" w14:textId="20E864FF" w:rsidR="008648C6" w:rsidRDefault="008648C6" w:rsidP="00257168">
      <w:pPr>
        <w:spacing w:before="120" w:line="240" w:lineRule="exact"/>
        <w:rPr>
          <w:b/>
        </w:rPr>
      </w:pPr>
      <w:r>
        <w:rPr>
          <w:b/>
        </w:rPr>
        <w:t>Soixante-dix-neuvième session</w:t>
      </w:r>
    </w:p>
    <w:p w14:paraId="45D572ED" w14:textId="52561A12" w:rsidR="008648C6" w:rsidRDefault="008648C6" w:rsidP="00257168">
      <w:pPr>
        <w:spacing w:line="240" w:lineRule="exact"/>
      </w:pPr>
      <w:r>
        <w:t>Genève, 6-9 février 2024</w:t>
      </w:r>
    </w:p>
    <w:p w14:paraId="28A6BE33" w14:textId="33EA8D6E" w:rsidR="008648C6" w:rsidRDefault="008648C6" w:rsidP="00257168">
      <w:pPr>
        <w:spacing w:line="240" w:lineRule="exact"/>
      </w:pPr>
      <w:r>
        <w:t>Point 7 a) de l’ordre du jour provisoire</w:t>
      </w:r>
    </w:p>
    <w:p w14:paraId="24859093" w14:textId="3DA4E3A0" w:rsidR="008648C6" w:rsidRPr="00C16C03" w:rsidRDefault="008648C6" w:rsidP="008648C6">
      <w:pPr>
        <w:rPr>
          <w:b/>
          <w:bCs/>
        </w:rPr>
      </w:pPr>
      <w:r>
        <w:rPr>
          <w:b/>
          <w:bCs/>
          <w:lang w:val="fr-FR"/>
        </w:rPr>
        <w:t>Pneumatiques</w:t>
      </w:r>
      <w:r>
        <w:rPr>
          <w:b/>
          <w:bCs/>
          <w:lang w:val="fr-FR"/>
        </w:rPr>
        <w:t> </w:t>
      </w:r>
      <w:r>
        <w:rPr>
          <w:b/>
          <w:bCs/>
          <w:lang w:val="fr-FR"/>
        </w:rPr>
        <w:t>: Règlement ONU n</w:t>
      </w:r>
      <w:r w:rsidRPr="008648C6">
        <w:rPr>
          <w:b/>
          <w:bCs/>
          <w:vertAlign w:val="superscript"/>
          <w:lang w:val="fr-FR"/>
        </w:rPr>
        <w:t>o</w:t>
      </w:r>
      <w:r>
        <w:rPr>
          <w:b/>
          <w:bCs/>
          <w:lang w:val="fr-FR"/>
        </w:rPr>
        <w:t> </w:t>
      </w:r>
      <w:r>
        <w:rPr>
          <w:b/>
          <w:bCs/>
          <w:lang w:val="fr-FR"/>
        </w:rPr>
        <w:t xml:space="preserve">30 </w:t>
      </w:r>
      <w:r>
        <w:rPr>
          <w:b/>
          <w:bCs/>
          <w:lang w:val="fr-FR"/>
        </w:rPr>
        <w:br/>
      </w:r>
      <w:r>
        <w:rPr>
          <w:b/>
          <w:bCs/>
          <w:lang w:val="fr-FR"/>
        </w:rPr>
        <w:t>(Pneumatiques pour les voitures particulières et leurs remorques)</w:t>
      </w:r>
    </w:p>
    <w:p w14:paraId="33082F98" w14:textId="768E3956" w:rsidR="008648C6" w:rsidRPr="00C16C03" w:rsidRDefault="008648C6" w:rsidP="008648C6">
      <w:pPr>
        <w:pStyle w:val="HChG"/>
        <w:rPr>
          <w:sz w:val="24"/>
          <w:szCs w:val="24"/>
        </w:rPr>
      </w:pPr>
      <w:r>
        <w:rPr>
          <w:lang w:val="fr-FR"/>
        </w:rPr>
        <w:tab/>
      </w:r>
      <w:r>
        <w:rPr>
          <w:lang w:val="fr-FR"/>
        </w:rPr>
        <w:tab/>
        <w:t>Proposition de complément</w:t>
      </w:r>
      <w:r>
        <w:rPr>
          <w:lang w:val="fr-FR"/>
        </w:rPr>
        <w:t> </w:t>
      </w:r>
      <w:r>
        <w:rPr>
          <w:lang w:val="fr-FR"/>
        </w:rPr>
        <w:t>26 à la série</w:t>
      </w:r>
      <w:r>
        <w:rPr>
          <w:lang w:val="fr-FR"/>
        </w:rPr>
        <w:t> </w:t>
      </w:r>
      <w:r>
        <w:rPr>
          <w:lang w:val="fr-FR"/>
        </w:rPr>
        <w:t>02 d’amendements au Règlement n</w:t>
      </w:r>
      <w:r w:rsidRPr="008648C6">
        <w:rPr>
          <w:vertAlign w:val="superscript"/>
          <w:lang w:val="fr-FR"/>
        </w:rPr>
        <w:t>o</w:t>
      </w:r>
      <w:r>
        <w:rPr>
          <w:lang w:val="fr-FR"/>
        </w:rPr>
        <w:t> </w:t>
      </w:r>
      <w:r>
        <w:rPr>
          <w:lang w:val="fr-FR"/>
        </w:rPr>
        <w:t>30</w:t>
      </w:r>
    </w:p>
    <w:p w14:paraId="5C16AC0A" w14:textId="195698D8" w:rsidR="008648C6" w:rsidRPr="00C16C03" w:rsidRDefault="008648C6" w:rsidP="008648C6">
      <w:pPr>
        <w:pStyle w:val="H1G"/>
      </w:pPr>
      <w:r>
        <w:rPr>
          <w:lang w:val="fr-FR"/>
        </w:rPr>
        <w:tab/>
      </w:r>
      <w:r>
        <w:rPr>
          <w:lang w:val="fr-FR"/>
        </w:rPr>
        <w:tab/>
        <w:t>Communication des experts de l’Organisation technique européenne du</w:t>
      </w:r>
      <w:r>
        <w:rPr>
          <w:lang w:val="fr-FR"/>
        </w:rPr>
        <w:t> </w:t>
      </w:r>
      <w:r>
        <w:rPr>
          <w:lang w:val="fr-FR"/>
        </w:rPr>
        <w:t>pneumatique et de la jante</w:t>
      </w:r>
      <w:r w:rsidRPr="008648C6">
        <w:rPr>
          <w:rStyle w:val="Appelnotedebasdep"/>
          <w:b w:val="0"/>
          <w:bCs/>
          <w:sz w:val="20"/>
          <w:vertAlign w:val="baseline"/>
        </w:rPr>
        <w:footnoteReference w:customMarkFollows="1" w:id="2"/>
        <w:t>*</w:t>
      </w:r>
    </w:p>
    <w:p w14:paraId="01AE7170" w14:textId="65BD7116" w:rsidR="00F9573C" w:rsidRDefault="008648C6" w:rsidP="008648C6">
      <w:pPr>
        <w:pStyle w:val="SingleTxtG"/>
        <w:ind w:firstLine="567"/>
        <w:rPr>
          <w:lang w:val="fr-FR"/>
        </w:rPr>
      </w:pPr>
      <w:r>
        <w:rPr>
          <w:lang w:val="fr-FR"/>
        </w:rPr>
        <w:t>Le texte ci-après a été établi par les experts de l’Organisation technique européenne du pneumatique et de la jante (ETRTO). Les modifications qu’il est proposé d’apporter au texte actuel du Règlement figurent en caractères gras pour les ajouts et biffés pour les</w:t>
      </w:r>
      <w:r>
        <w:rPr>
          <w:lang w:val="fr-FR"/>
        </w:rPr>
        <w:t> </w:t>
      </w:r>
      <w:r>
        <w:rPr>
          <w:lang w:val="fr-FR"/>
        </w:rPr>
        <w:t>suppressions.</w:t>
      </w:r>
    </w:p>
    <w:p w14:paraId="5093164A" w14:textId="44158DD0" w:rsidR="008648C6" w:rsidRDefault="008648C6" w:rsidP="008648C6">
      <w:pPr>
        <w:rPr>
          <w:lang w:val="fr-FR"/>
        </w:rPr>
      </w:pPr>
      <w:r>
        <w:rPr>
          <w:lang w:val="fr-FR"/>
        </w:rPr>
        <w:br w:type="page"/>
      </w:r>
    </w:p>
    <w:p w14:paraId="5EC2714A" w14:textId="2D158D33" w:rsidR="008648C6" w:rsidRPr="00C16C03" w:rsidRDefault="008648C6" w:rsidP="008648C6">
      <w:pPr>
        <w:pStyle w:val="HChG"/>
        <w:rPr>
          <w:szCs w:val="28"/>
        </w:rPr>
      </w:pPr>
      <w:r>
        <w:rPr>
          <w:lang w:val="fr-FR"/>
        </w:rPr>
        <w:lastRenderedPageBreak/>
        <w:tab/>
      </w:r>
      <w:r>
        <w:rPr>
          <w:lang w:val="fr-FR"/>
        </w:rPr>
        <w:t>I.</w:t>
      </w:r>
      <w:r>
        <w:rPr>
          <w:lang w:val="fr-FR"/>
        </w:rPr>
        <w:tab/>
        <w:t>Proposition</w:t>
      </w:r>
    </w:p>
    <w:p w14:paraId="64810F41" w14:textId="7CDE12FC" w:rsidR="008648C6" w:rsidRPr="00C16C03" w:rsidRDefault="008648C6" w:rsidP="008648C6">
      <w:pPr>
        <w:spacing w:after="120"/>
        <w:ind w:left="1134"/>
      </w:pPr>
      <w:r>
        <w:rPr>
          <w:i/>
          <w:iCs/>
          <w:lang w:val="fr-FR"/>
        </w:rPr>
        <w:t>Paragraphe 1</w:t>
      </w:r>
      <w:r>
        <w:rPr>
          <w:lang w:val="fr-FR"/>
        </w:rPr>
        <w:t>, lire (y</w:t>
      </w:r>
      <w:r>
        <w:rPr>
          <w:lang w:val="fr-FR"/>
        </w:rPr>
        <w:t> </w:t>
      </w:r>
      <w:r>
        <w:rPr>
          <w:lang w:val="fr-FR"/>
        </w:rPr>
        <w:t>compris les notes de bas de page) :</w:t>
      </w:r>
    </w:p>
    <w:p w14:paraId="4633159E" w14:textId="77777777" w:rsidR="008648C6" w:rsidRPr="001763A7" w:rsidRDefault="008648C6" w:rsidP="008648C6">
      <w:pPr>
        <w:pStyle w:val="Retraitcorpsdetexte3"/>
        <w:ind w:left="2268" w:right="1134" w:hanging="1134"/>
        <w:jc w:val="both"/>
        <w:rPr>
          <w:sz w:val="20"/>
          <w:szCs w:val="20"/>
          <w:lang w:val="fr-FR"/>
        </w:rPr>
      </w:pPr>
      <w:r>
        <w:rPr>
          <w:sz w:val="20"/>
          <w:szCs w:val="20"/>
          <w:lang w:val="fr-FR"/>
        </w:rPr>
        <w:t>« </w:t>
      </w:r>
      <w:r w:rsidRPr="001763A7">
        <w:rPr>
          <w:sz w:val="20"/>
          <w:szCs w:val="20"/>
          <w:lang w:val="fr-FR"/>
        </w:rPr>
        <w:t>1.</w:t>
      </w:r>
      <w:r w:rsidRPr="001763A7">
        <w:rPr>
          <w:sz w:val="20"/>
          <w:szCs w:val="20"/>
          <w:lang w:val="fr-FR"/>
        </w:rPr>
        <w:tab/>
        <w:t>Domaine d</w:t>
      </w:r>
      <w:r>
        <w:rPr>
          <w:sz w:val="20"/>
          <w:szCs w:val="20"/>
          <w:lang w:val="fr-FR"/>
        </w:rPr>
        <w:t>’</w:t>
      </w:r>
      <w:r w:rsidRPr="001763A7">
        <w:rPr>
          <w:sz w:val="20"/>
          <w:szCs w:val="20"/>
          <w:lang w:val="fr-FR"/>
        </w:rPr>
        <w:t>application</w:t>
      </w:r>
    </w:p>
    <w:p w14:paraId="30D1228B" w14:textId="6DD71716" w:rsidR="008648C6" w:rsidRPr="001763A7" w:rsidRDefault="008648C6" w:rsidP="008648C6">
      <w:pPr>
        <w:pStyle w:val="Retraitcorpsdetexte3"/>
        <w:ind w:left="2268" w:right="1134"/>
        <w:jc w:val="both"/>
        <w:rPr>
          <w:sz w:val="20"/>
          <w:szCs w:val="20"/>
          <w:lang w:val="fr-FR"/>
        </w:rPr>
      </w:pPr>
      <w:r w:rsidRPr="001763A7">
        <w:rPr>
          <w:sz w:val="20"/>
          <w:szCs w:val="20"/>
          <w:lang w:val="fr-FR"/>
        </w:rPr>
        <w:t>Le présent Règlement s</w:t>
      </w:r>
      <w:r>
        <w:rPr>
          <w:sz w:val="20"/>
          <w:szCs w:val="20"/>
          <w:lang w:val="fr-FR"/>
        </w:rPr>
        <w:t>’</w:t>
      </w:r>
      <w:r w:rsidRPr="001763A7">
        <w:rPr>
          <w:sz w:val="20"/>
          <w:szCs w:val="20"/>
          <w:lang w:val="fr-FR"/>
        </w:rPr>
        <w:t>applique aux pneumatiques neufs conçus principalement</w:t>
      </w:r>
      <w:r>
        <w:rPr>
          <w:sz w:val="20"/>
          <w:szCs w:val="20"/>
          <w:lang w:val="fr-FR"/>
        </w:rPr>
        <w:t xml:space="preserve"> </w:t>
      </w:r>
      <w:r w:rsidRPr="001763A7">
        <w:rPr>
          <w:sz w:val="20"/>
          <w:szCs w:val="20"/>
          <w:lang w:val="fr-FR"/>
        </w:rPr>
        <w:t>pour les véhicules des catégories</w:t>
      </w:r>
      <w:r>
        <w:rPr>
          <w:sz w:val="20"/>
          <w:szCs w:val="20"/>
          <w:lang w:val="fr-FR"/>
        </w:rPr>
        <w:t> </w:t>
      </w:r>
      <w:r w:rsidRPr="001763A7">
        <w:rPr>
          <w:sz w:val="20"/>
          <w:szCs w:val="20"/>
          <w:lang w:val="fr-FR"/>
        </w:rPr>
        <w:t xml:space="preserve">M1, O1 et O2 </w:t>
      </w:r>
      <w:r w:rsidRPr="001763A7">
        <w:rPr>
          <w:strike/>
          <w:sz w:val="20"/>
          <w:szCs w:val="20"/>
          <w:vertAlign w:val="superscript"/>
          <w:lang w:val="fr-FR"/>
        </w:rPr>
        <w:t>1 **/</w:t>
      </w:r>
      <w:r w:rsidRPr="001763A7">
        <w:rPr>
          <w:sz w:val="20"/>
          <w:szCs w:val="20"/>
          <w:vertAlign w:val="superscript"/>
          <w:lang w:val="fr-FR"/>
        </w:rPr>
        <w:t xml:space="preserve"> </w:t>
      </w:r>
      <w:r w:rsidRPr="001763A7">
        <w:rPr>
          <w:b/>
          <w:bCs/>
          <w:sz w:val="20"/>
          <w:szCs w:val="20"/>
          <w:vertAlign w:val="superscript"/>
          <w:lang w:val="fr-FR"/>
        </w:rPr>
        <w:t>(1) (2)</w:t>
      </w:r>
      <w:r w:rsidRPr="001763A7">
        <w:rPr>
          <w:sz w:val="20"/>
          <w:szCs w:val="20"/>
          <w:vertAlign w:val="superscript"/>
          <w:lang w:val="fr-FR"/>
        </w:rPr>
        <w:t>.</w:t>
      </w:r>
    </w:p>
    <w:p w14:paraId="622707A9" w14:textId="0EC4F3AC" w:rsidR="008648C6" w:rsidRPr="001763A7" w:rsidRDefault="008648C6" w:rsidP="008648C6">
      <w:pPr>
        <w:pStyle w:val="Retraitcorpsdetexte3"/>
        <w:ind w:left="2268" w:right="1134"/>
        <w:jc w:val="both"/>
        <w:rPr>
          <w:sz w:val="20"/>
          <w:szCs w:val="20"/>
          <w:lang w:val="fr-FR"/>
        </w:rPr>
      </w:pPr>
      <w:r w:rsidRPr="001763A7">
        <w:rPr>
          <w:sz w:val="20"/>
          <w:szCs w:val="20"/>
          <w:lang w:val="fr-FR"/>
        </w:rPr>
        <w:t>Il ne s</w:t>
      </w:r>
      <w:r>
        <w:rPr>
          <w:sz w:val="20"/>
          <w:szCs w:val="20"/>
          <w:lang w:val="fr-FR"/>
        </w:rPr>
        <w:t>’</w:t>
      </w:r>
      <w:r w:rsidRPr="001763A7">
        <w:rPr>
          <w:sz w:val="20"/>
          <w:szCs w:val="20"/>
          <w:lang w:val="fr-FR"/>
        </w:rPr>
        <w:t>applique pas aux pneumatiques conçus principalement pour</w:t>
      </w:r>
      <w:r>
        <w:rPr>
          <w:sz w:val="20"/>
          <w:szCs w:val="20"/>
          <w:lang w:val="fr-FR"/>
        </w:rPr>
        <w:t> </w:t>
      </w:r>
      <w:r w:rsidRPr="001763A7">
        <w:rPr>
          <w:sz w:val="20"/>
          <w:szCs w:val="20"/>
          <w:lang w:val="fr-FR"/>
        </w:rPr>
        <w:t>:</w:t>
      </w:r>
    </w:p>
    <w:p w14:paraId="0E5DBE15" w14:textId="7C1164B1" w:rsidR="008648C6" w:rsidRPr="001763A7" w:rsidRDefault="008648C6" w:rsidP="008648C6">
      <w:pPr>
        <w:pStyle w:val="Retraitcorpsdetexte3"/>
        <w:numPr>
          <w:ilvl w:val="1"/>
          <w:numId w:val="18"/>
        </w:numPr>
        <w:ind w:right="1134"/>
        <w:jc w:val="both"/>
        <w:rPr>
          <w:sz w:val="20"/>
          <w:szCs w:val="20"/>
          <w:lang w:val="fr-FR"/>
        </w:rPr>
      </w:pPr>
      <w:r w:rsidRPr="001763A7">
        <w:rPr>
          <w:sz w:val="20"/>
          <w:szCs w:val="20"/>
          <w:lang w:val="fr-FR"/>
        </w:rPr>
        <w:t>Équiper les voitures de collection</w:t>
      </w:r>
      <w:r>
        <w:rPr>
          <w:sz w:val="20"/>
          <w:szCs w:val="20"/>
          <w:lang w:val="fr-FR"/>
        </w:rPr>
        <w:t> </w:t>
      </w:r>
      <w:r w:rsidRPr="001763A7">
        <w:rPr>
          <w:sz w:val="20"/>
          <w:szCs w:val="20"/>
          <w:lang w:val="fr-FR"/>
        </w:rPr>
        <w:t>;</w:t>
      </w:r>
    </w:p>
    <w:p w14:paraId="3D51DD62" w14:textId="77777777" w:rsidR="008648C6" w:rsidRDefault="008648C6" w:rsidP="008648C6">
      <w:pPr>
        <w:pStyle w:val="Retraitcorpsdetexte3"/>
        <w:numPr>
          <w:ilvl w:val="1"/>
          <w:numId w:val="18"/>
        </w:numPr>
        <w:ind w:right="1134"/>
        <w:jc w:val="both"/>
        <w:rPr>
          <w:sz w:val="20"/>
          <w:szCs w:val="20"/>
          <w:lang w:val="fr-FR"/>
        </w:rPr>
      </w:pPr>
      <w:r w:rsidRPr="001763A7">
        <w:rPr>
          <w:sz w:val="20"/>
          <w:szCs w:val="20"/>
          <w:lang w:val="fr-FR"/>
        </w:rPr>
        <w:t>La compétition.</w:t>
      </w:r>
      <w:r>
        <w:rPr>
          <w:sz w:val="20"/>
          <w:szCs w:val="20"/>
          <w:lang w:val="fr-FR"/>
        </w:rPr>
        <w:t> ».</w:t>
      </w:r>
    </w:p>
    <w:p w14:paraId="08A6C375" w14:textId="2F6040B4" w:rsidR="008648C6" w:rsidRPr="001047F8" w:rsidRDefault="008648C6" w:rsidP="008648C6">
      <w:pPr>
        <w:suppressAutoHyphens w:val="0"/>
        <w:spacing w:after="120" w:line="240" w:lineRule="auto"/>
        <w:ind w:right="1134"/>
        <w:mirrorIndents/>
        <w:jc w:val="both"/>
        <w:rPr>
          <w:b/>
          <w:bCs/>
          <w:i/>
          <w:iCs/>
          <w:u w:val="single"/>
          <w:lang w:val="fr-FR"/>
        </w:rPr>
      </w:pPr>
      <w:r w:rsidRPr="00697E2A">
        <w:separator/>
      </w:r>
    </w:p>
    <w:p w14:paraId="00A52498" w14:textId="60A69327" w:rsidR="008648C6" w:rsidRPr="001763A7" w:rsidRDefault="008648C6" w:rsidP="008648C6">
      <w:pPr>
        <w:pStyle w:val="Retraitcorpsdetexte3"/>
        <w:ind w:left="1134" w:right="1134"/>
        <w:jc w:val="both"/>
        <w:rPr>
          <w:b/>
          <w:bCs/>
          <w:sz w:val="18"/>
          <w:szCs w:val="18"/>
          <w:lang w:val="fr-CH"/>
        </w:rPr>
      </w:pPr>
      <w:r w:rsidRPr="001763A7">
        <w:rPr>
          <w:strike/>
          <w:vertAlign w:val="superscript"/>
          <w:lang w:val="fr-FR"/>
        </w:rPr>
        <w:t>1</w:t>
      </w:r>
      <w:r w:rsidRPr="001763A7">
        <w:rPr>
          <w:vertAlign w:val="superscript"/>
          <w:lang w:val="fr-FR"/>
        </w:rPr>
        <w:t xml:space="preserve"> </w:t>
      </w:r>
      <w:r w:rsidRPr="001763A7">
        <w:rPr>
          <w:b/>
          <w:bCs/>
          <w:vertAlign w:val="superscript"/>
          <w:lang w:val="fr-FR"/>
        </w:rPr>
        <w:t>(1)</w:t>
      </w:r>
      <w:r>
        <w:rPr>
          <w:lang w:val="fr-FR"/>
        </w:rPr>
        <w:tab/>
      </w:r>
      <w:r>
        <w:rPr>
          <w:strike/>
          <w:lang w:val="fr-FR"/>
        </w:rPr>
        <w:t>Selon les définitions de l’annexe</w:t>
      </w:r>
      <w:r>
        <w:rPr>
          <w:strike/>
          <w:lang w:val="fr-FR"/>
        </w:rPr>
        <w:t> </w:t>
      </w:r>
      <w:r>
        <w:rPr>
          <w:strike/>
          <w:lang w:val="fr-FR"/>
        </w:rPr>
        <w:t>7 de la Résolution d’Ensemble sur la Construction des véhicules (R.E.3) (document TRANS/WP.29/78/Rev.1/Amend.2, modifié en dernier lieu par l’Amend.4).</w:t>
      </w:r>
      <w:r>
        <w:rPr>
          <w:b/>
          <w:bCs/>
          <w:lang w:val="fr-FR"/>
        </w:rPr>
        <w:t>Selon les définitions de la Résolution d’ensemble sur la construction des véhicules (R.E.3).</w:t>
      </w:r>
    </w:p>
    <w:p w14:paraId="5A797A76" w14:textId="77777777" w:rsidR="008648C6" w:rsidRPr="001763A7" w:rsidRDefault="008648C6" w:rsidP="008648C6">
      <w:pPr>
        <w:pStyle w:val="Retraitcorpsdetexte3"/>
        <w:ind w:left="1134" w:right="1134"/>
        <w:jc w:val="both"/>
        <w:rPr>
          <w:iCs/>
          <w:sz w:val="18"/>
          <w:szCs w:val="18"/>
          <w:lang w:val="fr-CH"/>
        </w:rPr>
      </w:pPr>
      <w:r w:rsidRPr="001763A7">
        <w:rPr>
          <w:strike/>
          <w:vertAlign w:val="superscript"/>
          <w:lang w:val="fr-FR"/>
        </w:rPr>
        <w:t>**/</w:t>
      </w:r>
      <w:r w:rsidRPr="001763A7">
        <w:rPr>
          <w:b/>
          <w:bCs/>
          <w:vertAlign w:val="superscript"/>
          <w:lang w:val="fr-FR"/>
        </w:rPr>
        <w:t xml:space="preserve"> </w:t>
      </w:r>
      <w:r w:rsidRPr="001763A7">
        <w:rPr>
          <w:vertAlign w:val="superscript"/>
          <w:lang w:val="fr-FR"/>
        </w:rPr>
        <w:t>(2)</w:t>
      </w:r>
      <w:r>
        <w:rPr>
          <w:lang w:val="fr-FR"/>
        </w:rPr>
        <w:tab/>
        <w:t>Le présent Règlement établit des prescriptions applicables aux pneumatiques en tant que composants. Il ne limite pas leur montage à une catégorie de véhicules en particulier.</w:t>
      </w:r>
    </w:p>
    <w:p w14:paraId="015BF742" w14:textId="3D9C22DA" w:rsidR="008648C6" w:rsidRPr="00C16C03" w:rsidRDefault="008648C6" w:rsidP="008648C6">
      <w:pPr>
        <w:spacing w:after="120"/>
        <w:ind w:left="1134"/>
      </w:pPr>
      <w:bookmarkStart w:id="0" w:name="_Hlk99098290"/>
      <w:r>
        <w:rPr>
          <w:i/>
          <w:iCs/>
          <w:lang w:val="fr-FR"/>
        </w:rPr>
        <w:t>Paragraphe</w:t>
      </w:r>
      <w:r>
        <w:rPr>
          <w:i/>
          <w:iCs/>
          <w:lang w:val="fr-FR"/>
        </w:rPr>
        <w:t> </w:t>
      </w:r>
      <w:r>
        <w:rPr>
          <w:i/>
          <w:iCs/>
          <w:lang w:val="fr-FR"/>
        </w:rPr>
        <w:t>6.1.4.2.4</w:t>
      </w:r>
      <w:r>
        <w:rPr>
          <w:lang w:val="fr-FR"/>
        </w:rPr>
        <w:t>, lire</w:t>
      </w:r>
      <w:r>
        <w:rPr>
          <w:lang w:val="fr-FR"/>
        </w:rPr>
        <w:t> </w:t>
      </w:r>
      <w:r>
        <w:rPr>
          <w:lang w:val="fr-FR"/>
        </w:rPr>
        <w:t>:</w:t>
      </w:r>
    </w:p>
    <w:bookmarkEnd w:id="0"/>
    <w:p w14:paraId="40295D9E" w14:textId="133B23D3" w:rsidR="008648C6" w:rsidRPr="00C16C03" w:rsidRDefault="008648C6" w:rsidP="008648C6">
      <w:pPr>
        <w:spacing w:after="120"/>
        <w:ind w:left="2268" w:right="1134" w:hanging="1134"/>
        <w:jc w:val="both"/>
        <w:rPr>
          <w:i/>
          <w:iCs/>
        </w:rPr>
      </w:pPr>
      <w:r>
        <w:rPr>
          <w:lang w:val="fr-FR"/>
        </w:rPr>
        <w:t>« 6.1.4.2.4</w:t>
      </w:r>
      <w:r>
        <w:rPr>
          <w:lang w:val="fr-FR"/>
        </w:rPr>
        <w:tab/>
      </w:r>
      <w:r>
        <w:rPr>
          <w:strike/>
          <w:lang w:val="fr-FR"/>
        </w:rPr>
        <w:t>Toutefois</w:t>
      </w:r>
      <w:r>
        <w:rPr>
          <w:lang w:val="fr-FR"/>
        </w:rPr>
        <w:t xml:space="preserve"> </w:t>
      </w:r>
      <w:r>
        <w:rPr>
          <w:b/>
          <w:bCs/>
          <w:lang w:val="fr-FR"/>
        </w:rPr>
        <w:t>Sans préjudice de ce qui précède</w:t>
      </w:r>
      <w:r>
        <w:rPr>
          <w:lang w:val="fr-FR"/>
        </w:rPr>
        <w:t>, pour les pneumatiques identifiés par la mention “montage pneumatique/jante” (voir le paragraphe</w:t>
      </w:r>
      <w:r>
        <w:rPr>
          <w:lang w:val="fr-FR"/>
        </w:rPr>
        <w:t> </w:t>
      </w:r>
      <w:r>
        <w:rPr>
          <w:lang w:val="fr-FR"/>
        </w:rPr>
        <w:t xml:space="preserve">2.27.1), symbole “A” ou “U”, la grosseur hors tout </w:t>
      </w:r>
      <w:r>
        <w:rPr>
          <w:b/>
          <w:bCs/>
          <w:lang w:val="fr-FR"/>
        </w:rPr>
        <w:t>maximale</w:t>
      </w:r>
      <w:r>
        <w:rPr>
          <w:lang w:val="fr-FR"/>
        </w:rPr>
        <w:t xml:space="preserve"> du pneumatique, dans sa partie inférieure, est égale à la largeur nominale de la jante sur laquelle le pneumatique est monté, telle qu’indiquée par le fabricant dans la notice descriptive, majorée de 20</w:t>
      </w:r>
      <w:r>
        <w:rPr>
          <w:lang w:val="fr-FR"/>
        </w:rPr>
        <w:t> </w:t>
      </w:r>
      <w:r>
        <w:rPr>
          <w:lang w:val="fr-FR"/>
        </w:rPr>
        <w:t>mm.</w:t>
      </w:r>
      <w:r>
        <w:rPr>
          <w:lang w:val="fr-FR"/>
        </w:rPr>
        <w:t> </w:t>
      </w:r>
      <w:r>
        <w:rPr>
          <w:lang w:val="fr-FR"/>
        </w:rPr>
        <w:t>».</w:t>
      </w:r>
    </w:p>
    <w:p w14:paraId="0DF94A8C" w14:textId="78582B4F" w:rsidR="008648C6" w:rsidRPr="001763A7" w:rsidRDefault="008648C6" w:rsidP="008648C6">
      <w:pPr>
        <w:pStyle w:val="para"/>
        <w:keepNext/>
        <w:rPr>
          <w:iCs/>
          <w:lang w:val="fr-CH"/>
        </w:rPr>
      </w:pPr>
      <w:r>
        <w:rPr>
          <w:i/>
          <w:iCs/>
          <w:lang w:val="fr-FR"/>
        </w:rPr>
        <w:t>Annexe</w:t>
      </w:r>
      <w:r>
        <w:rPr>
          <w:i/>
          <w:iCs/>
          <w:lang w:val="fr-FR"/>
        </w:rPr>
        <w:t> </w:t>
      </w:r>
      <w:r>
        <w:rPr>
          <w:i/>
          <w:iCs/>
          <w:lang w:val="fr-FR"/>
        </w:rPr>
        <w:t>6, paragraphe</w:t>
      </w:r>
      <w:r>
        <w:rPr>
          <w:i/>
          <w:iCs/>
          <w:lang w:val="fr-FR"/>
        </w:rPr>
        <w:t> </w:t>
      </w:r>
      <w:r>
        <w:rPr>
          <w:i/>
          <w:iCs/>
          <w:lang w:val="fr-FR"/>
        </w:rPr>
        <w:t>4</w:t>
      </w:r>
      <w:r>
        <w:rPr>
          <w:lang w:val="fr-FR"/>
        </w:rPr>
        <w:t>, lire</w:t>
      </w:r>
      <w:r>
        <w:rPr>
          <w:lang w:val="fr-FR"/>
        </w:rPr>
        <w:t> </w:t>
      </w:r>
      <w:r>
        <w:rPr>
          <w:lang w:val="fr-FR"/>
        </w:rPr>
        <w:t>:</w:t>
      </w:r>
    </w:p>
    <w:p w14:paraId="2FAD9B20" w14:textId="4A03B27E" w:rsidR="008648C6" w:rsidRPr="00C16C03" w:rsidRDefault="008648C6" w:rsidP="008648C6">
      <w:pPr>
        <w:tabs>
          <w:tab w:val="left" w:pos="-284"/>
        </w:tabs>
        <w:spacing w:after="120"/>
        <w:ind w:left="2268" w:right="1134" w:hanging="1134"/>
        <w:jc w:val="both"/>
        <w:rPr>
          <w:b/>
          <w:bCs/>
        </w:rPr>
      </w:pPr>
      <w:r>
        <w:rPr>
          <w:lang w:val="fr-FR"/>
        </w:rPr>
        <w:t>« 4.</w:t>
      </w:r>
      <w:r>
        <w:rPr>
          <w:lang w:val="fr-FR"/>
        </w:rPr>
        <w:tab/>
        <w:t>Mesurer</w:t>
      </w:r>
      <w:r>
        <w:rPr>
          <w:strike/>
          <w:lang w:val="fr-FR"/>
        </w:rPr>
        <w:t>, au moyen d’un compas</w:t>
      </w:r>
      <w:r>
        <w:rPr>
          <w:lang w:val="fr-FR"/>
        </w:rPr>
        <w:t>, en tenant compte de l’épaisseur des nervures ou cordons de protection, la grosseur hors tout en six points régulièrement espacés</w:t>
      </w:r>
      <w:r>
        <w:rPr>
          <w:lang w:val="fr-FR"/>
        </w:rPr>
        <w:t> </w:t>
      </w:r>
      <w:r>
        <w:rPr>
          <w:lang w:val="fr-FR"/>
        </w:rPr>
        <w:t>; retenir comme grosseur hors tout la valeur maximale mesurée. ».</w:t>
      </w:r>
    </w:p>
    <w:p w14:paraId="3224F24B" w14:textId="23571BCD" w:rsidR="008648C6" w:rsidRPr="00C16C03" w:rsidRDefault="008648C6" w:rsidP="008648C6">
      <w:pPr>
        <w:pStyle w:val="HChG"/>
        <w:rPr>
          <w:szCs w:val="28"/>
        </w:rPr>
      </w:pPr>
      <w:r>
        <w:rPr>
          <w:lang w:val="fr-FR"/>
        </w:rPr>
        <w:tab/>
      </w:r>
      <w:r>
        <w:rPr>
          <w:lang w:val="fr-FR"/>
        </w:rPr>
        <w:t>II.</w:t>
      </w:r>
      <w:r>
        <w:rPr>
          <w:lang w:val="fr-FR"/>
        </w:rPr>
        <w:tab/>
        <w:t>Justification</w:t>
      </w:r>
    </w:p>
    <w:p w14:paraId="4E6FEEA7" w14:textId="7BF42050" w:rsidR="008648C6" w:rsidRPr="001763A7" w:rsidRDefault="008648C6" w:rsidP="008648C6">
      <w:pPr>
        <w:pStyle w:val="Paragraphedeliste"/>
        <w:numPr>
          <w:ilvl w:val="0"/>
          <w:numId w:val="17"/>
        </w:numPr>
        <w:spacing w:after="120"/>
        <w:ind w:left="1134" w:right="1134" w:firstLine="0"/>
        <w:jc w:val="both"/>
        <w:rPr>
          <w:lang w:val="fr-CH"/>
        </w:rPr>
      </w:pPr>
      <w:r>
        <w:rPr>
          <w:lang w:val="fr-FR"/>
        </w:rPr>
        <w:t>Le libellé exact du paragraphe</w:t>
      </w:r>
      <w:r>
        <w:rPr>
          <w:lang w:val="fr-FR"/>
        </w:rPr>
        <w:t> </w:t>
      </w:r>
      <w:r>
        <w:rPr>
          <w:lang w:val="fr-FR"/>
        </w:rPr>
        <w:t>1 (Domaine d’application) est fidèlement rétabli, y</w:t>
      </w:r>
      <w:r>
        <w:rPr>
          <w:lang w:val="fr-FR"/>
        </w:rPr>
        <w:t> </w:t>
      </w:r>
      <w:r>
        <w:rPr>
          <w:lang w:val="fr-FR"/>
        </w:rPr>
        <w:t>compris la note de bas de page (2) (renumérotée à partir de **) omise par inadvertance dans le complément</w:t>
      </w:r>
      <w:r>
        <w:rPr>
          <w:lang w:val="fr-FR"/>
        </w:rPr>
        <w:t> </w:t>
      </w:r>
      <w:r>
        <w:rPr>
          <w:lang w:val="fr-FR"/>
        </w:rPr>
        <w:t>18. Le présent texte est rigoureusement aligné sur le texte officiel du Règlement ONU n</w:t>
      </w:r>
      <w:r w:rsidRPr="008648C6">
        <w:rPr>
          <w:vertAlign w:val="superscript"/>
          <w:lang w:val="fr-FR"/>
        </w:rPr>
        <w:t>o</w:t>
      </w:r>
      <w:r>
        <w:rPr>
          <w:lang w:val="fr-FR"/>
        </w:rPr>
        <w:t> </w:t>
      </w:r>
      <w:r>
        <w:rPr>
          <w:lang w:val="fr-FR"/>
        </w:rPr>
        <w:t>30, dont l’adoption a suivi les étapes suivantes</w:t>
      </w:r>
      <w:r>
        <w:rPr>
          <w:lang w:val="fr-FR"/>
        </w:rPr>
        <w:t> </w:t>
      </w:r>
      <w:r>
        <w:rPr>
          <w:lang w:val="fr-FR"/>
        </w:rPr>
        <w:t>:</w:t>
      </w:r>
    </w:p>
    <w:p w14:paraId="37235A7B" w14:textId="3D4EE9FE" w:rsidR="008648C6" w:rsidRPr="001763A7" w:rsidRDefault="008648C6" w:rsidP="008648C6">
      <w:pPr>
        <w:pStyle w:val="Bullet1G"/>
      </w:pPr>
      <w:r>
        <w:rPr>
          <w:lang w:val="fr-FR"/>
        </w:rPr>
        <w:t>Règlement ONU n</w:t>
      </w:r>
      <w:r w:rsidRPr="008648C6">
        <w:rPr>
          <w:vertAlign w:val="superscript"/>
          <w:lang w:val="fr-FR"/>
        </w:rPr>
        <w:t>o</w:t>
      </w:r>
      <w:r>
        <w:rPr>
          <w:lang w:val="fr-FR"/>
        </w:rPr>
        <w:t> </w:t>
      </w:r>
      <w:r>
        <w:rPr>
          <w:lang w:val="fr-FR"/>
        </w:rPr>
        <w:t>30, révision</w:t>
      </w:r>
      <w:r>
        <w:rPr>
          <w:lang w:val="fr-FR"/>
        </w:rPr>
        <w:t> </w:t>
      </w:r>
      <w:r>
        <w:rPr>
          <w:lang w:val="fr-FR"/>
        </w:rPr>
        <w:t>3 (texte valide jusqu’au complément</w:t>
      </w:r>
      <w:r>
        <w:rPr>
          <w:lang w:val="fr-FR"/>
        </w:rPr>
        <w:t> </w:t>
      </w:r>
      <w:r>
        <w:rPr>
          <w:lang w:val="fr-FR"/>
        </w:rPr>
        <w:t>14 à la série</w:t>
      </w:r>
      <w:r>
        <w:rPr>
          <w:lang w:val="fr-FR"/>
        </w:rPr>
        <w:t> </w:t>
      </w:r>
      <w:r>
        <w:rPr>
          <w:lang w:val="fr-FR"/>
        </w:rPr>
        <w:t>02 d’amendements − date d’entrée en vigueur</w:t>
      </w:r>
      <w:r>
        <w:rPr>
          <w:lang w:val="fr-FR"/>
        </w:rPr>
        <w:t> </w:t>
      </w:r>
      <w:r>
        <w:rPr>
          <w:lang w:val="fr-FR"/>
        </w:rPr>
        <w:t>: 18</w:t>
      </w:r>
      <w:r>
        <w:rPr>
          <w:lang w:val="fr-FR"/>
        </w:rPr>
        <w:t> </w:t>
      </w:r>
      <w:r>
        <w:rPr>
          <w:lang w:val="fr-FR"/>
        </w:rPr>
        <w:t>janvier 2006) ;</w:t>
      </w:r>
    </w:p>
    <w:p w14:paraId="6252E40B" w14:textId="6D364F17" w:rsidR="008648C6" w:rsidRPr="001763A7" w:rsidRDefault="008648C6" w:rsidP="008648C6">
      <w:pPr>
        <w:pStyle w:val="Bullet1G"/>
      </w:pPr>
      <w:r>
        <w:rPr>
          <w:lang w:val="fr-FR"/>
        </w:rPr>
        <w:t>Règlement ONU n</w:t>
      </w:r>
      <w:r w:rsidRPr="008648C6">
        <w:rPr>
          <w:vertAlign w:val="superscript"/>
          <w:lang w:val="fr-FR"/>
        </w:rPr>
        <w:t>o</w:t>
      </w:r>
      <w:r>
        <w:rPr>
          <w:lang w:val="fr-FR"/>
        </w:rPr>
        <w:t> </w:t>
      </w:r>
      <w:r>
        <w:rPr>
          <w:lang w:val="fr-FR"/>
        </w:rPr>
        <w:t>30, révision</w:t>
      </w:r>
      <w:r>
        <w:rPr>
          <w:lang w:val="fr-FR"/>
        </w:rPr>
        <w:t> </w:t>
      </w:r>
      <w:r>
        <w:rPr>
          <w:lang w:val="fr-FR"/>
        </w:rPr>
        <w:t>3, amendement</w:t>
      </w:r>
      <w:r>
        <w:rPr>
          <w:lang w:val="fr-FR"/>
        </w:rPr>
        <w:t> </w:t>
      </w:r>
      <w:r>
        <w:rPr>
          <w:lang w:val="fr-FR"/>
        </w:rPr>
        <w:t>2 (complément</w:t>
      </w:r>
      <w:r>
        <w:rPr>
          <w:lang w:val="fr-FR"/>
        </w:rPr>
        <w:t> </w:t>
      </w:r>
      <w:r>
        <w:rPr>
          <w:lang w:val="fr-FR"/>
        </w:rPr>
        <w:t>16), y</w:t>
      </w:r>
      <w:r>
        <w:rPr>
          <w:lang w:val="fr-FR"/>
        </w:rPr>
        <w:t> </w:t>
      </w:r>
      <w:r>
        <w:rPr>
          <w:lang w:val="fr-FR"/>
        </w:rPr>
        <w:t>compris l’ajout de la note de bas de page **, tel qu’adopté par le Groupe de travail en matière de roulement et de freinage (GRRF) à sa soixante-cinquième session en février 2009 (annexe</w:t>
      </w:r>
      <w:r>
        <w:rPr>
          <w:lang w:val="fr-FR"/>
        </w:rPr>
        <w:t> </w:t>
      </w:r>
      <w:r>
        <w:rPr>
          <w:lang w:val="fr-FR"/>
        </w:rPr>
        <w:t>II du document ECE/TRANS/WP.29/GRRF/65) et par le Forum mondial de l’harmonisation des Règlements concernant les véhicules (WP.29) à sa cent quarante</w:t>
      </w:r>
      <w:r>
        <w:rPr>
          <w:lang w:val="fr-FR"/>
        </w:rPr>
        <w:noBreakHyphen/>
      </w:r>
      <w:r>
        <w:rPr>
          <w:lang w:val="fr-FR"/>
        </w:rPr>
        <w:t>huitième session en juin 2009 (ECE/TRANS/WP.29/2009/65 et ECE/TRANS/WP.29/1077) ;</w:t>
      </w:r>
    </w:p>
    <w:p w14:paraId="21035F27" w14:textId="31D0F94F" w:rsidR="008648C6" w:rsidRPr="001763A7" w:rsidRDefault="008648C6" w:rsidP="008648C6">
      <w:pPr>
        <w:pStyle w:val="Bullet1G"/>
      </w:pPr>
      <w:r>
        <w:rPr>
          <w:lang w:val="fr-FR"/>
        </w:rPr>
        <w:t>Règlement ONU n</w:t>
      </w:r>
      <w:r w:rsidRPr="008648C6">
        <w:rPr>
          <w:vertAlign w:val="superscript"/>
          <w:lang w:val="fr-FR"/>
        </w:rPr>
        <w:t>o</w:t>
      </w:r>
      <w:r>
        <w:rPr>
          <w:lang w:val="fr-FR"/>
        </w:rPr>
        <w:t> </w:t>
      </w:r>
      <w:r>
        <w:rPr>
          <w:lang w:val="fr-FR"/>
        </w:rPr>
        <w:t>30, révision</w:t>
      </w:r>
      <w:r>
        <w:rPr>
          <w:lang w:val="fr-FR"/>
        </w:rPr>
        <w:t> </w:t>
      </w:r>
      <w:r>
        <w:rPr>
          <w:lang w:val="fr-FR"/>
        </w:rPr>
        <w:t>3, amendement</w:t>
      </w:r>
      <w:r>
        <w:rPr>
          <w:lang w:val="fr-FR"/>
        </w:rPr>
        <w:t> </w:t>
      </w:r>
      <w:r>
        <w:rPr>
          <w:lang w:val="fr-FR"/>
        </w:rPr>
        <w:t>4 (complément</w:t>
      </w:r>
      <w:r>
        <w:rPr>
          <w:lang w:val="fr-FR"/>
        </w:rPr>
        <w:t> </w:t>
      </w:r>
      <w:r>
        <w:rPr>
          <w:lang w:val="fr-FR"/>
        </w:rPr>
        <w:t xml:space="preserve">18), tel qu’adopté par le GRRF à sa quatre-vingt-unième session en février 2016 (ECE/TRANS/WP.29/GRRF/2016/11) et par le WP.29 à sa cent soixante-neuvième session en juin 2016 (ECE/TRANS/WP.29/2016/51 et ECE/TRANS/WP.29/1123), dans lequel on a ajouté la nouvelle note de bas de page * sur la signification du terme </w:t>
      </w:r>
      <w:r w:rsidRPr="008648C6">
        <w:rPr>
          <w:lang w:val="fr-FR"/>
        </w:rPr>
        <w:t>«</w:t>
      </w:r>
      <w:r w:rsidRPr="008648C6">
        <w:rPr>
          <w:lang w:val="fr-FR"/>
        </w:rPr>
        <w:t> </w:t>
      </w:r>
      <w:r w:rsidRPr="008648C6">
        <w:rPr>
          <w:lang w:val="fr-FR"/>
        </w:rPr>
        <w:t>tyres</w:t>
      </w:r>
      <w:r>
        <w:rPr>
          <w:lang w:val="fr-FR"/>
        </w:rPr>
        <w:t> </w:t>
      </w:r>
      <w:r>
        <w:rPr>
          <w:lang w:val="fr-FR"/>
        </w:rPr>
        <w:t>» (dans la version anglaise uniquement) et renuméroté les notes de bas de page existantes sous (1) uniquement, oubliant ainsi, par inadvertance, la note de bas de page</w:t>
      </w:r>
      <w:r>
        <w:rPr>
          <w:lang w:val="fr-FR"/>
        </w:rPr>
        <w:t> </w:t>
      </w:r>
      <w:r>
        <w:rPr>
          <w:lang w:val="fr-FR"/>
        </w:rPr>
        <w:t>** qui existait déjà.</w:t>
      </w:r>
    </w:p>
    <w:p w14:paraId="196616E3" w14:textId="77777777" w:rsidR="008648C6" w:rsidRPr="001763A7" w:rsidRDefault="008648C6" w:rsidP="008648C6">
      <w:pPr>
        <w:pStyle w:val="Paragraphedeliste"/>
        <w:numPr>
          <w:ilvl w:val="0"/>
          <w:numId w:val="17"/>
        </w:numPr>
        <w:spacing w:after="120"/>
        <w:ind w:left="1134" w:right="1138" w:firstLine="0"/>
        <w:jc w:val="both"/>
        <w:rPr>
          <w:lang w:val="fr-CH"/>
        </w:rPr>
      </w:pPr>
      <w:r>
        <w:rPr>
          <w:lang w:val="fr-FR"/>
        </w:rPr>
        <w:lastRenderedPageBreak/>
        <w:t>La référence générique à la Résolution d’ensemble sur la construction des véhicules (R.E.3) faite dans la note de bas de page (1) renvoie à la dernière version en date de la Résolution (actuellement ECE/TRANS/WP.29/78/Rev.7).</w:t>
      </w:r>
    </w:p>
    <w:p w14:paraId="2EC67D37" w14:textId="62B22398" w:rsidR="008648C6" w:rsidRPr="008648C6" w:rsidRDefault="008648C6" w:rsidP="008648C6">
      <w:pPr>
        <w:pStyle w:val="Paragraphedeliste"/>
        <w:numPr>
          <w:ilvl w:val="0"/>
          <w:numId w:val="17"/>
        </w:numPr>
        <w:spacing w:after="120"/>
        <w:ind w:left="1134" w:right="1138" w:firstLine="0"/>
        <w:jc w:val="both"/>
        <w:rPr>
          <w:lang w:val="fr-CH"/>
        </w:rPr>
      </w:pPr>
      <w:r>
        <w:rPr>
          <w:lang w:val="fr-FR"/>
        </w:rPr>
        <w:t>Le libellé du paragraphe</w:t>
      </w:r>
      <w:r>
        <w:rPr>
          <w:lang w:val="fr-FR"/>
        </w:rPr>
        <w:t> </w:t>
      </w:r>
      <w:r>
        <w:rPr>
          <w:lang w:val="fr-FR"/>
        </w:rPr>
        <w:t>6.1.4.2.4 est aligné sur le Règlement ONU n</w:t>
      </w:r>
      <w:r w:rsidRPr="008648C6">
        <w:rPr>
          <w:vertAlign w:val="superscript"/>
          <w:lang w:val="fr-FR"/>
        </w:rPr>
        <w:t>o</w:t>
      </w:r>
      <w:r>
        <w:rPr>
          <w:lang w:val="fr-FR"/>
        </w:rPr>
        <w:t> </w:t>
      </w:r>
      <w:r>
        <w:rPr>
          <w:lang w:val="fr-FR"/>
        </w:rPr>
        <w:t>54 tel qu’il a été récemment adopté par le GRBP à sa soixante-dix-huitième session (septembre 2023).</w:t>
      </w:r>
    </w:p>
    <w:p w14:paraId="09EE3411" w14:textId="633E5F38" w:rsidR="008648C6" w:rsidRPr="008648C6" w:rsidRDefault="008648C6" w:rsidP="008648C6">
      <w:pPr>
        <w:pStyle w:val="Paragraphedeliste"/>
        <w:numPr>
          <w:ilvl w:val="0"/>
          <w:numId w:val="17"/>
        </w:numPr>
        <w:spacing w:after="120"/>
        <w:ind w:left="1134" w:right="1138" w:firstLine="0"/>
        <w:jc w:val="both"/>
        <w:rPr>
          <w:lang w:val="fr-CH"/>
        </w:rPr>
      </w:pPr>
      <w:r w:rsidRPr="008648C6">
        <w:rPr>
          <w:lang w:val="fr-FR"/>
        </w:rPr>
        <w:t>Il est proposé d’autoriser expressément d’autres moyens techniques de mesure de la grosseur hors tout du pneumatique en supprimant la mention « par compas », qui est restrictive. Il est souhaitable d’éliminer cette limitation technique au nom du principe selon lequel l’innovation technologique ne doit pas être entravée. Cela va dans le sens de la même proposition d’amendement récemment adoptée pour les Règlements ONU n</w:t>
      </w:r>
      <w:r w:rsidRPr="008648C6">
        <w:rPr>
          <w:vertAlign w:val="superscript"/>
          <w:lang w:val="fr-FR"/>
        </w:rPr>
        <w:t>os</w:t>
      </w:r>
      <w:r>
        <w:rPr>
          <w:lang w:val="fr-FR"/>
        </w:rPr>
        <w:t> </w:t>
      </w:r>
      <w:r w:rsidRPr="008648C6">
        <w:rPr>
          <w:lang w:val="fr-FR"/>
        </w:rPr>
        <w:t>54, 75 et 106.</w:t>
      </w:r>
    </w:p>
    <w:p w14:paraId="16E891ED" w14:textId="0383010D" w:rsidR="008648C6" w:rsidRPr="008648C6" w:rsidRDefault="008648C6" w:rsidP="008648C6">
      <w:pPr>
        <w:pStyle w:val="SingleTxtG"/>
        <w:spacing w:before="240" w:after="0"/>
        <w:jc w:val="center"/>
        <w:rPr>
          <w:u w:val="single"/>
        </w:rPr>
      </w:pPr>
      <w:r>
        <w:rPr>
          <w:u w:val="single"/>
        </w:rPr>
        <w:tab/>
      </w:r>
      <w:r>
        <w:rPr>
          <w:u w:val="single"/>
        </w:rPr>
        <w:tab/>
      </w:r>
      <w:r>
        <w:rPr>
          <w:u w:val="single"/>
        </w:rPr>
        <w:tab/>
      </w:r>
      <w:r>
        <w:rPr>
          <w:u w:val="single"/>
        </w:rPr>
        <w:tab/>
      </w:r>
    </w:p>
    <w:sectPr w:rsidR="008648C6" w:rsidRPr="008648C6" w:rsidSect="008648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D357" w14:textId="77777777" w:rsidR="00B92D32" w:rsidRDefault="00B92D32" w:rsidP="00F95C08">
      <w:pPr>
        <w:spacing w:line="240" w:lineRule="auto"/>
      </w:pPr>
    </w:p>
  </w:endnote>
  <w:endnote w:type="continuationSeparator" w:id="0">
    <w:p w14:paraId="4239B0EB" w14:textId="77777777" w:rsidR="00B92D32" w:rsidRPr="00AC3823" w:rsidRDefault="00B92D32" w:rsidP="00AC3823">
      <w:pPr>
        <w:pStyle w:val="Pieddepage"/>
      </w:pPr>
    </w:p>
  </w:endnote>
  <w:endnote w:type="continuationNotice" w:id="1">
    <w:p w14:paraId="04B98161" w14:textId="77777777" w:rsidR="00B92D32" w:rsidRDefault="00B92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8621" w14:textId="558B7A6F" w:rsidR="008648C6" w:rsidRPr="008648C6" w:rsidRDefault="008648C6" w:rsidP="008648C6">
    <w:pPr>
      <w:pStyle w:val="Pieddepage"/>
      <w:tabs>
        <w:tab w:val="right" w:pos="9638"/>
      </w:tabs>
    </w:pPr>
    <w:r w:rsidRPr="008648C6">
      <w:rPr>
        <w:b/>
        <w:sz w:val="18"/>
      </w:rPr>
      <w:fldChar w:fldCharType="begin"/>
    </w:r>
    <w:r w:rsidRPr="008648C6">
      <w:rPr>
        <w:b/>
        <w:sz w:val="18"/>
      </w:rPr>
      <w:instrText xml:space="preserve"> PAGE  \* MERGEFORMAT </w:instrText>
    </w:r>
    <w:r w:rsidRPr="008648C6">
      <w:rPr>
        <w:b/>
        <w:sz w:val="18"/>
      </w:rPr>
      <w:fldChar w:fldCharType="separate"/>
    </w:r>
    <w:r w:rsidRPr="008648C6">
      <w:rPr>
        <w:b/>
        <w:noProof/>
        <w:sz w:val="18"/>
      </w:rPr>
      <w:t>2</w:t>
    </w:r>
    <w:r w:rsidRPr="008648C6">
      <w:rPr>
        <w:b/>
        <w:sz w:val="18"/>
      </w:rPr>
      <w:fldChar w:fldCharType="end"/>
    </w:r>
    <w:r>
      <w:rPr>
        <w:b/>
        <w:sz w:val="18"/>
      </w:rPr>
      <w:tab/>
    </w:r>
    <w:r>
      <w:t>GE.23-23224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533E" w14:textId="442CF38E" w:rsidR="008648C6" w:rsidRPr="008648C6" w:rsidRDefault="008648C6" w:rsidP="008648C6">
    <w:pPr>
      <w:pStyle w:val="Pieddepage"/>
      <w:tabs>
        <w:tab w:val="right" w:pos="9638"/>
      </w:tabs>
      <w:rPr>
        <w:b/>
        <w:sz w:val="18"/>
      </w:rPr>
    </w:pPr>
    <w:r>
      <w:t>GE.23-23224</w:t>
    </w:r>
    <w:r>
      <w:tab/>
    </w:r>
    <w:r w:rsidRPr="008648C6">
      <w:rPr>
        <w:b/>
        <w:sz w:val="18"/>
      </w:rPr>
      <w:fldChar w:fldCharType="begin"/>
    </w:r>
    <w:r w:rsidRPr="008648C6">
      <w:rPr>
        <w:b/>
        <w:sz w:val="18"/>
      </w:rPr>
      <w:instrText xml:space="preserve"> PAGE  \* MERGEFORMAT </w:instrText>
    </w:r>
    <w:r w:rsidRPr="008648C6">
      <w:rPr>
        <w:b/>
        <w:sz w:val="18"/>
      </w:rPr>
      <w:fldChar w:fldCharType="separate"/>
    </w:r>
    <w:r w:rsidRPr="008648C6">
      <w:rPr>
        <w:b/>
        <w:noProof/>
        <w:sz w:val="18"/>
      </w:rPr>
      <w:t>3</w:t>
    </w:r>
    <w:r w:rsidRPr="008648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5C" w14:textId="6E8AF6CE" w:rsidR="007F20FA" w:rsidRPr="008648C6" w:rsidRDefault="008648C6" w:rsidP="008648C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BAE8C63" wp14:editId="128FEC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23-23224  (F)</w:t>
    </w:r>
    <w:r>
      <w:rPr>
        <w:noProof/>
        <w:sz w:val="20"/>
      </w:rPr>
      <w:drawing>
        <wp:anchor distT="0" distB="0" distL="114300" distR="114300" simplePos="0" relativeHeight="251660288" behindDoc="0" locked="0" layoutInCell="1" allowOverlap="1" wp14:anchorId="1FE07CCF" wp14:editId="09F62758">
          <wp:simplePos x="0" y="0"/>
          <wp:positionH relativeFrom="margin">
            <wp:posOffset>5489575</wp:posOffset>
          </wp:positionH>
          <wp:positionV relativeFrom="margin">
            <wp:posOffset>8891905</wp:posOffset>
          </wp:positionV>
          <wp:extent cx="638175" cy="638175"/>
          <wp:effectExtent l="0" t="0" r="9525" b="9525"/>
          <wp:wrapNone/>
          <wp:docPr id="3995947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250124    260124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E9B0" w14:textId="77777777" w:rsidR="00B92D32" w:rsidRPr="00AC3823" w:rsidRDefault="00B92D32" w:rsidP="00AC3823">
      <w:pPr>
        <w:pStyle w:val="Pieddepage"/>
        <w:tabs>
          <w:tab w:val="right" w:pos="2155"/>
        </w:tabs>
        <w:spacing w:after="80" w:line="240" w:lineRule="atLeast"/>
        <w:ind w:left="680"/>
        <w:rPr>
          <w:u w:val="single"/>
        </w:rPr>
      </w:pPr>
      <w:r>
        <w:rPr>
          <w:u w:val="single"/>
        </w:rPr>
        <w:tab/>
      </w:r>
    </w:p>
  </w:footnote>
  <w:footnote w:type="continuationSeparator" w:id="0">
    <w:p w14:paraId="286D79BA" w14:textId="77777777" w:rsidR="00B92D32" w:rsidRPr="00AC3823" w:rsidRDefault="00B92D32" w:rsidP="00AC3823">
      <w:pPr>
        <w:pStyle w:val="Pieddepage"/>
        <w:tabs>
          <w:tab w:val="right" w:pos="2155"/>
        </w:tabs>
        <w:spacing w:after="80" w:line="240" w:lineRule="atLeast"/>
        <w:ind w:left="680"/>
        <w:rPr>
          <w:u w:val="single"/>
        </w:rPr>
      </w:pPr>
      <w:r>
        <w:rPr>
          <w:u w:val="single"/>
        </w:rPr>
        <w:tab/>
      </w:r>
    </w:p>
  </w:footnote>
  <w:footnote w:type="continuationNotice" w:id="1">
    <w:p w14:paraId="5B30E91E" w14:textId="77777777" w:rsidR="00B92D32" w:rsidRPr="00AC3823" w:rsidRDefault="00B92D32">
      <w:pPr>
        <w:spacing w:line="240" w:lineRule="auto"/>
        <w:rPr>
          <w:sz w:val="2"/>
          <w:szCs w:val="2"/>
        </w:rPr>
      </w:pPr>
    </w:p>
  </w:footnote>
  <w:footnote w:id="2">
    <w:p w14:paraId="2A32533D" w14:textId="6B54D740" w:rsidR="008648C6" w:rsidRPr="008648C6" w:rsidRDefault="008648C6">
      <w:pPr>
        <w:pStyle w:val="Notedebasdepage"/>
      </w:pPr>
      <w:r>
        <w:rPr>
          <w:rStyle w:val="Appelnotedebasdep"/>
        </w:rPr>
        <w:tab/>
      </w:r>
      <w:r w:rsidRPr="008648C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w:t>
      </w:r>
      <w:r>
        <w:rPr>
          <w:lang w:val="fr-FR"/>
        </w:rPr>
        <w:t> </w:t>
      </w:r>
      <w:r>
        <w:rPr>
          <w:lang w:val="fr-FR"/>
        </w:rPr>
        <w:t>20), par.</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F5EA" w14:textId="43E113CF" w:rsidR="008648C6" w:rsidRPr="008648C6" w:rsidRDefault="008648C6">
    <w:pPr>
      <w:pStyle w:val="En-tte"/>
    </w:pPr>
    <w:fldSimple w:instr=" TITLE  \* MERGEFORMAT ">
      <w:r>
        <w:t>ECE/TRANS/WP.29/GRBP/2024/15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6F1" w14:textId="150D1092" w:rsidR="008648C6" w:rsidRPr="008648C6" w:rsidRDefault="008648C6" w:rsidP="008648C6">
    <w:pPr>
      <w:pStyle w:val="En-tte"/>
      <w:jc w:val="right"/>
    </w:pPr>
    <w:fldSimple w:instr=" TITLE  \* MERGEFORMAT ">
      <w:r>
        <w:t>ECE/TRANS/WP.29/GRBP/2024/15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2DB7EDF"/>
    <w:multiLevelType w:val="hybridMultilevel"/>
    <w:tmpl w:val="43383282"/>
    <w:lvl w:ilvl="0" w:tplc="04090001">
      <w:start w:val="1"/>
      <w:numFmt w:val="bullet"/>
      <w:lvlText w:val=""/>
      <w:lvlJc w:val="left"/>
      <w:pPr>
        <w:ind w:left="2061" w:hanging="360"/>
      </w:pPr>
      <w:rPr>
        <w:rFonts w:ascii="Symbol" w:hAnsi="Symbol"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14" w15:restartNumberingAfterBreak="0">
    <w:nsid w:val="51A86F2B"/>
    <w:multiLevelType w:val="hybridMultilevel"/>
    <w:tmpl w:val="89B084C8"/>
    <w:lvl w:ilvl="0" w:tplc="F52081F0">
      <w:start w:val="1"/>
      <w:numFmt w:val="decimal"/>
      <w:lvlText w:val="%1."/>
      <w:lvlJc w:val="left"/>
      <w:pPr>
        <w:ind w:left="1689" w:hanging="555"/>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83920978">
    <w:abstractNumId w:val="15"/>
  </w:num>
  <w:num w:numId="2" w16cid:durableId="1924952543">
    <w:abstractNumId w:val="12"/>
  </w:num>
  <w:num w:numId="3" w16cid:durableId="501435145">
    <w:abstractNumId w:val="10"/>
  </w:num>
  <w:num w:numId="4" w16cid:durableId="333461870">
    <w:abstractNumId w:val="8"/>
  </w:num>
  <w:num w:numId="5" w16cid:durableId="642463702">
    <w:abstractNumId w:val="3"/>
  </w:num>
  <w:num w:numId="6" w16cid:durableId="918247185">
    <w:abstractNumId w:val="2"/>
  </w:num>
  <w:num w:numId="7" w16cid:durableId="634876547">
    <w:abstractNumId w:val="1"/>
  </w:num>
  <w:num w:numId="8" w16cid:durableId="143669822">
    <w:abstractNumId w:val="0"/>
  </w:num>
  <w:num w:numId="9" w16cid:durableId="1361202161">
    <w:abstractNumId w:val="9"/>
  </w:num>
  <w:num w:numId="10" w16cid:durableId="1881740324">
    <w:abstractNumId w:val="7"/>
  </w:num>
  <w:num w:numId="11" w16cid:durableId="5207405">
    <w:abstractNumId w:val="6"/>
  </w:num>
  <w:num w:numId="12" w16cid:durableId="518467440">
    <w:abstractNumId w:val="5"/>
  </w:num>
  <w:num w:numId="13" w16cid:durableId="1359743670">
    <w:abstractNumId w:val="4"/>
  </w:num>
  <w:num w:numId="14" w16cid:durableId="1905526271">
    <w:abstractNumId w:val="15"/>
  </w:num>
  <w:num w:numId="15" w16cid:durableId="839347395">
    <w:abstractNumId w:val="12"/>
  </w:num>
  <w:num w:numId="16" w16cid:durableId="411195848">
    <w:abstractNumId w:val="10"/>
  </w:num>
  <w:num w:numId="17" w16cid:durableId="1115058106">
    <w:abstractNumId w:val="14"/>
  </w:num>
  <w:num w:numId="18" w16cid:durableId="1881625599">
    <w:abstractNumId w:val="11"/>
  </w:num>
  <w:num w:numId="19" w16cid:durableId="839194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3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648C6"/>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2D32"/>
    <w:rsid w:val="00BA0CA9"/>
    <w:rsid w:val="00C02897"/>
    <w:rsid w:val="00C57BC4"/>
    <w:rsid w:val="00C97039"/>
    <w:rsid w:val="00CC2E9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A561B"/>
  <w15:docId w15:val="{4A30811B-D528-4E12-BB56-F7477A94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8648C6"/>
    <w:pPr>
      <w:spacing w:after="120"/>
      <w:ind w:left="2268" w:right="1134" w:hanging="1134"/>
      <w:jc w:val="both"/>
    </w:pPr>
    <w:rPr>
      <w:kern w:val="2"/>
      <w:lang w:val="en-GB"/>
      <w14:ligatures w14:val="standardContextual"/>
    </w:rPr>
  </w:style>
  <w:style w:type="character" w:customStyle="1" w:styleId="paraChar">
    <w:name w:val="para Char"/>
    <w:link w:val="para"/>
    <w:rsid w:val="008648C6"/>
    <w:rPr>
      <w:rFonts w:ascii="Times New Roman" w:eastAsiaTheme="minorHAnsi" w:hAnsi="Times New Roman" w:cs="Times New Roman"/>
      <w:kern w:val="2"/>
      <w:sz w:val="20"/>
      <w:szCs w:val="20"/>
      <w:lang w:val="en-GB" w:eastAsia="en-US"/>
      <w14:ligatures w14:val="standardContextual"/>
    </w:rPr>
  </w:style>
  <w:style w:type="paragraph" w:styleId="Retraitcorpsdetexte3">
    <w:name w:val="Body Text Indent 3"/>
    <w:basedOn w:val="Normal"/>
    <w:link w:val="Retraitcorpsdetexte3Car"/>
    <w:rsid w:val="008648C6"/>
    <w:pPr>
      <w:spacing w:after="120"/>
      <w:ind w:left="283"/>
    </w:pPr>
    <w:rPr>
      <w:kern w:val="2"/>
      <w:sz w:val="16"/>
      <w:szCs w:val="16"/>
      <w:lang w:val="en-GB"/>
      <w14:ligatures w14:val="standardContextual"/>
    </w:rPr>
  </w:style>
  <w:style w:type="character" w:customStyle="1" w:styleId="Retraitcorpsdetexte3Car">
    <w:name w:val="Retrait corps de texte 3 Car"/>
    <w:basedOn w:val="Policepardfaut"/>
    <w:link w:val="Retraitcorpsdetexte3"/>
    <w:rsid w:val="008648C6"/>
    <w:rPr>
      <w:rFonts w:ascii="Times New Roman" w:eastAsiaTheme="minorHAnsi" w:hAnsi="Times New Roman" w:cs="Times New Roman"/>
      <w:kern w:val="2"/>
      <w:sz w:val="16"/>
      <w:szCs w:val="16"/>
      <w:lang w:val="en-GB" w:eastAsia="en-US"/>
      <w14:ligatures w14:val="standardContextual"/>
    </w:rPr>
  </w:style>
  <w:style w:type="paragraph" w:styleId="Paragraphedeliste">
    <w:name w:val="List Paragraph"/>
    <w:basedOn w:val="Normal"/>
    <w:uiPriority w:val="34"/>
    <w:qFormat/>
    <w:rsid w:val="008648C6"/>
    <w:pPr>
      <w:ind w:left="708"/>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88456-8EF7-43A9-88AA-1FBE49F07332}">
  <ds:schemaRefs>
    <ds:schemaRef ds:uri="http://schemas.openxmlformats.org/officeDocument/2006/bibliography"/>
  </ds:schemaRefs>
</ds:datastoreItem>
</file>

<file path=customXml/itemProps2.xml><?xml version="1.0" encoding="utf-8"?>
<ds:datastoreItem xmlns:ds="http://schemas.openxmlformats.org/officeDocument/2006/customXml" ds:itemID="{C4C9231D-2F52-415F-B0FB-49AF95ADC8A7}"/>
</file>

<file path=customXml/itemProps3.xml><?xml version="1.0" encoding="utf-8"?>
<ds:datastoreItem xmlns:ds="http://schemas.openxmlformats.org/officeDocument/2006/customXml" ds:itemID="{4C701EC5-D5FF-45B8-9360-C66B0137518B}"/>
</file>

<file path=docProps/app.xml><?xml version="1.0" encoding="utf-8"?>
<Properties xmlns="http://schemas.openxmlformats.org/officeDocument/2006/extended-properties" xmlns:vt="http://schemas.openxmlformats.org/officeDocument/2006/docPropsVTypes">
  <Template>ECE_TRANS.dotm</Template>
  <TotalTime>1</TotalTime>
  <Pages>3</Pages>
  <Words>761</Words>
  <Characters>4159</Characters>
  <Application>Microsoft Office Word</Application>
  <DocSecurity>0</DocSecurity>
  <Lines>86</Lines>
  <Paragraphs>40</Paragraphs>
  <ScaleCrop>false</ScaleCrop>
  <HeadingPairs>
    <vt:vector size="2" baseType="variant">
      <vt:variant>
        <vt:lpstr>Titre</vt:lpstr>
      </vt:variant>
      <vt:variant>
        <vt:i4>1</vt:i4>
      </vt:variant>
    </vt:vector>
  </HeadingPairs>
  <TitlesOfParts>
    <vt:vector size="1" baseType="lpstr">
      <vt:lpstr>ECE/TRANS/WP.29/GRBP/2024/15</vt:lpstr>
    </vt:vector>
  </TitlesOfParts>
  <Company>DCM</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ECE/TRANS/WP.29/GRBP/2024/15</dc:title>
  <dc:subject/>
  <dc:creator>Marie DESCHAMPS</dc:creator>
  <cp:keywords/>
  <cp:lastModifiedBy>Marie Deschamps</cp:lastModifiedBy>
  <cp:revision>2</cp:revision>
  <cp:lastPrinted>2014-05-14T10:59:00Z</cp:lastPrinted>
  <dcterms:created xsi:type="dcterms:W3CDTF">2024-01-26T12:30:00Z</dcterms:created>
  <dcterms:modified xsi:type="dcterms:W3CDTF">2024-01-26T12:30:00Z</dcterms:modified>
</cp:coreProperties>
</file>