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EB481E6" w14:textId="77777777" w:rsidTr="00387CD4">
        <w:trPr>
          <w:trHeight w:hRule="exact" w:val="851"/>
        </w:trPr>
        <w:tc>
          <w:tcPr>
            <w:tcW w:w="142" w:type="dxa"/>
            <w:tcBorders>
              <w:bottom w:val="single" w:sz="4" w:space="0" w:color="auto"/>
            </w:tcBorders>
          </w:tcPr>
          <w:p w14:paraId="38933C7C" w14:textId="77777777" w:rsidR="002D5AAC" w:rsidRDefault="002D5AAC" w:rsidP="00B85AC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3842D5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0CB9F8D" w14:textId="0CDE2EB1" w:rsidR="002D5AAC" w:rsidRDefault="00B85AC7" w:rsidP="00B85AC7">
            <w:pPr>
              <w:jc w:val="right"/>
            </w:pPr>
            <w:r w:rsidRPr="00B85AC7">
              <w:rPr>
                <w:sz w:val="40"/>
              </w:rPr>
              <w:t>ECE</w:t>
            </w:r>
            <w:r>
              <w:t>/TRANS/WP.15/AC.1/2024/20</w:t>
            </w:r>
          </w:p>
        </w:tc>
      </w:tr>
      <w:tr w:rsidR="002D5AAC" w14:paraId="0910DAAD" w14:textId="77777777" w:rsidTr="00387CD4">
        <w:trPr>
          <w:trHeight w:hRule="exact" w:val="2835"/>
        </w:trPr>
        <w:tc>
          <w:tcPr>
            <w:tcW w:w="1280" w:type="dxa"/>
            <w:gridSpan w:val="2"/>
            <w:tcBorders>
              <w:top w:val="single" w:sz="4" w:space="0" w:color="auto"/>
              <w:bottom w:val="single" w:sz="12" w:space="0" w:color="auto"/>
            </w:tcBorders>
          </w:tcPr>
          <w:p w14:paraId="0DE80556" w14:textId="77777777" w:rsidR="002D5AAC" w:rsidRDefault="002E5067" w:rsidP="00387CD4">
            <w:pPr>
              <w:spacing w:before="120"/>
              <w:jc w:val="center"/>
            </w:pPr>
            <w:r>
              <w:rPr>
                <w:noProof/>
                <w:lang w:val="fr-CH" w:eastAsia="fr-CH"/>
              </w:rPr>
              <w:drawing>
                <wp:inline distT="0" distB="0" distL="0" distR="0" wp14:anchorId="34906992" wp14:editId="232EC49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9217CB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72D54AE" w14:textId="77777777" w:rsidR="002D5AAC" w:rsidRDefault="00B85AC7" w:rsidP="00387CD4">
            <w:pPr>
              <w:spacing w:before="240"/>
              <w:rPr>
                <w:lang w:val="en-US"/>
              </w:rPr>
            </w:pPr>
            <w:r>
              <w:rPr>
                <w:lang w:val="en-US"/>
              </w:rPr>
              <w:t>Distr.: General</w:t>
            </w:r>
          </w:p>
          <w:p w14:paraId="3B7DCBF9" w14:textId="77777777" w:rsidR="00B85AC7" w:rsidRDefault="00B85AC7" w:rsidP="00B85AC7">
            <w:pPr>
              <w:spacing w:line="240" w:lineRule="exact"/>
              <w:rPr>
                <w:lang w:val="en-US"/>
              </w:rPr>
            </w:pPr>
            <w:r>
              <w:rPr>
                <w:lang w:val="en-US"/>
              </w:rPr>
              <w:t>29 December 2023</w:t>
            </w:r>
          </w:p>
          <w:p w14:paraId="3FF526F5" w14:textId="77777777" w:rsidR="00B85AC7" w:rsidRDefault="00B85AC7" w:rsidP="00B85AC7">
            <w:pPr>
              <w:spacing w:line="240" w:lineRule="exact"/>
              <w:rPr>
                <w:lang w:val="en-US"/>
              </w:rPr>
            </w:pPr>
            <w:r>
              <w:rPr>
                <w:lang w:val="en-US"/>
              </w:rPr>
              <w:t>Russian</w:t>
            </w:r>
          </w:p>
          <w:p w14:paraId="34BB1B3E" w14:textId="68283E58" w:rsidR="00B85AC7" w:rsidRPr="008D53B6" w:rsidRDefault="00B85AC7" w:rsidP="00B85AC7">
            <w:pPr>
              <w:spacing w:line="240" w:lineRule="exact"/>
              <w:rPr>
                <w:lang w:val="en-US"/>
              </w:rPr>
            </w:pPr>
            <w:r>
              <w:rPr>
                <w:lang w:val="en-US"/>
              </w:rPr>
              <w:t>Original: English</w:t>
            </w:r>
          </w:p>
        </w:tc>
      </w:tr>
    </w:tbl>
    <w:p w14:paraId="66A1E311"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9CB18C3" w14:textId="77777777" w:rsidR="00B85AC7" w:rsidRPr="00B85AC7" w:rsidRDefault="00B85AC7" w:rsidP="00B85AC7">
      <w:pPr>
        <w:spacing w:before="120"/>
        <w:rPr>
          <w:sz w:val="28"/>
          <w:szCs w:val="28"/>
        </w:rPr>
      </w:pPr>
      <w:r w:rsidRPr="00B85AC7">
        <w:rPr>
          <w:sz w:val="28"/>
          <w:szCs w:val="28"/>
        </w:rPr>
        <w:t>Комитет по внутреннему транспорту</w:t>
      </w:r>
    </w:p>
    <w:p w14:paraId="0F81D420" w14:textId="77777777" w:rsidR="00B85AC7" w:rsidRPr="00B85AC7" w:rsidRDefault="00B85AC7" w:rsidP="00B85AC7">
      <w:pPr>
        <w:spacing w:before="120"/>
        <w:rPr>
          <w:b/>
          <w:bCs/>
          <w:sz w:val="24"/>
          <w:szCs w:val="24"/>
        </w:rPr>
      </w:pPr>
      <w:r w:rsidRPr="00B85AC7">
        <w:rPr>
          <w:b/>
          <w:bCs/>
          <w:sz w:val="24"/>
          <w:szCs w:val="24"/>
        </w:rPr>
        <w:t>Рабочая группа по перевозкам опасных грузов</w:t>
      </w:r>
    </w:p>
    <w:p w14:paraId="02B37697" w14:textId="79789EDC" w:rsidR="00B85AC7" w:rsidRPr="003207D8" w:rsidRDefault="00B85AC7" w:rsidP="00B85AC7">
      <w:pPr>
        <w:spacing w:before="120"/>
        <w:rPr>
          <w:b/>
        </w:rPr>
      </w:pPr>
      <w:r>
        <w:rPr>
          <w:b/>
          <w:bCs/>
        </w:rPr>
        <w:t xml:space="preserve">Совместное совещание Комиссии экспертов МПОГ </w:t>
      </w:r>
      <w:r>
        <w:rPr>
          <w:b/>
          <w:bCs/>
        </w:rPr>
        <w:br/>
      </w:r>
      <w:r>
        <w:rPr>
          <w:b/>
          <w:bCs/>
        </w:rPr>
        <w:t>и Рабочей группы по перевозкам опасных грузов</w:t>
      </w:r>
    </w:p>
    <w:p w14:paraId="39D943B7" w14:textId="1D19B5ED" w:rsidR="00B85AC7" w:rsidRPr="003207D8" w:rsidRDefault="00B85AC7" w:rsidP="00B85AC7">
      <w:r>
        <w:t>Берн, 25</w:t>
      </w:r>
      <w:r>
        <w:rPr>
          <w:lang w:val="en-US"/>
        </w:rPr>
        <w:t>–</w:t>
      </w:r>
      <w:r>
        <w:t>28 марта 2024 года</w:t>
      </w:r>
    </w:p>
    <w:p w14:paraId="5F079A8C" w14:textId="77777777" w:rsidR="00B85AC7" w:rsidRPr="003207D8" w:rsidRDefault="00B85AC7" w:rsidP="00B85AC7">
      <w:r>
        <w:t>Пункт 5 b) предварительной повестки дня</w:t>
      </w:r>
    </w:p>
    <w:p w14:paraId="41C0E040" w14:textId="77777777" w:rsidR="00B85AC7" w:rsidRPr="003207D8" w:rsidRDefault="00B85AC7" w:rsidP="00B85AC7">
      <w:pPr>
        <w:rPr>
          <w:b/>
        </w:rPr>
      </w:pPr>
      <w:r>
        <w:rPr>
          <w:b/>
          <w:bCs/>
        </w:rPr>
        <w:t>Предложения о внесении поправок в МПОГ/ДОПОГ/ВОПОГ:</w:t>
      </w:r>
    </w:p>
    <w:p w14:paraId="1F67C69A" w14:textId="77777777" w:rsidR="00B85AC7" w:rsidRPr="003207D8" w:rsidRDefault="00B85AC7" w:rsidP="00B85AC7">
      <w:r>
        <w:rPr>
          <w:b/>
          <w:bCs/>
        </w:rPr>
        <w:t>новые предложения</w:t>
      </w:r>
    </w:p>
    <w:p w14:paraId="6B3AC321" w14:textId="029E1135" w:rsidR="00B85AC7" w:rsidRPr="003207D8" w:rsidRDefault="00B85AC7" w:rsidP="00B85AC7">
      <w:pPr>
        <w:pStyle w:val="HChG"/>
      </w:pPr>
      <w:r>
        <w:tab/>
      </w:r>
      <w:r>
        <w:tab/>
      </w:r>
      <w:r>
        <w:rPr>
          <w:bCs/>
        </w:rPr>
        <w:t>Сосуды под давлением, изготовленные в соответствии с</w:t>
      </w:r>
      <w:r>
        <w:rPr>
          <w:bCs/>
          <w:lang w:val="en-US"/>
        </w:rPr>
        <w:t> </w:t>
      </w:r>
      <w:r>
        <w:rPr>
          <w:bCs/>
        </w:rPr>
        <w:t>правилами проектирования, признанными национальным компетентным органом</w:t>
      </w:r>
    </w:p>
    <w:p w14:paraId="485CCA3D" w14:textId="16CEEEB9" w:rsidR="00B85AC7" w:rsidRPr="003207D8" w:rsidRDefault="00B85AC7" w:rsidP="00B85AC7">
      <w:pPr>
        <w:pStyle w:val="H1G"/>
        <w:rPr>
          <w:vertAlign w:val="superscript"/>
        </w:rPr>
      </w:pPr>
      <w:r>
        <w:tab/>
      </w:r>
      <w:r>
        <w:tab/>
      </w:r>
      <w:r>
        <w:rPr>
          <w:bCs/>
        </w:rPr>
        <w:t xml:space="preserve">Передано Европейской ассоциацией производителей </w:t>
      </w:r>
      <w:r w:rsidR="00452648">
        <w:rPr>
          <w:bCs/>
        </w:rPr>
        <w:br/>
      </w:r>
      <w:r>
        <w:rPr>
          <w:bCs/>
        </w:rPr>
        <w:t>баллонов (ЕАПБ)</w:t>
      </w:r>
      <w:r w:rsidRPr="00B85AC7">
        <w:rPr>
          <w:rStyle w:val="aa"/>
          <w:b w:val="0"/>
          <w:sz w:val="20"/>
          <w:vertAlign w:val="baseline"/>
        </w:rPr>
        <w:footnoteReference w:customMarkFollows="1" w:id="1"/>
        <w:t>*</w:t>
      </w:r>
      <w:r w:rsidRPr="00B85AC7">
        <w:rPr>
          <w:b w:val="0"/>
          <w:sz w:val="20"/>
          <w:vertAlign w:val="superscript"/>
        </w:rPr>
        <w:t>,</w:t>
      </w:r>
      <w:r w:rsidR="0065798D">
        <w:rPr>
          <w:b w:val="0"/>
          <w:sz w:val="20"/>
          <w:vertAlign w:val="superscript"/>
        </w:rPr>
        <w:t xml:space="preserve"> </w:t>
      </w:r>
      <w:r w:rsidRPr="00B85AC7">
        <w:rPr>
          <w:rStyle w:val="aa"/>
          <w:b w:val="0"/>
          <w:bCs/>
          <w:vertAlign w:val="baseline"/>
        </w:rPr>
        <w:footnoteReference w:customMarkFollows="1" w:id="2"/>
        <w:t>**</w:t>
      </w:r>
    </w:p>
    <w:p w14:paraId="2AC76CBD" w14:textId="77777777" w:rsidR="00B85AC7" w:rsidRPr="003207D8" w:rsidRDefault="00B85AC7" w:rsidP="00B85AC7">
      <w:pPr>
        <w:pStyle w:val="HChG"/>
      </w:pPr>
      <w:r>
        <w:tab/>
      </w:r>
      <w:r>
        <w:tab/>
      </w:r>
      <w:r>
        <w:rPr>
          <w:bCs/>
        </w:rPr>
        <w:t>Введение</w:t>
      </w:r>
    </w:p>
    <w:p w14:paraId="3FA35BB0" w14:textId="77777777" w:rsidR="00B85AC7" w:rsidRPr="003207D8" w:rsidRDefault="00B85AC7" w:rsidP="00B85AC7">
      <w:pPr>
        <w:pStyle w:val="SingleTxtG"/>
      </w:pPr>
      <w:r>
        <w:t>1.</w:t>
      </w:r>
      <w:r>
        <w:tab/>
        <w:t xml:space="preserve">Сосуды для хранения газов под высоким давлением в стационарных условиях традиционно представляли собой металлические сосуды под давлением бесшовной или сварной конструкции. Сегодня существуют сосуды под давлением, которые могут иметь неметаллический вкладыш с обмоткой из композитного материала. </w:t>
      </w:r>
    </w:p>
    <w:p w14:paraId="79013E49" w14:textId="6E6D4EA4" w:rsidR="00B85AC7" w:rsidRPr="003207D8" w:rsidRDefault="00B85AC7" w:rsidP="00B85AC7">
      <w:pPr>
        <w:pStyle w:val="SingleTxtG"/>
      </w:pPr>
      <w:r>
        <w:t>2.</w:t>
      </w:r>
      <w:r>
        <w:tab/>
        <w:t xml:space="preserve">Одна из основных причин использования сосудов высокого давления композитной конструкции </w:t>
      </w:r>
      <w:r w:rsidR="0065798D">
        <w:t>—</w:t>
      </w:r>
      <w:r>
        <w:t xml:space="preserve"> меньший вес при установке, например, на крыше здания.</w:t>
      </w:r>
    </w:p>
    <w:p w14:paraId="3FBF5E12" w14:textId="22A41FA5" w:rsidR="00B85AC7" w:rsidRPr="003207D8" w:rsidRDefault="00B85AC7" w:rsidP="00B85AC7">
      <w:pPr>
        <w:pStyle w:val="SingleTxtG"/>
      </w:pPr>
      <w:r>
        <w:t>3.</w:t>
      </w:r>
      <w:r>
        <w:tab/>
        <w:t xml:space="preserve">В связи с особенностями конструкции этих сосудов под давлением существуют дополнительные требования, которые необходимо соблюдать при их перевозке для целей монтажа, технического обслуживания или утилизации. Некоторые типы конструкции композитных сосудов под давлением требуют поддержания минимального давления во время перевозки, которое может составлять не менее </w:t>
      </w:r>
      <w:r w:rsidR="0065798D">
        <w:t>5</w:t>
      </w:r>
      <w:r>
        <w:t xml:space="preserve"> бар и даже достигать 20 бар</w:t>
      </w:r>
      <w:r>
        <w:rPr>
          <w:b/>
          <w:bCs/>
        </w:rPr>
        <w:t>.</w:t>
      </w:r>
      <w:r>
        <w:t xml:space="preserve"> Это необходимо для того, чтобы вкладыш сосуда под давлением не отделился от обмотки во время перевозки.</w:t>
      </w:r>
    </w:p>
    <w:p w14:paraId="2B88B394" w14:textId="77777777" w:rsidR="00B85AC7" w:rsidRPr="003207D8" w:rsidRDefault="00B85AC7" w:rsidP="00B85AC7">
      <w:pPr>
        <w:pStyle w:val="SingleTxtG"/>
      </w:pPr>
      <w:r>
        <w:t>4.</w:t>
      </w:r>
      <w:r>
        <w:tab/>
        <w:t xml:space="preserve">Для сохранения целостности сосудов под давлением они перевозятся с одним из следующих трех газов: № ООН 1002 Воздух сжатый, № ООН 1066 Азот сжатый или № ООН 1956 Газ сжатый, н.у.к. Причина включения № ООН 1956 заключается в том, что сосуд под давлением мог испытываться с использованием смеси азота и водорода, </w:t>
      </w:r>
      <w:r>
        <w:lastRenderedPageBreak/>
        <w:t xml:space="preserve">и, хотя он опорожняется и наполняется азотом, в нем могут оставаться небольшие следы водорода, что и послужило поводом для включения № ООН 1956. </w:t>
      </w:r>
    </w:p>
    <w:p w14:paraId="365E02D8" w14:textId="77777777" w:rsidR="00B85AC7" w:rsidRPr="003207D8" w:rsidRDefault="00B85AC7" w:rsidP="00B85AC7">
      <w:pPr>
        <w:pStyle w:val="SingleTxtG"/>
      </w:pPr>
      <w:r>
        <w:t>5.</w:t>
      </w:r>
      <w:r>
        <w:tab/>
        <w:t xml:space="preserve">Эти сосуды под давлением не предназначены для перевозки газов. </w:t>
      </w:r>
    </w:p>
    <w:p w14:paraId="4F9FD649" w14:textId="77777777" w:rsidR="00B85AC7" w:rsidRPr="003207D8" w:rsidRDefault="00B85AC7" w:rsidP="00B85AC7">
      <w:pPr>
        <w:pStyle w:val="SingleTxtG"/>
      </w:pPr>
      <w:r>
        <w:t>6.</w:t>
      </w:r>
      <w:r>
        <w:tab/>
        <w:t>Сосуды под давлением изготавливают в соответствии с правилами проектирования, признанными национальным компетентным органом.</w:t>
      </w:r>
    </w:p>
    <w:p w14:paraId="41EC82BD" w14:textId="77777777" w:rsidR="00B85AC7" w:rsidRPr="003207D8" w:rsidRDefault="00B85AC7" w:rsidP="00B85AC7">
      <w:pPr>
        <w:pStyle w:val="SingleTxtG"/>
      </w:pPr>
      <w:r>
        <w:t>7.</w:t>
      </w:r>
      <w:r>
        <w:tab/>
        <w:t>Для изъятий, связанных с перевозкой газов (см. пункт 1.1.3.2 c)), установлен предел на уровне 200 кПа (2 бар), и считается, что его повышение нецелесообразно, поскольку это может вывести из-под действия правил перевозку многих газов.</w:t>
      </w:r>
    </w:p>
    <w:p w14:paraId="29606CCB" w14:textId="77777777" w:rsidR="00B85AC7" w:rsidRPr="003207D8" w:rsidRDefault="00B85AC7" w:rsidP="00B85AC7">
      <w:pPr>
        <w:pStyle w:val="HChG"/>
      </w:pPr>
      <w:r>
        <w:tab/>
      </w:r>
      <w:r>
        <w:tab/>
      </w:r>
      <w:r>
        <w:tab/>
      </w:r>
      <w:r>
        <w:rPr>
          <w:bCs/>
        </w:rPr>
        <w:t>Предложение</w:t>
      </w:r>
    </w:p>
    <w:p w14:paraId="733A834E" w14:textId="77777777" w:rsidR="00B85AC7" w:rsidRPr="003207D8" w:rsidRDefault="00B85AC7" w:rsidP="00B85AC7">
      <w:pPr>
        <w:pStyle w:val="SingleTxtG"/>
      </w:pPr>
      <w:r>
        <w:t>8.</w:t>
      </w:r>
      <w:r>
        <w:tab/>
        <w:t>Для обеспечения возможности перевозки сосудов под давлением, изготовленных в соответствии с правилами проектирования, признанными национальным компетентным органом, и содержащих № ООН 1002 Воздух сжатый, № ООН 1066 Азот сжатый или № ООН 1956 Газ сжатый, н.у.к., предлагается новое специальное положение следующего содержания:</w:t>
      </w:r>
      <w:bookmarkStart w:id="0" w:name="_Hlk151911570"/>
      <w:bookmarkEnd w:id="0"/>
    </w:p>
    <w:p w14:paraId="26CC4631" w14:textId="1D704468" w:rsidR="00B85AC7" w:rsidRPr="003207D8" w:rsidRDefault="0065798D" w:rsidP="00B85AC7">
      <w:pPr>
        <w:pStyle w:val="Bullet1G"/>
        <w:numPr>
          <w:ilvl w:val="0"/>
          <w:numId w:val="0"/>
        </w:numPr>
        <w:ind w:left="1531"/>
        <w:rPr>
          <w:b/>
        </w:rPr>
      </w:pPr>
      <w:r>
        <w:t>«</w:t>
      </w:r>
      <w:r w:rsidR="00B85AC7">
        <w:t>xxx</w:t>
      </w:r>
      <w:r w:rsidR="00B85AC7">
        <w:tab/>
        <w:t xml:space="preserve">Сосуды под давлением, изготовленные в соответствии с правилами проектирования, признанными национальным компетентным органом, могут перевозиться для целей монтажа, </w:t>
      </w:r>
      <w:r w:rsidR="00B85AC7" w:rsidRPr="005D4A52">
        <w:t xml:space="preserve">технического </w:t>
      </w:r>
      <w:r w:rsidR="00B85AC7">
        <w:t>обслуживания или утилизации, когда они содержат № ООН 1002 ВОЗДУХ СЖАТЫЙ или № ООН 1066 АЗОТ СЖАТЫЙ или № ООН 1956 ГАЗ СЖАТЫЙ, Н.У.К. под давлением до 20 бар, при условии, что каждый сосуд под давлением имеет маркировку в соответствии с разделом 5.2.1 и снабжен знаками опасности в соответствии с разделом 5.2.2.</w:t>
      </w:r>
      <w:bookmarkStart w:id="1" w:name="_Hlk151911871"/>
      <w:bookmarkEnd w:id="1"/>
    </w:p>
    <w:p w14:paraId="05AD8D36" w14:textId="77777777" w:rsidR="00B85AC7" w:rsidRPr="003207D8" w:rsidRDefault="00B85AC7" w:rsidP="00B85AC7">
      <w:pPr>
        <w:pStyle w:val="Bullet1G"/>
        <w:numPr>
          <w:ilvl w:val="0"/>
          <w:numId w:val="0"/>
        </w:numPr>
        <w:ind w:left="1531"/>
        <w:rPr>
          <w:b/>
        </w:rPr>
      </w:pPr>
      <w:r>
        <w:t>Затворы сосудов под давлением должны быть защищены во время перевозки.</w:t>
      </w:r>
    </w:p>
    <w:p w14:paraId="6E0F0810" w14:textId="03C2AEB1" w:rsidR="00B85AC7" w:rsidRPr="003207D8" w:rsidRDefault="00B85AC7" w:rsidP="00B85AC7">
      <w:pPr>
        <w:pStyle w:val="Bullet1G"/>
        <w:numPr>
          <w:ilvl w:val="0"/>
          <w:numId w:val="0"/>
        </w:numPr>
        <w:ind w:left="1531"/>
        <w:rPr>
          <w:b/>
        </w:rPr>
      </w:pPr>
      <w:r>
        <w:t xml:space="preserve">В транспортном документе должна быть сделана следующая запись: </w:t>
      </w:r>
      <w:r w:rsidR="0065798D" w:rsidRPr="0065798D">
        <w:t>“</w:t>
      </w:r>
      <w:r>
        <w:t>Перевозка в соответствии со специальным положением ххх</w:t>
      </w:r>
      <w:r w:rsidR="0065798D" w:rsidRPr="0065798D">
        <w:t>”</w:t>
      </w:r>
      <w:r w:rsidR="0065798D">
        <w:t>»</w:t>
      </w:r>
      <w:r>
        <w:t>.</w:t>
      </w:r>
    </w:p>
    <w:p w14:paraId="51B53789" w14:textId="220AE836" w:rsidR="00B85AC7" w:rsidRPr="003207D8" w:rsidRDefault="00B85AC7" w:rsidP="00B85AC7">
      <w:pPr>
        <w:pStyle w:val="Bullet1G"/>
        <w:numPr>
          <w:ilvl w:val="0"/>
          <w:numId w:val="0"/>
        </w:numPr>
        <w:ind w:left="1531"/>
        <w:rPr>
          <w:b/>
        </w:rPr>
      </w:pPr>
      <w:r>
        <w:t xml:space="preserve">В таблице А главы 3.2 для №№ ООН 1002, 1066 и 1956 в колонке 6 добавить </w:t>
      </w:r>
      <w:r w:rsidR="0065798D">
        <w:t>«</w:t>
      </w:r>
      <w:r>
        <w:t>xxx</w:t>
      </w:r>
      <w:r w:rsidR="0065798D">
        <w:t>»</w:t>
      </w:r>
      <w:r>
        <w:t>.</w:t>
      </w:r>
    </w:p>
    <w:p w14:paraId="30206800" w14:textId="1A7D738E" w:rsidR="00B85AC7" w:rsidRPr="003207D8" w:rsidRDefault="0065798D" w:rsidP="0065798D">
      <w:pPr>
        <w:pStyle w:val="HChG"/>
      </w:pPr>
      <w:r>
        <w:tab/>
      </w:r>
      <w:r>
        <w:tab/>
      </w:r>
      <w:r w:rsidR="00B85AC7" w:rsidRPr="0065798D">
        <w:t>Обоснование</w:t>
      </w:r>
    </w:p>
    <w:p w14:paraId="66428AAF" w14:textId="77777777" w:rsidR="00B85AC7" w:rsidRPr="003207D8" w:rsidRDefault="00B85AC7" w:rsidP="00B85AC7">
      <w:pPr>
        <w:pStyle w:val="SingleTxtG"/>
      </w:pPr>
      <w:r>
        <w:t>9.</w:t>
      </w:r>
      <w:r>
        <w:tab/>
        <w:t>Это специальное положение обеспечивает возможность перевозки сосудов под давлением, изготовленных в соответствии с правилами проектирования, признанными национальным компетентным органом, для целей монтажа, технического обслуживания или утилизации, и содержащих либо № ООН 1002 Воздух сжатый, либо № ООН 1066 Азот сжатый, либо № ООН 1956 Газ сжатый, н.у.к.</w:t>
      </w:r>
    </w:p>
    <w:p w14:paraId="21CF4EBE" w14:textId="3BB8F2D6" w:rsidR="00B85AC7" w:rsidRPr="003207D8" w:rsidRDefault="0065798D" w:rsidP="0065798D">
      <w:pPr>
        <w:pStyle w:val="HChG"/>
      </w:pPr>
      <w:r>
        <w:tab/>
      </w:r>
      <w:r>
        <w:tab/>
      </w:r>
      <w:r w:rsidR="00B85AC7">
        <w:t xml:space="preserve">Последствия для </w:t>
      </w:r>
      <w:r w:rsidR="00B85AC7" w:rsidRPr="0065798D">
        <w:t>безопасности</w:t>
      </w:r>
    </w:p>
    <w:p w14:paraId="290C8978" w14:textId="77777777" w:rsidR="00B85AC7" w:rsidRPr="003207D8" w:rsidRDefault="00B85AC7" w:rsidP="00B85AC7">
      <w:pPr>
        <w:ind w:left="1134"/>
      </w:pPr>
      <w:r>
        <w:t>10.</w:t>
      </w:r>
      <w:r>
        <w:tab/>
        <w:t>Не предвидятся.</w:t>
      </w:r>
    </w:p>
    <w:p w14:paraId="7D0319C3" w14:textId="77777777" w:rsidR="00B85AC7" w:rsidRDefault="00B85AC7" w:rsidP="00B85AC7">
      <w:pPr>
        <w:spacing w:before="240"/>
        <w:jc w:val="center"/>
        <w:rPr>
          <w:u w:val="single"/>
        </w:rPr>
      </w:pPr>
      <w:r w:rsidRPr="003207D8">
        <w:rPr>
          <w:u w:val="single"/>
        </w:rPr>
        <w:tab/>
      </w:r>
      <w:r w:rsidRPr="003207D8">
        <w:rPr>
          <w:u w:val="single"/>
        </w:rPr>
        <w:tab/>
      </w:r>
      <w:r w:rsidRPr="003207D8">
        <w:rPr>
          <w:u w:val="single"/>
        </w:rPr>
        <w:tab/>
      </w:r>
    </w:p>
    <w:p w14:paraId="409A3404" w14:textId="1039306A" w:rsidR="00E12C5F" w:rsidRPr="008D53B6" w:rsidRDefault="00E12C5F" w:rsidP="00D9145B"/>
    <w:sectPr w:rsidR="00E12C5F" w:rsidRPr="008D53B6" w:rsidSect="00B85AC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1525D" w14:textId="77777777" w:rsidR="00C012FD" w:rsidRPr="00A312BC" w:rsidRDefault="00C012FD" w:rsidP="00A312BC"/>
  </w:endnote>
  <w:endnote w:type="continuationSeparator" w:id="0">
    <w:p w14:paraId="731519DA" w14:textId="77777777" w:rsidR="00C012FD" w:rsidRPr="00A312BC" w:rsidRDefault="00C012F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1EF7" w14:textId="66703668" w:rsidR="00B85AC7" w:rsidRPr="00B85AC7" w:rsidRDefault="00B85AC7">
    <w:pPr>
      <w:pStyle w:val="a8"/>
    </w:pPr>
    <w:r w:rsidRPr="00B85AC7">
      <w:rPr>
        <w:b/>
        <w:sz w:val="18"/>
      </w:rPr>
      <w:fldChar w:fldCharType="begin"/>
    </w:r>
    <w:r w:rsidRPr="00B85AC7">
      <w:rPr>
        <w:b/>
        <w:sz w:val="18"/>
      </w:rPr>
      <w:instrText xml:space="preserve"> PAGE  \* MERGEFORMAT </w:instrText>
    </w:r>
    <w:r w:rsidRPr="00B85AC7">
      <w:rPr>
        <w:b/>
        <w:sz w:val="18"/>
      </w:rPr>
      <w:fldChar w:fldCharType="separate"/>
    </w:r>
    <w:r w:rsidRPr="00B85AC7">
      <w:rPr>
        <w:b/>
        <w:noProof/>
        <w:sz w:val="18"/>
      </w:rPr>
      <w:t>2</w:t>
    </w:r>
    <w:r w:rsidRPr="00B85AC7">
      <w:rPr>
        <w:b/>
        <w:sz w:val="18"/>
      </w:rPr>
      <w:fldChar w:fldCharType="end"/>
    </w:r>
    <w:r>
      <w:rPr>
        <w:b/>
        <w:sz w:val="18"/>
      </w:rPr>
      <w:tab/>
    </w:r>
    <w:r>
      <w:t>GE.23-26285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8F2B" w14:textId="1127F44E" w:rsidR="00B85AC7" w:rsidRPr="00B85AC7" w:rsidRDefault="00B85AC7" w:rsidP="00B85AC7">
    <w:pPr>
      <w:pStyle w:val="a8"/>
      <w:tabs>
        <w:tab w:val="clear" w:pos="9639"/>
        <w:tab w:val="right" w:pos="9638"/>
      </w:tabs>
      <w:rPr>
        <w:b/>
        <w:sz w:val="18"/>
      </w:rPr>
    </w:pPr>
    <w:r>
      <w:t>GE.23-26285</w:t>
    </w:r>
    <w:r>
      <w:tab/>
    </w:r>
    <w:r w:rsidRPr="00B85AC7">
      <w:rPr>
        <w:b/>
        <w:sz w:val="18"/>
      </w:rPr>
      <w:fldChar w:fldCharType="begin"/>
    </w:r>
    <w:r w:rsidRPr="00B85AC7">
      <w:rPr>
        <w:b/>
        <w:sz w:val="18"/>
      </w:rPr>
      <w:instrText xml:space="preserve"> PAGE  \* MERGEFORMAT </w:instrText>
    </w:r>
    <w:r w:rsidRPr="00B85AC7">
      <w:rPr>
        <w:b/>
        <w:sz w:val="18"/>
      </w:rPr>
      <w:fldChar w:fldCharType="separate"/>
    </w:r>
    <w:r w:rsidRPr="00B85AC7">
      <w:rPr>
        <w:b/>
        <w:noProof/>
        <w:sz w:val="18"/>
      </w:rPr>
      <w:t>3</w:t>
    </w:r>
    <w:r w:rsidRPr="00B85A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8090" w14:textId="19DFA263" w:rsidR="00042B72" w:rsidRPr="00B85AC7" w:rsidRDefault="00B85AC7" w:rsidP="00B85AC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B0E146D" wp14:editId="08FB4EB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23-26285  (R)</w:t>
    </w:r>
    <w:r>
      <w:rPr>
        <w:noProof/>
      </w:rPr>
      <w:drawing>
        <wp:anchor distT="0" distB="0" distL="114300" distR="114300" simplePos="0" relativeHeight="251659264" behindDoc="0" locked="0" layoutInCell="1" allowOverlap="1" wp14:anchorId="56D6F3B1" wp14:editId="3D3775F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230124   </w:t>
    </w:r>
    <w:r>
      <w:rPr>
        <w:lang w:val="en-US"/>
      </w:rPr>
      <w:t>230124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3B7C" w14:textId="77777777" w:rsidR="00C012FD" w:rsidRPr="001075E9" w:rsidRDefault="00C012FD" w:rsidP="001075E9">
      <w:pPr>
        <w:tabs>
          <w:tab w:val="right" w:pos="2155"/>
        </w:tabs>
        <w:spacing w:after="80" w:line="240" w:lineRule="auto"/>
        <w:ind w:left="680"/>
        <w:rPr>
          <w:u w:val="single"/>
        </w:rPr>
      </w:pPr>
      <w:r>
        <w:rPr>
          <w:u w:val="single"/>
        </w:rPr>
        <w:tab/>
      </w:r>
    </w:p>
  </w:footnote>
  <w:footnote w:type="continuationSeparator" w:id="0">
    <w:p w14:paraId="06F05931" w14:textId="77777777" w:rsidR="00C012FD" w:rsidRDefault="00C012FD" w:rsidP="00407B78">
      <w:pPr>
        <w:tabs>
          <w:tab w:val="right" w:pos="2155"/>
        </w:tabs>
        <w:spacing w:after="80"/>
        <w:ind w:left="680"/>
        <w:rPr>
          <w:u w:val="single"/>
        </w:rPr>
      </w:pPr>
      <w:r>
        <w:rPr>
          <w:u w:val="single"/>
        </w:rPr>
        <w:tab/>
      </w:r>
    </w:p>
  </w:footnote>
  <w:footnote w:id="1">
    <w:p w14:paraId="6F347E60" w14:textId="34A86D69" w:rsidR="00B85AC7" w:rsidRPr="00B85AC7" w:rsidRDefault="00B85AC7">
      <w:pPr>
        <w:pStyle w:val="ad"/>
        <w:rPr>
          <w:sz w:val="20"/>
          <w:lang w:val="en-US"/>
        </w:rPr>
      </w:pPr>
      <w:r>
        <w:tab/>
      </w:r>
      <w:r w:rsidRPr="00B85AC7">
        <w:rPr>
          <w:rStyle w:val="aa"/>
          <w:sz w:val="20"/>
          <w:vertAlign w:val="baseline"/>
        </w:rPr>
        <w:t>*</w:t>
      </w:r>
      <w:r w:rsidRPr="00B85AC7">
        <w:rPr>
          <w:rStyle w:val="aa"/>
          <w:vertAlign w:val="baseline"/>
        </w:rPr>
        <w:tab/>
      </w:r>
      <w:r>
        <w:t>A/78/6 (разд. 20), таблица 20.5.</w:t>
      </w:r>
    </w:p>
  </w:footnote>
  <w:footnote w:id="2">
    <w:p w14:paraId="2B98EAF6" w14:textId="77777777" w:rsidR="00B85AC7" w:rsidRPr="003207D8" w:rsidRDefault="00B85AC7" w:rsidP="00B85AC7">
      <w:pPr>
        <w:pStyle w:val="ad"/>
      </w:pPr>
      <w:r>
        <w:tab/>
      </w:r>
      <w:r>
        <w:rPr>
          <w:b/>
          <w:bCs/>
          <w:vertAlign w:val="superscript"/>
        </w:rPr>
        <w:t>**</w:t>
      </w:r>
      <w:r>
        <w:tab/>
        <w:t>Распространено Межправительственной организацией по международным железнодорожным перевозкам (ОТИФ) под условным обозначением OTIF/RID/RC/2024/20.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9B6C" w14:textId="42AE493C" w:rsidR="00B85AC7" w:rsidRPr="00B85AC7" w:rsidRDefault="00B85AC7">
    <w:pPr>
      <w:pStyle w:val="a5"/>
    </w:pPr>
    <w:fldSimple w:instr=" TITLE  \* MERGEFORMAT ">
      <w:r w:rsidR="007470D8">
        <w:t>ECE/TRANS/WP.15/AC.1/2024/20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39F4" w14:textId="2AA9EE32" w:rsidR="00B85AC7" w:rsidRPr="00B85AC7" w:rsidRDefault="00B85AC7" w:rsidP="00B85AC7">
    <w:pPr>
      <w:pStyle w:val="a5"/>
      <w:jc w:val="right"/>
    </w:pPr>
    <w:fldSimple w:instr=" TITLE  \* MERGEFORMAT ">
      <w:r w:rsidR="007470D8">
        <w:t>ECE/TRANS/WP.15/AC.1/2024/20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8"/>
  </w:num>
  <w:num w:numId="2" w16cid:durableId="966817556">
    <w:abstractNumId w:val="12"/>
  </w:num>
  <w:num w:numId="3" w16cid:durableId="1816291531">
    <w:abstractNumId w:val="11"/>
  </w:num>
  <w:num w:numId="4" w16cid:durableId="1492480875">
    <w:abstractNumId w:val="19"/>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7"/>
  </w:num>
  <w:num w:numId="17" w16cid:durableId="53941411">
    <w:abstractNumId w:val="13"/>
  </w:num>
  <w:num w:numId="18" w16cid:durableId="961153681">
    <w:abstractNumId w:val="15"/>
  </w:num>
  <w:num w:numId="19" w16cid:durableId="1272468768">
    <w:abstractNumId w:val="17"/>
  </w:num>
  <w:num w:numId="20" w16cid:durableId="807743971">
    <w:abstractNumId w:val="13"/>
  </w:num>
  <w:num w:numId="21" w16cid:durableId="1591162185">
    <w:abstractNumId w:val="15"/>
  </w:num>
  <w:num w:numId="22" w16cid:durableId="1200505891">
    <w:abstractNumId w:val="16"/>
  </w:num>
  <w:num w:numId="23" w16cid:durableId="62134816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FD"/>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2648"/>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5798D"/>
    <w:rsid w:val="00680D03"/>
    <w:rsid w:val="00681A10"/>
    <w:rsid w:val="006A1ED8"/>
    <w:rsid w:val="006C2031"/>
    <w:rsid w:val="006D461A"/>
    <w:rsid w:val="006F35EE"/>
    <w:rsid w:val="007021FF"/>
    <w:rsid w:val="00712895"/>
    <w:rsid w:val="00734ACB"/>
    <w:rsid w:val="007470D8"/>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85AC7"/>
    <w:rsid w:val="00BC18B2"/>
    <w:rsid w:val="00BD33EE"/>
    <w:rsid w:val="00BE1CC7"/>
    <w:rsid w:val="00C012FD"/>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3F261"/>
  <w15:docId w15:val="{8C3EAAA6-EB70-4044-B858-6F60C7E8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locked/>
    <w:rsid w:val="00B85AC7"/>
    <w:rPr>
      <w:lang w:val="ru-RU" w:eastAsia="en-US"/>
    </w:rPr>
  </w:style>
  <w:style w:type="paragraph" w:customStyle="1" w:styleId="ParNoG">
    <w:name w:val="_ParNo_G"/>
    <w:basedOn w:val="a"/>
    <w:qFormat/>
    <w:rsid w:val="00B85AC7"/>
    <w:pPr>
      <w:numPr>
        <w:numId w:val="23"/>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7FACD-CA10-4AEA-81B1-6547DF47F4C0}"/>
</file>

<file path=customXml/itemProps2.xml><?xml version="1.0" encoding="utf-8"?>
<ds:datastoreItem xmlns:ds="http://schemas.openxmlformats.org/officeDocument/2006/customXml" ds:itemID="{87B1737D-B95D-4543-B82E-DC377470C757}"/>
</file>

<file path=docProps/app.xml><?xml version="1.0" encoding="utf-8"?>
<Properties xmlns="http://schemas.openxmlformats.org/officeDocument/2006/extended-properties" xmlns:vt="http://schemas.openxmlformats.org/officeDocument/2006/docPropsVTypes">
  <Template>ECE.dotm</Template>
  <TotalTime>1</TotalTime>
  <Pages>2</Pages>
  <Words>553</Words>
  <Characters>3512</Characters>
  <Application>Microsoft Office Word</Application>
  <DocSecurity>0</DocSecurity>
  <Lines>77</Lines>
  <Paragraphs>35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ECE/TRANS/WP.15/AC.1/2024/20</dc:title>
  <dc:subject/>
  <dc:creator>Anna BLAGODATSKIKH</dc:creator>
  <cp:keywords/>
  <cp:lastModifiedBy>Anna Blagodatskikh</cp:lastModifiedBy>
  <cp:revision>3</cp:revision>
  <cp:lastPrinted>2024-01-23T10:08:00Z</cp:lastPrinted>
  <dcterms:created xsi:type="dcterms:W3CDTF">2024-01-23T10:08:00Z</dcterms:created>
  <dcterms:modified xsi:type="dcterms:W3CDTF">2024-01-23T10:09:00Z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