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3D2A1279" w14:textId="77777777" w:rsidTr="00C97039">
        <w:trPr>
          <w:trHeight w:hRule="exact" w:val="851"/>
        </w:trPr>
        <w:tc>
          <w:tcPr>
            <w:tcW w:w="1276" w:type="dxa"/>
            <w:tcBorders>
              <w:bottom w:val="single" w:sz="4" w:space="0" w:color="auto"/>
            </w:tcBorders>
          </w:tcPr>
          <w:p w14:paraId="6E635B8C" w14:textId="77777777" w:rsidR="00F35BAF" w:rsidRPr="00DB58B5" w:rsidRDefault="00F35BAF" w:rsidP="001922D1"/>
        </w:tc>
        <w:tc>
          <w:tcPr>
            <w:tcW w:w="2268" w:type="dxa"/>
            <w:tcBorders>
              <w:bottom w:val="single" w:sz="4" w:space="0" w:color="auto"/>
            </w:tcBorders>
            <w:vAlign w:val="bottom"/>
          </w:tcPr>
          <w:p w14:paraId="74BBEDD0"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689F2A63" w14:textId="77777777" w:rsidR="00F35BAF" w:rsidRPr="00DB58B5" w:rsidRDefault="001922D1" w:rsidP="001922D1">
            <w:pPr>
              <w:jc w:val="right"/>
            </w:pPr>
            <w:r w:rsidRPr="001922D1">
              <w:rPr>
                <w:sz w:val="40"/>
              </w:rPr>
              <w:t>ECE</w:t>
            </w:r>
            <w:r>
              <w:t>/TRANS/WP.15/AC.1/2024/8</w:t>
            </w:r>
          </w:p>
        </w:tc>
      </w:tr>
      <w:tr w:rsidR="00F35BAF" w:rsidRPr="00DB58B5" w14:paraId="0BB217C8" w14:textId="77777777" w:rsidTr="00C97039">
        <w:trPr>
          <w:trHeight w:hRule="exact" w:val="2835"/>
        </w:trPr>
        <w:tc>
          <w:tcPr>
            <w:tcW w:w="1276" w:type="dxa"/>
            <w:tcBorders>
              <w:top w:val="single" w:sz="4" w:space="0" w:color="auto"/>
              <w:bottom w:val="single" w:sz="12" w:space="0" w:color="auto"/>
            </w:tcBorders>
          </w:tcPr>
          <w:p w14:paraId="12138520" w14:textId="77777777" w:rsidR="00F35BAF" w:rsidRPr="00DB58B5" w:rsidRDefault="00F35BAF" w:rsidP="00C97039">
            <w:pPr>
              <w:spacing w:before="120"/>
              <w:jc w:val="center"/>
            </w:pPr>
            <w:r>
              <w:rPr>
                <w:noProof/>
                <w:lang w:eastAsia="fr-CH"/>
              </w:rPr>
              <w:drawing>
                <wp:inline distT="0" distB="0" distL="0" distR="0" wp14:anchorId="32F7AE74" wp14:editId="62EC71FA">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1E6D5F3"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5FAA7D07" w14:textId="77777777" w:rsidR="00F35BAF" w:rsidRDefault="001922D1" w:rsidP="00C97039">
            <w:pPr>
              <w:spacing w:before="240"/>
            </w:pPr>
            <w:r>
              <w:t>Distr. générale</w:t>
            </w:r>
          </w:p>
          <w:p w14:paraId="2A8B66C3" w14:textId="2474F557" w:rsidR="001922D1" w:rsidRDefault="001922D1" w:rsidP="001922D1">
            <w:pPr>
              <w:spacing w:line="240" w:lineRule="exact"/>
            </w:pPr>
            <w:r>
              <w:t>18 décembre 2023</w:t>
            </w:r>
          </w:p>
          <w:p w14:paraId="40F20BED" w14:textId="77777777" w:rsidR="001922D1" w:rsidRDefault="001922D1" w:rsidP="001922D1">
            <w:pPr>
              <w:spacing w:line="240" w:lineRule="exact"/>
            </w:pPr>
            <w:r>
              <w:t>Français</w:t>
            </w:r>
          </w:p>
          <w:p w14:paraId="20C048B5" w14:textId="09581B5D" w:rsidR="001922D1" w:rsidRPr="00DB58B5" w:rsidRDefault="001922D1" w:rsidP="001922D1">
            <w:pPr>
              <w:spacing w:line="240" w:lineRule="exact"/>
            </w:pPr>
            <w:r>
              <w:t>Original : anglais</w:t>
            </w:r>
          </w:p>
        </w:tc>
      </w:tr>
    </w:tbl>
    <w:p w14:paraId="4A4706D5" w14:textId="77777777" w:rsidR="007F20FA" w:rsidRPr="000312C0" w:rsidRDefault="007F20FA" w:rsidP="007F20FA">
      <w:pPr>
        <w:spacing w:before="120"/>
        <w:rPr>
          <w:b/>
          <w:sz w:val="28"/>
          <w:szCs w:val="28"/>
        </w:rPr>
      </w:pPr>
      <w:r w:rsidRPr="000312C0">
        <w:rPr>
          <w:b/>
          <w:sz w:val="28"/>
          <w:szCs w:val="28"/>
        </w:rPr>
        <w:t>Commission économique pour l’Europe</w:t>
      </w:r>
    </w:p>
    <w:p w14:paraId="21DDF58B" w14:textId="77777777" w:rsidR="007F20FA" w:rsidRDefault="007F20FA" w:rsidP="007F20FA">
      <w:pPr>
        <w:spacing w:before="120"/>
        <w:rPr>
          <w:sz w:val="28"/>
          <w:szCs w:val="28"/>
        </w:rPr>
      </w:pPr>
      <w:r w:rsidRPr="00685843">
        <w:rPr>
          <w:sz w:val="28"/>
          <w:szCs w:val="28"/>
        </w:rPr>
        <w:t>Comité des transports intérieurs</w:t>
      </w:r>
    </w:p>
    <w:p w14:paraId="232ECB63" w14:textId="77777777" w:rsidR="001922D1" w:rsidRPr="009E01B8" w:rsidRDefault="001922D1" w:rsidP="00AF0CB5">
      <w:pPr>
        <w:spacing w:before="120"/>
        <w:rPr>
          <w:b/>
          <w:sz w:val="24"/>
          <w:szCs w:val="24"/>
        </w:rPr>
      </w:pPr>
      <w:r w:rsidRPr="009E01B8">
        <w:rPr>
          <w:b/>
          <w:sz w:val="24"/>
          <w:szCs w:val="24"/>
        </w:rPr>
        <w:t>Groupe de travail des transports de marchandises dangereuses</w:t>
      </w:r>
    </w:p>
    <w:p w14:paraId="553D4BA9" w14:textId="5215A24B" w:rsidR="001922D1" w:rsidRPr="00926E87" w:rsidRDefault="001922D1" w:rsidP="00AF0CB5">
      <w:pPr>
        <w:spacing w:before="120"/>
        <w:rPr>
          <w:b/>
        </w:rPr>
      </w:pPr>
      <w:r w:rsidRPr="00926E87">
        <w:rPr>
          <w:b/>
        </w:rPr>
        <w:t>Réunion commune de la Commission d’experts du RID</w:t>
      </w:r>
      <w:r>
        <w:rPr>
          <w:b/>
        </w:rPr>
        <w:t xml:space="preserve"> </w:t>
      </w:r>
      <w:r w:rsidRPr="00926E87">
        <w:rPr>
          <w:b/>
        </w:rPr>
        <w:t>et</w:t>
      </w:r>
      <w:r>
        <w:rPr>
          <w:b/>
        </w:rPr>
        <w:t xml:space="preserve"> </w:t>
      </w:r>
      <w:r>
        <w:rPr>
          <w:b/>
        </w:rPr>
        <w:br/>
      </w:r>
      <w:r w:rsidRPr="00926E87">
        <w:rPr>
          <w:b/>
        </w:rPr>
        <w:t>du Groupe de travail</w:t>
      </w:r>
      <w:r>
        <w:rPr>
          <w:b/>
        </w:rPr>
        <w:t xml:space="preserve"> </w:t>
      </w:r>
      <w:r w:rsidRPr="00926E87">
        <w:rPr>
          <w:b/>
        </w:rPr>
        <w:t>des transports de marchandises dangereuses</w:t>
      </w:r>
    </w:p>
    <w:p w14:paraId="224E4BF2" w14:textId="534BC292" w:rsidR="001922D1" w:rsidRPr="001A6773" w:rsidRDefault="001922D1" w:rsidP="001922D1">
      <w:pPr>
        <w:rPr>
          <w:lang w:val="fr-FR"/>
        </w:rPr>
      </w:pPr>
      <w:r w:rsidRPr="001A6773">
        <w:rPr>
          <w:lang w:val="fr-FR"/>
        </w:rPr>
        <w:t>Berne, 25-28</w:t>
      </w:r>
      <w:r>
        <w:rPr>
          <w:lang w:val="fr-FR"/>
        </w:rPr>
        <w:t> </w:t>
      </w:r>
      <w:r w:rsidRPr="001A6773">
        <w:rPr>
          <w:lang w:val="fr-FR"/>
        </w:rPr>
        <w:t>mars 2024</w:t>
      </w:r>
    </w:p>
    <w:p w14:paraId="30C45A22" w14:textId="5823535E" w:rsidR="001922D1" w:rsidRPr="001A6773" w:rsidRDefault="001922D1" w:rsidP="001922D1">
      <w:pPr>
        <w:rPr>
          <w:lang w:val="fr-FR"/>
        </w:rPr>
      </w:pPr>
      <w:r w:rsidRPr="001A6773">
        <w:rPr>
          <w:lang w:val="fr-FR"/>
        </w:rPr>
        <w:t>Point</w:t>
      </w:r>
      <w:r>
        <w:rPr>
          <w:lang w:val="fr-FR"/>
        </w:rPr>
        <w:t> </w:t>
      </w:r>
      <w:r w:rsidRPr="001A6773">
        <w:rPr>
          <w:lang w:val="fr-FR"/>
        </w:rPr>
        <w:t>5</w:t>
      </w:r>
      <w:r>
        <w:rPr>
          <w:lang w:val="fr-FR"/>
        </w:rPr>
        <w:t> </w:t>
      </w:r>
      <w:r w:rsidRPr="001A6773">
        <w:rPr>
          <w:lang w:val="fr-FR"/>
        </w:rPr>
        <w:t>b) de l</w:t>
      </w:r>
      <w:r>
        <w:rPr>
          <w:lang w:val="fr-FR"/>
        </w:rPr>
        <w:t>’</w:t>
      </w:r>
      <w:r w:rsidRPr="001A6773">
        <w:rPr>
          <w:lang w:val="fr-FR"/>
        </w:rPr>
        <w:t>ordre du jour provisoire</w:t>
      </w:r>
    </w:p>
    <w:p w14:paraId="7DDA633B" w14:textId="74E36138" w:rsidR="001922D1" w:rsidRPr="001A6773" w:rsidRDefault="001922D1" w:rsidP="001922D1">
      <w:pPr>
        <w:rPr>
          <w:b/>
          <w:lang w:val="fr-FR"/>
        </w:rPr>
      </w:pPr>
      <w:r w:rsidRPr="001A6773">
        <w:rPr>
          <w:b/>
          <w:bCs/>
          <w:lang w:val="fr-FR"/>
        </w:rPr>
        <w:t>Propositions d</w:t>
      </w:r>
      <w:r>
        <w:rPr>
          <w:b/>
          <w:bCs/>
          <w:lang w:val="fr-FR"/>
        </w:rPr>
        <w:t>’</w:t>
      </w:r>
      <w:r w:rsidRPr="001A6773">
        <w:rPr>
          <w:b/>
          <w:bCs/>
          <w:lang w:val="fr-FR"/>
        </w:rPr>
        <w:t>amendements au RID, à l</w:t>
      </w:r>
      <w:r>
        <w:rPr>
          <w:b/>
          <w:bCs/>
          <w:lang w:val="fr-FR"/>
        </w:rPr>
        <w:t>’</w:t>
      </w:r>
      <w:r w:rsidRPr="001A6773">
        <w:rPr>
          <w:b/>
          <w:bCs/>
          <w:lang w:val="fr-FR"/>
        </w:rPr>
        <w:t>ADR et à l</w:t>
      </w:r>
      <w:r>
        <w:rPr>
          <w:b/>
          <w:bCs/>
          <w:lang w:val="fr-FR"/>
        </w:rPr>
        <w:t>’</w:t>
      </w:r>
      <w:r w:rsidRPr="001A6773">
        <w:rPr>
          <w:b/>
          <w:bCs/>
          <w:lang w:val="fr-FR"/>
        </w:rPr>
        <w:t>ADN</w:t>
      </w:r>
      <w:r>
        <w:rPr>
          <w:b/>
          <w:bCs/>
          <w:lang w:val="fr-FR"/>
        </w:rPr>
        <w:t> </w:t>
      </w:r>
      <w:r w:rsidRPr="001A6773">
        <w:rPr>
          <w:b/>
          <w:bCs/>
          <w:lang w:val="fr-FR"/>
        </w:rPr>
        <w:t>:</w:t>
      </w:r>
      <w:r w:rsidRPr="001A6773">
        <w:rPr>
          <w:lang w:val="fr-FR"/>
        </w:rPr>
        <w:t xml:space="preserve"> </w:t>
      </w:r>
      <w:r>
        <w:rPr>
          <w:b/>
          <w:lang w:val="fr-FR"/>
        </w:rPr>
        <w:br/>
      </w:r>
      <w:r w:rsidRPr="001A6773">
        <w:rPr>
          <w:b/>
          <w:bCs/>
          <w:lang w:val="fr-FR"/>
        </w:rPr>
        <w:t>Nouvelles propositions</w:t>
      </w:r>
    </w:p>
    <w:p w14:paraId="3E1DDC6C" w14:textId="77777777" w:rsidR="001922D1" w:rsidRPr="001922D1" w:rsidRDefault="001922D1" w:rsidP="001922D1">
      <w:pPr>
        <w:pStyle w:val="HChG"/>
        <w:rPr>
          <w:rFonts w:ascii="Times New Roman Gras" w:eastAsia="Arial Unicode MS" w:hAnsi="Times New Roman Gras"/>
          <w:spacing w:val="-3"/>
          <w:lang w:val="fr-FR"/>
        </w:rPr>
      </w:pPr>
      <w:r w:rsidRPr="001922D1">
        <w:rPr>
          <w:rFonts w:ascii="Times New Roman Gras" w:hAnsi="Times New Roman Gras"/>
          <w:spacing w:val="-3"/>
          <w:lang w:val="fr-FR"/>
        </w:rPr>
        <w:tab/>
      </w:r>
      <w:r w:rsidRPr="001922D1">
        <w:rPr>
          <w:rFonts w:ascii="Times New Roman Gras" w:hAnsi="Times New Roman Gras"/>
          <w:spacing w:val="-3"/>
          <w:lang w:val="fr-FR"/>
        </w:rPr>
        <w:tab/>
      </w:r>
      <w:r w:rsidRPr="001922D1">
        <w:rPr>
          <w:rFonts w:ascii="Times New Roman Gras" w:hAnsi="Times New Roman Gras"/>
          <w:bCs/>
          <w:spacing w:val="-3"/>
          <w:lang w:val="fr-FR"/>
        </w:rPr>
        <w:t>Nouvelles mesures transitoires pour les citernes mobiles au 6.7</w:t>
      </w:r>
    </w:p>
    <w:p w14:paraId="1A9DFD2B" w14:textId="57B3B512" w:rsidR="001922D1" w:rsidRPr="001A6773" w:rsidRDefault="001922D1" w:rsidP="001922D1">
      <w:pPr>
        <w:pStyle w:val="H1G"/>
        <w:rPr>
          <w:lang w:val="fr-FR"/>
        </w:rPr>
      </w:pPr>
      <w:r w:rsidRPr="001A6773">
        <w:rPr>
          <w:lang w:val="fr-FR"/>
        </w:rPr>
        <w:tab/>
      </w:r>
      <w:r w:rsidRPr="001A6773">
        <w:rPr>
          <w:lang w:val="fr-FR"/>
        </w:rPr>
        <w:tab/>
      </w:r>
      <w:r w:rsidRPr="001A6773">
        <w:rPr>
          <w:lang w:val="fr-FR"/>
        </w:rPr>
        <w:tab/>
      </w:r>
      <w:r w:rsidRPr="001A6773">
        <w:rPr>
          <w:bCs/>
          <w:lang w:val="fr-FR"/>
        </w:rPr>
        <w:t>Communication du Gouvernement espagnol et de l</w:t>
      </w:r>
      <w:r>
        <w:rPr>
          <w:bCs/>
          <w:lang w:val="fr-FR"/>
        </w:rPr>
        <w:t>’</w:t>
      </w:r>
      <w:r w:rsidRPr="001A6773">
        <w:rPr>
          <w:bCs/>
          <w:lang w:val="fr-FR"/>
        </w:rPr>
        <w:t>Association européenne des gaz industriels (EIGA)</w:t>
      </w:r>
      <w:r w:rsidRPr="001922D1">
        <w:rPr>
          <w:rStyle w:val="Appelnotedebasdep"/>
          <w:b w:val="0"/>
          <w:bCs/>
          <w:sz w:val="20"/>
          <w:vertAlign w:val="baseline"/>
        </w:rPr>
        <w:footnoteReference w:customMarkFollows="1" w:id="2"/>
        <w:t>*</w:t>
      </w:r>
      <w:r w:rsidRPr="001922D1">
        <w:rPr>
          <w:b w:val="0"/>
          <w:bCs/>
          <w:sz w:val="20"/>
          <w:vertAlign w:val="superscript"/>
        </w:rPr>
        <w:t xml:space="preserve">, </w:t>
      </w:r>
      <w:r w:rsidRPr="001922D1">
        <w:rPr>
          <w:rStyle w:val="Appelnotedebasdep"/>
          <w:b w:val="0"/>
          <w:bCs/>
          <w:sz w:val="20"/>
          <w:vertAlign w:val="baseline"/>
        </w:rPr>
        <w:footnoteReference w:customMarkFollows="1" w:id="3"/>
        <w:t>**</w:t>
      </w:r>
    </w:p>
    <w:p w14:paraId="3A061D9C" w14:textId="77777777" w:rsidR="001922D1" w:rsidRPr="001A6773" w:rsidRDefault="001922D1" w:rsidP="001922D1">
      <w:pPr>
        <w:pStyle w:val="HChG"/>
        <w:ind w:left="1215" w:hanging="855"/>
        <w:rPr>
          <w:lang w:val="fr-FR"/>
        </w:rPr>
      </w:pPr>
      <w:r w:rsidRPr="001A6773">
        <w:rPr>
          <w:bCs/>
          <w:lang w:val="fr-FR"/>
        </w:rPr>
        <w:tab/>
        <w:t>I.</w:t>
      </w:r>
      <w:r w:rsidRPr="001A6773">
        <w:rPr>
          <w:lang w:val="fr-FR"/>
        </w:rPr>
        <w:tab/>
      </w:r>
      <w:r w:rsidRPr="001A6773">
        <w:rPr>
          <w:bCs/>
          <w:lang w:val="fr-FR"/>
        </w:rPr>
        <w:t>Introduction</w:t>
      </w:r>
    </w:p>
    <w:p w14:paraId="17AAABFC" w14:textId="77777777" w:rsidR="001922D1" w:rsidRPr="001A6773" w:rsidRDefault="001922D1" w:rsidP="001922D1">
      <w:pPr>
        <w:pStyle w:val="SingleTxtG"/>
        <w:rPr>
          <w:lang w:val="fr-FR"/>
        </w:rPr>
      </w:pPr>
      <w:r w:rsidRPr="001A6773">
        <w:rPr>
          <w:lang w:val="fr-FR"/>
        </w:rPr>
        <w:t>1.</w:t>
      </w:r>
      <w:r w:rsidRPr="001A6773">
        <w:rPr>
          <w:lang w:val="fr-FR"/>
        </w:rPr>
        <w:tab/>
        <w:t>Dans le document ECE/TRANS/WP.15/AC.1/2023/23/Add.1, soumis à la Réunion commune de septembre 2023, le Groupe de travail spécial de l</w:t>
      </w:r>
      <w:r>
        <w:rPr>
          <w:lang w:val="fr-FR"/>
        </w:rPr>
        <w:t>’</w:t>
      </w:r>
      <w:r w:rsidRPr="001A6773">
        <w:rPr>
          <w:lang w:val="fr-FR"/>
        </w:rPr>
        <w:t>harmonisation des Règlements RID/ADR/ADN avec les Recommandations de l</w:t>
      </w:r>
      <w:r>
        <w:rPr>
          <w:lang w:val="fr-FR"/>
        </w:rPr>
        <w:t>’</w:t>
      </w:r>
      <w:r w:rsidRPr="001A6773">
        <w:rPr>
          <w:lang w:val="fr-FR"/>
        </w:rPr>
        <w:t>ONU relatives au transport des marchandises dangereuses a proposé d</w:t>
      </w:r>
      <w:r>
        <w:rPr>
          <w:lang w:val="fr-FR"/>
        </w:rPr>
        <w:t>’</w:t>
      </w:r>
      <w:r w:rsidRPr="001A6773">
        <w:rPr>
          <w:lang w:val="fr-FR"/>
        </w:rPr>
        <w:t>apporter des modifications au RID</w:t>
      </w:r>
      <w:r>
        <w:rPr>
          <w:lang w:val="fr-FR"/>
        </w:rPr>
        <w:t>,</w:t>
      </w:r>
      <w:r w:rsidRPr="001A6773">
        <w:rPr>
          <w:lang w:val="fr-FR"/>
        </w:rPr>
        <w:t xml:space="preserve"> à l</w:t>
      </w:r>
      <w:r>
        <w:rPr>
          <w:lang w:val="fr-FR"/>
        </w:rPr>
        <w:t>’</w:t>
      </w:r>
      <w:r w:rsidRPr="001A6773">
        <w:rPr>
          <w:lang w:val="fr-FR"/>
        </w:rPr>
        <w:t xml:space="preserve">ADR </w:t>
      </w:r>
      <w:r>
        <w:rPr>
          <w:lang w:val="fr-FR"/>
        </w:rPr>
        <w:t xml:space="preserve">et à l’ADN </w:t>
      </w:r>
      <w:r w:rsidRPr="001A6773">
        <w:rPr>
          <w:lang w:val="fr-FR"/>
        </w:rPr>
        <w:t>relatives à l</w:t>
      </w:r>
      <w:r>
        <w:rPr>
          <w:lang w:val="fr-FR"/>
        </w:rPr>
        <w:t>’</w:t>
      </w:r>
      <w:r w:rsidRPr="001A6773">
        <w:rPr>
          <w:lang w:val="fr-FR"/>
        </w:rPr>
        <w:t>utilisation des termes « degré de remplissage » et « taux de remplissage ».</w:t>
      </w:r>
    </w:p>
    <w:p w14:paraId="0994B2E0" w14:textId="77777777" w:rsidR="001922D1" w:rsidRPr="001A6773" w:rsidRDefault="001922D1" w:rsidP="001922D1">
      <w:pPr>
        <w:pStyle w:val="SingleTxtG"/>
        <w:rPr>
          <w:lang w:val="fr-FR"/>
        </w:rPr>
      </w:pPr>
      <w:r w:rsidRPr="001A6773">
        <w:rPr>
          <w:lang w:val="fr-FR"/>
        </w:rPr>
        <w:t>2.</w:t>
      </w:r>
      <w:r w:rsidRPr="001A6773">
        <w:rPr>
          <w:lang w:val="fr-FR"/>
        </w:rPr>
        <w:tab/>
        <w:t>Bien que l</w:t>
      </w:r>
      <w:r>
        <w:rPr>
          <w:lang w:val="fr-FR"/>
        </w:rPr>
        <w:t>’</w:t>
      </w:r>
      <w:r w:rsidRPr="001A6773">
        <w:rPr>
          <w:lang w:val="fr-FR"/>
        </w:rPr>
        <w:t>Association européenne des gaz industriels (EIGA) ait approuvé les modifications proposées, les mesures transitoires requises n</w:t>
      </w:r>
      <w:r>
        <w:rPr>
          <w:lang w:val="fr-FR"/>
        </w:rPr>
        <w:t>’</w:t>
      </w:r>
      <w:r w:rsidRPr="001A6773">
        <w:rPr>
          <w:lang w:val="fr-FR"/>
        </w:rPr>
        <w:t>ont pas encore été adoptées.</w:t>
      </w:r>
    </w:p>
    <w:p w14:paraId="703D5B34" w14:textId="7CE0DB97" w:rsidR="001922D1" w:rsidRDefault="001922D1" w:rsidP="001922D1">
      <w:pPr>
        <w:pStyle w:val="SingleTxtG"/>
        <w:rPr>
          <w:lang w:val="fr-FR"/>
        </w:rPr>
      </w:pPr>
      <w:r w:rsidRPr="001A6773">
        <w:rPr>
          <w:lang w:val="fr-FR"/>
        </w:rPr>
        <w:t>3.</w:t>
      </w:r>
      <w:r w:rsidRPr="001A6773">
        <w:rPr>
          <w:lang w:val="fr-FR"/>
        </w:rPr>
        <w:tab/>
        <w:t>Les amendements au 6.7.4.15.1</w:t>
      </w:r>
      <w:r>
        <w:rPr>
          <w:lang w:val="fr-FR"/>
        </w:rPr>
        <w:t> </w:t>
      </w:r>
      <w:r w:rsidRPr="001A6773">
        <w:rPr>
          <w:lang w:val="fr-FR"/>
        </w:rPr>
        <w:t>i)</w:t>
      </w:r>
      <w:r>
        <w:rPr>
          <w:lang w:val="fr-FR"/>
        </w:rPr>
        <w:t> </w:t>
      </w:r>
      <w:r w:rsidRPr="001A6773">
        <w:rPr>
          <w:lang w:val="fr-FR"/>
        </w:rPr>
        <w:t>iv) nécessiteraient d</w:t>
      </w:r>
      <w:r>
        <w:rPr>
          <w:lang w:val="fr-FR"/>
        </w:rPr>
        <w:t>’</w:t>
      </w:r>
      <w:r w:rsidRPr="001A6773">
        <w:rPr>
          <w:lang w:val="fr-FR"/>
        </w:rPr>
        <w:t xml:space="preserve">apporter une modification sur les plaques des citernes mobiles existantes, à savoir de remplacer « Taux de remplissage » </w:t>
      </w:r>
      <w:r>
        <w:rPr>
          <w:lang w:val="fr-FR"/>
        </w:rPr>
        <w:t xml:space="preserve">(« Degree of filling » dans les dispositions anglaises actuelles) </w:t>
      </w:r>
      <w:r w:rsidRPr="001A6773">
        <w:rPr>
          <w:lang w:val="fr-FR"/>
        </w:rPr>
        <w:t>par «</w:t>
      </w:r>
      <w:r>
        <w:rPr>
          <w:lang w:val="fr-FR"/>
        </w:rPr>
        <w:t> </w:t>
      </w:r>
      <w:r w:rsidRPr="001A6773">
        <w:rPr>
          <w:lang w:val="fr-FR"/>
        </w:rPr>
        <w:t>Masse maximale admissible de gaz rempli</w:t>
      </w:r>
      <w:r>
        <w:rPr>
          <w:lang w:val="fr-FR"/>
        </w:rPr>
        <w:t> </w:t>
      </w:r>
      <w:r w:rsidRPr="001A6773">
        <w:rPr>
          <w:lang w:val="fr-FR"/>
        </w:rPr>
        <w:t>»</w:t>
      </w:r>
      <w:r>
        <w:rPr>
          <w:lang w:val="fr-FR"/>
        </w:rPr>
        <w:t xml:space="preserve"> </w:t>
      </w:r>
      <w:r w:rsidRPr="001A6773">
        <w:rPr>
          <w:lang w:val="fr-FR"/>
        </w:rPr>
        <w:t>(voir l</w:t>
      </w:r>
      <w:r>
        <w:rPr>
          <w:lang w:val="fr-FR"/>
        </w:rPr>
        <w:t>’</w:t>
      </w:r>
      <w:r w:rsidRPr="001A6773">
        <w:rPr>
          <w:lang w:val="fr-FR"/>
        </w:rPr>
        <w:t>illustration ci-dessous).</w:t>
      </w:r>
    </w:p>
    <w:p w14:paraId="06A318BD" w14:textId="4D6F9600" w:rsidR="001922D1" w:rsidRPr="001A6773" w:rsidRDefault="001922D1" w:rsidP="001922D1">
      <w:pPr>
        <w:pStyle w:val="SingleTxtG"/>
        <w:ind w:left="1494"/>
        <w:rPr>
          <w:lang w:val="fr-FR"/>
        </w:rPr>
      </w:pPr>
      <w:r w:rsidRPr="001A6773">
        <w:rPr>
          <w:noProof/>
          <w:lang w:val="fr-FR"/>
        </w:rPr>
        <w:lastRenderedPageBreak/>
        <mc:AlternateContent>
          <mc:Choice Requires="wps">
            <w:drawing>
              <wp:anchor distT="0" distB="0" distL="114300" distR="114300" simplePos="0" relativeHeight="251659264" behindDoc="0" locked="0" layoutInCell="1" allowOverlap="1" wp14:anchorId="7892EF1E" wp14:editId="66F51266">
                <wp:simplePos x="0" y="0"/>
                <wp:positionH relativeFrom="column">
                  <wp:posOffset>3785921</wp:posOffset>
                </wp:positionH>
                <wp:positionV relativeFrom="paragraph">
                  <wp:posOffset>241427</wp:posOffset>
                </wp:positionV>
                <wp:extent cx="800100" cy="952500"/>
                <wp:effectExtent l="0" t="0" r="19050" b="19050"/>
                <wp:wrapNone/>
                <wp:docPr id="4" name="Ellipse 4"/>
                <wp:cNvGraphicFramePr/>
                <a:graphic xmlns:a="http://schemas.openxmlformats.org/drawingml/2006/main">
                  <a:graphicData uri="http://schemas.microsoft.com/office/word/2010/wordprocessingShape">
                    <wps:wsp>
                      <wps:cNvSpPr/>
                      <wps:spPr>
                        <a:xfrm>
                          <a:off x="0" y="0"/>
                          <a:ext cx="800100" cy="952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B8BA36" id="Ellipse 4" o:spid="_x0000_s1026" style="position:absolute;margin-left:298.1pt;margin-top:19pt;width:63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" filled="f" strokecolor="red" strokeweight="2pt"/>
            </w:pict>
          </mc:Fallback>
        </mc:AlternateContent>
      </w:r>
      <w:r w:rsidRPr="001A6773">
        <w:rPr>
          <w:noProof/>
          <w:lang w:val="fr-FR"/>
        </w:rPr>
        <w:drawing>
          <wp:inline distT="0" distB="0" distL="0" distR="0" wp14:anchorId="7EA691BE" wp14:editId="57322327">
            <wp:extent cx="3599815" cy="2152650"/>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19166"/>
                    <a:stretch/>
                  </pic:blipFill>
                  <pic:spPr bwMode="auto">
                    <a:xfrm>
                      <a:off x="0" y="0"/>
                      <a:ext cx="3600000" cy="2152761"/>
                    </a:xfrm>
                    <a:prstGeom prst="rect">
                      <a:avLst/>
                    </a:prstGeom>
                    <a:ln>
                      <a:noFill/>
                    </a:ln>
                    <a:extLst>
                      <a:ext uri="{53640926-AAD7-44D8-BBD7-CCE9431645EC}">
                        <a14:shadowObscured xmlns:a14="http://schemas.microsoft.com/office/drawing/2010/main"/>
                      </a:ext>
                    </a:extLst>
                  </pic:spPr>
                </pic:pic>
              </a:graphicData>
            </a:graphic>
          </wp:inline>
        </w:drawing>
      </w:r>
    </w:p>
    <w:p w14:paraId="39F8BF7C" w14:textId="77777777" w:rsidR="001922D1" w:rsidRPr="001A6773" w:rsidRDefault="001922D1" w:rsidP="001922D1">
      <w:pPr>
        <w:pStyle w:val="SingleTxtG"/>
        <w:spacing w:before="120"/>
        <w:rPr>
          <w:lang w:val="fr-FR"/>
        </w:rPr>
      </w:pPr>
      <w:r w:rsidRPr="001A6773">
        <w:rPr>
          <w:lang w:val="fr-FR"/>
        </w:rPr>
        <w:t>4.</w:t>
      </w:r>
      <w:r w:rsidRPr="001A6773">
        <w:rPr>
          <w:lang w:val="fr-FR"/>
        </w:rPr>
        <w:tab/>
        <w:t>Dans la plupart des cas, il n</w:t>
      </w:r>
      <w:r>
        <w:rPr>
          <w:lang w:val="fr-FR"/>
        </w:rPr>
        <w:t>’</w:t>
      </w:r>
      <w:r w:rsidRPr="001A6773">
        <w:rPr>
          <w:lang w:val="fr-FR"/>
        </w:rPr>
        <w:t>y a pas assez d</w:t>
      </w:r>
      <w:r>
        <w:rPr>
          <w:lang w:val="fr-FR"/>
        </w:rPr>
        <w:t>’</w:t>
      </w:r>
      <w:r w:rsidRPr="001A6773">
        <w:rPr>
          <w:lang w:val="fr-FR"/>
        </w:rPr>
        <w:t>espace sur les plaques de citernes actuelles et une nouvelle plaque devrait être appliquée en coopération avec un organisme notifié.</w:t>
      </w:r>
    </w:p>
    <w:p w14:paraId="16D6D410" w14:textId="77777777" w:rsidR="001922D1" w:rsidRPr="001A6773" w:rsidRDefault="001922D1" w:rsidP="001922D1">
      <w:pPr>
        <w:pStyle w:val="SingleTxtG"/>
        <w:rPr>
          <w:lang w:val="fr-FR"/>
        </w:rPr>
      </w:pPr>
      <w:r w:rsidRPr="001A6773">
        <w:rPr>
          <w:lang w:val="fr-FR"/>
        </w:rPr>
        <w:t>5.</w:t>
      </w:r>
      <w:r w:rsidRPr="001A6773">
        <w:rPr>
          <w:lang w:val="fr-FR"/>
        </w:rPr>
        <w:tab/>
        <w:t>Pour certaines citernes mobiles déjà utilisées, le fabricant du modèle concerné n</w:t>
      </w:r>
      <w:r>
        <w:rPr>
          <w:lang w:val="fr-FR"/>
        </w:rPr>
        <w:t>’</w:t>
      </w:r>
      <w:r w:rsidRPr="001A6773">
        <w:rPr>
          <w:lang w:val="fr-FR"/>
        </w:rPr>
        <w:t>existe plus, ce qui rend difficile la création d</w:t>
      </w:r>
      <w:r>
        <w:rPr>
          <w:lang w:val="fr-FR"/>
        </w:rPr>
        <w:t>’</w:t>
      </w:r>
      <w:r w:rsidRPr="001A6773">
        <w:rPr>
          <w:lang w:val="fr-FR"/>
        </w:rPr>
        <w:t>une nouvelle plaque.</w:t>
      </w:r>
    </w:p>
    <w:p w14:paraId="4A921F63" w14:textId="68780412" w:rsidR="001922D1" w:rsidRPr="001A6773" w:rsidRDefault="001922D1" w:rsidP="001922D1">
      <w:pPr>
        <w:pStyle w:val="SingleTxtG"/>
        <w:rPr>
          <w:lang w:val="fr-FR"/>
        </w:rPr>
      </w:pPr>
      <w:r w:rsidRPr="001A6773">
        <w:rPr>
          <w:lang w:val="fr-FR"/>
        </w:rPr>
        <w:t>6.</w:t>
      </w:r>
      <w:r w:rsidRPr="001A6773">
        <w:rPr>
          <w:lang w:val="fr-FR"/>
        </w:rPr>
        <w:tab/>
        <w:t>Même s</w:t>
      </w:r>
      <w:r>
        <w:rPr>
          <w:lang w:val="fr-FR"/>
        </w:rPr>
        <w:t>’</w:t>
      </w:r>
      <w:r w:rsidRPr="001A6773">
        <w:rPr>
          <w:lang w:val="fr-FR"/>
        </w:rPr>
        <w:t>il y a suffisamment d</w:t>
      </w:r>
      <w:r>
        <w:rPr>
          <w:lang w:val="fr-FR"/>
        </w:rPr>
        <w:t>’</w:t>
      </w:r>
      <w:r w:rsidRPr="001A6773">
        <w:rPr>
          <w:lang w:val="fr-FR"/>
        </w:rPr>
        <w:t>espace sur les plaques de citerne existantes, il ne sera pas possible d</w:t>
      </w:r>
      <w:r>
        <w:rPr>
          <w:lang w:val="fr-FR"/>
        </w:rPr>
        <w:t>’</w:t>
      </w:r>
      <w:r w:rsidRPr="001A6773">
        <w:rPr>
          <w:lang w:val="fr-FR"/>
        </w:rPr>
        <w:t>apporter ces modifications sur toutes les citernes mobiles en usage avant le 1</w:t>
      </w:r>
      <w:r w:rsidRPr="001A6773">
        <w:rPr>
          <w:vertAlign w:val="superscript"/>
          <w:lang w:val="fr-FR"/>
        </w:rPr>
        <w:t>er</w:t>
      </w:r>
      <w:r>
        <w:rPr>
          <w:lang w:val="fr-FR"/>
        </w:rPr>
        <w:t> </w:t>
      </w:r>
      <w:r w:rsidRPr="001A6773">
        <w:rPr>
          <w:lang w:val="fr-FR"/>
        </w:rPr>
        <w:t>juillet 2025. Les citernes mobiles sont utilisées partout dans le monde et ne pourront être amenées sur un site où il serait possible de modifier les plaques que lors du prochain contrôle périodique ou intermédiaire</w:t>
      </w:r>
      <w:r w:rsidRPr="001A6773">
        <w:rPr>
          <w:i/>
          <w:iCs/>
          <w:lang w:val="fr-FR"/>
        </w:rPr>
        <w:t xml:space="preserve"> </w:t>
      </w:r>
      <w:r w:rsidRPr="001A6773">
        <w:rPr>
          <w:lang w:val="fr-FR"/>
        </w:rPr>
        <w:t>de</w:t>
      </w:r>
      <w:r>
        <w:rPr>
          <w:lang w:val="fr-FR"/>
        </w:rPr>
        <w:t>s</w:t>
      </w:r>
      <w:r w:rsidRPr="001A6773">
        <w:rPr>
          <w:lang w:val="fr-FR"/>
        </w:rPr>
        <w:t xml:space="preserve"> citerne</w:t>
      </w:r>
      <w:r>
        <w:rPr>
          <w:lang w:val="fr-FR"/>
        </w:rPr>
        <w:t>s concernées</w:t>
      </w:r>
      <w:r w:rsidRPr="001A6773">
        <w:rPr>
          <w:lang w:val="fr-FR"/>
        </w:rPr>
        <w:t>.</w:t>
      </w:r>
    </w:p>
    <w:p w14:paraId="62CAEDEF" w14:textId="5D9B452F" w:rsidR="001922D1" w:rsidRPr="001A6773" w:rsidRDefault="001922D1" w:rsidP="001922D1">
      <w:pPr>
        <w:pStyle w:val="SingleTxtG"/>
        <w:rPr>
          <w:lang w:val="fr-FR"/>
        </w:rPr>
      </w:pPr>
      <w:r w:rsidRPr="001A6773">
        <w:rPr>
          <w:lang w:val="fr-FR"/>
        </w:rPr>
        <w:t>7.</w:t>
      </w:r>
      <w:r w:rsidRPr="001A6773">
        <w:rPr>
          <w:lang w:val="fr-FR"/>
        </w:rPr>
        <w:tab/>
        <w:t>À sa soixante-troisième session, qui s</w:t>
      </w:r>
      <w:r>
        <w:rPr>
          <w:lang w:val="fr-FR"/>
        </w:rPr>
        <w:t>’</w:t>
      </w:r>
      <w:r w:rsidRPr="001A6773">
        <w:rPr>
          <w:lang w:val="fr-FR"/>
        </w:rPr>
        <w:t>est tenue récemment, le Sous-Comité d</w:t>
      </w:r>
      <w:r>
        <w:rPr>
          <w:lang w:val="fr-FR"/>
        </w:rPr>
        <w:t>’</w:t>
      </w:r>
      <w:r w:rsidRPr="001A6773">
        <w:rPr>
          <w:lang w:val="fr-FR"/>
        </w:rPr>
        <w:t>experts du transport des marchandises dangereuses a adopté une mesure transitoire à ce sujet, présentée dans le document informel INF.54 (soixante-troisième session). La proposition ci</w:t>
      </w:r>
      <w:r>
        <w:rPr>
          <w:lang w:val="fr-FR"/>
        </w:rPr>
        <w:noBreakHyphen/>
      </w:r>
      <w:r w:rsidRPr="001A6773">
        <w:rPr>
          <w:lang w:val="fr-FR"/>
        </w:rPr>
        <w:t>dessous vise à résoudre ce problème et à harmoniser le RID</w:t>
      </w:r>
      <w:r>
        <w:rPr>
          <w:lang w:val="fr-FR"/>
        </w:rPr>
        <w:t>,</w:t>
      </w:r>
      <w:r w:rsidRPr="001A6773">
        <w:rPr>
          <w:lang w:val="fr-FR"/>
        </w:rPr>
        <w:t xml:space="preserve"> l</w:t>
      </w:r>
      <w:r>
        <w:rPr>
          <w:lang w:val="fr-FR"/>
        </w:rPr>
        <w:t>’</w:t>
      </w:r>
      <w:r w:rsidRPr="001A6773">
        <w:rPr>
          <w:lang w:val="fr-FR"/>
        </w:rPr>
        <w:t xml:space="preserve">ADR </w:t>
      </w:r>
      <w:r>
        <w:rPr>
          <w:lang w:val="fr-FR"/>
        </w:rPr>
        <w:t xml:space="preserve">et l’ADN </w:t>
      </w:r>
      <w:r w:rsidRPr="001A6773">
        <w:rPr>
          <w:lang w:val="fr-FR"/>
        </w:rPr>
        <w:t>avec le texte adopté.</w:t>
      </w:r>
    </w:p>
    <w:p w14:paraId="1E16C2EB" w14:textId="77777777" w:rsidR="001922D1" w:rsidRPr="001A6773" w:rsidRDefault="001922D1" w:rsidP="001922D1">
      <w:pPr>
        <w:pStyle w:val="HChG"/>
        <w:rPr>
          <w:lang w:val="fr-FR"/>
        </w:rPr>
      </w:pPr>
      <w:r w:rsidRPr="001A6773">
        <w:rPr>
          <w:lang w:val="fr-FR"/>
        </w:rPr>
        <w:tab/>
        <w:t>II.</w:t>
      </w:r>
      <w:r w:rsidRPr="001A6773">
        <w:rPr>
          <w:lang w:val="fr-FR"/>
        </w:rPr>
        <w:tab/>
      </w:r>
      <w:r w:rsidRPr="001922D1">
        <w:t>Proposition</w:t>
      </w:r>
    </w:p>
    <w:p w14:paraId="6A4063B8" w14:textId="59FE3AB3" w:rsidR="001922D1" w:rsidRPr="001A6773" w:rsidRDefault="001922D1" w:rsidP="001922D1">
      <w:pPr>
        <w:pStyle w:val="SingleTxtG"/>
        <w:rPr>
          <w:lang w:val="fr-FR"/>
        </w:rPr>
      </w:pPr>
      <w:r w:rsidRPr="001A6773">
        <w:rPr>
          <w:lang w:val="fr-FR"/>
        </w:rPr>
        <w:t>8.</w:t>
      </w:r>
      <w:r w:rsidRPr="001A6773">
        <w:rPr>
          <w:lang w:val="fr-FR"/>
        </w:rPr>
        <w:tab/>
        <w:t>Au 1.6.4, ajouter une nouvelle mesure transitoire libellée comme suit</w:t>
      </w:r>
      <w:r>
        <w:rPr>
          <w:lang w:val="fr-FR"/>
        </w:rPr>
        <w:t xml:space="preserve"> </w:t>
      </w:r>
      <w:r w:rsidRPr="001A6773">
        <w:rPr>
          <w:lang w:val="fr-FR"/>
        </w:rPr>
        <w:t>(en caractères soulignés)</w:t>
      </w:r>
      <w:r>
        <w:rPr>
          <w:lang w:val="fr-FR"/>
        </w:rPr>
        <w:t> </w:t>
      </w:r>
      <w:r w:rsidRPr="001A6773">
        <w:rPr>
          <w:lang w:val="fr-FR"/>
        </w:rPr>
        <w:t>:</w:t>
      </w:r>
    </w:p>
    <w:p w14:paraId="433E8C72" w14:textId="0866EF87" w:rsidR="001922D1" w:rsidRPr="001A6773" w:rsidRDefault="001922D1" w:rsidP="001922D1">
      <w:pPr>
        <w:pStyle w:val="Paragraphedeliste"/>
        <w:ind w:left="2268" w:right="1134" w:hanging="1134"/>
        <w:jc w:val="both"/>
        <w:rPr>
          <w:rFonts w:ascii="Times New Roman" w:hAnsi="Times New Roman" w:cs="Times New Roman"/>
          <w:bCs/>
          <w:iCs/>
          <w:sz w:val="20"/>
          <w:szCs w:val="20"/>
          <w:lang w:val="fr-FR"/>
        </w:rPr>
      </w:pPr>
      <w:r w:rsidRPr="001A6773">
        <w:rPr>
          <w:rFonts w:ascii="Times New Roman" w:hAnsi="Times New Roman" w:cs="Times New Roman"/>
          <w:sz w:val="20"/>
          <w:szCs w:val="20"/>
          <w:lang w:val="fr-FR"/>
        </w:rPr>
        <w:t>«</w:t>
      </w:r>
      <w:r>
        <w:rPr>
          <w:rFonts w:ascii="Times New Roman" w:hAnsi="Times New Roman" w:cs="Times New Roman"/>
          <w:sz w:val="20"/>
          <w:szCs w:val="20"/>
          <w:lang w:val="fr-FR"/>
        </w:rPr>
        <w:t> </w:t>
      </w:r>
      <w:r w:rsidRPr="001A6773">
        <w:rPr>
          <w:rFonts w:ascii="Times New Roman" w:hAnsi="Times New Roman" w:cs="Times New Roman"/>
          <w:sz w:val="20"/>
          <w:szCs w:val="20"/>
          <w:lang w:val="fr-FR"/>
        </w:rPr>
        <w:t>1.6.4.XX</w:t>
      </w:r>
      <w:r w:rsidRPr="001A6773">
        <w:rPr>
          <w:rFonts w:ascii="Times New Roman" w:hAnsi="Times New Roman" w:cs="Times New Roman"/>
          <w:sz w:val="20"/>
          <w:szCs w:val="20"/>
          <w:lang w:val="fr-FR"/>
        </w:rPr>
        <w:tab/>
      </w:r>
      <w:r w:rsidRPr="001A6773">
        <w:rPr>
          <w:rFonts w:ascii="Times New Roman" w:hAnsi="Times New Roman" w:cs="Times New Roman"/>
          <w:sz w:val="20"/>
          <w:szCs w:val="20"/>
          <w:lang w:val="fr-FR"/>
        </w:rPr>
        <w:tab/>
      </w:r>
      <w:r w:rsidRPr="001A6773">
        <w:rPr>
          <w:rFonts w:ascii="Times New Roman" w:hAnsi="Times New Roman" w:cs="Times New Roman"/>
          <w:sz w:val="20"/>
          <w:szCs w:val="20"/>
          <w:u w:val="single"/>
          <w:lang w:val="fr-FR"/>
        </w:rPr>
        <w:t>Les citernes mobiles qui ont été construites avant le 1</w:t>
      </w:r>
      <w:r w:rsidRPr="001A6773">
        <w:rPr>
          <w:rFonts w:ascii="Times New Roman" w:hAnsi="Times New Roman" w:cs="Times New Roman"/>
          <w:sz w:val="20"/>
          <w:szCs w:val="20"/>
          <w:u w:val="single"/>
          <w:vertAlign w:val="superscript"/>
          <w:lang w:val="fr-FR"/>
        </w:rPr>
        <w:t>er</w:t>
      </w:r>
      <w:r>
        <w:rPr>
          <w:rFonts w:ascii="Times New Roman" w:hAnsi="Times New Roman" w:cs="Times New Roman"/>
          <w:sz w:val="20"/>
          <w:szCs w:val="20"/>
          <w:u w:val="single"/>
          <w:lang w:val="fr-FR"/>
        </w:rPr>
        <w:t> </w:t>
      </w:r>
      <w:r>
        <w:rPr>
          <w:rFonts w:ascii="Times New Roman" w:hAnsi="Times New Roman" w:cs="Times New Roman"/>
          <w:sz w:val="20"/>
          <w:szCs w:val="20"/>
          <w:u w:val="single"/>
          <w:lang w:val="fr-FR"/>
        </w:rPr>
        <w:t>janvier</w:t>
      </w:r>
      <w:r w:rsidRPr="001A6773">
        <w:rPr>
          <w:rFonts w:ascii="Times New Roman" w:hAnsi="Times New Roman" w:cs="Times New Roman"/>
          <w:sz w:val="20"/>
          <w:szCs w:val="20"/>
          <w:u w:val="single"/>
          <w:lang w:val="fr-FR"/>
        </w:rPr>
        <w:t xml:space="preserve"> 2027 selon les prescriptions applicables jusqu</w:t>
      </w:r>
      <w:r>
        <w:rPr>
          <w:rFonts w:ascii="Times New Roman" w:hAnsi="Times New Roman" w:cs="Times New Roman"/>
          <w:sz w:val="20"/>
          <w:szCs w:val="20"/>
          <w:u w:val="single"/>
          <w:lang w:val="fr-FR"/>
        </w:rPr>
        <w:t>’</w:t>
      </w:r>
      <w:r w:rsidRPr="001A6773">
        <w:rPr>
          <w:rFonts w:ascii="Times New Roman" w:hAnsi="Times New Roman" w:cs="Times New Roman"/>
          <w:sz w:val="20"/>
          <w:szCs w:val="20"/>
          <w:u w:val="single"/>
          <w:lang w:val="fr-FR"/>
        </w:rPr>
        <w:t>au 31</w:t>
      </w:r>
      <w:r>
        <w:rPr>
          <w:rFonts w:ascii="Times New Roman" w:hAnsi="Times New Roman" w:cs="Times New Roman"/>
          <w:sz w:val="20"/>
          <w:szCs w:val="20"/>
          <w:u w:val="single"/>
          <w:lang w:val="fr-FR"/>
        </w:rPr>
        <w:t> </w:t>
      </w:r>
      <w:r w:rsidRPr="001A6773">
        <w:rPr>
          <w:rFonts w:ascii="Times New Roman" w:hAnsi="Times New Roman" w:cs="Times New Roman"/>
          <w:sz w:val="20"/>
          <w:szCs w:val="20"/>
          <w:u w:val="single"/>
          <w:lang w:val="fr-FR"/>
        </w:rPr>
        <w:t>décembre 2024, mais qui ne sont cependant pas conformes aux prescriptions du 6.7.4.15.1</w:t>
      </w:r>
      <w:r>
        <w:rPr>
          <w:rFonts w:ascii="Times New Roman" w:hAnsi="Times New Roman" w:cs="Times New Roman"/>
          <w:sz w:val="20"/>
          <w:szCs w:val="20"/>
          <w:u w:val="single"/>
          <w:lang w:val="fr-FR"/>
        </w:rPr>
        <w:t> </w:t>
      </w:r>
      <w:r w:rsidRPr="001A6773">
        <w:rPr>
          <w:rFonts w:ascii="Times New Roman" w:hAnsi="Times New Roman" w:cs="Times New Roman"/>
          <w:sz w:val="20"/>
          <w:szCs w:val="20"/>
          <w:u w:val="single"/>
          <w:lang w:val="fr-FR"/>
        </w:rPr>
        <w:t>i)</w:t>
      </w:r>
      <w:r>
        <w:rPr>
          <w:rFonts w:ascii="Times New Roman" w:hAnsi="Times New Roman" w:cs="Times New Roman"/>
          <w:sz w:val="20"/>
          <w:szCs w:val="20"/>
          <w:u w:val="single"/>
          <w:lang w:val="fr-FR"/>
        </w:rPr>
        <w:t> </w:t>
      </w:r>
      <w:r w:rsidRPr="001A6773">
        <w:rPr>
          <w:rFonts w:ascii="Times New Roman" w:hAnsi="Times New Roman" w:cs="Times New Roman"/>
          <w:sz w:val="20"/>
          <w:szCs w:val="20"/>
          <w:u w:val="single"/>
          <w:lang w:val="fr-FR"/>
        </w:rPr>
        <w:t>iv) applicables à partir du 1</w:t>
      </w:r>
      <w:r w:rsidRPr="001A6773">
        <w:rPr>
          <w:rFonts w:ascii="Times New Roman" w:hAnsi="Times New Roman" w:cs="Times New Roman"/>
          <w:sz w:val="20"/>
          <w:szCs w:val="20"/>
          <w:u w:val="single"/>
          <w:vertAlign w:val="superscript"/>
          <w:lang w:val="fr-FR"/>
        </w:rPr>
        <w:t>er</w:t>
      </w:r>
      <w:r>
        <w:rPr>
          <w:rFonts w:ascii="Times New Roman" w:hAnsi="Times New Roman" w:cs="Times New Roman"/>
          <w:sz w:val="20"/>
          <w:szCs w:val="20"/>
          <w:u w:val="single"/>
          <w:lang w:val="fr-FR"/>
        </w:rPr>
        <w:t> </w:t>
      </w:r>
      <w:r w:rsidRPr="001A6773">
        <w:rPr>
          <w:rFonts w:ascii="Times New Roman" w:hAnsi="Times New Roman" w:cs="Times New Roman"/>
          <w:sz w:val="20"/>
          <w:szCs w:val="20"/>
          <w:u w:val="single"/>
          <w:lang w:val="fr-FR"/>
        </w:rPr>
        <w:t xml:space="preserve">janvier </w:t>
      </w:r>
      <w:r>
        <w:rPr>
          <w:rFonts w:ascii="Times New Roman" w:hAnsi="Times New Roman" w:cs="Times New Roman"/>
          <w:sz w:val="20"/>
          <w:szCs w:val="20"/>
          <w:u w:val="single"/>
          <w:lang w:val="fr-FR"/>
        </w:rPr>
        <w:t>2025</w:t>
      </w:r>
      <w:r w:rsidRPr="001A6773">
        <w:rPr>
          <w:rFonts w:ascii="Times New Roman" w:hAnsi="Times New Roman" w:cs="Times New Roman"/>
          <w:sz w:val="20"/>
          <w:szCs w:val="20"/>
          <w:u w:val="single"/>
          <w:lang w:val="fr-FR"/>
        </w:rPr>
        <w:t>, pourront encore être utilisées. </w:t>
      </w:r>
      <w:r w:rsidRPr="001A6773">
        <w:rPr>
          <w:rFonts w:ascii="Times New Roman" w:hAnsi="Times New Roman" w:cs="Times New Roman"/>
          <w:sz w:val="20"/>
          <w:szCs w:val="20"/>
          <w:lang w:val="fr-FR"/>
        </w:rPr>
        <w:t>»</w:t>
      </w:r>
      <w:r>
        <w:rPr>
          <w:rFonts w:ascii="Times New Roman" w:hAnsi="Times New Roman" w:cs="Times New Roman"/>
          <w:sz w:val="20"/>
          <w:szCs w:val="20"/>
          <w:lang w:val="fr-FR"/>
        </w:rPr>
        <w:t>.</w:t>
      </w:r>
    </w:p>
    <w:p w14:paraId="519EBBE4" w14:textId="77777777" w:rsidR="001922D1" w:rsidRPr="001A6773" w:rsidRDefault="001922D1" w:rsidP="001922D1">
      <w:pPr>
        <w:pStyle w:val="HChG"/>
        <w:rPr>
          <w:lang w:val="fr-FR"/>
        </w:rPr>
      </w:pPr>
      <w:r w:rsidRPr="001A6773">
        <w:rPr>
          <w:lang w:val="fr-FR"/>
        </w:rPr>
        <w:tab/>
        <w:t>III.</w:t>
      </w:r>
      <w:r w:rsidRPr="001A6773">
        <w:rPr>
          <w:lang w:val="fr-FR"/>
        </w:rPr>
        <w:tab/>
      </w:r>
      <w:r w:rsidRPr="001922D1">
        <w:t>Justification</w:t>
      </w:r>
    </w:p>
    <w:p w14:paraId="519B08CC" w14:textId="77777777" w:rsidR="001922D1" w:rsidRPr="001A6773" w:rsidRDefault="001922D1" w:rsidP="001922D1">
      <w:pPr>
        <w:pStyle w:val="SingleTxtG"/>
        <w:rPr>
          <w:lang w:val="fr-FR"/>
        </w:rPr>
      </w:pPr>
      <w:r w:rsidRPr="001A6773">
        <w:rPr>
          <w:lang w:val="fr-FR"/>
        </w:rPr>
        <w:t>9.</w:t>
      </w:r>
      <w:r w:rsidRPr="001A6773">
        <w:rPr>
          <w:lang w:val="fr-FR"/>
        </w:rPr>
        <w:tab/>
        <w:t>Les modifications proposées concernant le « taux de remplissage » n</w:t>
      </w:r>
      <w:r>
        <w:rPr>
          <w:lang w:val="fr-FR"/>
        </w:rPr>
        <w:t>’</w:t>
      </w:r>
      <w:r w:rsidRPr="001A6773">
        <w:rPr>
          <w:lang w:val="fr-FR"/>
        </w:rPr>
        <w:t>ont aucune incidence sur la sécurité.</w:t>
      </w:r>
    </w:p>
    <w:p w14:paraId="73B4A82D" w14:textId="77777777" w:rsidR="001922D1" w:rsidRDefault="001922D1" w:rsidP="001922D1">
      <w:pPr>
        <w:pStyle w:val="SingleTxtG"/>
        <w:rPr>
          <w:lang w:val="fr-FR"/>
        </w:rPr>
      </w:pPr>
      <w:r w:rsidRPr="001A6773">
        <w:rPr>
          <w:lang w:val="fr-FR"/>
        </w:rPr>
        <w:t>10.</w:t>
      </w:r>
      <w:r w:rsidRPr="001A6773">
        <w:rPr>
          <w:lang w:val="fr-FR"/>
        </w:rPr>
        <w:tab/>
        <w:t>L</w:t>
      </w:r>
      <w:r>
        <w:rPr>
          <w:lang w:val="fr-FR"/>
        </w:rPr>
        <w:t>’</w:t>
      </w:r>
      <w:r w:rsidRPr="001A6773">
        <w:rPr>
          <w:lang w:val="fr-FR"/>
        </w:rPr>
        <w:t>obligation de modifier ou de remplacer les plaques de citerne existantes ferait porter un fardeau injustifié aux exploitants de ces citernes.</w:t>
      </w:r>
    </w:p>
    <w:p w14:paraId="5B219901" w14:textId="7A9CFD77" w:rsidR="00F9573C" w:rsidRDefault="001922D1" w:rsidP="001922D1">
      <w:pPr>
        <w:pStyle w:val="SingleTxtG"/>
        <w:rPr>
          <w:lang w:val="fr-FR"/>
        </w:rPr>
      </w:pPr>
      <w:r w:rsidRPr="001A6773">
        <w:rPr>
          <w:lang w:val="fr-FR"/>
        </w:rPr>
        <w:t>11.</w:t>
      </w:r>
      <w:r w:rsidRPr="001A6773">
        <w:rPr>
          <w:lang w:val="fr-FR"/>
        </w:rPr>
        <w:tab/>
        <w:t>Si le fabricant des citernes mobiles utilisées n</w:t>
      </w:r>
      <w:r>
        <w:rPr>
          <w:lang w:val="fr-FR"/>
        </w:rPr>
        <w:t>’</w:t>
      </w:r>
      <w:r w:rsidRPr="001A6773">
        <w:rPr>
          <w:lang w:val="fr-FR"/>
        </w:rPr>
        <w:t>existe plus, il est encore plus difficile d</w:t>
      </w:r>
      <w:r>
        <w:rPr>
          <w:lang w:val="fr-FR"/>
        </w:rPr>
        <w:t>’</w:t>
      </w:r>
      <w:r w:rsidRPr="001A6773">
        <w:rPr>
          <w:lang w:val="fr-FR"/>
        </w:rPr>
        <w:t>apporter les modifications nécessaires.</w:t>
      </w:r>
    </w:p>
    <w:p w14:paraId="6F7BEB50" w14:textId="012A7DF9" w:rsidR="001922D1" w:rsidRPr="001922D1" w:rsidRDefault="001922D1" w:rsidP="001922D1">
      <w:pPr>
        <w:pStyle w:val="SingleTxtG"/>
        <w:spacing w:before="240" w:after="0"/>
        <w:jc w:val="center"/>
        <w:rPr>
          <w:u w:val="single"/>
          <w:lang w:val="fr-FR"/>
        </w:rPr>
      </w:pPr>
      <w:r>
        <w:rPr>
          <w:u w:val="single"/>
          <w:lang w:val="fr-FR"/>
        </w:rPr>
        <w:tab/>
      </w:r>
      <w:r>
        <w:rPr>
          <w:u w:val="single"/>
          <w:lang w:val="fr-FR"/>
        </w:rPr>
        <w:tab/>
      </w:r>
      <w:r>
        <w:rPr>
          <w:u w:val="single"/>
          <w:lang w:val="fr-FR"/>
        </w:rPr>
        <w:tab/>
      </w:r>
      <w:r>
        <w:rPr>
          <w:u w:val="single"/>
          <w:lang w:val="fr-FR"/>
        </w:rPr>
        <w:tab/>
      </w:r>
    </w:p>
    <w:sectPr w:rsidR="001922D1" w:rsidRPr="001922D1" w:rsidSect="001922D1">
      <w:headerReference w:type="even" r:id="rId9"/>
      <w:headerReference w:type="default" r:id="rId10"/>
      <w:footerReference w:type="even" r:id="rId11"/>
      <w:footerReference w:type="default" r:id="rId12"/>
      <w:footerReference w:type="first" r:id="rId13"/>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6EA3C" w14:textId="77777777" w:rsidR="00162565" w:rsidRDefault="00162565" w:rsidP="00F95C08">
      <w:pPr>
        <w:spacing w:line="240" w:lineRule="auto"/>
      </w:pPr>
    </w:p>
  </w:endnote>
  <w:endnote w:type="continuationSeparator" w:id="0">
    <w:p w14:paraId="6304D8B0" w14:textId="77777777" w:rsidR="00162565" w:rsidRPr="00AC3823" w:rsidRDefault="00162565" w:rsidP="00AC3823">
      <w:pPr>
        <w:pStyle w:val="Pieddepage"/>
      </w:pPr>
    </w:p>
  </w:endnote>
  <w:endnote w:type="continuationNotice" w:id="1">
    <w:p w14:paraId="45EF27E9" w14:textId="77777777" w:rsidR="00162565" w:rsidRDefault="001625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Gras">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70C8" w14:textId="77777777" w:rsidR="001922D1" w:rsidRPr="001922D1" w:rsidRDefault="001922D1" w:rsidP="001922D1">
    <w:pPr>
      <w:pStyle w:val="Pieddepage"/>
      <w:tabs>
        <w:tab w:val="right" w:pos="9638"/>
      </w:tabs>
    </w:pPr>
    <w:r w:rsidRPr="001922D1">
      <w:rPr>
        <w:b/>
        <w:sz w:val="18"/>
      </w:rPr>
      <w:fldChar w:fldCharType="begin"/>
    </w:r>
    <w:r w:rsidRPr="001922D1">
      <w:rPr>
        <w:b/>
        <w:sz w:val="18"/>
      </w:rPr>
      <w:instrText xml:space="preserve"> PAGE  \* MERGEFORMAT </w:instrText>
    </w:r>
    <w:r w:rsidRPr="001922D1">
      <w:rPr>
        <w:b/>
        <w:sz w:val="18"/>
      </w:rPr>
      <w:fldChar w:fldCharType="separate"/>
    </w:r>
    <w:r w:rsidRPr="001922D1">
      <w:rPr>
        <w:b/>
        <w:noProof/>
        <w:sz w:val="18"/>
      </w:rPr>
      <w:t>2</w:t>
    </w:r>
    <w:r w:rsidRPr="001922D1">
      <w:rPr>
        <w:b/>
        <w:sz w:val="18"/>
      </w:rPr>
      <w:fldChar w:fldCharType="end"/>
    </w:r>
    <w:r>
      <w:rPr>
        <w:b/>
        <w:sz w:val="18"/>
      </w:rPr>
      <w:tab/>
    </w:r>
    <w:r>
      <w:t>GE.23-25422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7A68" w14:textId="77777777" w:rsidR="001922D1" w:rsidRPr="001922D1" w:rsidRDefault="001922D1" w:rsidP="001922D1">
    <w:pPr>
      <w:pStyle w:val="Pieddepage"/>
      <w:tabs>
        <w:tab w:val="right" w:pos="9638"/>
      </w:tabs>
      <w:rPr>
        <w:b/>
        <w:sz w:val="18"/>
      </w:rPr>
    </w:pPr>
    <w:r>
      <w:t>GE.23-25422</w:t>
    </w:r>
    <w:r>
      <w:tab/>
    </w:r>
    <w:r w:rsidRPr="001922D1">
      <w:rPr>
        <w:b/>
        <w:sz w:val="18"/>
      </w:rPr>
      <w:fldChar w:fldCharType="begin"/>
    </w:r>
    <w:r w:rsidRPr="001922D1">
      <w:rPr>
        <w:b/>
        <w:sz w:val="18"/>
      </w:rPr>
      <w:instrText xml:space="preserve"> PAGE  \* MERGEFORMAT </w:instrText>
    </w:r>
    <w:r w:rsidRPr="001922D1">
      <w:rPr>
        <w:b/>
        <w:sz w:val="18"/>
      </w:rPr>
      <w:fldChar w:fldCharType="separate"/>
    </w:r>
    <w:r w:rsidRPr="001922D1">
      <w:rPr>
        <w:b/>
        <w:noProof/>
        <w:sz w:val="18"/>
      </w:rPr>
      <w:t>3</w:t>
    </w:r>
    <w:r w:rsidRPr="001922D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05BD" w14:textId="5A7E532F" w:rsidR="007F20FA" w:rsidRPr="001922D1" w:rsidRDefault="001922D1" w:rsidP="001922D1">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35559D60" wp14:editId="30834A36">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23-25422  (F)</w:t>
    </w:r>
    <w:r>
      <w:rPr>
        <w:noProof/>
        <w:sz w:val="20"/>
      </w:rPr>
      <w:drawing>
        <wp:anchor distT="0" distB="0" distL="114300" distR="114300" simplePos="0" relativeHeight="251660288" behindDoc="0" locked="0" layoutInCell="1" allowOverlap="1" wp14:anchorId="4CB0A07F" wp14:editId="2F0A08A5">
          <wp:simplePos x="0" y="0"/>
          <wp:positionH relativeFrom="margin">
            <wp:posOffset>5489575</wp:posOffset>
          </wp:positionH>
          <wp:positionV relativeFrom="margin">
            <wp:posOffset>8891905</wp:posOffset>
          </wp:positionV>
          <wp:extent cx="638175" cy="638175"/>
          <wp:effectExtent l="0" t="0" r="9525" b="9525"/>
          <wp:wrapNone/>
          <wp:docPr id="68065597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110124    110124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58552" w14:textId="77777777" w:rsidR="00162565" w:rsidRPr="00AC3823" w:rsidRDefault="00162565" w:rsidP="00AC3823">
      <w:pPr>
        <w:pStyle w:val="Pieddepage"/>
        <w:tabs>
          <w:tab w:val="right" w:pos="2155"/>
        </w:tabs>
        <w:spacing w:after="80" w:line="240" w:lineRule="atLeast"/>
        <w:ind w:left="680"/>
        <w:rPr>
          <w:u w:val="single"/>
        </w:rPr>
      </w:pPr>
      <w:r>
        <w:rPr>
          <w:u w:val="single"/>
        </w:rPr>
        <w:tab/>
      </w:r>
    </w:p>
  </w:footnote>
  <w:footnote w:type="continuationSeparator" w:id="0">
    <w:p w14:paraId="51215EB2" w14:textId="77777777" w:rsidR="00162565" w:rsidRPr="00AC3823" w:rsidRDefault="00162565" w:rsidP="00AC3823">
      <w:pPr>
        <w:pStyle w:val="Pieddepage"/>
        <w:tabs>
          <w:tab w:val="right" w:pos="2155"/>
        </w:tabs>
        <w:spacing w:after="80" w:line="240" w:lineRule="atLeast"/>
        <w:ind w:left="680"/>
        <w:rPr>
          <w:u w:val="single"/>
        </w:rPr>
      </w:pPr>
      <w:r>
        <w:rPr>
          <w:u w:val="single"/>
        </w:rPr>
        <w:tab/>
      </w:r>
    </w:p>
  </w:footnote>
  <w:footnote w:type="continuationNotice" w:id="1">
    <w:p w14:paraId="4E6B9D5D" w14:textId="77777777" w:rsidR="00162565" w:rsidRPr="00AC3823" w:rsidRDefault="00162565">
      <w:pPr>
        <w:spacing w:line="240" w:lineRule="auto"/>
        <w:rPr>
          <w:sz w:val="2"/>
          <w:szCs w:val="2"/>
        </w:rPr>
      </w:pPr>
    </w:p>
  </w:footnote>
  <w:footnote w:id="2">
    <w:p w14:paraId="16A6723B" w14:textId="095FE300" w:rsidR="001922D1" w:rsidRPr="001922D1" w:rsidRDefault="001922D1">
      <w:pPr>
        <w:pStyle w:val="Notedebasdepage"/>
      </w:pPr>
      <w:r>
        <w:rPr>
          <w:rStyle w:val="Appelnotedebasdep"/>
        </w:rPr>
        <w:tab/>
      </w:r>
      <w:r w:rsidRPr="001922D1">
        <w:rPr>
          <w:rStyle w:val="Appelnotedebasdep"/>
          <w:sz w:val="20"/>
          <w:vertAlign w:val="baseline"/>
        </w:rPr>
        <w:t>*</w:t>
      </w:r>
      <w:r>
        <w:rPr>
          <w:rStyle w:val="Appelnotedebasdep"/>
          <w:sz w:val="20"/>
          <w:vertAlign w:val="baseline"/>
        </w:rPr>
        <w:tab/>
      </w:r>
      <w:r>
        <w:rPr>
          <w:lang w:val="fr-FR"/>
        </w:rPr>
        <w:t>A/78/6 (Sect.</w:t>
      </w:r>
      <w:r>
        <w:rPr>
          <w:lang w:val="fr-FR"/>
        </w:rPr>
        <w:t> </w:t>
      </w:r>
      <w:r>
        <w:rPr>
          <w:lang w:val="fr-FR"/>
        </w:rPr>
        <w:t>20), tableau 20.5.</w:t>
      </w:r>
    </w:p>
  </w:footnote>
  <w:footnote w:id="3">
    <w:p w14:paraId="6D05F013" w14:textId="0B9E897E" w:rsidR="001922D1" w:rsidRPr="001922D1" w:rsidRDefault="001922D1">
      <w:pPr>
        <w:pStyle w:val="Notedebasdepage"/>
      </w:pPr>
      <w:r>
        <w:rPr>
          <w:rStyle w:val="Appelnotedebasdep"/>
        </w:rPr>
        <w:tab/>
      </w:r>
      <w:r w:rsidRPr="001922D1">
        <w:rPr>
          <w:rStyle w:val="Appelnotedebasdep"/>
          <w:sz w:val="20"/>
          <w:vertAlign w:val="baseline"/>
        </w:rPr>
        <w:t>**</w:t>
      </w:r>
      <w:r>
        <w:rPr>
          <w:rStyle w:val="Appelnotedebasdep"/>
          <w:sz w:val="20"/>
          <w:vertAlign w:val="baseline"/>
        </w:rPr>
        <w:tab/>
      </w:r>
      <w:r>
        <w:rPr>
          <w:lang w:val="fr-FR"/>
        </w:rPr>
        <w:t>Diffusée par l’Organisation intergouvernementale pour les transports internationaux ferroviaires (OTIF) sous la cote OTIF/RID/RC/2024/8.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1AAF" w14:textId="77777777" w:rsidR="001922D1" w:rsidRPr="001922D1" w:rsidRDefault="001922D1">
    <w:pPr>
      <w:pStyle w:val="En-tte"/>
    </w:pPr>
    <w:fldSimple w:instr=" TITLE  \* MERGEFORMAT ">
      <w:r>
        <w:t>ECE/TRANS/WP.15/AC.1/2024/8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10B1" w14:textId="77777777" w:rsidR="001922D1" w:rsidRPr="001922D1" w:rsidRDefault="001922D1" w:rsidP="001922D1">
    <w:pPr>
      <w:pStyle w:val="En-tte"/>
      <w:jc w:val="right"/>
    </w:pPr>
    <w:fldSimple w:instr=" TITLE  \* MERGEFORMAT ">
      <w:r>
        <w:t>ECE/TRANS/WP.15/AC.1/2024/8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426878868">
    <w:abstractNumId w:val="12"/>
  </w:num>
  <w:num w:numId="2" w16cid:durableId="1367872408">
    <w:abstractNumId w:val="11"/>
  </w:num>
  <w:num w:numId="3" w16cid:durableId="318728244">
    <w:abstractNumId w:val="10"/>
  </w:num>
  <w:num w:numId="4" w16cid:durableId="868374887">
    <w:abstractNumId w:val="8"/>
  </w:num>
  <w:num w:numId="5" w16cid:durableId="1131944952">
    <w:abstractNumId w:val="3"/>
  </w:num>
  <w:num w:numId="6" w16cid:durableId="9645319">
    <w:abstractNumId w:val="2"/>
  </w:num>
  <w:num w:numId="7" w16cid:durableId="1876427853">
    <w:abstractNumId w:val="1"/>
  </w:num>
  <w:num w:numId="8" w16cid:durableId="521014621">
    <w:abstractNumId w:val="0"/>
  </w:num>
  <w:num w:numId="9" w16cid:durableId="1163082240">
    <w:abstractNumId w:val="9"/>
  </w:num>
  <w:num w:numId="10" w16cid:durableId="561451458">
    <w:abstractNumId w:val="7"/>
  </w:num>
  <w:num w:numId="11" w16cid:durableId="1775513839">
    <w:abstractNumId w:val="6"/>
  </w:num>
  <w:num w:numId="12" w16cid:durableId="1551764786">
    <w:abstractNumId w:val="5"/>
  </w:num>
  <w:num w:numId="13" w16cid:durableId="1696078081">
    <w:abstractNumId w:val="4"/>
  </w:num>
  <w:num w:numId="14" w16cid:durableId="246154956">
    <w:abstractNumId w:val="12"/>
  </w:num>
  <w:num w:numId="15" w16cid:durableId="418871572">
    <w:abstractNumId w:val="11"/>
  </w:num>
  <w:num w:numId="16" w16cid:durableId="19199443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65"/>
    <w:rsid w:val="00017F94"/>
    <w:rsid w:val="00023842"/>
    <w:rsid w:val="000334F9"/>
    <w:rsid w:val="00045FEB"/>
    <w:rsid w:val="0007796D"/>
    <w:rsid w:val="000B7790"/>
    <w:rsid w:val="00111F2F"/>
    <w:rsid w:val="0014365E"/>
    <w:rsid w:val="00143C66"/>
    <w:rsid w:val="00162565"/>
    <w:rsid w:val="00176178"/>
    <w:rsid w:val="001922D1"/>
    <w:rsid w:val="001B70B0"/>
    <w:rsid w:val="001F525A"/>
    <w:rsid w:val="00201148"/>
    <w:rsid w:val="00223272"/>
    <w:rsid w:val="0024779E"/>
    <w:rsid w:val="00257168"/>
    <w:rsid w:val="002744B8"/>
    <w:rsid w:val="002832AC"/>
    <w:rsid w:val="002D7C93"/>
    <w:rsid w:val="00305801"/>
    <w:rsid w:val="003916DE"/>
    <w:rsid w:val="00421996"/>
    <w:rsid w:val="00441C3B"/>
    <w:rsid w:val="00446FE5"/>
    <w:rsid w:val="00452396"/>
    <w:rsid w:val="00477EB2"/>
    <w:rsid w:val="004837D8"/>
    <w:rsid w:val="004E2EED"/>
    <w:rsid w:val="004E468C"/>
    <w:rsid w:val="005505B7"/>
    <w:rsid w:val="00573BE5"/>
    <w:rsid w:val="00586ED3"/>
    <w:rsid w:val="00596AA9"/>
    <w:rsid w:val="0071601D"/>
    <w:rsid w:val="007A62E6"/>
    <w:rsid w:val="007F20FA"/>
    <w:rsid w:val="0080684C"/>
    <w:rsid w:val="00871C75"/>
    <w:rsid w:val="008776DC"/>
    <w:rsid w:val="008D5EF9"/>
    <w:rsid w:val="009446C0"/>
    <w:rsid w:val="009705C8"/>
    <w:rsid w:val="009C1CF4"/>
    <w:rsid w:val="009F6B74"/>
    <w:rsid w:val="00A3029F"/>
    <w:rsid w:val="00A30353"/>
    <w:rsid w:val="00AC3823"/>
    <w:rsid w:val="00AE323C"/>
    <w:rsid w:val="00AF0CB5"/>
    <w:rsid w:val="00B00181"/>
    <w:rsid w:val="00B00B0D"/>
    <w:rsid w:val="00B45F2E"/>
    <w:rsid w:val="00B765F7"/>
    <w:rsid w:val="00B77993"/>
    <w:rsid w:val="00BA0CA9"/>
    <w:rsid w:val="00C02897"/>
    <w:rsid w:val="00C97039"/>
    <w:rsid w:val="00D3439C"/>
    <w:rsid w:val="00D7622E"/>
    <w:rsid w:val="00DB1831"/>
    <w:rsid w:val="00DD3BFD"/>
    <w:rsid w:val="00DF6678"/>
    <w:rsid w:val="00E0299A"/>
    <w:rsid w:val="00E85C74"/>
    <w:rsid w:val="00EA6547"/>
    <w:rsid w:val="00ED723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2C765"/>
  <w15:docId w15:val="{76EFE29B-F8D7-4090-8160-4A2AB9B3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qFormat/>
    <w:locked/>
    <w:rsid w:val="001922D1"/>
    <w:rPr>
      <w:rFonts w:ascii="Times New Roman" w:eastAsiaTheme="minorHAnsi" w:hAnsi="Times New Roman" w:cs="Times New Roman"/>
      <w:sz w:val="20"/>
      <w:szCs w:val="20"/>
      <w:lang w:eastAsia="en-US"/>
    </w:rPr>
  </w:style>
  <w:style w:type="paragraph" w:styleId="Paragraphedeliste">
    <w:name w:val="List Paragraph"/>
    <w:basedOn w:val="Normal"/>
    <w:uiPriority w:val="34"/>
    <w:qFormat/>
    <w:rsid w:val="001922D1"/>
    <w:pPr>
      <w:spacing w:after="160" w:line="259" w:lineRule="auto"/>
      <w:ind w:left="720"/>
      <w:contextualSpacing/>
    </w:pPr>
    <w:rPr>
      <w:rFonts w:asciiTheme="minorHAnsi" w:hAnsiTheme="minorHAnsi" w:cstheme="minorBidi"/>
      <w:kern w:val="2"/>
      <w:sz w:val="22"/>
      <w:szCs w:val="22"/>
      <w:lang w:val="de-D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ée un document." ma:contentTypeScope="" ma:versionID="d593cc96c5d428f23a5351564b268b6d">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76aafa040e38551359a67edc98402bfa"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9A1D41-027D-48EC-A97C-2C375296CBF6}"/>
</file>

<file path=customXml/itemProps2.xml><?xml version="1.0" encoding="utf-8"?>
<ds:datastoreItem xmlns:ds="http://schemas.openxmlformats.org/officeDocument/2006/customXml" ds:itemID="{14E27440-FA9A-48CE-9405-04D65396B1A6}"/>
</file>

<file path=docProps/app.xml><?xml version="1.0" encoding="utf-8"?>
<Properties xmlns="http://schemas.openxmlformats.org/officeDocument/2006/extended-properties" xmlns:vt="http://schemas.openxmlformats.org/officeDocument/2006/docPropsVTypes">
  <Template>ECE_TRANS.dotm</Template>
  <TotalTime>1</TotalTime>
  <Pages>2</Pages>
  <Words>532</Words>
  <Characters>3047</Characters>
  <Application>Microsoft Office Word</Application>
  <DocSecurity>0</DocSecurity>
  <Lines>63</Lines>
  <Paragraphs>31</Paragraphs>
  <ScaleCrop>false</ScaleCrop>
  <HeadingPairs>
    <vt:vector size="2" baseType="variant">
      <vt:variant>
        <vt:lpstr>Titre</vt:lpstr>
      </vt:variant>
      <vt:variant>
        <vt:i4>1</vt:i4>
      </vt:variant>
    </vt:vector>
  </HeadingPairs>
  <TitlesOfParts>
    <vt:vector size="1" baseType="lpstr">
      <vt:lpstr/>
    </vt:vector>
  </TitlesOfParts>
  <Company>DCM</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ECE/TRANS/WP.15/AC.1/2024/8</dc:title>
  <dc:subject/>
  <dc:creator>Marie DESCHAMPS</dc:creator>
  <cp:keywords/>
  <cp:lastModifiedBy>Marie Deschamps</cp:lastModifiedBy>
  <cp:revision>2</cp:revision>
  <cp:lastPrinted>2014-05-14T10:59:00Z</cp:lastPrinted>
  <dcterms:created xsi:type="dcterms:W3CDTF">2024-01-11T10:21:00Z</dcterms:created>
  <dcterms:modified xsi:type="dcterms:W3CDTF">2024-01-11T10:21:00Z</dcterms:modified>
</cp:coreProperties>
</file>