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7F351B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DBA627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60885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5A1C0F" w14:textId="4694E515" w:rsidR="009E6CB7" w:rsidRPr="00D47EEA" w:rsidRDefault="009A54FB" w:rsidP="009A54FB">
            <w:pPr>
              <w:jc w:val="right"/>
            </w:pPr>
            <w:r w:rsidRPr="009A54FB">
              <w:rPr>
                <w:sz w:val="40"/>
              </w:rPr>
              <w:t>ECE</w:t>
            </w:r>
            <w:r>
              <w:t>/TRANS/WP.15/2024/3</w:t>
            </w:r>
          </w:p>
        </w:tc>
      </w:tr>
      <w:tr w:rsidR="009E6CB7" w14:paraId="2DE07B9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933B1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69C263" wp14:editId="4853432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4EB82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D0BF03" w14:textId="77777777" w:rsidR="009E6CB7" w:rsidRDefault="009A54FB" w:rsidP="009A54FB">
            <w:pPr>
              <w:spacing w:before="240" w:line="240" w:lineRule="exact"/>
            </w:pPr>
            <w:r>
              <w:t>Distr.: General</w:t>
            </w:r>
          </w:p>
          <w:p w14:paraId="3FCBE958" w14:textId="5D242CF6" w:rsidR="009A54FB" w:rsidRDefault="000C2579" w:rsidP="009A54FB">
            <w:pPr>
              <w:spacing w:line="240" w:lineRule="exact"/>
            </w:pPr>
            <w:r>
              <w:t>9</w:t>
            </w:r>
            <w:r>
              <w:t xml:space="preserve"> </w:t>
            </w:r>
            <w:r w:rsidR="009A54FB">
              <w:t>January 2024</w:t>
            </w:r>
          </w:p>
          <w:p w14:paraId="48DCBAF8" w14:textId="77777777" w:rsidR="009A54FB" w:rsidRDefault="009A54FB" w:rsidP="009A54FB">
            <w:pPr>
              <w:spacing w:line="240" w:lineRule="exact"/>
            </w:pPr>
          </w:p>
          <w:p w14:paraId="71FA6423" w14:textId="56FD8A51" w:rsidR="009A54FB" w:rsidRDefault="009A54FB" w:rsidP="009A54FB">
            <w:pPr>
              <w:spacing w:line="240" w:lineRule="exact"/>
            </w:pPr>
            <w:r>
              <w:t>Original: English</w:t>
            </w:r>
          </w:p>
        </w:tc>
      </w:tr>
    </w:tbl>
    <w:p w14:paraId="4AF745B5" w14:textId="77777777" w:rsidR="009A54FB" w:rsidRPr="00802B2E" w:rsidRDefault="009A54FB" w:rsidP="000A01F9">
      <w:pPr>
        <w:spacing w:before="120"/>
        <w:rPr>
          <w:b/>
          <w:bCs/>
          <w:sz w:val="28"/>
          <w:szCs w:val="28"/>
        </w:rPr>
      </w:pPr>
      <w:r w:rsidRPr="00802B2E">
        <w:rPr>
          <w:b/>
          <w:bCs/>
          <w:sz w:val="28"/>
          <w:szCs w:val="28"/>
        </w:rPr>
        <w:t>Economic Commission for Europe</w:t>
      </w:r>
    </w:p>
    <w:p w14:paraId="0B3A002E" w14:textId="77777777" w:rsidR="009A54FB" w:rsidRPr="00802B2E" w:rsidRDefault="009A54FB" w:rsidP="000A01F9">
      <w:pPr>
        <w:spacing w:before="120"/>
        <w:rPr>
          <w:sz w:val="28"/>
          <w:szCs w:val="28"/>
        </w:rPr>
      </w:pPr>
      <w:r w:rsidRPr="00802B2E">
        <w:rPr>
          <w:sz w:val="28"/>
          <w:szCs w:val="28"/>
        </w:rPr>
        <w:t>Inland Transport Committee</w:t>
      </w:r>
    </w:p>
    <w:p w14:paraId="4B25ACDE" w14:textId="77777777" w:rsidR="009A54FB" w:rsidRPr="004A2945" w:rsidRDefault="009A54FB" w:rsidP="000A01F9">
      <w:pPr>
        <w:spacing w:before="120"/>
        <w:rPr>
          <w:b/>
          <w:sz w:val="24"/>
          <w:szCs w:val="24"/>
        </w:rPr>
      </w:pPr>
      <w:r w:rsidRPr="004A2945">
        <w:rPr>
          <w:b/>
          <w:sz w:val="24"/>
          <w:szCs w:val="24"/>
        </w:rPr>
        <w:t>Working Party on Transport Trends and Economics</w:t>
      </w:r>
    </w:p>
    <w:p w14:paraId="7F659769" w14:textId="2BA45B10" w:rsidR="009A54FB" w:rsidRPr="0012673C" w:rsidRDefault="009A54FB" w:rsidP="000A01F9">
      <w:pPr>
        <w:spacing w:before="120"/>
        <w:rPr>
          <w:b/>
          <w:bCs/>
        </w:rPr>
      </w:pPr>
      <w:r>
        <w:rPr>
          <w:b/>
          <w:bCs/>
        </w:rPr>
        <w:t xml:space="preserve">115th </w:t>
      </w:r>
      <w:r w:rsidRPr="0012673C">
        <w:rPr>
          <w:b/>
          <w:bCs/>
        </w:rPr>
        <w:t>session</w:t>
      </w:r>
    </w:p>
    <w:p w14:paraId="776EA462" w14:textId="0704700F" w:rsidR="009A54FB" w:rsidRDefault="009A54FB" w:rsidP="000A01F9">
      <w:r>
        <w:t>Geneva, 2-5 April 2024</w:t>
      </w:r>
    </w:p>
    <w:p w14:paraId="6AA52C93" w14:textId="502C8680" w:rsidR="009A54FB" w:rsidRDefault="009A54FB" w:rsidP="000A01F9">
      <w:r>
        <w:t xml:space="preserve">Item </w:t>
      </w:r>
      <w:r w:rsidR="00983D72">
        <w:t>6</w:t>
      </w:r>
      <w:r>
        <w:t xml:space="preserve"> of the provisional agenda</w:t>
      </w:r>
    </w:p>
    <w:p w14:paraId="258361E6" w14:textId="78D3B112" w:rsidR="009A54FB" w:rsidRPr="003E07A2" w:rsidRDefault="003E07A2" w:rsidP="000A01F9">
      <w:pPr>
        <w:rPr>
          <w:b/>
          <w:bCs/>
        </w:rPr>
      </w:pPr>
      <w:r w:rsidRPr="003E07A2">
        <w:rPr>
          <w:b/>
          <w:bCs/>
        </w:rPr>
        <w:t>Interpretation of ADR</w:t>
      </w:r>
    </w:p>
    <w:p w14:paraId="1B560F1C" w14:textId="2B755BD5" w:rsidR="009A54FB" w:rsidRPr="00D21940" w:rsidRDefault="009A54FB" w:rsidP="009A54FB">
      <w:pPr>
        <w:pStyle w:val="HChG"/>
      </w:pPr>
      <w:r w:rsidRPr="00154B47">
        <w:tab/>
      </w:r>
      <w:r w:rsidRPr="00154B47">
        <w:tab/>
      </w:r>
      <w:r w:rsidRPr="008943CA">
        <w:t>Exemptions related to the nature of the transport</w:t>
      </w:r>
      <w:r>
        <w:t xml:space="preserve"> </w:t>
      </w:r>
      <w:r w:rsidRPr="008943CA">
        <w:t>operation</w:t>
      </w:r>
      <w:r>
        <w:t xml:space="preserve">: 1.1.3.1 (a) </w:t>
      </w:r>
      <w:r w:rsidR="003E07A2">
        <w:rPr>
          <w:rFonts w:ascii="TimesNewRomanPSMT" w:hAnsi="TimesNewRomanPSMT" w:cs="TimesNewRomanPSMT"/>
        </w:rPr>
        <w:t>C</w:t>
      </w:r>
      <w:r w:rsidRPr="00D21940">
        <w:rPr>
          <w:rFonts w:ascii="TimesNewRomanPSMT" w:hAnsi="TimesNewRomanPSMT" w:cs="TimesNewRomanPSMT"/>
        </w:rPr>
        <w:t>arriage of dangerous goods by private individuals</w:t>
      </w:r>
    </w:p>
    <w:p w14:paraId="4F8E5354" w14:textId="15AB7814" w:rsidR="009A54FB" w:rsidRDefault="009A54FB" w:rsidP="009A54FB">
      <w:pPr>
        <w:pStyle w:val="H1G"/>
        <w:rPr>
          <w:lang w:eastAsia="ru-RU"/>
        </w:rPr>
      </w:pPr>
      <w:r w:rsidRPr="00154B47">
        <w:rPr>
          <w:lang w:eastAsia="ru-RU"/>
        </w:rPr>
        <w:tab/>
      </w:r>
      <w:r w:rsidRPr="00154B47">
        <w:rPr>
          <w:lang w:eastAsia="ru-RU"/>
        </w:rPr>
        <w:tab/>
      </w:r>
      <w:r>
        <w:rPr>
          <w:lang w:eastAsia="ru-RU"/>
        </w:rPr>
        <w:t>Transmitted by the Government of Finland</w:t>
      </w:r>
      <w:r w:rsidRPr="009A54FB">
        <w:rPr>
          <w:rStyle w:val="FootnoteReference"/>
          <w:sz w:val="20"/>
        </w:rPr>
        <w:footnoteReference w:customMarkFollows="1" w:id="2"/>
        <w:t>*</w:t>
      </w:r>
    </w:p>
    <w:p w14:paraId="221F9329" w14:textId="002E7851" w:rsidR="009A54FB" w:rsidRDefault="009A54FB" w:rsidP="009A54FB">
      <w:pPr>
        <w:pStyle w:val="HChG"/>
        <w:rPr>
          <w:lang w:eastAsia="zh-CN"/>
        </w:rPr>
      </w:pPr>
      <w:r>
        <w:rPr>
          <w:lang w:eastAsia="zh-CN"/>
        </w:rPr>
        <w:tab/>
        <w:t>I.</w:t>
      </w:r>
      <w:r>
        <w:rPr>
          <w:lang w:eastAsia="zh-CN"/>
        </w:rPr>
        <w:tab/>
        <w:t>ADR 1.1.3.1 (a)</w:t>
      </w:r>
    </w:p>
    <w:p w14:paraId="305D56F9" w14:textId="005DF8D0" w:rsidR="009A54FB" w:rsidRDefault="009A54FB" w:rsidP="009A54FB">
      <w:pPr>
        <w:pStyle w:val="SingleTxtG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 w:rsidRPr="009A54FB">
        <w:t>According</w:t>
      </w:r>
      <w:r>
        <w:rPr>
          <w:lang w:eastAsia="zh-CN"/>
        </w:rPr>
        <w:t xml:space="preserve"> to 1.1.3.1 (a), </w:t>
      </w:r>
      <w:r>
        <w:t>t</w:t>
      </w:r>
      <w:r w:rsidRPr="008943CA">
        <w:t>he provisions laid down in ADR do not apply to</w:t>
      </w:r>
      <w:r>
        <w:t xml:space="preserve"> t</w:t>
      </w:r>
      <w:r w:rsidRPr="008943CA">
        <w:t>he carriage of dangerous goods by private individuals where the goods in question are packaged</w:t>
      </w:r>
      <w:r>
        <w:t xml:space="preserve"> </w:t>
      </w:r>
      <w:r w:rsidRPr="008943CA">
        <w:t>for retail sale and are intended for their personal or domestic use or for their leisure or sporting</w:t>
      </w:r>
      <w:r>
        <w:t xml:space="preserve"> </w:t>
      </w:r>
      <w:r w:rsidRPr="008943CA">
        <w:t>activities provided that measures have been taken to prevent any leakage of contents in normal</w:t>
      </w:r>
      <w:r>
        <w:t xml:space="preserve"> </w:t>
      </w:r>
      <w:r w:rsidRPr="008943CA">
        <w:t>conditions of carriage. When these goods are flammable liquids carried in refillable receptacles</w:t>
      </w:r>
      <w:r>
        <w:t xml:space="preserve"> </w:t>
      </w:r>
      <w:r w:rsidRPr="008943CA">
        <w:t>filled by, or for, a private individual, the total quantity shall not exceed 60 litres per receptacle</w:t>
      </w:r>
      <w:r>
        <w:t xml:space="preserve"> </w:t>
      </w:r>
      <w:r w:rsidRPr="008943CA">
        <w:t xml:space="preserve">and 240 litres per transport unit. Dangerous goods in </w:t>
      </w:r>
      <w:r w:rsidR="00A774BB" w:rsidRPr="00A774BB">
        <w:t>intermediate bulk containers</w:t>
      </w:r>
      <w:r w:rsidR="00A774BB">
        <w:t xml:space="preserve"> (</w:t>
      </w:r>
      <w:r w:rsidRPr="008943CA">
        <w:t>IBCs</w:t>
      </w:r>
      <w:r w:rsidR="00A774BB">
        <w:t>)</w:t>
      </w:r>
      <w:r w:rsidRPr="008943CA">
        <w:t>, large packagings or tanks are not</w:t>
      </w:r>
      <w:r>
        <w:t xml:space="preserve"> </w:t>
      </w:r>
      <w:r w:rsidRPr="008943CA">
        <w:t>considered to be packaged for retail sale</w:t>
      </w:r>
      <w:r w:rsidRPr="006A048F">
        <w:rPr>
          <w:lang w:eastAsia="zh-CN"/>
        </w:rPr>
        <w:t>.</w:t>
      </w:r>
    </w:p>
    <w:p w14:paraId="07DE6873" w14:textId="77777777" w:rsidR="009A54FB" w:rsidRDefault="009A54FB" w:rsidP="009A54FB">
      <w:pPr>
        <w:pStyle w:val="SingleTxtG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</w:r>
      <w:r w:rsidRPr="00540AD5">
        <w:rPr>
          <w:lang w:eastAsia="zh-CN"/>
        </w:rPr>
        <w:t xml:space="preserve">It is clear that the provisions of the ADR do not apply to this transport when the driver is a private individual and </w:t>
      </w:r>
      <w:r>
        <w:rPr>
          <w:lang w:eastAsia="zh-CN"/>
        </w:rPr>
        <w:t xml:space="preserve">she/he </w:t>
      </w:r>
      <w:r w:rsidRPr="00540AD5">
        <w:rPr>
          <w:lang w:eastAsia="zh-CN"/>
        </w:rPr>
        <w:t>carries dangerous goods in accordance with this paragraph</w:t>
      </w:r>
      <w:r>
        <w:rPr>
          <w:lang w:eastAsia="zh-CN"/>
        </w:rPr>
        <w:t>. H</w:t>
      </w:r>
      <w:r w:rsidRPr="00800C0E">
        <w:rPr>
          <w:lang w:eastAsia="zh-CN"/>
        </w:rPr>
        <w:t xml:space="preserve">owever, this paragraph does not determine who is the driver or whether the </w:t>
      </w:r>
      <w:r w:rsidRPr="008943CA">
        <w:rPr>
          <w:rFonts w:ascii="TimesNewRomanPSMT" w:hAnsi="TimesNewRomanPSMT" w:cs="TimesNewRomanPSMT"/>
        </w:rPr>
        <w:t xml:space="preserve">private </w:t>
      </w:r>
      <w:r w:rsidRPr="00800C0E">
        <w:rPr>
          <w:lang w:eastAsia="zh-CN"/>
        </w:rPr>
        <w:t>individual is a passenger</w:t>
      </w:r>
      <w:r>
        <w:rPr>
          <w:lang w:eastAsia="zh-CN"/>
        </w:rPr>
        <w:t xml:space="preserve"> or a driver</w:t>
      </w:r>
      <w:r w:rsidRPr="00800C0E">
        <w:rPr>
          <w:lang w:eastAsia="zh-CN"/>
        </w:rPr>
        <w:t>.</w:t>
      </w:r>
      <w:r w:rsidRPr="006D3839">
        <w:t xml:space="preserve"> </w:t>
      </w:r>
      <w:r>
        <w:rPr>
          <w:lang w:eastAsia="zh-CN"/>
        </w:rPr>
        <w:t>N</w:t>
      </w:r>
      <w:r w:rsidRPr="006D3839">
        <w:rPr>
          <w:lang w:eastAsia="zh-CN"/>
        </w:rPr>
        <w:t>or does that paragraph determine the type of vehicle</w:t>
      </w:r>
      <w:r>
        <w:rPr>
          <w:lang w:eastAsia="zh-CN"/>
        </w:rPr>
        <w:t>.</w:t>
      </w:r>
    </w:p>
    <w:p w14:paraId="7A59BD05" w14:textId="0B0860FA" w:rsidR="009A54FB" w:rsidRDefault="009A54FB" w:rsidP="009A54FB">
      <w:pPr>
        <w:pStyle w:val="SingleTxtG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  <w:t>In this paragraph, t</w:t>
      </w:r>
      <w:r w:rsidRPr="00800C0E">
        <w:rPr>
          <w:lang w:eastAsia="zh-CN"/>
        </w:rPr>
        <w:t xml:space="preserve">he general term </w:t>
      </w:r>
      <w:r w:rsidRPr="008943CA">
        <w:rPr>
          <w:rFonts w:ascii="TimesNewRomanPSMT" w:hAnsi="TimesNewRomanPSMT" w:cs="TimesNewRomanPSMT"/>
        </w:rPr>
        <w:t xml:space="preserve">carriage </w:t>
      </w:r>
      <w:r w:rsidRPr="00800C0E">
        <w:rPr>
          <w:lang w:eastAsia="zh-CN"/>
        </w:rPr>
        <w:t xml:space="preserve">is also used and the definition of </w:t>
      </w:r>
      <w:r w:rsidRPr="008943CA">
        <w:rPr>
          <w:rFonts w:ascii="TimesNewRomanPSMT" w:hAnsi="TimesNewRomanPSMT" w:cs="TimesNewRomanPSMT"/>
        </w:rPr>
        <w:t xml:space="preserve">carriage </w:t>
      </w:r>
      <w:r w:rsidRPr="00800C0E">
        <w:rPr>
          <w:lang w:eastAsia="zh-CN"/>
        </w:rPr>
        <w:t>does not take into account who is the driver</w:t>
      </w:r>
      <w:r>
        <w:rPr>
          <w:lang w:eastAsia="zh-CN"/>
        </w:rPr>
        <w:t xml:space="preserve"> (or the </w:t>
      </w:r>
      <w:r w:rsidRPr="00800C0E">
        <w:rPr>
          <w:lang w:eastAsia="zh-CN"/>
        </w:rPr>
        <w:t>passenger</w:t>
      </w:r>
      <w:r>
        <w:rPr>
          <w:lang w:eastAsia="zh-CN"/>
        </w:rPr>
        <w:t>)</w:t>
      </w:r>
      <w:r w:rsidRPr="006A048F">
        <w:rPr>
          <w:lang w:eastAsia="zh-CN"/>
        </w:rPr>
        <w:t>.</w:t>
      </w:r>
    </w:p>
    <w:p w14:paraId="5FB56053" w14:textId="1736EDB7" w:rsidR="009A54FB" w:rsidRDefault="009A54FB" w:rsidP="009A54FB">
      <w:pPr>
        <w:pStyle w:val="HChG"/>
        <w:rPr>
          <w:lang w:eastAsia="zh-CN"/>
        </w:rPr>
      </w:pPr>
      <w:r>
        <w:rPr>
          <w:lang w:eastAsia="zh-CN"/>
        </w:rPr>
        <w:tab/>
        <w:t>II.</w:t>
      </w:r>
      <w:r>
        <w:rPr>
          <w:lang w:eastAsia="zh-CN"/>
        </w:rPr>
        <w:tab/>
        <w:t>Interpretation</w:t>
      </w:r>
    </w:p>
    <w:p w14:paraId="4C3D4591" w14:textId="41671D45" w:rsidR="009A54FB" w:rsidRDefault="00E41C96" w:rsidP="009A54FB">
      <w:pPr>
        <w:pStyle w:val="SingleTxtG"/>
        <w:rPr>
          <w:lang w:eastAsia="zh-CN"/>
        </w:rPr>
      </w:pPr>
      <w:r>
        <w:t>4</w:t>
      </w:r>
      <w:r w:rsidR="009A54FB">
        <w:t>.</w:t>
      </w:r>
      <w:r w:rsidR="009A54FB">
        <w:tab/>
      </w:r>
      <w:r w:rsidR="009A54FB">
        <w:rPr>
          <w:lang w:eastAsia="zh-CN"/>
        </w:rPr>
        <w:t>D</w:t>
      </w:r>
      <w:r w:rsidR="009A54FB" w:rsidRPr="00E07B09">
        <w:rPr>
          <w:lang w:eastAsia="zh-CN"/>
        </w:rPr>
        <w:t xml:space="preserve">angerous goods sold to consumers at retail level </w:t>
      </w:r>
      <w:r w:rsidR="009A54FB">
        <w:rPr>
          <w:lang w:eastAsia="zh-CN"/>
        </w:rPr>
        <w:t xml:space="preserve">are </w:t>
      </w:r>
      <w:r w:rsidR="009A54FB" w:rsidRPr="00E07B09">
        <w:rPr>
          <w:lang w:eastAsia="zh-CN"/>
        </w:rPr>
        <w:t xml:space="preserve">safe for use </w:t>
      </w:r>
      <w:r w:rsidR="009A54FB">
        <w:rPr>
          <w:lang w:eastAsia="zh-CN"/>
        </w:rPr>
        <w:t xml:space="preserve">by the consumer </w:t>
      </w:r>
      <w:r w:rsidR="009A54FB" w:rsidRPr="00E07B09">
        <w:rPr>
          <w:lang w:eastAsia="zh-CN"/>
        </w:rPr>
        <w:t xml:space="preserve">and therefore </w:t>
      </w:r>
      <w:r w:rsidR="009A54FB">
        <w:rPr>
          <w:lang w:eastAsia="zh-CN"/>
        </w:rPr>
        <w:t xml:space="preserve">similarly they </w:t>
      </w:r>
      <w:r w:rsidR="009A54FB" w:rsidRPr="00E07B09">
        <w:rPr>
          <w:lang w:eastAsia="zh-CN"/>
        </w:rPr>
        <w:t xml:space="preserve">have been considered safe </w:t>
      </w:r>
      <w:r w:rsidR="009A54FB">
        <w:rPr>
          <w:lang w:eastAsia="zh-CN"/>
        </w:rPr>
        <w:t>for transport. Thus, the goods are exempted</w:t>
      </w:r>
      <w:r w:rsidR="009A54FB" w:rsidRPr="00E07B09">
        <w:rPr>
          <w:lang w:eastAsia="zh-CN"/>
        </w:rPr>
        <w:t xml:space="preserve"> </w:t>
      </w:r>
      <w:r w:rsidR="009A54FB">
        <w:rPr>
          <w:lang w:eastAsia="zh-CN"/>
        </w:rPr>
        <w:t>according to 1.1.3.1 (a)</w:t>
      </w:r>
      <w:r w:rsidR="009A54FB" w:rsidRPr="00E07B09">
        <w:rPr>
          <w:lang w:eastAsia="zh-CN"/>
        </w:rPr>
        <w:t>.</w:t>
      </w:r>
      <w:r w:rsidR="009A54FB">
        <w:rPr>
          <w:lang w:eastAsia="zh-CN"/>
        </w:rPr>
        <w:t xml:space="preserve"> </w:t>
      </w:r>
      <w:r w:rsidR="009A54FB" w:rsidRPr="00800C0E">
        <w:rPr>
          <w:lang w:eastAsia="zh-CN"/>
        </w:rPr>
        <w:t>In our view</w:t>
      </w:r>
      <w:r w:rsidR="009A54FB" w:rsidRPr="00E07B09">
        <w:rPr>
          <w:lang w:eastAsia="zh-CN"/>
        </w:rPr>
        <w:t xml:space="preserve">, </w:t>
      </w:r>
      <w:r w:rsidR="009A54FB">
        <w:rPr>
          <w:lang w:eastAsia="zh-CN"/>
        </w:rPr>
        <w:t xml:space="preserve">1.1.3.1 (a) </w:t>
      </w:r>
      <w:r w:rsidR="009A54FB" w:rsidRPr="00E07B09">
        <w:rPr>
          <w:lang w:eastAsia="zh-CN"/>
        </w:rPr>
        <w:t xml:space="preserve">also applies to </w:t>
      </w:r>
      <w:r w:rsidR="009A54FB">
        <w:rPr>
          <w:lang w:eastAsia="zh-CN"/>
        </w:rPr>
        <w:t xml:space="preserve">dangerous </w:t>
      </w:r>
      <w:r w:rsidR="009A54FB" w:rsidRPr="00E07B09">
        <w:rPr>
          <w:lang w:eastAsia="zh-CN"/>
        </w:rPr>
        <w:t xml:space="preserve">goods </w:t>
      </w:r>
      <w:r w:rsidR="009A54FB">
        <w:rPr>
          <w:lang w:eastAsia="zh-CN"/>
        </w:rPr>
        <w:t>of passengers (</w:t>
      </w:r>
      <w:r w:rsidR="009A54FB" w:rsidRPr="008943CA">
        <w:rPr>
          <w:rFonts w:ascii="TimesNewRomanPSMT" w:hAnsi="TimesNewRomanPSMT" w:cs="TimesNewRomanPSMT"/>
        </w:rPr>
        <w:t>private individuals</w:t>
      </w:r>
      <w:r w:rsidR="009A54FB">
        <w:rPr>
          <w:lang w:eastAsia="zh-CN"/>
        </w:rPr>
        <w:t xml:space="preserve">) </w:t>
      </w:r>
      <w:r w:rsidR="009A54FB" w:rsidRPr="00E07B09">
        <w:rPr>
          <w:lang w:eastAsia="zh-CN"/>
        </w:rPr>
        <w:t>in cars and buses</w:t>
      </w:r>
      <w:r w:rsidR="009A54FB">
        <w:rPr>
          <w:lang w:eastAsia="zh-CN"/>
        </w:rPr>
        <w:t xml:space="preserve">, such us goods in </w:t>
      </w:r>
      <w:r w:rsidR="009A54FB" w:rsidRPr="00E07B09">
        <w:rPr>
          <w:lang w:eastAsia="zh-CN"/>
        </w:rPr>
        <w:t>passengers'</w:t>
      </w:r>
      <w:r w:rsidR="009A54FB">
        <w:rPr>
          <w:lang w:eastAsia="zh-CN"/>
        </w:rPr>
        <w:t xml:space="preserve"> bags, </w:t>
      </w:r>
      <w:r w:rsidR="009A54FB" w:rsidRPr="002A67A0">
        <w:rPr>
          <w:lang w:eastAsia="zh-CN"/>
        </w:rPr>
        <w:t>grocery</w:t>
      </w:r>
      <w:r w:rsidR="009A54FB">
        <w:rPr>
          <w:lang w:eastAsia="zh-CN"/>
        </w:rPr>
        <w:t xml:space="preserve"> bags, luggage</w:t>
      </w:r>
      <w:r w:rsidR="009A54FB" w:rsidRPr="00E07B09">
        <w:rPr>
          <w:lang w:eastAsia="zh-CN"/>
        </w:rPr>
        <w:t>.</w:t>
      </w:r>
    </w:p>
    <w:p w14:paraId="65A2975A" w14:textId="126E0B69" w:rsidR="009A54FB" w:rsidRDefault="00E41C96" w:rsidP="009A54FB">
      <w:pPr>
        <w:pStyle w:val="SingleTxtG"/>
        <w:rPr>
          <w:lang w:eastAsia="zh-CN"/>
        </w:rPr>
      </w:pPr>
      <w:r>
        <w:lastRenderedPageBreak/>
        <w:t>5.</w:t>
      </w:r>
      <w:r w:rsidR="009A54FB">
        <w:tab/>
      </w:r>
      <w:r w:rsidR="009A54FB">
        <w:rPr>
          <w:lang w:eastAsia="zh-CN"/>
        </w:rPr>
        <w:t>Finland would like</w:t>
      </w:r>
      <w:r w:rsidR="009A54FB" w:rsidRPr="00510DFE">
        <w:rPr>
          <w:lang w:eastAsia="zh-CN"/>
        </w:rPr>
        <w:t xml:space="preserve"> to ask </w:t>
      </w:r>
      <w:r w:rsidR="009A54FB">
        <w:rPr>
          <w:lang w:eastAsia="zh-CN"/>
        </w:rPr>
        <w:t>the Working Party</w:t>
      </w:r>
      <w:r w:rsidR="009A54FB" w:rsidRPr="00510DFE">
        <w:rPr>
          <w:lang w:eastAsia="zh-CN"/>
        </w:rPr>
        <w:t xml:space="preserve"> for its opinion on the interpretation of </w:t>
      </w:r>
      <w:r w:rsidR="009A54FB">
        <w:rPr>
          <w:lang w:eastAsia="zh-CN"/>
        </w:rPr>
        <w:t>paragraph</w:t>
      </w:r>
      <w:r w:rsidR="009A54FB" w:rsidRPr="00510DFE">
        <w:rPr>
          <w:lang w:eastAsia="zh-CN"/>
        </w:rPr>
        <w:t xml:space="preserve"> </w:t>
      </w:r>
      <w:r>
        <w:rPr>
          <w:lang w:eastAsia="zh-CN"/>
        </w:rPr>
        <w:t>4 above.</w:t>
      </w:r>
    </w:p>
    <w:p w14:paraId="29954312" w14:textId="2C566CDA" w:rsidR="009A54FB" w:rsidRDefault="009A54FB" w:rsidP="009A54FB">
      <w:pPr>
        <w:pStyle w:val="HChG"/>
        <w:rPr>
          <w:lang w:eastAsia="zh-CN"/>
        </w:rPr>
      </w:pPr>
      <w:r>
        <w:rPr>
          <w:lang w:eastAsia="zh-CN"/>
        </w:rPr>
        <w:tab/>
        <w:t>III.</w:t>
      </w:r>
      <w:r>
        <w:rPr>
          <w:lang w:eastAsia="zh-CN"/>
        </w:rPr>
        <w:tab/>
        <w:t>Background</w:t>
      </w:r>
    </w:p>
    <w:p w14:paraId="2786BBC2" w14:textId="5BFCD057" w:rsidR="001C6663" w:rsidRDefault="00E41C96" w:rsidP="009A54FB">
      <w:pPr>
        <w:pStyle w:val="SingleTxtG"/>
      </w:pPr>
      <w:r>
        <w:t>6</w:t>
      </w:r>
      <w:r w:rsidR="009A54FB">
        <w:t>.</w:t>
      </w:r>
      <w:r w:rsidR="009A54FB">
        <w:tab/>
      </w:r>
      <w:r w:rsidR="009A54FB" w:rsidRPr="006E5D9D">
        <w:t xml:space="preserve">This issue was raised at a meeting of the European Union which dealt with national derogations in relation to </w:t>
      </w:r>
      <w:r>
        <w:t>D</w:t>
      </w:r>
      <w:r w:rsidR="009A54FB" w:rsidRPr="006E5D9D">
        <w:t>irective</w:t>
      </w:r>
      <w:r w:rsidR="009A54FB">
        <w:t xml:space="preserve"> 2008/68/EC </w:t>
      </w:r>
      <w:r w:rsidR="009A54FB" w:rsidRPr="006E5D9D">
        <w:t>on the inland transport of dangerous goods.</w:t>
      </w:r>
      <w:r w:rsidR="009A54FB">
        <w:t xml:space="preserve"> The E</w:t>
      </w:r>
      <w:r w:rsidR="009A54FB">
        <w:t xml:space="preserve">uropean </w:t>
      </w:r>
      <w:r w:rsidR="009A54FB">
        <w:t>U</w:t>
      </w:r>
      <w:r w:rsidR="009A54FB">
        <w:t>nion</w:t>
      </w:r>
      <w:r w:rsidR="009A54FB">
        <w:t xml:space="preserve"> member states need to request a derogation from Directive 2008/68/EC and </w:t>
      </w:r>
      <w:r w:rsidR="009A54FB" w:rsidRPr="004C43D8">
        <w:t>Finland has</w:t>
      </w:r>
      <w:r w:rsidR="009A54FB">
        <w:t xml:space="preserve"> the </w:t>
      </w:r>
      <w:r w:rsidR="009A54FB" w:rsidRPr="004C43D8">
        <w:t>authorise</w:t>
      </w:r>
      <w:r w:rsidR="009A54FB">
        <w:t xml:space="preserve">d derogation to exempt transport of passengers´ goods in buses. However, Finland </w:t>
      </w:r>
      <w:r w:rsidR="009A54FB" w:rsidRPr="004C43D8">
        <w:t>considers this to be unnecessary as they are already exempted by the ADR.</w:t>
      </w:r>
    </w:p>
    <w:p w14:paraId="56EBA2F1" w14:textId="28D6D151" w:rsidR="009A54FB" w:rsidRPr="009A54FB" w:rsidRDefault="009A54FB" w:rsidP="009A54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54FB" w:rsidRPr="009A54FB" w:rsidSect="009A54F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6087" w14:textId="77777777" w:rsidR="0037069A" w:rsidRDefault="0037069A"/>
  </w:endnote>
  <w:endnote w:type="continuationSeparator" w:id="0">
    <w:p w14:paraId="2E1CFDBC" w14:textId="77777777" w:rsidR="0037069A" w:rsidRDefault="0037069A"/>
  </w:endnote>
  <w:endnote w:type="continuationNotice" w:id="1">
    <w:p w14:paraId="6A277466" w14:textId="77777777" w:rsidR="0037069A" w:rsidRDefault="00370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28B" w14:textId="4C807F06" w:rsidR="009A54FB" w:rsidRPr="009A54FB" w:rsidRDefault="009A54FB" w:rsidP="009A54FB">
    <w:pPr>
      <w:pStyle w:val="Footer"/>
      <w:tabs>
        <w:tab w:val="right" w:pos="9638"/>
      </w:tabs>
      <w:rPr>
        <w:sz w:val="18"/>
      </w:rPr>
    </w:pPr>
    <w:r w:rsidRPr="009A54FB">
      <w:rPr>
        <w:b/>
        <w:sz w:val="18"/>
      </w:rPr>
      <w:fldChar w:fldCharType="begin"/>
    </w:r>
    <w:r w:rsidRPr="009A54FB">
      <w:rPr>
        <w:b/>
        <w:sz w:val="18"/>
      </w:rPr>
      <w:instrText xml:space="preserve"> PAGE  \* MERGEFORMAT </w:instrText>
    </w:r>
    <w:r w:rsidRPr="009A54FB">
      <w:rPr>
        <w:b/>
        <w:sz w:val="18"/>
      </w:rPr>
      <w:fldChar w:fldCharType="separate"/>
    </w:r>
    <w:r w:rsidRPr="009A54FB">
      <w:rPr>
        <w:b/>
        <w:noProof/>
        <w:sz w:val="18"/>
      </w:rPr>
      <w:t>2</w:t>
    </w:r>
    <w:r w:rsidRPr="009A54F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334" w14:textId="115461FD" w:rsidR="009A54FB" w:rsidRPr="009A54FB" w:rsidRDefault="009A54FB" w:rsidP="009A54FB">
    <w:pPr>
      <w:pStyle w:val="Footer"/>
      <w:tabs>
        <w:tab w:val="right" w:pos="9638"/>
      </w:tabs>
      <w:rPr>
        <w:b/>
        <w:sz w:val="18"/>
      </w:rPr>
    </w:pPr>
    <w:r>
      <w:tab/>
    </w:r>
    <w:r w:rsidRPr="009A54FB">
      <w:rPr>
        <w:b/>
        <w:sz w:val="18"/>
      </w:rPr>
      <w:fldChar w:fldCharType="begin"/>
    </w:r>
    <w:r w:rsidRPr="009A54FB">
      <w:rPr>
        <w:b/>
        <w:sz w:val="18"/>
      </w:rPr>
      <w:instrText xml:space="preserve"> PAGE  \* MERGEFORMAT </w:instrText>
    </w:r>
    <w:r w:rsidRPr="009A54FB">
      <w:rPr>
        <w:b/>
        <w:sz w:val="18"/>
      </w:rPr>
      <w:fldChar w:fldCharType="separate"/>
    </w:r>
    <w:r w:rsidRPr="009A54FB">
      <w:rPr>
        <w:b/>
        <w:noProof/>
        <w:sz w:val="18"/>
      </w:rPr>
      <w:t>3</w:t>
    </w:r>
    <w:r w:rsidRPr="009A54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1ECF" w14:textId="77777777" w:rsidR="0035223F" w:rsidRPr="009A54FB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40E8536E" wp14:editId="2BD5790E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B11A" w14:textId="77777777" w:rsidR="0037069A" w:rsidRPr="000B175B" w:rsidRDefault="0037069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8A30B5" w14:textId="77777777" w:rsidR="0037069A" w:rsidRPr="00FC68B7" w:rsidRDefault="0037069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8417F4" w14:textId="77777777" w:rsidR="0037069A" w:rsidRDefault="0037069A"/>
  </w:footnote>
  <w:footnote w:id="2">
    <w:p w14:paraId="1F3CC767" w14:textId="77777777" w:rsidR="009A54FB" w:rsidRPr="000D104F" w:rsidRDefault="009A54FB" w:rsidP="009A54F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A54FB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0D104F">
        <w:t>A/78/6 (Sect. 20), table 20.5</w:t>
      </w:r>
      <w:r>
        <w:t>.</w:t>
      </w:r>
    </w:p>
    <w:p w14:paraId="6E2A4D5D" w14:textId="79BA89FD" w:rsidR="009A54FB" w:rsidRPr="009A54FB" w:rsidRDefault="009A54FB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5071" w14:textId="270A17A6" w:rsidR="009A54FB" w:rsidRPr="009A54FB" w:rsidRDefault="00000000">
    <w:pPr>
      <w:pStyle w:val="Header"/>
    </w:pPr>
    <w:fldSimple w:instr=" TITLE  \* MERGEFORMAT ">
      <w:r w:rsidR="009A54FB">
        <w:t>ECE/TRANS/WP.15/2024/3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C45B" w14:textId="0E6453D1" w:rsidR="009A54FB" w:rsidRPr="009A54FB" w:rsidRDefault="00000000" w:rsidP="009A54FB">
    <w:pPr>
      <w:pStyle w:val="Header"/>
      <w:jc w:val="right"/>
    </w:pPr>
    <w:fldSimple w:instr=" TITLE  \* MERGEFORMAT ">
      <w:r w:rsidR="009A54FB">
        <w:t>ECE/TRANS/WP.15/2024/3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5450807">
    <w:abstractNumId w:val="1"/>
  </w:num>
  <w:num w:numId="2" w16cid:durableId="1096556682">
    <w:abstractNumId w:val="0"/>
  </w:num>
  <w:num w:numId="3" w16cid:durableId="1616256604">
    <w:abstractNumId w:val="2"/>
  </w:num>
  <w:num w:numId="4" w16cid:durableId="1342581858">
    <w:abstractNumId w:val="3"/>
  </w:num>
  <w:num w:numId="5" w16cid:durableId="895430724">
    <w:abstractNumId w:val="8"/>
  </w:num>
  <w:num w:numId="6" w16cid:durableId="1791196872">
    <w:abstractNumId w:val="9"/>
  </w:num>
  <w:num w:numId="7" w16cid:durableId="1019815313">
    <w:abstractNumId w:val="7"/>
  </w:num>
  <w:num w:numId="8" w16cid:durableId="185216620">
    <w:abstractNumId w:val="6"/>
  </w:num>
  <w:num w:numId="9" w16cid:durableId="229003235">
    <w:abstractNumId w:val="5"/>
  </w:num>
  <w:num w:numId="10" w16cid:durableId="1701078918">
    <w:abstractNumId w:val="4"/>
  </w:num>
  <w:num w:numId="11" w16cid:durableId="2101215533">
    <w:abstractNumId w:val="15"/>
  </w:num>
  <w:num w:numId="12" w16cid:durableId="681202851">
    <w:abstractNumId w:val="14"/>
  </w:num>
  <w:num w:numId="13" w16cid:durableId="104079325">
    <w:abstractNumId w:val="10"/>
  </w:num>
  <w:num w:numId="14" w16cid:durableId="446243994">
    <w:abstractNumId w:val="12"/>
  </w:num>
  <w:num w:numId="15" w16cid:durableId="1228497265">
    <w:abstractNumId w:val="16"/>
  </w:num>
  <w:num w:numId="16" w16cid:durableId="1851987719">
    <w:abstractNumId w:val="13"/>
  </w:num>
  <w:num w:numId="17" w16cid:durableId="1007058037">
    <w:abstractNumId w:val="17"/>
  </w:num>
  <w:num w:numId="18" w16cid:durableId="956065934">
    <w:abstractNumId w:val="18"/>
  </w:num>
  <w:num w:numId="19" w16cid:durableId="1218199839">
    <w:abstractNumId w:val="11"/>
  </w:num>
  <w:num w:numId="20" w16cid:durableId="14813088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en-GB" w:vendorID="64" w:dllVersion="5" w:nlCheck="1" w:checkStyle="1"/>
  <w:activeWritingStyle w:appName="MSWord" w:lang="en-GB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FB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C2579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069A"/>
    <w:rsid w:val="003A46BB"/>
    <w:rsid w:val="003A4EC7"/>
    <w:rsid w:val="003A7295"/>
    <w:rsid w:val="003B1F60"/>
    <w:rsid w:val="003C2CC4"/>
    <w:rsid w:val="003D4B23"/>
    <w:rsid w:val="003E07A2"/>
    <w:rsid w:val="003E278A"/>
    <w:rsid w:val="00413520"/>
    <w:rsid w:val="00430D57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3D72"/>
    <w:rsid w:val="0098592B"/>
    <w:rsid w:val="00985FC4"/>
    <w:rsid w:val="00990766"/>
    <w:rsid w:val="00991261"/>
    <w:rsid w:val="009964C4"/>
    <w:rsid w:val="009A54FB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774BB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F7CAE"/>
    <w:rsid w:val="00E41C96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9344C"/>
  <w15:docId w15:val="{DD28142C-E3BB-462F-9755-C0F00B5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Revision">
    <w:name w:val="Revision"/>
    <w:hidden/>
    <w:uiPriority w:val="99"/>
    <w:semiHidden/>
    <w:rsid w:val="009A54FB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8249-040B-4808-961E-621B6B87C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16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ECE/TRANS/WP.15/2024/3</vt:lpstr>
      <vt:lpstr/>
    </vt:vector>
  </TitlesOfParts>
  <Company>CSD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ECE/TRANS/WP.15/2024/3</dc:title>
  <dc:creator>Alicia DORCA-GARCIA</dc:creator>
  <cp:lastModifiedBy>Sabrina Mansion</cp:lastModifiedBy>
  <cp:revision>6</cp:revision>
  <cp:lastPrinted>2009-02-18T09:36:00Z</cp:lastPrinted>
  <dcterms:created xsi:type="dcterms:W3CDTF">2024-01-05T11:00:00Z</dcterms:created>
  <dcterms:modified xsi:type="dcterms:W3CDTF">2024-01-09T09:18:00Z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