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24131A83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55CC4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2DBA7AE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FBCABAF" w14:textId="44BF34B8" w:rsidR="009E6CB7" w:rsidRPr="00D47EEA" w:rsidRDefault="00833631" w:rsidP="00833631">
            <w:pPr>
              <w:jc w:val="right"/>
            </w:pPr>
            <w:r w:rsidRPr="00833631">
              <w:rPr>
                <w:sz w:val="40"/>
              </w:rPr>
              <w:t>ECE</w:t>
            </w:r>
            <w:r>
              <w:t>/TRANS/WP.29/GRSG/2024/21</w:t>
            </w:r>
          </w:p>
        </w:tc>
      </w:tr>
      <w:tr w:rsidR="009E6CB7" w14:paraId="7D1CBE8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BECE770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4DFA367" wp14:editId="628C6B80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A7770FB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19D1619" w14:textId="77777777" w:rsidR="009E6CB7" w:rsidRDefault="00833631" w:rsidP="00833631">
            <w:pPr>
              <w:spacing w:before="240" w:line="240" w:lineRule="exact"/>
            </w:pPr>
            <w:r>
              <w:t>Distr.: General</w:t>
            </w:r>
          </w:p>
          <w:p w14:paraId="6487A300" w14:textId="71C58EE3" w:rsidR="00833631" w:rsidRDefault="001A6FAE" w:rsidP="00833631">
            <w:pPr>
              <w:spacing w:line="240" w:lineRule="exact"/>
            </w:pPr>
            <w:r>
              <w:t>30</w:t>
            </w:r>
            <w:r w:rsidR="00833631">
              <w:t xml:space="preserve"> January 2024</w:t>
            </w:r>
          </w:p>
          <w:p w14:paraId="0B503B51" w14:textId="77777777" w:rsidR="00833631" w:rsidRDefault="00833631" w:rsidP="00833631">
            <w:pPr>
              <w:spacing w:line="240" w:lineRule="exact"/>
            </w:pPr>
          </w:p>
          <w:p w14:paraId="733616FC" w14:textId="200049E0" w:rsidR="00833631" w:rsidRDefault="00833631" w:rsidP="00833631">
            <w:pPr>
              <w:spacing w:line="240" w:lineRule="exact"/>
            </w:pPr>
            <w:r>
              <w:t>Original: English</w:t>
            </w:r>
          </w:p>
        </w:tc>
      </w:tr>
    </w:tbl>
    <w:p w14:paraId="690EAC73" w14:textId="77777777" w:rsidR="00833631" w:rsidRPr="00C10F88" w:rsidRDefault="00833631" w:rsidP="00833631">
      <w:pPr>
        <w:spacing w:before="120"/>
        <w:rPr>
          <w:b/>
          <w:sz w:val="28"/>
          <w:szCs w:val="28"/>
        </w:rPr>
      </w:pPr>
      <w:r w:rsidRPr="00C10F88">
        <w:rPr>
          <w:b/>
          <w:sz w:val="28"/>
          <w:szCs w:val="28"/>
        </w:rPr>
        <w:t>Economic Commission for Europe</w:t>
      </w:r>
    </w:p>
    <w:p w14:paraId="72FA98E2" w14:textId="77777777" w:rsidR="00833631" w:rsidRPr="00C10F88" w:rsidRDefault="00833631" w:rsidP="00833631">
      <w:pPr>
        <w:spacing w:before="120"/>
        <w:rPr>
          <w:sz w:val="28"/>
          <w:szCs w:val="28"/>
        </w:rPr>
      </w:pPr>
      <w:r w:rsidRPr="00C10F88">
        <w:rPr>
          <w:sz w:val="28"/>
          <w:szCs w:val="28"/>
        </w:rPr>
        <w:t>Inland Transport Committee</w:t>
      </w:r>
    </w:p>
    <w:p w14:paraId="12C7FF87" w14:textId="77777777" w:rsidR="00833631" w:rsidRPr="00C10F88" w:rsidRDefault="00833631" w:rsidP="00833631">
      <w:pPr>
        <w:spacing w:before="120"/>
        <w:rPr>
          <w:b/>
          <w:sz w:val="24"/>
          <w:szCs w:val="24"/>
        </w:rPr>
      </w:pPr>
      <w:r w:rsidRPr="00C10F88">
        <w:rPr>
          <w:b/>
          <w:sz w:val="24"/>
          <w:szCs w:val="24"/>
        </w:rPr>
        <w:t>World Forum for Harmonization of Vehicle Regulations</w:t>
      </w:r>
    </w:p>
    <w:p w14:paraId="1DA2A766" w14:textId="77777777" w:rsidR="00833631" w:rsidRPr="00C10F88" w:rsidRDefault="00833631" w:rsidP="00833631">
      <w:pPr>
        <w:spacing w:before="120"/>
        <w:rPr>
          <w:b/>
        </w:rPr>
      </w:pPr>
      <w:r w:rsidRPr="00C10F88">
        <w:rPr>
          <w:b/>
        </w:rPr>
        <w:t>Working Party on General Safety Provisions</w:t>
      </w:r>
    </w:p>
    <w:p w14:paraId="03FCC73B" w14:textId="77777777" w:rsidR="00833631" w:rsidRPr="00C10F88" w:rsidRDefault="00833631" w:rsidP="00833631">
      <w:pPr>
        <w:spacing w:before="120"/>
        <w:rPr>
          <w:b/>
        </w:rPr>
      </w:pPr>
      <w:r w:rsidRPr="00C10F88">
        <w:rPr>
          <w:b/>
        </w:rPr>
        <w:t>127th session</w:t>
      </w:r>
    </w:p>
    <w:p w14:paraId="1373C760" w14:textId="77777777" w:rsidR="00833631" w:rsidRPr="00C10F88" w:rsidRDefault="00833631" w:rsidP="00833631">
      <w:r w:rsidRPr="00C10F88">
        <w:t>Geneva, 15–19 April 2024</w:t>
      </w:r>
    </w:p>
    <w:p w14:paraId="5BB47667" w14:textId="77777777" w:rsidR="00833631" w:rsidRPr="00C10F88" w:rsidRDefault="00833631" w:rsidP="00833631">
      <w:pPr>
        <w:rPr>
          <w:b/>
        </w:rPr>
      </w:pPr>
      <w:r w:rsidRPr="00C10F88">
        <w:rPr>
          <w:bCs/>
        </w:rPr>
        <w:t>Item 4 (a) of the provisional agenda</w:t>
      </w:r>
      <w:r w:rsidRPr="00C10F88">
        <w:rPr>
          <w:bCs/>
        </w:rPr>
        <w:br/>
      </w:r>
      <w:r w:rsidRPr="00C10F88">
        <w:rPr>
          <w:b/>
        </w:rPr>
        <w:t>Awareness of the proximity of Vulnerable Road Users:</w:t>
      </w:r>
    </w:p>
    <w:p w14:paraId="352F4707" w14:textId="77777777" w:rsidR="00833631" w:rsidRPr="00C10F88" w:rsidRDefault="00833631" w:rsidP="00833631">
      <w:pPr>
        <w:rPr>
          <w:bCs/>
        </w:rPr>
      </w:pPr>
      <w:r w:rsidRPr="00C10F88">
        <w:rPr>
          <w:b/>
        </w:rPr>
        <w:t>UN Regulation No. 46 (Devices for indirect vision)</w:t>
      </w:r>
    </w:p>
    <w:p w14:paraId="71C4A9D0" w14:textId="76F29569" w:rsidR="00833631" w:rsidRPr="00C10F88" w:rsidRDefault="00833631" w:rsidP="00833631">
      <w:pPr>
        <w:pStyle w:val="HChG"/>
        <w:jc w:val="both"/>
      </w:pPr>
      <w:r w:rsidRPr="00C10F88">
        <w:tab/>
      </w:r>
      <w:r w:rsidRPr="00C10F88">
        <w:tab/>
        <w:t xml:space="preserve">Proposal for </w:t>
      </w:r>
      <w:r>
        <w:t>S</w:t>
      </w:r>
      <w:r w:rsidRPr="00C10F88">
        <w:t xml:space="preserve">upplement 1 to the 06 </w:t>
      </w:r>
      <w:r>
        <w:t>S</w:t>
      </w:r>
      <w:r w:rsidRPr="00C10F88">
        <w:t xml:space="preserve">eries of </w:t>
      </w:r>
      <w:r>
        <w:t>A</w:t>
      </w:r>
      <w:r w:rsidRPr="00C10F88">
        <w:t xml:space="preserve">mendments to UN Regulation No. 46 (Devices for </w:t>
      </w:r>
      <w:r>
        <w:t>i</w:t>
      </w:r>
      <w:r w:rsidRPr="00C10F88">
        <w:t xml:space="preserve">ndirect </w:t>
      </w:r>
      <w:r>
        <w:t>v</w:t>
      </w:r>
      <w:r w:rsidRPr="00C10F88">
        <w:t>ision)</w:t>
      </w:r>
    </w:p>
    <w:p w14:paraId="20B37B56" w14:textId="77777777" w:rsidR="00833631" w:rsidRPr="00C10F88" w:rsidRDefault="00833631" w:rsidP="00833631">
      <w:pPr>
        <w:pStyle w:val="H1G"/>
        <w:rPr>
          <w:b w:val="0"/>
        </w:rPr>
      </w:pPr>
      <w:r w:rsidRPr="00C10F88">
        <w:tab/>
      </w:r>
      <w:r w:rsidRPr="00C10F88">
        <w:tab/>
      </w:r>
      <w:r w:rsidRPr="00C10F88">
        <w:rPr>
          <w:rFonts w:eastAsia="MS Mincho"/>
          <w:lang w:eastAsia="en-US"/>
        </w:rPr>
        <w:t xml:space="preserve">Submitted by </w:t>
      </w:r>
      <w:r w:rsidRPr="00C10F88">
        <w:t>the expert from the Netherlands</w:t>
      </w:r>
      <w:r w:rsidRPr="00C10F88">
        <w:footnoteReference w:customMarkFollows="1" w:id="2"/>
        <w:t>*</w:t>
      </w:r>
    </w:p>
    <w:p w14:paraId="208F65F0" w14:textId="77777777" w:rsidR="00833631" w:rsidRPr="00C10F88" w:rsidRDefault="00833631" w:rsidP="00833631">
      <w:pPr>
        <w:pStyle w:val="SingleTxtG"/>
        <w:ind w:firstLine="567"/>
      </w:pPr>
      <w:r w:rsidRPr="00C10F88">
        <w:rPr>
          <w:color w:val="000000" w:themeColor="text1"/>
        </w:rPr>
        <w:t>The text reproduced below was prepared by the expert from the Netherlands,</w:t>
      </w:r>
      <w:r w:rsidRPr="00C10F88">
        <w:t xml:space="preserve"> </w:t>
      </w:r>
      <w:bookmarkStart w:id="0" w:name="_Hlk46250620"/>
      <w:r w:rsidRPr="00C10F88">
        <w:t>to update the references to the three-dimensional H-point (</w:t>
      </w:r>
      <w:r w:rsidRPr="00C10F88">
        <w:rPr>
          <w:rFonts w:eastAsia="Malgun Gothic"/>
          <w:lang w:eastAsia="ko-KR"/>
        </w:rPr>
        <w:t xml:space="preserve">3-D "H"-point) </w:t>
      </w:r>
      <w:r w:rsidRPr="00C10F88">
        <w:t>measurement and calibration procedure, which is updated and moved from the Consolidated Resolution on the Construction of Vehicles (R.E.3) to Mutual Resolution No. 1 (M.R.1). The modifications to the current text of UN Regulation No. 46 are marked in bold for new and strikethrough for deleted characters.</w:t>
      </w:r>
    </w:p>
    <w:bookmarkEnd w:id="0"/>
    <w:p w14:paraId="38467DE8" w14:textId="77777777" w:rsidR="00833631" w:rsidRPr="00C10F88" w:rsidRDefault="00833631" w:rsidP="00833631">
      <w:pPr>
        <w:pStyle w:val="SingleTxtG"/>
        <w:ind w:firstLine="425"/>
      </w:pPr>
    </w:p>
    <w:p w14:paraId="0358FF55" w14:textId="77777777" w:rsidR="00833631" w:rsidRPr="00C10F88" w:rsidRDefault="00833631" w:rsidP="00833631">
      <w:pPr>
        <w:pStyle w:val="HChG"/>
        <w:tabs>
          <w:tab w:val="left" w:pos="8505"/>
        </w:tabs>
        <w:spacing w:before="0" w:after="0" w:line="240" w:lineRule="auto"/>
        <w:ind w:firstLine="425"/>
        <w:jc w:val="lowKashida"/>
        <w:rPr>
          <w:rFonts w:asciiTheme="majorBidi" w:hAnsiTheme="majorBidi" w:cstheme="majorBidi"/>
        </w:rPr>
      </w:pPr>
      <w:r w:rsidRPr="00C10F88">
        <w:rPr>
          <w:rFonts w:asciiTheme="majorBidi" w:hAnsiTheme="majorBidi" w:cstheme="majorBidi"/>
        </w:rPr>
        <w:br w:type="page"/>
      </w:r>
    </w:p>
    <w:p w14:paraId="08480F63" w14:textId="77777777" w:rsidR="00833631" w:rsidRPr="00C10F88" w:rsidRDefault="00833631" w:rsidP="00833631">
      <w:pPr>
        <w:suppressAutoHyphens w:val="0"/>
        <w:spacing w:after="360" w:line="240" w:lineRule="auto"/>
        <w:rPr>
          <w:rFonts w:eastAsia="MS Mincho"/>
          <w:b/>
          <w:color w:val="000000"/>
          <w:sz w:val="28"/>
          <w:szCs w:val="28"/>
        </w:rPr>
      </w:pPr>
      <w:r w:rsidRPr="00C10F88">
        <w:rPr>
          <w:rFonts w:eastAsia="MS Mincho"/>
          <w:b/>
          <w:color w:val="000000"/>
          <w:sz w:val="28"/>
          <w:szCs w:val="28"/>
        </w:rPr>
        <w:lastRenderedPageBreak/>
        <w:tab/>
        <w:t>I.</w:t>
      </w:r>
      <w:r w:rsidRPr="00C10F88">
        <w:rPr>
          <w:rFonts w:eastAsia="MS Mincho"/>
          <w:b/>
          <w:color w:val="000000"/>
          <w:sz w:val="28"/>
          <w:szCs w:val="28"/>
        </w:rPr>
        <w:tab/>
        <w:t>Proposal</w:t>
      </w:r>
      <w:r w:rsidRPr="00C10F88">
        <w:rPr>
          <w:rFonts w:eastAsia="MS Mincho"/>
          <w:b/>
          <w:color w:val="000000"/>
          <w:sz w:val="28"/>
          <w:szCs w:val="28"/>
        </w:rPr>
        <w:tab/>
      </w:r>
    </w:p>
    <w:p w14:paraId="4F830296" w14:textId="77777777" w:rsidR="00833631" w:rsidRPr="00C10F88" w:rsidRDefault="00833631" w:rsidP="00833631">
      <w:pPr>
        <w:pStyle w:val="Para"/>
        <w:spacing w:after="0"/>
        <w:jc w:val="left"/>
        <w:rPr>
          <w:bCs/>
        </w:rPr>
      </w:pPr>
      <w:r w:rsidRPr="00C10F88">
        <w:rPr>
          <w:bCs/>
          <w:i/>
          <w:iCs/>
        </w:rPr>
        <w:t>Paragraph 18.1.</w:t>
      </w:r>
      <w:proofErr w:type="gramStart"/>
      <w:r w:rsidRPr="00C10F88">
        <w:rPr>
          <w:bCs/>
          <w:i/>
          <w:iCs/>
        </w:rPr>
        <w:t xml:space="preserve">, </w:t>
      </w:r>
      <w:r w:rsidRPr="00C10F88">
        <w:rPr>
          <w:bCs/>
        </w:rPr>
        <w:t xml:space="preserve"> amend</w:t>
      </w:r>
      <w:proofErr w:type="gramEnd"/>
      <w:r w:rsidRPr="00C10F88">
        <w:rPr>
          <w:bCs/>
        </w:rPr>
        <w:t xml:space="preserve"> to read:</w:t>
      </w:r>
    </w:p>
    <w:p w14:paraId="7007021E" w14:textId="77777777" w:rsidR="00833631" w:rsidRPr="00C10F88" w:rsidRDefault="00833631" w:rsidP="00833631">
      <w:pPr>
        <w:keepNext/>
        <w:keepLines/>
        <w:spacing w:before="120" w:after="120"/>
        <w:ind w:left="2276" w:right="1138" w:hanging="1138"/>
        <w:jc w:val="both"/>
        <w:rPr>
          <w:b/>
        </w:rPr>
      </w:pPr>
      <w:r w:rsidRPr="00C10F88">
        <w:rPr>
          <w:bCs/>
        </w:rPr>
        <w:t>"</w:t>
      </w:r>
      <w:r w:rsidRPr="00C10F88">
        <w:t>18.1.</w:t>
      </w:r>
      <w:r w:rsidRPr="00C10F88">
        <w:tab/>
      </w:r>
      <w:r w:rsidRPr="00C10F88">
        <w:rPr>
          <w:strike/>
        </w:rPr>
        <w:t>The conformity of production procedure shall comply with those set out in the Agreement, Appendix 2, (E/ECE/324-E/ECE/TRANS/505/Rev.2).</w:t>
      </w:r>
      <w:r w:rsidRPr="00C10F88">
        <w:rPr>
          <w:b/>
        </w:rPr>
        <w:tab/>
      </w:r>
      <w:r>
        <w:rPr>
          <w:b/>
        </w:rPr>
        <w:t>The p</w:t>
      </w:r>
      <w:r w:rsidRPr="00C10F88">
        <w:rPr>
          <w:b/>
        </w:rPr>
        <w:t>rocedures for the conformity of production shall conform to the general provisions defined in Article 2 and Schedule 1 to the 1958 Agreement (E/ECE/TRANS/505/Rev.3) and meet the following requirements:</w:t>
      </w:r>
      <w:r w:rsidRPr="00C10F88">
        <w:rPr>
          <w:bCs/>
        </w:rPr>
        <w:t>"</w:t>
      </w:r>
    </w:p>
    <w:p w14:paraId="57E919A1" w14:textId="77777777" w:rsidR="00833631" w:rsidRPr="00C10F88" w:rsidRDefault="00833631" w:rsidP="00833631">
      <w:pPr>
        <w:pStyle w:val="Para"/>
        <w:spacing w:before="120"/>
        <w:ind w:left="2276" w:right="1138" w:hanging="1138"/>
        <w:jc w:val="left"/>
        <w:rPr>
          <w:bCs/>
        </w:rPr>
      </w:pPr>
      <w:r w:rsidRPr="00C10F88">
        <w:rPr>
          <w:bCs/>
          <w:i/>
          <w:iCs/>
        </w:rPr>
        <w:t xml:space="preserve">Annex 8, footnote 1, </w:t>
      </w:r>
      <w:r w:rsidRPr="00C10F88">
        <w:rPr>
          <w:bCs/>
        </w:rPr>
        <w:t>amend to read:</w:t>
      </w:r>
    </w:p>
    <w:p w14:paraId="24892283" w14:textId="77777777" w:rsidR="00833631" w:rsidRPr="00C10F88" w:rsidRDefault="00833631" w:rsidP="00833631">
      <w:pPr>
        <w:pStyle w:val="Para"/>
        <w:spacing w:before="120"/>
        <w:ind w:left="2276" w:right="1138" w:hanging="1138"/>
        <w:rPr>
          <w:b/>
          <w:sz w:val="18"/>
          <w:szCs w:val="18"/>
        </w:rPr>
      </w:pPr>
      <w:r w:rsidRPr="00C10F88">
        <w:rPr>
          <w:bCs/>
          <w:sz w:val="18"/>
          <w:szCs w:val="18"/>
        </w:rPr>
        <w:t xml:space="preserve"> "</w:t>
      </w:r>
      <w:r w:rsidRPr="00C10F88">
        <w:rPr>
          <w:bCs/>
          <w:sz w:val="18"/>
          <w:szCs w:val="18"/>
          <w:vertAlign w:val="superscript"/>
        </w:rPr>
        <w:t>1</w:t>
      </w:r>
      <w:r w:rsidRPr="00C10F88">
        <w:rPr>
          <w:bCs/>
          <w:sz w:val="18"/>
          <w:szCs w:val="18"/>
        </w:rPr>
        <w:tab/>
      </w:r>
      <w:r w:rsidRPr="00C10F88">
        <w:rPr>
          <w:sz w:val="18"/>
          <w:szCs w:val="18"/>
        </w:rPr>
        <w:t xml:space="preserve">The procedure is described in </w:t>
      </w:r>
      <w:r w:rsidRPr="00C10F88">
        <w:rPr>
          <w:strike/>
          <w:sz w:val="18"/>
          <w:szCs w:val="18"/>
        </w:rPr>
        <w:t>Annex 1 to the Consolidated Resolution on the Construction of Vehicles (R.E.3) (document ECE/TRANS/WP.29/78/Rev.7). https://unece.org/transport/standards/transport/vehicle-regulations-wp29/resolutions</w:t>
      </w:r>
      <w:r w:rsidRPr="00C10F88">
        <w:rPr>
          <w:bCs/>
          <w:sz w:val="18"/>
          <w:szCs w:val="18"/>
        </w:rPr>
        <w:t xml:space="preserve"> </w:t>
      </w:r>
      <w:bookmarkStart w:id="1" w:name="_Hlk156421770"/>
      <w:r w:rsidRPr="00C10F88">
        <w:rPr>
          <w:bCs/>
          <w:sz w:val="18"/>
          <w:szCs w:val="18"/>
        </w:rPr>
        <w:br/>
      </w:r>
      <w:r w:rsidRPr="00C10F88">
        <w:rPr>
          <w:b/>
          <w:sz w:val="18"/>
          <w:szCs w:val="18"/>
        </w:rPr>
        <w:t xml:space="preserve">Addendum 6 of Mutual Resolution No. 1 (M.R.1) (document ECE/TRANS/WP.29/1101/Amend.5); see </w:t>
      </w:r>
      <w:hyperlink r:id="rId12" w:history="1">
        <w:r w:rsidRPr="00C10F88">
          <w:rPr>
            <w:rStyle w:val="Hyperlink"/>
            <w:b/>
            <w:sz w:val="18"/>
            <w:szCs w:val="18"/>
          </w:rPr>
          <w:t>https://unece.org/transport/vehicle-regulations/wp29/resolutions</w:t>
        </w:r>
      </w:hyperlink>
      <w:r w:rsidRPr="00C10F88">
        <w:rPr>
          <w:rStyle w:val="Hyperlink"/>
          <w:bCs/>
          <w:color w:val="auto"/>
          <w:sz w:val="18"/>
          <w:szCs w:val="18"/>
        </w:rPr>
        <w:t>"</w:t>
      </w:r>
    </w:p>
    <w:bookmarkEnd w:id="1"/>
    <w:p w14:paraId="3BFDBA15" w14:textId="77777777" w:rsidR="00833631" w:rsidRPr="00C10F88" w:rsidRDefault="00833631" w:rsidP="00833631">
      <w:pPr>
        <w:suppressAutoHyphens w:val="0"/>
        <w:spacing w:before="360" w:line="240" w:lineRule="auto"/>
        <w:rPr>
          <w:rFonts w:eastAsia="MS Mincho"/>
          <w:b/>
          <w:color w:val="000000"/>
          <w:sz w:val="28"/>
          <w:szCs w:val="28"/>
        </w:rPr>
      </w:pPr>
      <w:r w:rsidRPr="00C10F88">
        <w:rPr>
          <w:rFonts w:eastAsia="MS Mincho"/>
          <w:b/>
          <w:color w:val="000000"/>
          <w:sz w:val="28"/>
          <w:szCs w:val="28"/>
        </w:rPr>
        <w:tab/>
        <w:t>II.</w:t>
      </w:r>
      <w:r w:rsidRPr="00C10F88">
        <w:rPr>
          <w:rFonts w:eastAsia="MS Mincho"/>
          <w:b/>
          <w:color w:val="000000"/>
          <w:sz w:val="28"/>
          <w:szCs w:val="28"/>
        </w:rPr>
        <w:tab/>
        <w:t>Justification</w:t>
      </w:r>
    </w:p>
    <w:p w14:paraId="0FD87DD7" w14:textId="77777777" w:rsidR="00833631" w:rsidRPr="00C10F88" w:rsidRDefault="00833631" w:rsidP="00833631">
      <w:pPr>
        <w:pStyle w:val="SingleTxtG"/>
        <w:ind w:left="1710"/>
        <w:jc w:val="left"/>
        <w:rPr>
          <w:rFonts w:eastAsia="Malgun Gothic"/>
          <w:lang w:eastAsia="ko-KR"/>
        </w:rPr>
      </w:pPr>
    </w:p>
    <w:p w14:paraId="7F605C25" w14:textId="77777777" w:rsidR="00833631" w:rsidRDefault="00833631" w:rsidP="00833631">
      <w:pPr>
        <w:pStyle w:val="SingleTxtG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1.</w:t>
      </w:r>
      <w:r>
        <w:rPr>
          <w:rFonts w:eastAsia="Malgun Gothic"/>
          <w:lang w:eastAsia="ko-KR"/>
        </w:rPr>
        <w:tab/>
      </w:r>
      <w:r w:rsidRPr="00C10F88">
        <w:rPr>
          <w:rFonts w:eastAsia="Malgun Gothic"/>
          <w:lang w:eastAsia="ko-KR"/>
        </w:rPr>
        <w:t xml:space="preserve">Chapter 8 </w:t>
      </w:r>
      <w:r>
        <w:rPr>
          <w:rFonts w:eastAsia="Malgun Gothic"/>
          <w:lang w:eastAsia="ko-KR"/>
        </w:rPr>
        <w:t xml:space="preserve">has been updated </w:t>
      </w:r>
      <w:r w:rsidRPr="00C10F88">
        <w:rPr>
          <w:rFonts w:eastAsia="Malgun Gothic"/>
          <w:lang w:eastAsia="ko-KR"/>
        </w:rPr>
        <w:t>to reflect the Revision 3 of the 1958 Agreement.</w:t>
      </w:r>
    </w:p>
    <w:p w14:paraId="2EBBFCBD" w14:textId="77777777" w:rsidR="00833631" w:rsidRPr="00192EBC" w:rsidRDefault="00833631" w:rsidP="00833631">
      <w:pPr>
        <w:pStyle w:val="SingleTxtG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2.</w:t>
      </w:r>
      <w:r>
        <w:rPr>
          <w:rFonts w:eastAsia="Malgun Gothic"/>
          <w:lang w:eastAsia="ko-KR"/>
        </w:rPr>
        <w:tab/>
      </w:r>
      <w:r w:rsidRPr="00192EBC">
        <w:rPr>
          <w:rFonts w:eastAsia="Malgun Gothic"/>
          <w:lang w:eastAsia="ko-KR"/>
        </w:rPr>
        <w:t>The specifications of the 3-D "H"-point machine have been updated and transferred from R.E.3. to M.R.1. A calibration procedure has also been added to ensure that the 3-D "H" point machine used for all testing in UN Regulations and UN Global Technical Regulations is consistent and provides consistent test results across Regulations.</w:t>
      </w:r>
    </w:p>
    <w:p w14:paraId="7CDBBDE4" w14:textId="77777777" w:rsidR="00833631" w:rsidRPr="00C10F88" w:rsidRDefault="00833631" w:rsidP="00833631">
      <w:pPr>
        <w:spacing w:before="240"/>
        <w:jc w:val="center"/>
        <w:rPr>
          <w:u w:val="single"/>
        </w:rPr>
      </w:pPr>
      <w:r w:rsidRPr="00C10F88">
        <w:rPr>
          <w:u w:val="single"/>
        </w:rPr>
        <w:tab/>
      </w:r>
      <w:r w:rsidRPr="00C10F88">
        <w:rPr>
          <w:u w:val="single"/>
        </w:rPr>
        <w:tab/>
      </w:r>
      <w:r w:rsidRPr="00C10F88">
        <w:rPr>
          <w:u w:val="single"/>
        </w:rPr>
        <w:tab/>
      </w:r>
    </w:p>
    <w:p w14:paraId="4742CB6D" w14:textId="77777777" w:rsidR="001C6663" w:rsidRPr="00833631" w:rsidRDefault="001C6663" w:rsidP="00595520"/>
    <w:sectPr w:rsidR="001C6663" w:rsidRPr="00833631" w:rsidSect="00833631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6612" w14:textId="77777777" w:rsidR="00997589" w:rsidRDefault="00997589"/>
  </w:endnote>
  <w:endnote w:type="continuationSeparator" w:id="0">
    <w:p w14:paraId="5BA4EFA0" w14:textId="77777777" w:rsidR="00997589" w:rsidRDefault="00997589"/>
  </w:endnote>
  <w:endnote w:type="continuationNotice" w:id="1">
    <w:p w14:paraId="7A3E733C" w14:textId="77777777" w:rsidR="00997589" w:rsidRDefault="00997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874A" w14:textId="4741E2E9" w:rsidR="00833631" w:rsidRPr="00833631" w:rsidRDefault="00833631" w:rsidP="00833631">
    <w:pPr>
      <w:pStyle w:val="Footer"/>
      <w:tabs>
        <w:tab w:val="right" w:pos="9638"/>
      </w:tabs>
      <w:rPr>
        <w:sz w:val="18"/>
      </w:rPr>
    </w:pPr>
    <w:r w:rsidRPr="00833631">
      <w:rPr>
        <w:b/>
        <w:sz w:val="18"/>
      </w:rPr>
      <w:fldChar w:fldCharType="begin"/>
    </w:r>
    <w:r w:rsidRPr="00833631">
      <w:rPr>
        <w:b/>
        <w:sz w:val="18"/>
      </w:rPr>
      <w:instrText xml:space="preserve"> PAGE  \* MERGEFORMAT </w:instrText>
    </w:r>
    <w:r w:rsidRPr="00833631">
      <w:rPr>
        <w:b/>
        <w:sz w:val="18"/>
      </w:rPr>
      <w:fldChar w:fldCharType="separate"/>
    </w:r>
    <w:r w:rsidRPr="00833631">
      <w:rPr>
        <w:b/>
        <w:noProof/>
        <w:sz w:val="18"/>
      </w:rPr>
      <w:t>2</w:t>
    </w:r>
    <w:r w:rsidRPr="0083363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10C0" w14:textId="5DE41EAA" w:rsidR="00833631" w:rsidRPr="00833631" w:rsidRDefault="00833631" w:rsidP="00833631">
    <w:pPr>
      <w:pStyle w:val="Footer"/>
      <w:tabs>
        <w:tab w:val="right" w:pos="9638"/>
      </w:tabs>
      <w:rPr>
        <w:b/>
        <w:sz w:val="18"/>
      </w:rPr>
    </w:pPr>
    <w:r>
      <w:tab/>
    </w:r>
    <w:r w:rsidRPr="00833631">
      <w:rPr>
        <w:b/>
        <w:sz w:val="18"/>
      </w:rPr>
      <w:fldChar w:fldCharType="begin"/>
    </w:r>
    <w:r w:rsidRPr="00833631">
      <w:rPr>
        <w:b/>
        <w:sz w:val="18"/>
      </w:rPr>
      <w:instrText xml:space="preserve"> PAGE  \* MERGEFORMAT </w:instrText>
    </w:r>
    <w:r w:rsidRPr="00833631">
      <w:rPr>
        <w:b/>
        <w:sz w:val="18"/>
      </w:rPr>
      <w:fldChar w:fldCharType="separate"/>
    </w:r>
    <w:r w:rsidRPr="00833631">
      <w:rPr>
        <w:b/>
        <w:noProof/>
        <w:sz w:val="18"/>
      </w:rPr>
      <w:t>3</w:t>
    </w:r>
    <w:r w:rsidRPr="0083363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E07" w14:textId="24E90762" w:rsidR="000804A9" w:rsidRDefault="000804A9" w:rsidP="000804A9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736EC05F" wp14:editId="7AD6FE5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D0D1A" w14:textId="747D89F2" w:rsidR="000804A9" w:rsidRPr="000804A9" w:rsidRDefault="000804A9" w:rsidP="000804A9">
    <w:pPr>
      <w:pStyle w:val="Footer"/>
      <w:ind w:right="1134"/>
      <w:rPr>
        <w:sz w:val="20"/>
      </w:rPr>
    </w:pPr>
    <w:r>
      <w:rPr>
        <w:sz w:val="20"/>
      </w:rPr>
      <w:t>GE.24-01573(E)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73C2803" wp14:editId="64F618E6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1B98" w14:textId="77777777" w:rsidR="00997589" w:rsidRPr="000B175B" w:rsidRDefault="0099758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C65A741" w14:textId="77777777" w:rsidR="00997589" w:rsidRPr="00FC68B7" w:rsidRDefault="0099758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0BDCC86" w14:textId="77777777" w:rsidR="00997589" w:rsidRDefault="00997589"/>
  </w:footnote>
  <w:footnote w:id="2">
    <w:p w14:paraId="40DCB1A7" w14:textId="77777777" w:rsidR="00833631" w:rsidRPr="00EA370C" w:rsidRDefault="00833631" w:rsidP="00833631">
      <w:pPr>
        <w:pStyle w:val="FootnoteText"/>
        <w:jc w:val="both"/>
        <w:rPr>
          <w:lang w:val="en-US"/>
        </w:rPr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 w:rsidRPr="00CC0197">
        <w:rPr>
          <w:szCs w:val="18"/>
          <w:lang w:val="en-US"/>
        </w:rPr>
        <w:t xml:space="preserve">In accordance with the </w:t>
      </w:r>
      <w:proofErr w:type="spellStart"/>
      <w:r w:rsidRPr="00CC0197">
        <w:rPr>
          <w:szCs w:val="18"/>
          <w:lang w:val="en-US"/>
        </w:rPr>
        <w:t>programme</w:t>
      </w:r>
      <w:proofErr w:type="spellEnd"/>
      <w:r w:rsidRPr="00CC0197">
        <w:rPr>
          <w:szCs w:val="18"/>
          <w:lang w:val="en-US"/>
        </w:rPr>
        <w:t xml:space="preserve"> of work of the Inland Transport Committee for </w:t>
      </w:r>
      <w:r w:rsidRPr="00CC0197">
        <w:rPr>
          <w:lang w:val="en-US"/>
        </w:rPr>
        <w:t>202</w:t>
      </w:r>
      <w:r>
        <w:rPr>
          <w:lang w:val="en-US"/>
        </w:rPr>
        <w:t>4</w:t>
      </w:r>
      <w:r w:rsidRPr="00CC0197">
        <w:rPr>
          <w:lang w:val="en-US"/>
        </w:rPr>
        <w:t xml:space="preserve"> as outlined in proposed </w:t>
      </w:r>
      <w:proofErr w:type="spellStart"/>
      <w:r w:rsidRPr="00CC0197">
        <w:rPr>
          <w:lang w:val="en-US"/>
        </w:rPr>
        <w:t>programme</w:t>
      </w:r>
      <w:proofErr w:type="spellEnd"/>
      <w:r w:rsidRPr="00CC0197">
        <w:rPr>
          <w:lang w:val="en-US"/>
        </w:rPr>
        <w:t xml:space="preserve"> budget for </w:t>
      </w:r>
      <w:r w:rsidRPr="005936E3">
        <w:rPr>
          <w:szCs w:val="18"/>
          <w:lang w:val="en-US"/>
        </w:rPr>
        <w:t>202</w:t>
      </w:r>
      <w:r>
        <w:rPr>
          <w:szCs w:val="18"/>
          <w:lang w:val="en-US"/>
        </w:rPr>
        <w:t>4</w:t>
      </w:r>
      <w:r w:rsidRPr="005936E3">
        <w:rPr>
          <w:szCs w:val="18"/>
          <w:lang w:val="en-US"/>
        </w:rPr>
        <w:t xml:space="preserve"> (</w:t>
      </w:r>
      <w:r w:rsidRPr="00531A3D">
        <w:rPr>
          <w:lang w:val="en-US"/>
        </w:rPr>
        <w:t xml:space="preserve">A/78/6 </w:t>
      </w:r>
      <w:r w:rsidRPr="00B93331">
        <w:rPr>
          <w:lang w:val="en-US"/>
        </w:rPr>
        <w:t>(Sect. 20), table 20.</w:t>
      </w:r>
      <w:r>
        <w:rPr>
          <w:lang w:val="en-US"/>
        </w:rPr>
        <w:t>5</w:t>
      </w:r>
      <w:r w:rsidRPr="00CC0197">
        <w:rPr>
          <w:lang w:val="en-US"/>
        </w:rPr>
        <w:t>)</w:t>
      </w:r>
      <w:r w:rsidRPr="00CC0197">
        <w:rPr>
          <w:szCs w:val="18"/>
          <w:lang w:val="en-US"/>
        </w:rPr>
        <w:t xml:space="preserve">, </w:t>
      </w:r>
      <w:r>
        <w:rPr>
          <w:szCs w:val="18"/>
          <w:lang w:val="en-US"/>
        </w:rPr>
        <w:t xml:space="preserve">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4710" w14:textId="2407BC49" w:rsidR="00833631" w:rsidRPr="001A6FAE" w:rsidRDefault="001A6FAE">
    <w:pPr>
      <w:pStyle w:val="Header"/>
      <w:rPr>
        <w:lang w:val="fr-CH"/>
      </w:rPr>
    </w:pPr>
    <w:r>
      <w:rPr>
        <w:lang w:val="fr-CH"/>
      </w:rPr>
      <w:t>ECE/TRANS/WP.29/GRSG/2024/21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960E" w14:textId="4F3492CB" w:rsidR="00833631" w:rsidRPr="00833631" w:rsidRDefault="000804A9" w:rsidP="0083363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C22650">
      <w:t>ECE/TRANS/WP.29/GRSG/2024/21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868427">
    <w:abstractNumId w:val="1"/>
  </w:num>
  <w:num w:numId="2" w16cid:durableId="560793876">
    <w:abstractNumId w:val="0"/>
  </w:num>
  <w:num w:numId="3" w16cid:durableId="1140273229">
    <w:abstractNumId w:val="2"/>
  </w:num>
  <w:num w:numId="4" w16cid:durableId="1505583273">
    <w:abstractNumId w:val="3"/>
  </w:num>
  <w:num w:numId="5" w16cid:durableId="830563327">
    <w:abstractNumId w:val="8"/>
  </w:num>
  <w:num w:numId="6" w16cid:durableId="660354791">
    <w:abstractNumId w:val="9"/>
  </w:num>
  <w:num w:numId="7" w16cid:durableId="187303137">
    <w:abstractNumId w:val="7"/>
  </w:num>
  <w:num w:numId="8" w16cid:durableId="2002543242">
    <w:abstractNumId w:val="6"/>
  </w:num>
  <w:num w:numId="9" w16cid:durableId="1821191967">
    <w:abstractNumId w:val="5"/>
  </w:num>
  <w:num w:numId="10" w16cid:durableId="1238632524">
    <w:abstractNumId w:val="4"/>
  </w:num>
  <w:num w:numId="11" w16cid:durableId="487527002">
    <w:abstractNumId w:val="15"/>
  </w:num>
  <w:num w:numId="12" w16cid:durableId="1320571796">
    <w:abstractNumId w:val="14"/>
  </w:num>
  <w:num w:numId="13" w16cid:durableId="2076969387">
    <w:abstractNumId w:val="10"/>
  </w:num>
  <w:num w:numId="14" w16cid:durableId="329138256">
    <w:abstractNumId w:val="12"/>
  </w:num>
  <w:num w:numId="15" w16cid:durableId="1280795877">
    <w:abstractNumId w:val="16"/>
  </w:num>
  <w:num w:numId="16" w16cid:durableId="303127797">
    <w:abstractNumId w:val="13"/>
  </w:num>
  <w:num w:numId="17" w16cid:durableId="975989314">
    <w:abstractNumId w:val="17"/>
  </w:num>
  <w:num w:numId="18" w16cid:durableId="1598752674">
    <w:abstractNumId w:val="18"/>
  </w:num>
  <w:num w:numId="19" w16cid:durableId="104845472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31"/>
    <w:rsid w:val="00002A7D"/>
    <w:rsid w:val="000038A8"/>
    <w:rsid w:val="00005DF3"/>
    <w:rsid w:val="00006790"/>
    <w:rsid w:val="00027624"/>
    <w:rsid w:val="00050F6B"/>
    <w:rsid w:val="000678CD"/>
    <w:rsid w:val="00072C8C"/>
    <w:rsid w:val="000804A9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A0452"/>
    <w:rsid w:val="001A6FAE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0F00"/>
    <w:rsid w:val="003C2CC4"/>
    <w:rsid w:val="003D4B23"/>
    <w:rsid w:val="003E278A"/>
    <w:rsid w:val="00413520"/>
    <w:rsid w:val="004325CB"/>
    <w:rsid w:val="00440A07"/>
    <w:rsid w:val="00462880"/>
    <w:rsid w:val="00476F24"/>
    <w:rsid w:val="004A5D33"/>
    <w:rsid w:val="004C55B0"/>
    <w:rsid w:val="004F6BA0"/>
    <w:rsid w:val="00503BEA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D15CA"/>
    <w:rsid w:val="005D1DB1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070"/>
    <w:rsid w:val="007C3390"/>
    <w:rsid w:val="007C42D8"/>
    <w:rsid w:val="007C4F4B"/>
    <w:rsid w:val="007D6F65"/>
    <w:rsid w:val="007D7362"/>
    <w:rsid w:val="007F5CE2"/>
    <w:rsid w:val="007F6611"/>
    <w:rsid w:val="00810BAC"/>
    <w:rsid w:val="008175E9"/>
    <w:rsid w:val="008242D7"/>
    <w:rsid w:val="0082577B"/>
    <w:rsid w:val="00825CB5"/>
    <w:rsid w:val="00833631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97589"/>
    <w:rsid w:val="009A7B81"/>
    <w:rsid w:val="009B7EB7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22650"/>
    <w:rsid w:val="00C463D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C18AD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CB734"/>
  <w15:docId w15:val="{7839B6FB-8B9A-485F-BD45-D591A1CE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uiPriority w:val="99"/>
    <w:qFormat/>
    <w:rsid w:val="00097003"/>
    <w:rPr>
      <w:sz w:val="18"/>
      <w:lang w:val="en-GB" w:eastAsia="en-US"/>
    </w:rPr>
  </w:style>
  <w:style w:type="character" w:customStyle="1" w:styleId="HChGChar">
    <w:name w:val="_ H _Ch_G Char"/>
    <w:link w:val="HChG"/>
    <w:locked/>
    <w:rsid w:val="00833631"/>
    <w:rPr>
      <w:b/>
      <w:sz w:val="28"/>
      <w:lang w:val="en-GB"/>
    </w:rPr>
  </w:style>
  <w:style w:type="character" w:customStyle="1" w:styleId="SingleTxtGChar">
    <w:name w:val="_ Single Txt_G Char"/>
    <w:link w:val="SingleTxtG"/>
    <w:qFormat/>
    <w:locked/>
    <w:rsid w:val="00833631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83363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36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33631"/>
    <w:rPr>
      <w:lang w:val="en-GB"/>
    </w:rPr>
  </w:style>
  <w:style w:type="paragraph" w:customStyle="1" w:styleId="Para">
    <w:name w:val="Para"/>
    <w:basedOn w:val="Normal"/>
    <w:qFormat/>
    <w:rsid w:val="00833631"/>
    <w:pPr>
      <w:suppressAutoHyphens w:val="0"/>
      <w:spacing w:after="120"/>
      <w:ind w:left="2268" w:right="1134" w:hanging="113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98240-6FFC-4692-9A40-357CAD8A3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49065-6EAA-44D0-ACED-E89C80CE0CDE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3971D6-1033-4A57-AB28-5C15D343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2002</Characters>
  <Application>Microsoft Office Word</Application>
  <DocSecurity>0</DocSecurity>
  <Lines>51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ECE/TRANS/WP.29/GRSG/2024/21</dc:title>
  <dc:subject>2401573</dc:subject>
  <dc:creator>EG</dc:creator>
  <cp:keywords/>
  <dc:description/>
  <cp:lastModifiedBy>Pauline Anne Escalante</cp:lastModifiedBy>
  <cp:revision>2</cp:revision>
  <cp:lastPrinted>2024-01-30T08:39:00Z</cp:lastPrinted>
  <dcterms:created xsi:type="dcterms:W3CDTF">2024-01-30T09:18:00Z</dcterms:created>
  <dcterms:modified xsi:type="dcterms:W3CDTF">2024-01-30T09:18:00Z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