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96902" w14:paraId="14B0E008" w14:textId="77777777" w:rsidTr="00B20551">
        <w:trPr>
          <w:cantSplit/>
          <w:trHeight w:hRule="exact" w:val="851"/>
        </w:trPr>
        <w:tc>
          <w:tcPr>
            <w:tcW w:w="1276" w:type="dxa"/>
            <w:tcBorders>
              <w:bottom w:val="single" w:sz="4" w:space="0" w:color="auto"/>
            </w:tcBorders>
            <w:vAlign w:val="bottom"/>
          </w:tcPr>
          <w:p w14:paraId="14B8014A" w14:textId="77777777" w:rsidR="009E6CB7" w:rsidRPr="00196902" w:rsidRDefault="009E6CB7" w:rsidP="00B20551">
            <w:pPr>
              <w:spacing w:after="80"/>
            </w:pPr>
          </w:p>
        </w:tc>
        <w:tc>
          <w:tcPr>
            <w:tcW w:w="2268" w:type="dxa"/>
            <w:tcBorders>
              <w:bottom w:val="single" w:sz="4" w:space="0" w:color="auto"/>
            </w:tcBorders>
            <w:vAlign w:val="bottom"/>
          </w:tcPr>
          <w:p w14:paraId="72164015" w14:textId="77777777" w:rsidR="009E6CB7" w:rsidRPr="00196902" w:rsidRDefault="009E6CB7" w:rsidP="00B20551">
            <w:pPr>
              <w:spacing w:after="80" w:line="300" w:lineRule="exact"/>
              <w:rPr>
                <w:b/>
                <w:sz w:val="24"/>
                <w:szCs w:val="24"/>
              </w:rPr>
            </w:pPr>
            <w:r w:rsidRPr="00196902">
              <w:rPr>
                <w:sz w:val="28"/>
                <w:szCs w:val="28"/>
              </w:rPr>
              <w:t>United Nations</w:t>
            </w:r>
          </w:p>
        </w:tc>
        <w:tc>
          <w:tcPr>
            <w:tcW w:w="6095" w:type="dxa"/>
            <w:gridSpan w:val="2"/>
            <w:tcBorders>
              <w:bottom w:val="single" w:sz="4" w:space="0" w:color="auto"/>
            </w:tcBorders>
            <w:vAlign w:val="bottom"/>
          </w:tcPr>
          <w:p w14:paraId="5AA55B6A" w14:textId="2600843C" w:rsidR="009E6CB7" w:rsidRPr="00196902" w:rsidRDefault="00C3287F" w:rsidP="00C3287F">
            <w:pPr>
              <w:jc w:val="right"/>
            </w:pPr>
            <w:r w:rsidRPr="00196902">
              <w:rPr>
                <w:sz w:val="40"/>
              </w:rPr>
              <w:t>ECE</w:t>
            </w:r>
            <w:r w:rsidRPr="00196902">
              <w:t>/TRANS/WP.29/GRSG/2024/6</w:t>
            </w:r>
          </w:p>
        </w:tc>
      </w:tr>
      <w:tr w:rsidR="009E6CB7" w:rsidRPr="00196902" w14:paraId="3B835334" w14:textId="77777777" w:rsidTr="00B20551">
        <w:trPr>
          <w:cantSplit/>
          <w:trHeight w:hRule="exact" w:val="2835"/>
        </w:trPr>
        <w:tc>
          <w:tcPr>
            <w:tcW w:w="1276" w:type="dxa"/>
            <w:tcBorders>
              <w:top w:val="single" w:sz="4" w:space="0" w:color="auto"/>
              <w:bottom w:val="single" w:sz="12" w:space="0" w:color="auto"/>
            </w:tcBorders>
          </w:tcPr>
          <w:p w14:paraId="608F434F" w14:textId="77777777" w:rsidR="009E6CB7" w:rsidRPr="00196902" w:rsidRDefault="00686A48" w:rsidP="00B20551">
            <w:pPr>
              <w:spacing w:before="120"/>
            </w:pPr>
            <w:r w:rsidRPr="00196902">
              <w:rPr>
                <w:noProof/>
                <w:lang w:eastAsia="fr-CH"/>
              </w:rPr>
              <w:drawing>
                <wp:inline distT="0" distB="0" distL="0" distR="0" wp14:anchorId="19EB5E92" wp14:editId="7597C1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61493" w14:textId="77777777" w:rsidR="009E6CB7" w:rsidRPr="00196902" w:rsidRDefault="009E6CB7" w:rsidP="00B20551">
            <w:pPr>
              <w:spacing w:before="120" w:line="420" w:lineRule="exact"/>
              <w:rPr>
                <w:sz w:val="40"/>
                <w:szCs w:val="40"/>
              </w:rPr>
            </w:pPr>
            <w:r w:rsidRPr="00196902">
              <w:rPr>
                <w:b/>
                <w:sz w:val="40"/>
                <w:szCs w:val="40"/>
              </w:rPr>
              <w:t>Economic and Social Council</w:t>
            </w:r>
          </w:p>
        </w:tc>
        <w:tc>
          <w:tcPr>
            <w:tcW w:w="2835" w:type="dxa"/>
            <w:tcBorders>
              <w:top w:val="single" w:sz="4" w:space="0" w:color="auto"/>
              <w:bottom w:val="single" w:sz="12" w:space="0" w:color="auto"/>
            </w:tcBorders>
          </w:tcPr>
          <w:p w14:paraId="303F6982" w14:textId="77777777" w:rsidR="009E6CB7" w:rsidRPr="00196902" w:rsidRDefault="00C3287F" w:rsidP="00C3287F">
            <w:pPr>
              <w:spacing w:before="240" w:line="240" w:lineRule="exact"/>
            </w:pPr>
            <w:r w:rsidRPr="00196902">
              <w:t>Distr.: General</w:t>
            </w:r>
          </w:p>
          <w:p w14:paraId="1F298637" w14:textId="1E98E41C" w:rsidR="00C3287F" w:rsidRPr="00196902" w:rsidRDefault="00C3287F" w:rsidP="00C3287F">
            <w:pPr>
              <w:spacing w:line="240" w:lineRule="exact"/>
            </w:pPr>
            <w:r w:rsidRPr="00196902">
              <w:t>2</w:t>
            </w:r>
            <w:r w:rsidR="00B67FA5">
              <w:t>6</w:t>
            </w:r>
            <w:r w:rsidRPr="00196902">
              <w:t xml:space="preserve"> January 2023</w:t>
            </w:r>
          </w:p>
          <w:p w14:paraId="2BC246BB" w14:textId="77777777" w:rsidR="00C3287F" w:rsidRPr="00196902" w:rsidRDefault="00C3287F" w:rsidP="00C3287F">
            <w:pPr>
              <w:spacing w:line="240" w:lineRule="exact"/>
            </w:pPr>
          </w:p>
          <w:p w14:paraId="3120344E" w14:textId="572044B5" w:rsidR="00C3287F" w:rsidRPr="00196902" w:rsidRDefault="00C3287F" w:rsidP="00C3287F">
            <w:pPr>
              <w:spacing w:line="240" w:lineRule="exact"/>
            </w:pPr>
            <w:r w:rsidRPr="00196902">
              <w:t>Original: English</w:t>
            </w:r>
          </w:p>
        </w:tc>
      </w:tr>
    </w:tbl>
    <w:p w14:paraId="1587405C" w14:textId="77777777" w:rsidR="00C3287F" w:rsidRPr="00196902" w:rsidRDefault="00C3287F" w:rsidP="00C3287F">
      <w:pPr>
        <w:spacing w:before="120"/>
        <w:rPr>
          <w:b/>
          <w:sz w:val="28"/>
          <w:szCs w:val="28"/>
        </w:rPr>
      </w:pPr>
      <w:r w:rsidRPr="00196902">
        <w:rPr>
          <w:b/>
          <w:sz w:val="28"/>
          <w:szCs w:val="28"/>
        </w:rPr>
        <w:t>Economic Commission for Europe</w:t>
      </w:r>
    </w:p>
    <w:p w14:paraId="00BCD122" w14:textId="77777777" w:rsidR="00C3287F" w:rsidRPr="00196902" w:rsidRDefault="00C3287F" w:rsidP="00C3287F">
      <w:pPr>
        <w:spacing w:before="120"/>
        <w:rPr>
          <w:sz w:val="28"/>
          <w:szCs w:val="28"/>
        </w:rPr>
      </w:pPr>
      <w:r w:rsidRPr="00196902">
        <w:rPr>
          <w:sz w:val="28"/>
          <w:szCs w:val="28"/>
        </w:rPr>
        <w:t>Inland Transport Committee</w:t>
      </w:r>
    </w:p>
    <w:p w14:paraId="66AFB24E" w14:textId="77777777" w:rsidR="00C3287F" w:rsidRPr="00196902" w:rsidRDefault="00C3287F" w:rsidP="00C3287F">
      <w:pPr>
        <w:spacing w:before="120"/>
        <w:rPr>
          <w:b/>
          <w:sz w:val="24"/>
          <w:szCs w:val="24"/>
        </w:rPr>
      </w:pPr>
      <w:r w:rsidRPr="00196902">
        <w:rPr>
          <w:b/>
          <w:sz w:val="24"/>
          <w:szCs w:val="24"/>
        </w:rPr>
        <w:t>World Forum for Harmonization of Vehicle Regulations</w:t>
      </w:r>
    </w:p>
    <w:p w14:paraId="7D5859F0" w14:textId="77777777" w:rsidR="00C3287F" w:rsidRPr="00196902" w:rsidRDefault="00C3287F" w:rsidP="00C3287F">
      <w:pPr>
        <w:spacing w:before="120"/>
        <w:rPr>
          <w:b/>
        </w:rPr>
      </w:pPr>
      <w:r w:rsidRPr="00196902">
        <w:rPr>
          <w:b/>
        </w:rPr>
        <w:t>Working Party on General Safety Provisions</w:t>
      </w:r>
    </w:p>
    <w:p w14:paraId="417F3E4E" w14:textId="77777777" w:rsidR="00C3287F" w:rsidRPr="00196902" w:rsidRDefault="00C3287F" w:rsidP="00C3287F">
      <w:pPr>
        <w:spacing w:before="120"/>
        <w:rPr>
          <w:b/>
        </w:rPr>
      </w:pPr>
      <w:r w:rsidRPr="00196902">
        <w:rPr>
          <w:b/>
        </w:rPr>
        <w:t>127th session</w:t>
      </w:r>
    </w:p>
    <w:p w14:paraId="49860263" w14:textId="77777777" w:rsidR="00C3287F" w:rsidRPr="00196902" w:rsidRDefault="00C3287F" w:rsidP="00C3287F">
      <w:r w:rsidRPr="00196902">
        <w:t>Geneva, 15–19 April 2024</w:t>
      </w:r>
    </w:p>
    <w:p w14:paraId="351677D1" w14:textId="5E8BB2D6" w:rsidR="00C3287F" w:rsidRPr="00196902" w:rsidRDefault="00C3287F" w:rsidP="00C3287F">
      <w:r w:rsidRPr="00196902">
        <w:t>Item 4 (e) of the provisional agenda</w:t>
      </w:r>
    </w:p>
    <w:p w14:paraId="39FF5D53" w14:textId="698F651E" w:rsidR="00C3287F" w:rsidRPr="00196902" w:rsidRDefault="00C3287F" w:rsidP="00C3287F">
      <w:r w:rsidRPr="00196902">
        <w:rPr>
          <w:b/>
          <w:bCs/>
        </w:rPr>
        <w:t xml:space="preserve">Awareness of the Proximity of Vulnerable Road Users: </w:t>
      </w:r>
      <w:r w:rsidRPr="00196902">
        <w:rPr>
          <w:b/>
          <w:bCs/>
        </w:rPr>
        <w:br/>
        <w:t>UN Regulation No. 167 (</w:t>
      </w:r>
      <w:r w:rsidR="00DA248C" w:rsidRPr="00812F7C">
        <w:rPr>
          <w:color w:val="000000" w:themeColor="text1"/>
        </w:rPr>
        <w:t>Vulnerable Road Users Direct Vision</w:t>
      </w:r>
      <w:r w:rsidRPr="00196902">
        <w:rPr>
          <w:b/>
          <w:bCs/>
        </w:rPr>
        <w:t>)</w:t>
      </w:r>
    </w:p>
    <w:p w14:paraId="14AC0F2C" w14:textId="115EFB90" w:rsidR="00C3287F" w:rsidRPr="00196902" w:rsidRDefault="00C3287F" w:rsidP="00C3287F">
      <w:pPr>
        <w:pStyle w:val="HChG"/>
        <w:ind w:left="1124" w:right="1138" w:firstLine="0"/>
      </w:pPr>
      <w:r w:rsidRPr="00196902">
        <w:t xml:space="preserve">Proposal for </w:t>
      </w:r>
      <w:r w:rsidR="00196902">
        <w:t xml:space="preserve">the </w:t>
      </w:r>
      <w:r w:rsidRPr="00196902">
        <w:t xml:space="preserve">01 series of </w:t>
      </w:r>
      <w:r w:rsidR="00196902">
        <w:t>A</w:t>
      </w:r>
      <w:r w:rsidRPr="00196902">
        <w:t xml:space="preserve">mendments to the </w:t>
      </w:r>
      <w:r w:rsidR="00196902">
        <w:t>O</w:t>
      </w:r>
      <w:r w:rsidRPr="00196902">
        <w:t xml:space="preserve">riginal </w:t>
      </w:r>
      <w:r w:rsidR="00196902">
        <w:t>V</w:t>
      </w:r>
      <w:r w:rsidRPr="00196902">
        <w:t>ersion of UN Regulation No. 167 (</w:t>
      </w:r>
      <w:r w:rsidR="00DA248C" w:rsidRPr="00812F7C">
        <w:rPr>
          <w:color w:val="000000" w:themeColor="text1"/>
        </w:rPr>
        <w:t>Vulnerable Road Users Direct Vision</w:t>
      </w:r>
      <w:r w:rsidRPr="00196902">
        <w:t xml:space="preserve">) </w:t>
      </w:r>
    </w:p>
    <w:p w14:paraId="27CED28B" w14:textId="089815A8" w:rsidR="00C3287F" w:rsidRPr="00196902" w:rsidRDefault="00C3287F" w:rsidP="00C3287F">
      <w:pPr>
        <w:pStyle w:val="H1G"/>
        <w:rPr>
          <w:szCs w:val="24"/>
        </w:rPr>
      </w:pPr>
      <w:r w:rsidRPr="00196902">
        <w:tab/>
      </w:r>
      <w:r w:rsidRPr="00196902">
        <w:tab/>
      </w:r>
      <w:r w:rsidRPr="00196902">
        <w:rPr>
          <w:rFonts w:eastAsia="MS Mincho"/>
          <w:lang w:eastAsia="en-US"/>
        </w:rPr>
        <w:t>Submitted by the expert from the United Kingdom</w:t>
      </w:r>
      <w:r w:rsidR="001639AB">
        <w:rPr>
          <w:rFonts w:eastAsia="MS Mincho"/>
          <w:lang w:eastAsia="en-US"/>
        </w:rPr>
        <w:t xml:space="preserve"> of Great Britain and Northern Ireland</w:t>
      </w:r>
      <w:r w:rsidRPr="00196902">
        <w:rPr>
          <w:szCs w:val="24"/>
        </w:rPr>
        <w:t xml:space="preserve"> </w:t>
      </w:r>
      <w:r w:rsidRPr="00196902">
        <w:footnoteReference w:customMarkFollows="1" w:id="2"/>
        <w:t>*</w:t>
      </w:r>
    </w:p>
    <w:p w14:paraId="446FE3E1" w14:textId="1759E2D3" w:rsidR="00C3287F" w:rsidRPr="00196902" w:rsidRDefault="00C3287F" w:rsidP="00C3287F">
      <w:pPr>
        <w:pStyle w:val="SingleTxtG"/>
        <w:ind w:firstLine="567"/>
      </w:pPr>
      <w:r w:rsidRPr="00196902">
        <w:t>The text produced below was prepared by the expert from the United Kingdom to amend UN Regulation No. 167 for Vulnerable Road Users Direct Vision as adopted at the 188</w:t>
      </w:r>
      <w:r w:rsidRPr="00B67FA5">
        <w:t xml:space="preserve">th </w:t>
      </w:r>
      <w:r w:rsidRPr="00196902">
        <w:t>session of the World Forum for Harmonization of Vehicle Regulations (WP.29) by ECE/TRANS/WP.29/2022/140/Rev.1. The modifications to the current text of the UN Regulation are marked in bold for new or strikethrough for deleted characters.</w:t>
      </w:r>
    </w:p>
    <w:p w14:paraId="338D6EBD" w14:textId="291A6024" w:rsidR="00C3287F" w:rsidRPr="00196902" w:rsidRDefault="00C3287F" w:rsidP="00595520">
      <w:r w:rsidRPr="00196902">
        <w:br w:type="page"/>
      </w:r>
    </w:p>
    <w:p w14:paraId="0091FD7A" w14:textId="77777777" w:rsidR="00C3287F" w:rsidRPr="00196902" w:rsidRDefault="00C3287F" w:rsidP="00C3287F">
      <w:pPr>
        <w:pStyle w:val="HChG"/>
        <w:jc w:val="both"/>
      </w:pPr>
      <w:r w:rsidRPr="00196902">
        <w:lastRenderedPageBreak/>
        <w:tab/>
        <w:t>I.</w:t>
      </w:r>
      <w:r w:rsidRPr="00196902">
        <w:tab/>
        <w:t>Proposal</w:t>
      </w:r>
    </w:p>
    <w:p w14:paraId="7BB5D3B6" w14:textId="6FD90E97" w:rsidR="00C3287F" w:rsidRPr="00196902" w:rsidRDefault="00C3287F" w:rsidP="00C3287F">
      <w:pPr>
        <w:ind w:left="709"/>
      </w:pPr>
      <w:r w:rsidRPr="00196902">
        <w:rPr>
          <w:i/>
          <w:iCs/>
        </w:rPr>
        <w:tab/>
        <w:t>Insert new paragraph 2.9.4</w:t>
      </w:r>
      <w:r w:rsidR="00B67FA5">
        <w:rPr>
          <w:i/>
          <w:iCs/>
        </w:rPr>
        <w:t>.</w:t>
      </w:r>
      <w:r w:rsidRPr="00196902">
        <w:rPr>
          <w:i/>
          <w:iCs/>
        </w:rPr>
        <w:t xml:space="preserve">, </w:t>
      </w:r>
      <w:r w:rsidRPr="00196902">
        <w:t>to read:</w:t>
      </w:r>
    </w:p>
    <w:p w14:paraId="0987D546" w14:textId="77777777" w:rsidR="00C3287F" w:rsidRPr="00196902" w:rsidRDefault="00C3287F" w:rsidP="00C3287F"/>
    <w:p w14:paraId="3B0D8984" w14:textId="2AB8388A" w:rsidR="00C3287F" w:rsidRPr="00196902" w:rsidRDefault="00C3287F" w:rsidP="00C3287F">
      <w:pPr>
        <w:pStyle w:val="SingleTxtG"/>
        <w:ind w:left="2250" w:hanging="1116"/>
      </w:pPr>
      <w:r w:rsidRPr="00196902">
        <w:t>"</w:t>
      </w:r>
      <w:r w:rsidRPr="00196902">
        <w:rPr>
          <w:b/>
          <w:bCs/>
        </w:rPr>
        <w:t>2.9.4.</w:t>
      </w:r>
      <w:r w:rsidRPr="00196902">
        <w:rPr>
          <w:b/>
          <w:bCs/>
        </w:rPr>
        <w:tab/>
      </w:r>
      <w:r w:rsidRPr="00196902">
        <w:rPr>
          <w:b/>
          <w:bCs/>
        </w:rPr>
        <w:tab/>
      </w:r>
      <w:r w:rsidR="00666249" w:rsidRPr="00196902">
        <w:rPr>
          <w:b/>
          <w:bCs/>
        </w:rPr>
        <w:t>"</w:t>
      </w:r>
      <w:r w:rsidRPr="00DA248C">
        <w:rPr>
          <w:b/>
          <w:bCs/>
          <w:i/>
          <w:iCs/>
        </w:rPr>
        <w:t>Subsection Frontal Visible Volume (SFVV)</w:t>
      </w:r>
      <w:r w:rsidRPr="00196902">
        <w:rPr>
          <w:b/>
          <w:bCs/>
        </w:rPr>
        <w:t>" is defined as a portion of the assessment volume that includes the volume directly in front of the vehicle, between the offside and nearside planes.</w:t>
      </w:r>
      <w:r w:rsidRPr="00196902">
        <w:t>"</w:t>
      </w:r>
    </w:p>
    <w:p w14:paraId="5D7E1046" w14:textId="2D002691" w:rsidR="00C3287F" w:rsidRPr="00196902" w:rsidRDefault="00563902" w:rsidP="00C3287F">
      <w:pPr>
        <w:ind w:left="1134"/>
      </w:pPr>
      <w:r w:rsidRPr="00196902">
        <w:rPr>
          <w:i/>
          <w:iCs/>
        </w:rPr>
        <w:t>T</w:t>
      </w:r>
      <w:r w:rsidR="00C3287F" w:rsidRPr="00196902">
        <w:rPr>
          <w:i/>
          <w:iCs/>
        </w:rPr>
        <w:t>able 1</w:t>
      </w:r>
      <w:r w:rsidRPr="00196902">
        <w:rPr>
          <w:i/>
          <w:iCs/>
        </w:rPr>
        <w:t xml:space="preserve">, </w:t>
      </w:r>
      <w:r w:rsidRPr="00196902">
        <w:t>amend to read</w:t>
      </w:r>
      <w:r w:rsidR="00C3287F" w:rsidRPr="00196902">
        <w:t>:</w:t>
      </w:r>
    </w:p>
    <w:p w14:paraId="56BE8BC7" w14:textId="3FB8A41D" w:rsidR="00C3287F" w:rsidRPr="00196902" w:rsidRDefault="00563902" w:rsidP="00563902">
      <w:pPr>
        <w:pStyle w:val="SingleTxtG"/>
        <w:spacing w:before="120" w:after="0"/>
        <w:ind w:left="1138" w:right="1138"/>
      </w:pPr>
      <w:bookmarkStart w:id="0" w:name="_Ref82094650"/>
      <w:r w:rsidRPr="00196902">
        <w:t>"</w:t>
      </w:r>
      <w:r w:rsidR="00C3287F" w:rsidRPr="00196902">
        <w:t xml:space="preserve">Table </w:t>
      </w:r>
      <w:r w:rsidR="00C3287F" w:rsidRPr="00196902">
        <w:rPr>
          <w:b/>
          <w:bCs/>
        </w:rPr>
        <w:fldChar w:fldCharType="begin"/>
      </w:r>
      <w:r w:rsidR="00C3287F" w:rsidRPr="00196902">
        <w:instrText xml:space="preserve"> SEQ Table \* ARABIC </w:instrText>
      </w:r>
      <w:r w:rsidR="00C3287F" w:rsidRPr="00196902">
        <w:rPr>
          <w:b/>
          <w:bCs/>
        </w:rPr>
        <w:fldChar w:fldCharType="separate"/>
      </w:r>
      <w:r w:rsidR="004B0960">
        <w:rPr>
          <w:noProof/>
        </w:rPr>
        <w:t>1</w:t>
      </w:r>
      <w:r w:rsidR="00C3287F" w:rsidRPr="00196902">
        <w:rPr>
          <w:b/>
          <w:bCs/>
        </w:rPr>
        <w:fldChar w:fldCharType="end"/>
      </w:r>
      <w:bookmarkEnd w:id="0"/>
    </w:p>
    <w:p w14:paraId="67052343" w14:textId="462A008A" w:rsidR="00C3287F" w:rsidRPr="00196902" w:rsidRDefault="00C3287F" w:rsidP="00563902">
      <w:pPr>
        <w:pStyle w:val="SingleTxtG"/>
        <w:rPr>
          <w:b/>
          <w:bCs/>
        </w:rPr>
      </w:pPr>
      <w:r w:rsidRPr="00196902">
        <w:rPr>
          <w:b/>
          <w:bCs/>
        </w:rPr>
        <w:tab/>
        <w:t>Minimum Values of Visible Volume</w:t>
      </w:r>
    </w:p>
    <w:tbl>
      <w:tblPr>
        <w:tblStyle w:val="TableGrid"/>
        <w:tblW w:w="83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993"/>
        <w:gridCol w:w="1417"/>
        <w:gridCol w:w="992"/>
        <w:gridCol w:w="1418"/>
        <w:gridCol w:w="1422"/>
      </w:tblGrid>
      <w:tr w:rsidR="00C3287F" w:rsidRPr="00196902" w14:paraId="3D2EDDB6" w14:textId="77777777" w:rsidTr="006503B1">
        <w:trPr>
          <w:tblHeader/>
        </w:trPr>
        <w:tc>
          <w:tcPr>
            <w:tcW w:w="2126" w:type="dxa"/>
            <w:vMerge w:val="restart"/>
            <w:tcBorders>
              <w:top w:val="single" w:sz="6" w:space="0" w:color="auto"/>
              <w:bottom w:val="single" w:sz="4" w:space="0" w:color="auto"/>
            </w:tcBorders>
            <w:shd w:val="clear" w:color="auto" w:fill="auto"/>
            <w:vAlign w:val="bottom"/>
          </w:tcPr>
          <w:p w14:paraId="4B26B69A" w14:textId="77777777" w:rsidR="00C3287F" w:rsidRPr="00196902" w:rsidRDefault="00C3287F" w:rsidP="006503B1">
            <w:pPr>
              <w:spacing w:before="80" w:after="80" w:line="200" w:lineRule="exact"/>
              <w:ind w:right="113"/>
              <w:rPr>
                <w:i/>
                <w:sz w:val="16"/>
                <w:lang w:eastAsia="ar-SA"/>
              </w:rPr>
            </w:pPr>
          </w:p>
        </w:tc>
        <w:tc>
          <w:tcPr>
            <w:tcW w:w="993" w:type="dxa"/>
            <w:tcBorders>
              <w:top w:val="single" w:sz="6" w:space="0" w:color="auto"/>
              <w:left w:val="nil"/>
            </w:tcBorders>
          </w:tcPr>
          <w:p w14:paraId="2738160D" w14:textId="77777777" w:rsidR="00C3287F" w:rsidRPr="00196902" w:rsidRDefault="00C3287F" w:rsidP="006503B1">
            <w:pPr>
              <w:spacing w:before="80" w:after="80" w:line="200" w:lineRule="exact"/>
              <w:ind w:right="113"/>
              <w:rPr>
                <w:i/>
                <w:sz w:val="16"/>
                <w:lang w:eastAsia="ar-SA"/>
              </w:rPr>
            </w:pPr>
          </w:p>
        </w:tc>
        <w:tc>
          <w:tcPr>
            <w:tcW w:w="5249" w:type="dxa"/>
            <w:gridSpan w:val="4"/>
            <w:tcBorders>
              <w:top w:val="single" w:sz="6" w:space="0" w:color="auto"/>
              <w:bottom w:val="single" w:sz="12" w:space="0" w:color="auto"/>
            </w:tcBorders>
          </w:tcPr>
          <w:p w14:paraId="2DB2BDFA" w14:textId="77777777" w:rsidR="00C3287F" w:rsidRPr="00196902" w:rsidRDefault="00C3287F" w:rsidP="006503B1">
            <w:pPr>
              <w:spacing w:before="80" w:after="80" w:line="200" w:lineRule="exact"/>
              <w:ind w:right="113"/>
              <w:jc w:val="center"/>
              <w:rPr>
                <w:i/>
                <w:sz w:val="16"/>
                <w:lang w:eastAsia="ar-SA"/>
              </w:rPr>
            </w:pPr>
            <w:r w:rsidRPr="00196902">
              <w:rPr>
                <w:i/>
                <w:sz w:val="16"/>
                <w:lang w:eastAsia="ar-SA"/>
              </w:rPr>
              <w:t>Minimum Volume (m</w:t>
            </w:r>
            <w:r w:rsidRPr="00196902">
              <w:rPr>
                <w:i/>
                <w:sz w:val="16"/>
                <w:vertAlign w:val="superscript"/>
                <w:lang w:eastAsia="ar-SA"/>
              </w:rPr>
              <w:t>3</w:t>
            </w:r>
            <w:r w:rsidRPr="00196902">
              <w:rPr>
                <w:i/>
                <w:sz w:val="16"/>
                <w:lang w:eastAsia="ar-SA"/>
              </w:rPr>
              <w:t>) of Direct Vision</w:t>
            </w:r>
          </w:p>
        </w:tc>
      </w:tr>
      <w:tr w:rsidR="00C3287F" w:rsidRPr="00196902" w14:paraId="1E12963B" w14:textId="77777777" w:rsidTr="006503B1">
        <w:trPr>
          <w:gridAfter w:val="2"/>
          <w:wAfter w:w="2840" w:type="dxa"/>
          <w:trHeight w:hRule="exact" w:val="113"/>
          <w:tblHeader/>
        </w:trPr>
        <w:tc>
          <w:tcPr>
            <w:tcW w:w="2126" w:type="dxa"/>
            <w:vMerge/>
            <w:tcBorders>
              <w:top w:val="single" w:sz="12" w:space="0" w:color="auto"/>
              <w:bottom w:val="single" w:sz="4" w:space="0" w:color="auto"/>
            </w:tcBorders>
            <w:shd w:val="clear" w:color="auto" w:fill="auto"/>
          </w:tcPr>
          <w:p w14:paraId="49FC6A4E" w14:textId="77777777" w:rsidR="00C3287F" w:rsidRPr="00196902" w:rsidRDefault="00C3287F" w:rsidP="006503B1">
            <w:pPr>
              <w:spacing w:before="40" w:after="120"/>
              <w:ind w:right="113"/>
              <w:rPr>
                <w:lang w:eastAsia="ar-SA"/>
              </w:rPr>
            </w:pPr>
          </w:p>
        </w:tc>
        <w:tc>
          <w:tcPr>
            <w:tcW w:w="993" w:type="dxa"/>
            <w:tcBorders>
              <w:left w:val="nil"/>
            </w:tcBorders>
          </w:tcPr>
          <w:p w14:paraId="73870E58" w14:textId="77777777" w:rsidR="00C3287F" w:rsidRPr="00196902" w:rsidRDefault="00C3287F" w:rsidP="006503B1">
            <w:pPr>
              <w:spacing w:before="40" w:after="120"/>
              <w:ind w:right="113"/>
              <w:rPr>
                <w:lang w:eastAsia="ar-SA"/>
              </w:rPr>
            </w:pPr>
          </w:p>
        </w:tc>
        <w:tc>
          <w:tcPr>
            <w:tcW w:w="1417" w:type="dxa"/>
            <w:tcBorders>
              <w:top w:val="single" w:sz="12" w:space="0" w:color="auto"/>
            </w:tcBorders>
            <w:shd w:val="clear" w:color="auto" w:fill="auto"/>
          </w:tcPr>
          <w:p w14:paraId="1F3E4845" w14:textId="77777777" w:rsidR="00C3287F" w:rsidRPr="00196902" w:rsidRDefault="00C3287F" w:rsidP="006503B1">
            <w:pPr>
              <w:spacing w:before="40" w:after="120"/>
              <w:ind w:right="113"/>
              <w:rPr>
                <w:lang w:eastAsia="ar-SA"/>
              </w:rPr>
            </w:pPr>
          </w:p>
        </w:tc>
        <w:tc>
          <w:tcPr>
            <w:tcW w:w="992" w:type="dxa"/>
            <w:tcBorders>
              <w:top w:val="single" w:sz="12" w:space="0" w:color="auto"/>
            </w:tcBorders>
          </w:tcPr>
          <w:p w14:paraId="3367541C" w14:textId="77777777" w:rsidR="00C3287F" w:rsidRPr="00196902" w:rsidRDefault="00C3287F" w:rsidP="006503B1">
            <w:pPr>
              <w:spacing w:before="40" w:after="120"/>
              <w:ind w:right="113"/>
              <w:rPr>
                <w:lang w:eastAsia="ar-SA"/>
              </w:rPr>
            </w:pPr>
          </w:p>
        </w:tc>
      </w:tr>
      <w:tr w:rsidR="00C3287F" w:rsidRPr="00196902" w14:paraId="5E7BFB45" w14:textId="77777777" w:rsidTr="006503B1">
        <w:trPr>
          <w:tblHeader/>
        </w:trPr>
        <w:tc>
          <w:tcPr>
            <w:tcW w:w="2126" w:type="dxa"/>
            <w:vMerge/>
            <w:tcBorders>
              <w:bottom w:val="single" w:sz="4" w:space="0" w:color="auto"/>
            </w:tcBorders>
            <w:shd w:val="clear" w:color="auto" w:fill="auto"/>
          </w:tcPr>
          <w:p w14:paraId="4A1A2A07" w14:textId="77777777" w:rsidR="00C3287F" w:rsidRPr="00196902" w:rsidRDefault="00C3287F" w:rsidP="006503B1">
            <w:pPr>
              <w:spacing w:before="40" w:after="120"/>
              <w:ind w:right="113"/>
              <w:rPr>
                <w:lang w:eastAsia="ar-SA"/>
              </w:rPr>
            </w:pPr>
          </w:p>
        </w:tc>
        <w:tc>
          <w:tcPr>
            <w:tcW w:w="993" w:type="dxa"/>
            <w:tcBorders>
              <w:left w:val="nil"/>
              <w:bottom w:val="single" w:sz="4" w:space="0" w:color="auto"/>
              <w:right w:val="single" w:sz="4" w:space="0" w:color="auto"/>
            </w:tcBorders>
          </w:tcPr>
          <w:p w14:paraId="68CB2B27" w14:textId="77777777" w:rsidR="00C3287F" w:rsidRPr="00196902" w:rsidRDefault="00C3287F" w:rsidP="006503B1">
            <w:pPr>
              <w:spacing w:before="40" w:after="120"/>
              <w:jc w:val="center"/>
              <w:rPr>
                <w:lang w:eastAsia="ar-SA"/>
              </w:rPr>
            </w:pPr>
          </w:p>
        </w:tc>
        <w:tc>
          <w:tcPr>
            <w:tcW w:w="1417" w:type="dxa"/>
            <w:tcBorders>
              <w:left w:val="single" w:sz="4" w:space="0" w:color="auto"/>
              <w:bottom w:val="single" w:sz="4" w:space="0" w:color="auto"/>
              <w:right w:val="single" w:sz="4" w:space="0" w:color="auto"/>
            </w:tcBorders>
            <w:shd w:val="clear" w:color="auto" w:fill="auto"/>
          </w:tcPr>
          <w:p w14:paraId="5543647D" w14:textId="77777777" w:rsidR="00C3287F" w:rsidRPr="00196902" w:rsidRDefault="00C3287F" w:rsidP="006503B1">
            <w:pPr>
              <w:spacing w:before="40" w:after="120"/>
              <w:jc w:val="center"/>
              <w:rPr>
                <w:lang w:eastAsia="ar-SA"/>
              </w:rPr>
            </w:pPr>
            <w:r w:rsidRPr="00196902">
              <w:rPr>
                <w:lang w:eastAsia="ar-SA"/>
              </w:rPr>
              <w:t>Level 1</w:t>
            </w:r>
          </w:p>
        </w:tc>
        <w:tc>
          <w:tcPr>
            <w:tcW w:w="992" w:type="dxa"/>
            <w:tcBorders>
              <w:left w:val="single" w:sz="4" w:space="0" w:color="auto"/>
              <w:right w:val="single" w:sz="4" w:space="0" w:color="auto"/>
            </w:tcBorders>
          </w:tcPr>
          <w:p w14:paraId="1572E9C7" w14:textId="77777777" w:rsidR="00C3287F" w:rsidRPr="00196902" w:rsidRDefault="00C3287F" w:rsidP="006503B1">
            <w:pPr>
              <w:spacing w:before="40" w:after="120"/>
              <w:ind w:right="-5"/>
              <w:jc w:val="center"/>
              <w:rPr>
                <w:lang w:eastAsia="ar-SA"/>
              </w:rPr>
            </w:pPr>
          </w:p>
        </w:tc>
        <w:tc>
          <w:tcPr>
            <w:tcW w:w="1418" w:type="dxa"/>
            <w:tcBorders>
              <w:left w:val="single" w:sz="4" w:space="0" w:color="auto"/>
              <w:bottom w:val="single" w:sz="4" w:space="0" w:color="auto"/>
              <w:right w:val="single" w:sz="4" w:space="0" w:color="auto"/>
            </w:tcBorders>
            <w:shd w:val="clear" w:color="auto" w:fill="auto"/>
          </w:tcPr>
          <w:p w14:paraId="747F2D04" w14:textId="77777777" w:rsidR="00C3287F" w:rsidRPr="00196902" w:rsidRDefault="00C3287F" w:rsidP="006503B1">
            <w:pPr>
              <w:spacing w:before="40" w:after="120"/>
              <w:ind w:right="-5"/>
              <w:jc w:val="center"/>
              <w:rPr>
                <w:lang w:eastAsia="ar-SA"/>
              </w:rPr>
            </w:pPr>
            <w:r w:rsidRPr="00196902">
              <w:rPr>
                <w:lang w:eastAsia="ar-SA"/>
              </w:rPr>
              <w:t>Level 2</w:t>
            </w:r>
          </w:p>
        </w:tc>
        <w:tc>
          <w:tcPr>
            <w:tcW w:w="1422" w:type="dxa"/>
            <w:tcBorders>
              <w:left w:val="single" w:sz="4" w:space="0" w:color="auto"/>
              <w:bottom w:val="single" w:sz="4" w:space="0" w:color="auto"/>
            </w:tcBorders>
            <w:shd w:val="clear" w:color="auto" w:fill="auto"/>
          </w:tcPr>
          <w:p w14:paraId="4DEED55C" w14:textId="77777777" w:rsidR="00C3287F" w:rsidRPr="00196902" w:rsidRDefault="00C3287F" w:rsidP="006503B1">
            <w:pPr>
              <w:spacing w:before="40" w:after="120"/>
              <w:ind w:right="2"/>
              <w:jc w:val="center"/>
              <w:rPr>
                <w:lang w:eastAsia="ar-SA"/>
              </w:rPr>
            </w:pPr>
            <w:r w:rsidRPr="00196902">
              <w:rPr>
                <w:lang w:eastAsia="ar-SA"/>
              </w:rPr>
              <w:t>Level 3</w:t>
            </w:r>
          </w:p>
        </w:tc>
      </w:tr>
      <w:tr w:rsidR="00C3287F" w:rsidRPr="00196902" w14:paraId="127AD068" w14:textId="77777777" w:rsidTr="006503B1">
        <w:tc>
          <w:tcPr>
            <w:tcW w:w="3119" w:type="dxa"/>
            <w:gridSpan w:val="2"/>
            <w:tcBorders>
              <w:top w:val="single" w:sz="4" w:space="0" w:color="auto"/>
              <w:bottom w:val="single" w:sz="4" w:space="0" w:color="auto"/>
              <w:right w:val="single" w:sz="4" w:space="0" w:color="auto"/>
            </w:tcBorders>
            <w:shd w:val="clear" w:color="auto" w:fill="auto"/>
          </w:tcPr>
          <w:p w14:paraId="55635F88" w14:textId="77777777" w:rsidR="00C3287F" w:rsidRPr="00196902" w:rsidRDefault="00C3287F" w:rsidP="006503B1">
            <w:pPr>
              <w:spacing w:before="40" w:after="120"/>
              <w:rPr>
                <w:lang w:eastAsia="ar-SA"/>
              </w:rPr>
            </w:pPr>
            <w:r w:rsidRPr="00196902">
              <w:rPr>
                <w:lang w:eastAsia="ar-SA"/>
              </w:rPr>
              <w:t xml:space="preserve">Nearside Visible Volume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54B999" w14:textId="77777777" w:rsidR="00C3287F" w:rsidRPr="00196902" w:rsidRDefault="00C3287F" w:rsidP="006503B1">
            <w:pPr>
              <w:spacing w:before="40" w:after="120"/>
              <w:jc w:val="center"/>
              <w:rPr>
                <w:lang w:eastAsia="ar-SA"/>
              </w:rPr>
            </w:pPr>
            <w:r w:rsidRPr="00196902">
              <w:rPr>
                <w:lang w:eastAsia="ar-SA"/>
              </w:rPr>
              <w:t>3.4</w:t>
            </w:r>
          </w:p>
        </w:tc>
        <w:tc>
          <w:tcPr>
            <w:tcW w:w="992" w:type="dxa"/>
            <w:tcBorders>
              <w:left w:val="single" w:sz="4" w:space="0" w:color="auto"/>
              <w:bottom w:val="single" w:sz="4" w:space="0" w:color="auto"/>
              <w:right w:val="single" w:sz="4" w:space="0" w:color="auto"/>
            </w:tcBorders>
          </w:tcPr>
          <w:p w14:paraId="2D611094" w14:textId="77777777" w:rsidR="00C3287F" w:rsidRPr="00196902" w:rsidRDefault="00C3287F" w:rsidP="006503B1">
            <w:pPr>
              <w:spacing w:before="40" w:after="120"/>
              <w:ind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C5CA1D" w14:textId="77777777" w:rsidR="00C3287F" w:rsidRPr="00196902" w:rsidRDefault="00C3287F" w:rsidP="006503B1">
            <w:pPr>
              <w:spacing w:before="40" w:after="120"/>
              <w:ind w:right="-5"/>
              <w:jc w:val="center"/>
              <w:rPr>
                <w:lang w:eastAsia="ar-SA"/>
              </w:rPr>
            </w:pPr>
            <w:r w:rsidRPr="00196902">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61E7BE42" w14:textId="77777777" w:rsidR="00C3287F" w:rsidRPr="00196902" w:rsidRDefault="00C3287F" w:rsidP="006503B1">
            <w:pPr>
              <w:spacing w:before="40" w:after="120"/>
              <w:ind w:right="2"/>
              <w:jc w:val="center"/>
              <w:rPr>
                <w:lang w:eastAsia="ar-SA"/>
              </w:rPr>
            </w:pPr>
            <w:r w:rsidRPr="00196902">
              <w:rPr>
                <w:lang w:eastAsia="ar-SA"/>
              </w:rPr>
              <w:t>Not Specified</w:t>
            </w:r>
          </w:p>
        </w:tc>
      </w:tr>
      <w:tr w:rsidR="00C3287F" w:rsidRPr="00196902" w14:paraId="7A3A612A" w14:textId="77777777" w:rsidTr="006503B1">
        <w:tc>
          <w:tcPr>
            <w:tcW w:w="2126" w:type="dxa"/>
            <w:tcBorders>
              <w:top w:val="single" w:sz="4" w:space="0" w:color="auto"/>
              <w:right w:val="single" w:sz="4" w:space="0" w:color="auto"/>
            </w:tcBorders>
            <w:shd w:val="clear" w:color="auto" w:fill="auto"/>
          </w:tcPr>
          <w:p w14:paraId="0C99E4E0" w14:textId="77777777" w:rsidR="00C3287F" w:rsidRPr="00196902" w:rsidRDefault="00C3287F" w:rsidP="006503B1">
            <w:pPr>
              <w:spacing w:before="40" w:after="120"/>
              <w:ind w:right="113"/>
              <w:rPr>
                <w:lang w:eastAsia="ar-SA"/>
              </w:rPr>
            </w:pPr>
            <w:r w:rsidRPr="00196902">
              <w:rPr>
                <w:lang w:eastAsia="ar-SA"/>
              </w:rPr>
              <w:t xml:space="preserve">Front Visible Volume </w:t>
            </w:r>
          </w:p>
        </w:tc>
        <w:tc>
          <w:tcPr>
            <w:tcW w:w="993" w:type="dxa"/>
            <w:tcBorders>
              <w:top w:val="single" w:sz="4" w:space="0" w:color="auto"/>
              <w:left w:val="single" w:sz="4" w:space="0" w:color="auto"/>
              <w:bottom w:val="single" w:sz="4" w:space="0" w:color="auto"/>
              <w:right w:val="single" w:sz="4" w:space="0" w:color="auto"/>
            </w:tcBorders>
          </w:tcPr>
          <w:p w14:paraId="06EE169B" w14:textId="77777777" w:rsidR="00C3287F" w:rsidRPr="00196902" w:rsidRDefault="00C3287F" w:rsidP="006503B1">
            <w:pPr>
              <w:spacing w:before="40" w:after="120"/>
              <w:ind w:right="113"/>
              <w:jc w:val="center"/>
              <w:rPr>
                <w:b/>
                <w:bCs/>
                <w:lang w:eastAsia="ar-SA"/>
              </w:rPr>
            </w:pPr>
            <w:r w:rsidRPr="00196902">
              <w:rPr>
                <w:b/>
                <w:bCs/>
                <w:lang w:eastAsia="ar-SA"/>
              </w:rPr>
              <w:t>IAPD ≥</w:t>
            </w:r>
          </w:p>
          <w:p w14:paraId="76E5F8BE" w14:textId="77777777" w:rsidR="00C3287F" w:rsidRPr="00196902" w:rsidRDefault="00C3287F" w:rsidP="006503B1">
            <w:pPr>
              <w:spacing w:before="40" w:after="120"/>
              <w:jc w:val="center"/>
              <w:rPr>
                <w:b/>
                <w:bCs/>
                <w:lang w:eastAsia="ar-SA"/>
              </w:rPr>
            </w:pPr>
            <w:r w:rsidRPr="00196902">
              <w:rPr>
                <w:b/>
                <w:bCs/>
                <w:lang w:eastAsia="ar-SA"/>
              </w:rPr>
              <w:t>[2156mm]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849951" w14:textId="77777777" w:rsidR="00C3287F" w:rsidRPr="00196902" w:rsidRDefault="00C3287F" w:rsidP="006503B1">
            <w:pPr>
              <w:spacing w:before="40" w:after="120"/>
              <w:ind w:right="-2"/>
              <w:jc w:val="center"/>
              <w:rPr>
                <w:lang w:eastAsia="ar-SA"/>
              </w:rPr>
            </w:pPr>
            <w:r w:rsidRPr="00196902">
              <w:rPr>
                <w:lang w:eastAsia="ar-SA"/>
              </w:rPr>
              <w:t>1.8</w:t>
            </w:r>
          </w:p>
        </w:tc>
        <w:tc>
          <w:tcPr>
            <w:tcW w:w="992" w:type="dxa"/>
            <w:tcBorders>
              <w:top w:val="single" w:sz="4" w:space="0" w:color="auto"/>
              <w:left w:val="single" w:sz="4" w:space="0" w:color="auto"/>
              <w:bottom w:val="single" w:sz="4" w:space="0" w:color="auto"/>
              <w:right w:val="single" w:sz="4" w:space="0" w:color="auto"/>
            </w:tcBorders>
          </w:tcPr>
          <w:p w14:paraId="4CFAA1D9" w14:textId="77777777" w:rsidR="00C3287F" w:rsidRPr="00196902" w:rsidRDefault="00C3287F" w:rsidP="006503B1">
            <w:pPr>
              <w:spacing w:before="40" w:after="120"/>
              <w:ind w:right="-5"/>
              <w:jc w:val="center"/>
              <w:rPr>
                <w:b/>
                <w:bCs/>
                <w:lang w:eastAsia="ar-SA"/>
              </w:rPr>
            </w:pPr>
            <w:r w:rsidRPr="00196902">
              <w:rPr>
                <w:b/>
                <w:bCs/>
                <w:lang w:eastAsia="ar-SA"/>
              </w:rPr>
              <w:t>IAPD ≥</w:t>
            </w:r>
          </w:p>
          <w:p w14:paraId="461FF18D" w14:textId="77777777" w:rsidR="00C3287F" w:rsidRPr="00196902" w:rsidRDefault="00C3287F" w:rsidP="006503B1">
            <w:pPr>
              <w:spacing w:before="40" w:after="120"/>
              <w:ind w:right="-5"/>
              <w:jc w:val="center"/>
              <w:rPr>
                <w:lang w:eastAsia="ar-SA"/>
              </w:rPr>
            </w:pPr>
            <w:r w:rsidRPr="00196902">
              <w:rPr>
                <w:b/>
                <w:bCs/>
                <w:lang w:eastAsia="ar-SA"/>
              </w:rPr>
              <w:t>[2154mm]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828164" w14:textId="77777777" w:rsidR="00C3287F" w:rsidRPr="00196902" w:rsidRDefault="00C3287F" w:rsidP="006503B1">
            <w:pPr>
              <w:spacing w:before="40" w:after="120"/>
              <w:ind w:right="-5"/>
              <w:jc w:val="center"/>
              <w:rPr>
                <w:lang w:eastAsia="ar-SA"/>
              </w:rPr>
            </w:pPr>
            <w:r w:rsidRPr="00196902">
              <w:rPr>
                <w:lang w:eastAsia="ar-SA"/>
              </w:rPr>
              <w:t>1.0</w:t>
            </w:r>
          </w:p>
        </w:tc>
        <w:tc>
          <w:tcPr>
            <w:tcW w:w="1422" w:type="dxa"/>
            <w:tcBorders>
              <w:top w:val="single" w:sz="4" w:space="0" w:color="auto"/>
              <w:left w:val="single" w:sz="4" w:space="0" w:color="auto"/>
              <w:bottom w:val="single" w:sz="4" w:space="0" w:color="auto"/>
            </w:tcBorders>
            <w:shd w:val="clear" w:color="auto" w:fill="auto"/>
          </w:tcPr>
          <w:p w14:paraId="73AACAFE" w14:textId="77777777" w:rsidR="00C3287F" w:rsidRPr="00196902" w:rsidRDefault="00C3287F" w:rsidP="006503B1">
            <w:pPr>
              <w:spacing w:before="40" w:after="120"/>
              <w:ind w:right="2"/>
              <w:jc w:val="center"/>
              <w:rPr>
                <w:lang w:eastAsia="ar-SA"/>
              </w:rPr>
            </w:pPr>
            <w:r w:rsidRPr="00196902">
              <w:rPr>
                <w:lang w:eastAsia="ar-SA"/>
              </w:rPr>
              <w:t>1.0</w:t>
            </w:r>
          </w:p>
        </w:tc>
      </w:tr>
      <w:tr w:rsidR="00C3287F" w:rsidRPr="00196902" w14:paraId="77B9ACB7" w14:textId="77777777" w:rsidTr="006503B1">
        <w:tc>
          <w:tcPr>
            <w:tcW w:w="2126" w:type="dxa"/>
            <w:tcBorders>
              <w:bottom w:val="single" w:sz="4" w:space="0" w:color="auto"/>
              <w:right w:val="single" w:sz="4" w:space="0" w:color="auto"/>
            </w:tcBorders>
            <w:shd w:val="clear" w:color="auto" w:fill="auto"/>
          </w:tcPr>
          <w:p w14:paraId="2CAE81DE" w14:textId="77777777" w:rsidR="00C3287F" w:rsidRPr="00196902" w:rsidRDefault="00C3287F" w:rsidP="006503B1">
            <w:pPr>
              <w:spacing w:before="40" w:after="120"/>
              <w:ind w:right="113"/>
              <w:rPr>
                <w:lang w:eastAsia="ar-SA"/>
              </w:rPr>
            </w:pPr>
          </w:p>
        </w:tc>
        <w:tc>
          <w:tcPr>
            <w:tcW w:w="993" w:type="dxa"/>
            <w:tcBorders>
              <w:top w:val="single" w:sz="4" w:space="0" w:color="auto"/>
              <w:left w:val="single" w:sz="4" w:space="0" w:color="auto"/>
              <w:bottom w:val="single" w:sz="4" w:space="0" w:color="auto"/>
              <w:right w:val="single" w:sz="4" w:space="0" w:color="auto"/>
            </w:tcBorders>
          </w:tcPr>
          <w:p w14:paraId="3DB8F3FF" w14:textId="77777777" w:rsidR="00C3287F" w:rsidRPr="00196902" w:rsidRDefault="00C3287F" w:rsidP="006503B1">
            <w:pPr>
              <w:spacing w:before="40" w:after="120"/>
              <w:ind w:right="113"/>
              <w:jc w:val="center"/>
              <w:rPr>
                <w:b/>
                <w:bCs/>
                <w:lang w:eastAsia="ar-SA"/>
              </w:rPr>
            </w:pPr>
            <w:r w:rsidRPr="00196902">
              <w:rPr>
                <w:b/>
                <w:bCs/>
                <w:lang w:eastAsia="ar-SA"/>
              </w:rPr>
              <w:t>IAPD &lt;</w:t>
            </w:r>
          </w:p>
          <w:p w14:paraId="7B754903" w14:textId="77777777" w:rsidR="00C3287F" w:rsidRPr="00196902" w:rsidRDefault="00C3287F" w:rsidP="006503B1">
            <w:pPr>
              <w:spacing w:before="40" w:after="120"/>
              <w:ind w:right="-8"/>
              <w:jc w:val="center"/>
              <w:rPr>
                <w:lang w:eastAsia="ar-SA"/>
              </w:rPr>
            </w:pPr>
            <w:r w:rsidRPr="00196902">
              <w:rPr>
                <w:b/>
                <w:bCs/>
                <w:lang w:eastAsia="ar-SA"/>
              </w:rPr>
              <w:t>[2156mm]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7EEDF3" w14:textId="77777777" w:rsidR="00C3287F" w:rsidRPr="00196902" w:rsidRDefault="00C3287F" w:rsidP="006503B1">
            <w:pPr>
              <w:spacing w:before="40" w:after="120"/>
              <w:ind w:right="-2"/>
              <w:jc w:val="center"/>
              <w:rPr>
                <w:b/>
                <w:bCs/>
                <w:lang w:eastAsia="ar-SA"/>
              </w:rPr>
            </w:pPr>
            <w:r w:rsidRPr="00196902">
              <w:rPr>
                <w:b/>
                <w:bCs/>
                <w:lang w:eastAsia="ar-SA"/>
              </w:rPr>
              <w:t>See paragraph 5.3</w:t>
            </w:r>
          </w:p>
        </w:tc>
        <w:tc>
          <w:tcPr>
            <w:tcW w:w="992" w:type="dxa"/>
            <w:tcBorders>
              <w:top w:val="single" w:sz="4" w:space="0" w:color="auto"/>
              <w:left w:val="single" w:sz="4" w:space="0" w:color="auto"/>
              <w:bottom w:val="single" w:sz="4" w:space="0" w:color="auto"/>
              <w:right w:val="single" w:sz="4" w:space="0" w:color="auto"/>
            </w:tcBorders>
          </w:tcPr>
          <w:p w14:paraId="697B78D6" w14:textId="77777777" w:rsidR="00C3287F" w:rsidRPr="00196902" w:rsidRDefault="00C3287F" w:rsidP="006503B1">
            <w:pPr>
              <w:spacing w:before="40" w:after="120"/>
              <w:ind w:right="-5"/>
              <w:jc w:val="center"/>
              <w:rPr>
                <w:b/>
                <w:bCs/>
                <w:lang w:eastAsia="ar-SA"/>
              </w:rPr>
            </w:pPr>
            <w:r w:rsidRPr="00196902">
              <w:rPr>
                <w:b/>
                <w:bCs/>
                <w:lang w:eastAsia="ar-SA"/>
              </w:rPr>
              <w:t>IAPD &lt;</w:t>
            </w:r>
          </w:p>
          <w:p w14:paraId="40D7A9B8" w14:textId="77777777" w:rsidR="00C3287F" w:rsidRPr="00196902" w:rsidRDefault="00C3287F" w:rsidP="006503B1">
            <w:pPr>
              <w:spacing w:before="40" w:after="120"/>
              <w:ind w:right="-5"/>
              <w:jc w:val="center"/>
              <w:rPr>
                <w:b/>
                <w:bCs/>
                <w:lang w:eastAsia="ar-SA"/>
              </w:rPr>
            </w:pPr>
            <w:r w:rsidRPr="00196902">
              <w:rPr>
                <w:b/>
                <w:bCs/>
                <w:lang w:eastAsia="ar-SA"/>
              </w:rPr>
              <w:t>[2154mm]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96DAFA" w14:textId="77777777" w:rsidR="00C3287F" w:rsidRPr="00196902" w:rsidRDefault="00C3287F" w:rsidP="006503B1">
            <w:pPr>
              <w:spacing w:before="40" w:after="120"/>
              <w:ind w:right="-5"/>
              <w:jc w:val="center"/>
              <w:rPr>
                <w:lang w:eastAsia="ar-SA"/>
              </w:rPr>
            </w:pPr>
            <w:r w:rsidRPr="00196902">
              <w:rPr>
                <w:b/>
                <w:bCs/>
                <w:lang w:eastAsia="ar-SA"/>
              </w:rPr>
              <w:t>See paragraph 5.3</w:t>
            </w:r>
          </w:p>
        </w:tc>
        <w:tc>
          <w:tcPr>
            <w:tcW w:w="1422" w:type="dxa"/>
            <w:tcBorders>
              <w:top w:val="single" w:sz="4" w:space="0" w:color="auto"/>
              <w:left w:val="single" w:sz="4" w:space="0" w:color="auto"/>
              <w:bottom w:val="single" w:sz="4" w:space="0" w:color="auto"/>
            </w:tcBorders>
            <w:shd w:val="clear" w:color="auto" w:fill="auto"/>
          </w:tcPr>
          <w:p w14:paraId="325B6836" w14:textId="77777777" w:rsidR="00C3287F" w:rsidRPr="00196902" w:rsidRDefault="00C3287F" w:rsidP="006503B1">
            <w:pPr>
              <w:spacing w:before="40" w:after="120"/>
              <w:ind w:right="2"/>
              <w:jc w:val="center"/>
              <w:rPr>
                <w:lang w:eastAsia="ar-SA"/>
              </w:rPr>
            </w:pPr>
            <w:r w:rsidRPr="00196902">
              <w:rPr>
                <w:b/>
                <w:bCs/>
                <w:lang w:eastAsia="ar-SA"/>
              </w:rPr>
              <w:t>See paragraph 5.3</w:t>
            </w:r>
          </w:p>
        </w:tc>
      </w:tr>
      <w:tr w:rsidR="00C3287F" w:rsidRPr="00196902" w14:paraId="1DA97A49" w14:textId="77777777" w:rsidTr="006503B1">
        <w:tc>
          <w:tcPr>
            <w:tcW w:w="3119" w:type="dxa"/>
            <w:gridSpan w:val="2"/>
            <w:tcBorders>
              <w:top w:val="single" w:sz="4" w:space="0" w:color="auto"/>
              <w:bottom w:val="single" w:sz="4" w:space="0" w:color="auto"/>
              <w:right w:val="single" w:sz="4" w:space="0" w:color="auto"/>
            </w:tcBorders>
            <w:shd w:val="clear" w:color="auto" w:fill="auto"/>
          </w:tcPr>
          <w:p w14:paraId="2923E52A" w14:textId="77777777" w:rsidR="00C3287F" w:rsidRPr="00196902" w:rsidRDefault="00C3287F" w:rsidP="006503B1">
            <w:pPr>
              <w:spacing w:before="40" w:after="120"/>
              <w:ind w:right="113"/>
              <w:rPr>
                <w:b/>
                <w:bCs/>
                <w:lang w:eastAsia="ar-SA"/>
              </w:rPr>
            </w:pPr>
            <w:r w:rsidRPr="00196902">
              <w:rPr>
                <w:b/>
                <w:bCs/>
              </w:rPr>
              <w:t>Subsection Frontal Visible Volume</w:t>
            </w:r>
          </w:p>
        </w:tc>
        <w:tc>
          <w:tcPr>
            <w:tcW w:w="1417" w:type="dxa"/>
            <w:tcBorders>
              <w:top w:val="single" w:sz="4" w:space="0" w:color="auto"/>
              <w:left w:val="single" w:sz="4" w:space="0" w:color="auto"/>
              <w:bottom w:val="single" w:sz="4" w:space="0" w:color="auto"/>
            </w:tcBorders>
            <w:shd w:val="clear" w:color="auto" w:fill="auto"/>
          </w:tcPr>
          <w:p w14:paraId="611B3953" w14:textId="77777777" w:rsidR="00C3287F" w:rsidRPr="00196902" w:rsidRDefault="00C3287F" w:rsidP="006503B1">
            <w:pPr>
              <w:spacing w:before="40" w:after="120"/>
              <w:jc w:val="center"/>
              <w:rPr>
                <w:b/>
                <w:bCs/>
                <w:lang w:eastAsia="ar-SA"/>
              </w:rPr>
            </w:pPr>
            <w:r w:rsidRPr="00196902">
              <w:rPr>
                <w:b/>
                <w:bCs/>
                <w:lang w:eastAsia="ar-SA"/>
              </w:rPr>
              <w:t>0.474</w:t>
            </w:r>
          </w:p>
        </w:tc>
        <w:tc>
          <w:tcPr>
            <w:tcW w:w="992" w:type="dxa"/>
            <w:tcBorders>
              <w:top w:val="single" w:sz="4" w:space="0" w:color="auto"/>
              <w:left w:val="single" w:sz="4" w:space="0" w:color="auto"/>
            </w:tcBorders>
          </w:tcPr>
          <w:p w14:paraId="6C73006A" w14:textId="77777777" w:rsidR="00C3287F" w:rsidRPr="00196902" w:rsidRDefault="00C3287F" w:rsidP="006503B1">
            <w:pPr>
              <w:spacing w:before="40" w:after="120"/>
              <w:ind w:left="2" w:right="-5"/>
              <w:jc w:val="center"/>
              <w:rPr>
                <w:b/>
                <w:bCs/>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E3C57E" w14:textId="77777777" w:rsidR="00C3287F" w:rsidRPr="00196902" w:rsidRDefault="00C3287F" w:rsidP="006503B1">
            <w:pPr>
              <w:spacing w:before="40" w:after="120"/>
              <w:ind w:left="2" w:right="-5"/>
              <w:jc w:val="center"/>
              <w:rPr>
                <w:b/>
                <w:bCs/>
                <w:lang w:eastAsia="ar-SA"/>
              </w:rPr>
            </w:pPr>
            <w:r w:rsidRPr="00196902">
              <w:rPr>
                <w:b/>
                <w:bCs/>
                <w:lang w:eastAsia="ar-SA"/>
              </w:rPr>
              <w:t>0.163</w:t>
            </w:r>
          </w:p>
        </w:tc>
        <w:tc>
          <w:tcPr>
            <w:tcW w:w="1422" w:type="dxa"/>
            <w:tcBorders>
              <w:top w:val="single" w:sz="4" w:space="0" w:color="auto"/>
              <w:left w:val="single" w:sz="4" w:space="0" w:color="auto"/>
              <w:bottom w:val="single" w:sz="4" w:space="0" w:color="auto"/>
            </w:tcBorders>
            <w:shd w:val="clear" w:color="auto" w:fill="auto"/>
          </w:tcPr>
          <w:p w14:paraId="471C244D" w14:textId="77777777" w:rsidR="00C3287F" w:rsidRPr="00196902" w:rsidRDefault="00C3287F" w:rsidP="006503B1">
            <w:pPr>
              <w:spacing w:before="40" w:after="120"/>
              <w:ind w:right="2"/>
              <w:jc w:val="center"/>
              <w:rPr>
                <w:b/>
                <w:bCs/>
                <w:lang w:eastAsia="ar-SA"/>
              </w:rPr>
            </w:pPr>
            <w:r w:rsidRPr="00196902">
              <w:rPr>
                <w:b/>
                <w:bCs/>
                <w:lang w:eastAsia="ar-SA"/>
              </w:rPr>
              <w:t>0.163</w:t>
            </w:r>
          </w:p>
        </w:tc>
      </w:tr>
      <w:tr w:rsidR="00C3287F" w:rsidRPr="00196902" w14:paraId="1F7580A8" w14:textId="77777777" w:rsidTr="006503B1">
        <w:tc>
          <w:tcPr>
            <w:tcW w:w="3119" w:type="dxa"/>
            <w:gridSpan w:val="2"/>
            <w:tcBorders>
              <w:top w:val="single" w:sz="4" w:space="0" w:color="auto"/>
              <w:bottom w:val="single" w:sz="4" w:space="0" w:color="auto"/>
              <w:right w:val="single" w:sz="4" w:space="0" w:color="auto"/>
            </w:tcBorders>
            <w:shd w:val="clear" w:color="auto" w:fill="auto"/>
          </w:tcPr>
          <w:p w14:paraId="09C513F8" w14:textId="77777777" w:rsidR="00C3287F" w:rsidRPr="00196902" w:rsidRDefault="00C3287F" w:rsidP="006503B1">
            <w:pPr>
              <w:spacing w:before="40" w:after="120"/>
              <w:ind w:right="113"/>
              <w:rPr>
                <w:lang w:eastAsia="ar-SA"/>
              </w:rPr>
            </w:pPr>
            <w:r w:rsidRPr="00196902">
              <w:rPr>
                <w:lang w:eastAsia="ar-SA"/>
              </w:rPr>
              <w:t xml:space="preserve">Offside Visible Volume </w:t>
            </w:r>
          </w:p>
        </w:tc>
        <w:tc>
          <w:tcPr>
            <w:tcW w:w="1417" w:type="dxa"/>
            <w:tcBorders>
              <w:top w:val="single" w:sz="4" w:space="0" w:color="auto"/>
              <w:left w:val="single" w:sz="4" w:space="0" w:color="auto"/>
              <w:bottom w:val="single" w:sz="4" w:space="0" w:color="auto"/>
            </w:tcBorders>
            <w:shd w:val="clear" w:color="auto" w:fill="auto"/>
          </w:tcPr>
          <w:p w14:paraId="689BD593" w14:textId="77777777" w:rsidR="00C3287F" w:rsidRPr="00196902" w:rsidRDefault="00C3287F" w:rsidP="006503B1">
            <w:pPr>
              <w:spacing w:before="40" w:after="120"/>
              <w:jc w:val="center"/>
              <w:rPr>
                <w:lang w:eastAsia="ar-SA"/>
              </w:rPr>
            </w:pPr>
            <w:r w:rsidRPr="00196902">
              <w:rPr>
                <w:lang w:eastAsia="ar-SA"/>
              </w:rPr>
              <w:t>2.8</w:t>
            </w:r>
          </w:p>
        </w:tc>
        <w:tc>
          <w:tcPr>
            <w:tcW w:w="992" w:type="dxa"/>
            <w:tcBorders>
              <w:top w:val="single" w:sz="4" w:space="0" w:color="auto"/>
              <w:left w:val="single" w:sz="4" w:space="0" w:color="auto"/>
            </w:tcBorders>
          </w:tcPr>
          <w:p w14:paraId="3D5D695B" w14:textId="77777777" w:rsidR="00C3287F" w:rsidRPr="00196902" w:rsidRDefault="00C3287F" w:rsidP="006503B1">
            <w:pPr>
              <w:spacing w:before="40" w:after="120"/>
              <w:ind w:left="2" w:right="-5"/>
              <w:jc w:val="center"/>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9F92B0" w14:textId="77777777" w:rsidR="00C3287F" w:rsidRPr="00196902" w:rsidRDefault="00C3287F" w:rsidP="006503B1">
            <w:pPr>
              <w:spacing w:before="40" w:after="120"/>
              <w:ind w:left="2" w:right="-5"/>
              <w:jc w:val="center"/>
              <w:rPr>
                <w:lang w:eastAsia="ar-SA"/>
              </w:rPr>
            </w:pPr>
            <w:r w:rsidRPr="00196902">
              <w:rPr>
                <w:lang w:eastAsia="ar-SA"/>
              </w:rPr>
              <w:t>Not Specified</w:t>
            </w:r>
          </w:p>
        </w:tc>
        <w:tc>
          <w:tcPr>
            <w:tcW w:w="1422" w:type="dxa"/>
            <w:tcBorders>
              <w:top w:val="single" w:sz="4" w:space="0" w:color="auto"/>
              <w:left w:val="single" w:sz="4" w:space="0" w:color="auto"/>
              <w:bottom w:val="single" w:sz="4" w:space="0" w:color="auto"/>
            </w:tcBorders>
            <w:shd w:val="clear" w:color="auto" w:fill="auto"/>
          </w:tcPr>
          <w:p w14:paraId="5BCB407A" w14:textId="77777777" w:rsidR="00C3287F" w:rsidRPr="00196902" w:rsidRDefault="00C3287F" w:rsidP="006503B1">
            <w:pPr>
              <w:spacing w:before="40" w:after="120"/>
              <w:ind w:right="2"/>
              <w:jc w:val="center"/>
              <w:rPr>
                <w:lang w:eastAsia="ar-SA"/>
              </w:rPr>
            </w:pPr>
            <w:r w:rsidRPr="00196902">
              <w:rPr>
                <w:lang w:eastAsia="ar-SA"/>
              </w:rPr>
              <w:t>Not Specified</w:t>
            </w:r>
          </w:p>
        </w:tc>
      </w:tr>
      <w:tr w:rsidR="00C3287F" w:rsidRPr="00196902" w14:paraId="77556D1C" w14:textId="77777777" w:rsidTr="006503B1">
        <w:tc>
          <w:tcPr>
            <w:tcW w:w="3119" w:type="dxa"/>
            <w:gridSpan w:val="2"/>
            <w:tcBorders>
              <w:top w:val="single" w:sz="4" w:space="0" w:color="auto"/>
              <w:bottom w:val="single" w:sz="12" w:space="0" w:color="auto"/>
              <w:right w:val="single" w:sz="4" w:space="0" w:color="auto"/>
            </w:tcBorders>
            <w:shd w:val="clear" w:color="auto" w:fill="auto"/>
          </w:tcPr>
          <w:p w14:paraId="79D57BED" w14:textId="77777777" w:rsidR="00C3287F" w:rsidRPr="00196902" w:rsidRDefault="00C3287F" w:rsidP="006503B1">
            <w:pPr>
              <w:spacing w:before="40" w:after="120"/>
              <w:ind w:right="113"/>
              <w:rPr>
                <w:lang w:eastAsia="ar-SA"/>
              </w:rPr>
            </w:pPr>
            <w:r w:rsidRPr="00196902">
              <w:rPr>
                <w:lang w:eastAsia="ar-SA"/>
              </w:rPr>
              <w:t>Total Visible Volume</w:t>
            </w:r>
          </w:p>
        </w:tc>
        <w:tc>
          <w:tcPr>
            <w:tcW w:w="1417" w:type="dxa"/>
            <w:tcBorders>
              <w:top w:val="single" w:sz="4" w:space="0" w:color="auto"/>
              <w:left w:val="single" w:sz="4" w:space="0" w:color="auto"/>
              <w:bottom w:val="single" w:sz="12" w:space="0" w:color="auto"/>
            </w:tcBorders>
            <w:shd w:val="clear" w:color="auto" w:fill="auto"/>
          </w:tcPr>
          <w:p w14:paraId="0E003D92" w14:textId="77777777" w:rsidR="00C3287F" w:rsidRPr="00196902" w:rsidRDefault="00C3287F" w:rsidP="006503B1">
            <w:pPr>
              <w:spacing w:before="40" w:after="120"/>
              <w:jc w:val="center"/>
              <w:rPr>
                <w:lang w:eastAsia="ar-SA"/>
              </w:rPr>
            </w:pPr>
            <w:r w:rsidRPr="00196902">
              <w:rPr>
                <w:lang w:eastAsia="ar-SA"/>
              </w:rPr>
              <w:t>11.2</w:t>
            </w:r>
          </w:p>
        </w:tc>
        <w:tc>
          <w:tcPr>
            <w:tcW w:w="992" w:type="dxa"/>
            <w:tcBorders>
              <w:left w:val="single" w:sz="4" w:space="0" w:color="auto"/>
              <w:bottom w:val="single" w:sz="12" w:space="0" w:color="auto"/>
            </w:tcBorders>
          </w:tcPr>
          <w:p w14:paraId="3A46B0ED" w14:textId="77777777" w:rsidR="00C3287F" w:rsidRPr="00196902" w:rsidRDefault="00C3287F" w:rsidP="006503B1">
            <w:pPr>
              <w:spacing w:before="40" w:after="120"/>
              <w:ind w:right="-5"/>
              <w:jc w:val="center"/>
              <w:rPr>
                <w:lang w:eastAsia="ar-SA"/>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44FE585A" w14:textId="77777777" w:rsidR="00C3287F" w:rsidRPr="00196902" w:rsidRDefault="00C3287F" w:rsidP="006503B1">
            <w:pPr>
              <w:spacing w:before="40" w:after="120"/>
              <w:ind w:right="-5"/>
              <w:jc w:val="center"/>
              <w:rPr>
                <w:lang w:eastAsia="ar-SA"/>
              </w:rPr>
            </w:pPr>
            <w:r w:rsidRPr="00196902">
              <w:rPr>
                <w:lang w:eastAsia="ar-SA"/>
              </w:rPr>
              <w:t>8.0</w:t>
            </w:r>
          </w:p>
        </w:tc>
        <w:tc>
          <w:tcPr>
            <w:tcW w:w="1422" w:type="dxa"/>
            <w:tcBorders>
              <w:top w:val="single" w:sz="4" w:space="0" w:color="auto"/>
              <w:left w:val="single" w:sz="4" w:space="0" w:color="auto"/>
              <w:bottom w:val="single" w:sz="12" w:space="0" w:color="auto"/>
            </w:tcBorders>
            <w:shd w:val="clear" w:color="auto" w:fill="auto"/>
          </w:tcPr>
          <w:p w14:paraId="6C904FE1" w14:textId="77777777" w:rsidR="00C3287F" w:rsidRPr="00196902" w:rsidRDefault="00C3287F" w:rsidP="006503B1">
            <w:pPr>
              <w:spacing w:before="40" w:after="120"/>
              <w:ind w:right="2"/>
              <w:jc w:val="center"/>
              <w:rPr>
                <w:lang w:eastAsia="ar-SA"/>
              </w:rPr>
            </w:pPr>
            <w:r w:rsidRPr="00196902">
              <w:rPr>
                <w:lang w:eastAsia="ar-SA"/>
              </w:rPr>
              <w:t>7.0</w:t>
            </w:r>
          </w:p>
        </w:tc>
      </w:tr>
    </w:tbl>
    <w:p w14:paraId="2347CD79" w14:textId="48D88E79" w:rsidR="00C3287F" w:rsidRPr="00196902" w:rsidRDefault="00563902" w:rsidP="00563902">
      <w:pPr>
        <w:ind w:left="1170"/>
      </w:pPr>
      <w:r w:rsidRPr="00196902">
        <w:t>"</w:t>
      </w:r>
    </w:p>
    <w:p w14:paraId="709F3273" w14:textId="3C39F13D" w:rsidR="00956AD6" w:rsidRPr="00196902" w:rsidRDefault="00956AD6" w:rsidP="00956AD6">
      <w:pPr>
        <w:spacing w:before="120" w:after="120"/>
        <w:ind w:left="1138" w:right="994"/>
      </w:pPr>
      <w:r w:rsidRPr="00196902">
        <w:rPr>
          <w:i/>
          <w:iCs/>
        </w:rPr>
        <w:t>Insert new paragraphs 12 to 12.5.</w:t>
      </w:r>
      <w:r w:rsidRPr="00196902">
        <w:t>, to read:</w:t>
      </w:r>
    </w:p>
    <w:p w14:paraId="265F49A9" w14:textId="554C7539" w:rsidR="00956AD6" w:rsidRPr="00196902" w:rsidRDefault="00956AD6" w:rsidP="00956AD6">
      <w:pPr>
        <w:pStyle w:val="SingleTxtG"/>
        <w:rPr>
          <w:b/>
          <w:bCs/>
        </w:rPr>
      </w:pPr>
      <w:bookmarkStart w:id="1" w:name="_Toc381693782"/>
      <w:r w:rsidRPr="00196902">
        <w:t>"</w:t>
      </w:r>
      <w:r w:rsidRPr="00196902">
        <w:rPr>
          <w:b/>
          <w:bCs/>
        </w:rPr>
        <w:t>12.</w:t>
      </w:r>
      <w:r w:rsidRPr="00196902">
        <w:rPr>
          <w:b/>
          <w:bCs/>
        </w:rPr>
        <w:tab/>
      </w:r>
      <w:r w:rsidRPr="00196902">
        <w:rPr>
          <w:b/>
          <w:bCs/>
        </w:rPr>
        <w:tab/>
        <w:t>Transitional provisions</w:t>
      </w:r>
      <w:bookmarkEnd w:id="1"/>
    </w:p>
    <w:p w14:paraId="0E557327" w14:textId="1A4BBDF1" w:rsidR="00956AD6" w:rsidRPr="00196902" w:rsidRDefault="00956AD6" w:rsidP="00956AD6">
      <w:pPr>
        <w:pStyle w:val="SingleTxtG"/>
        <w:ind w:left="2250" w:hanging="1116"/>
        <w:rPr>
          <w:b/>
          <w:bCs/>
        </w:rPr>
      </w:pPr>
      <w:r w:rsidRPr="00196902">
        <w:rPr>
          <w:b/>
          <w:bCs/>
        </w:rPr>
        <w:t xml:space="preserve">12.1. </w:t>
      </w:r>
      <w:r w:rsidRPr="00196902">
        <w:rPr>
          <w:b/>
          <w:bCs/>
        </w:rPr>
        <w:tab/>
        <w:t>As from the official date of entry into force of the 01 series of amendments, no Contracting Party applying this Regulation shall refuse to grant or refuse to accept type-approvals under this Regulation as amended by the 01 series of amendments.</w:t>
      </w:r>
    </w:p>
    <w:p w14:paraId="54ECDC56" w14:textId="2C887827" w:rsidR="00956AD6" w:rsidRPr="00196902" w:rsidRDefault="00956AD6" w:rsidP="00956AD6">
      <w:pPr>
        <w:pStyle w:val="SingleTxtG"/>
        <w:ind w:left="2250" w:hanging="1116"/>
        <w:rPr>
          <w:b/>
          <w:bCs/>
        </w:rPr>
      </w:pPr>
      <w:r w:rsidRPr="00196902">
        <w:rPr>
          <w:b/>
          <w:bCs/>
        </w:rPr>
        <w:t>12.2.</w:t>
      </w:r>
      <w:r w:rsidRPr="00196902">
        <w:rPr>
          <w:b/>
          <w:bCs/>
        </w:rPr>
        <w:tab/>
        <w:t>As from 1 September 2028, Contracting Parties applying this Regulation shall not be obliged to accept type-approvals to the preceding series of amendments, first issued after 1 September 2028.</w:t>
      </w:r>
    </w:p>
    <w:p w14:paraId="792F3604" w14:textId="736FE985" w:rsidR="00956AD6" w:rsidRPr="00196902" w:rsidRDefault="00956AD6" w:rsidP="00956AD6">
      <w:pPr>
        <w:pStyle w:val="SingleTxtG"/>
        <w:ind w:left="2250" w:hanging="1116"/>
        <w:rPr>
          <w:b/>
          <w:bCs/>
        </w:rPr>
      </w:pPr>
      <w:r w:rsidRPr="00196902">
        <w:rPr>
          <w:b/>
          <w:bCs/>
        </w:rPr>
        <w:t xml:space="preserve">12.3. </w:t>
      </w:r>
      <w:r w:rsidRPr="00196902">
        <w:rPr>
          <w:b/>
          <w:bCs/>
        </w:rPr>
        <w:tab/>
        <w:t>Until 1 September 2031, Contracting Parties applying this Regulation shall accept type-approvals to the preceding series of amendments, first issued before 1 September 2028.</w:t>
      </w:r>
    </w:p>
    <w:p w14:paraId="3FD5AD1B" w14:textId="73289D3B" w:rsidR="00956AD6" w:rsidRPr="00196902" w:rsidRDefault="00956AD6" w:rsidP="00956AD6">
      <w:pPr>
        <w:pStyle w:val="SingleTxtG"/>
        <w:ind w:left="2250" w:hanging="1116"/>
        <w:rPr>
          <w:b/>
          <w:bCs/>
        </w:rPr>
      </w:pPr>
      <w:r w:rsidRPr="00196902">
        <w:rPr>
          <w:b/>
          <w:bCs/>
        </w:rPr>
        <w:t xml:space="preserve">12.4. </w:t>
      </w:r>
      <w:r w:rsidRPr="00196902">
        <w:rPr>
          <w:b/>
          <w:bCs/>
        </w:rPr>
        <w:tab/>
        <w:t>As from 1 September 2028, Contracting Parties applying this Regulation shall not be obliged to accept type-approvals issued to the preceding series of amendments to this Regulation.</w:t>
      </w:r>
    </w:p>
    <w:p w14:paraId="62B6AFA4" w14:textId="39D33EA6" w:rsidR="00956AD6" w:rsidRPr="00196902" w:rsidRDefault="00956AD6" w:rsidP="00956AD6">
      <w:pPr>
        <w:pStyle w:val="SingleTxtG"/>
        <w:ind w:left="2250" w:hanging="1116"/>
      </w:pPr>
      <w:r w:rsidRPr="00196902">
        <w:rPr>
          <w:b/>
          <w:bCs/>
        </w:rPr>
        <w:t xml:space="preserve">12.5. </w:t>
      </w:r>
      <w:r w:rsidRPr="00196902">
        <w:rPr>
          <w:b/>
          <w:bCs/>
        </w:rPr>
        <w:tab/>
        <w:t>Notwithstanding paragraphs 12.2. and 12.4., Contracting Parties applying this Regulation shall continue to accept type approvals issued according to the original version of this Regulation, for vehicles which are not affected by the changes introduced by the 01 Series of amendments</w:t>
      </w:r>
      <w:r w:rsidRPr="00196902">
        <w:t>."</w:t>
      </w:r>
    </w:p>
    <w:p w14:paraId="3FC594EE" w14:textId="77777777" w:rsidR="00956AD6" w:rsidRPr="00196902" w:rsidRDefault="00956AD6" w:rsidP="00956AD6">
      <w:pPr>
        <w:pStyle w:val="SingleTxtG"/>
        <w:spacing w:before="120"/>
        <w:ind w:left="1138" w:right="1138"/>
        <w:rPr>
          <w:i/>
          <w:iCs/>
        </w:rPr>
      </w:pPr>
      <w:r w:rsidRPr="00196902">
        <w:rPr>
          <w:i/>
          <w:iCs/>
        </w:rPr>
        <w:br w:type="page"/>
      </w:r>
    </w:p>
    <w:p w14:paraId="55348373" w14:textId="702B14B0" w:rsidR="00563902" w:rsidRPr="00196902" w:rsidRDefault="00563902" w:rsidP="00956AD6">
      <w:pPr>
        <w:pStyle w:val="SingleTxtG"/>
        <w:spacing w:before="120"/>
        <w:ind w:left="1138" w:right="1138"/>
      </w:pPr>
      <w:r w:rsidRPr="00196902">
        <w:rPr>
          <w:i/>
          <w:iCs/>
        </w:rPr>
        <w:lastRenderedPageBreak/>
        <w:t>Annex 3,</w:t>
      </w:r>
      <w:r w:rsidRPr="00196902">
        <w:t xml:space="preserve"> amend to read:</w:t>
      </w:r>
    </w:p>
    <w:p w14:paraId="3DE84DB1" w14:textId="4A30692F" w:rsidR="00563902" w:rsidRPr="00196902" w:rsidRDefault="00563902" w:rsidP="00563902">
      <w:pPr>
        <w:keepNext/>
        <w:keepLines/>
        <w:spacing w:before="360" w:after="240" w:line="300" w:lineRule="exact"/>
        <w:ind w:left="1134" w:right="1134" w:hanging="1134"/>
        <w:rPr>
          <w:b/>
          <w:sz w:val="28"/>
        </w:rPr>
      </w:pPr>
      <w:bookmarkStart w:id="2" w:name="_Toc354410601"/>
      <w:r w:rsidRPr="00196902">
        <w:rPr>
          <w:b/>
          <w:sz w:val="28"/>
        </w:rPr>
        <w:t xml:space="preserve">"Annex </w:t>
      </w:r>
      <w:bookmarkEnd w:id="2"/>
      <w:r w:rsidRPr="00196902">
        <w:rPr>
          <w:b/>
          <w:sz w:val="28"/>
        </w:rPr>
        <w:t>3</w:t>
      </w:r>
    </w:p>
    <w:p w14:paraId="13F953BF" w14:textId="77777777" w:rsidR="00563902" w:rsidRPr="00196902" w:rsidRDefault="00563902" w:rsidP="00563902">
      <w:pPr>
        <w:pStyle w:val="HChG"/>
        <w:ind w:firstLine="0"/>
        <w:rPr>
          <w:b w:val="0"/>
          <w:bCs/>
        </w:rPr>
      </w:pPr>
      <w:bookmarkStart w:id="3" w:name="_Toc108926533"/>
      <w:bookmarkStart w:id="4" w:name="_Toc354410602"/>
      <w:r w:rsidRPr="00196902">
        <w:tab/>
        <w:t>Arrangements of Approval Marks</w:t>
      </w:r>
      <w:bookmarkEnd w:id="3"/>
      <w:bookmarkEnd w:id="4"/>
    </w:p>
    <w:p w14:paraId="5F0E950F" w14:textId="77777777" w:rsidR="00563902" w:rsidRPr="00196902" w:rsidRDefault="00563902" w:rsidP="00563902">
      <w:pPr>
        <w:spacing w:after="120"/>
        <w:ind w:left="1134" w:right="1134"/>
        <w:jc w:val="both"/>
      </w:pPr>
      <w:r w:rsidRPr="00196902">
        <w:t>(see paragraphs 4.5. of this Regulation)</w:t>
      </w:r>
    </w:p>
    <w:p w14:paraId="4D795603" w14:textId="0236A1E3" w:rsidR="00563902" w:rsidRPr="00196902" w:rsidRDefault="00563902" w:rsidP="00563902">
      <w:pPr>
        <w:spacing w:after="120"/>
        <w:ind w:left="1134" w:right="1134"/>
        <w:jc w:val="both"/>
      </w:pPr>
      <w:r w:rsidRPr="00196902">
        <w:rPr>
          <w:noProof/>
        </w:rPr>
        <mc:AlternateContent>
          <mc:Choice Requires="wpg">
            <w:drawing>
              <wp:anchor distT="0" distB="0" distL="114300" distR="114300" simplePos="0" relativeHeight="251658240" behindDoc="0" locked="0" layoutInCell="1" allowOverlap="1" wp14:anchorId="7F0E7A9E" wp14:editId="38D41A1C">
                <wp:simplePos x="0" y="0"/>
                <wp:positionH relativeFrom="column">
                  <wp:posOffset>2175510</wp:posOffset>
                </wp:positionH>
                <wp:positionV relativeFrom="paragraph">
                  <wp:posOffset>311785</wp:posOffset>
                </wp:positionV>
                <wp:extent cx="1872615" cy="491490"/>
                <wp:effectExtent l="0" t="0" r="0" b="3810"/>
                <wp:wrapNone/>
                <wp:docPr id="91" name="Group 91"/>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904" name="Group 904"/>
                        <wpg:cNvGrpSpPr>
                          <a:grpSpLocks/>
                        </wpg:cNvGrpSpPr>
                        <wpg:grpSpPr bwMode="auto">
                          <a:xfrm>
                            <a:off x="609" y="0"/>
                            <a:ext cx="2340" cy="774"/>
                            <a:chOff x="609" y="0"/>
                            <a:chExt cx="2340" cy="774"/>
                          </a:xfrm>
                        </wpg:grpSpPr>
                        <wps:wsp>
                          <wps:cNvPr id="906" name="Text Box 20"/>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9C67E" w14:textId="77777777" w:rsidR="00563902" w:rsidRDefault="00563902" w:rsidP="00563902"/>
                            </w:txbxContent>
                          </wps:txbx>
                          <wps:bodyPr rot="0" vert="horz" wrap="square" lIns="91440" tIns="45720" rIns="91440" bIns="45720" anchor="t" anchorCtr="0" upright="1">
                            <a:noAutofit/>
                          </wps:bodyPr>
                        </wps:wsp>
                        <wps:wsp>
                          <wps:cNvPr id="907" name="Text Box 21"/>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5752C" w14:textId="767386E2" w:rsidR="00563902" w:rsidRDefault="00563902" w:rsidP="00563902">
                                <w:pPr>
                                  <w:rPr>
                                    <w:sz w:val="32"/>
                                  </w:rPr>
                                </w:pPr>
                                <w:r>
                                  <w:rPr>
                                    <w:sz w:val="32"/>
                                  </w:rPr>
                                  <w:t>167R - 01185</w:t>
                                </w:r>
                              </w:p>
                            </w:txbxContent>
                          </wps:txbx>
                          <wps:bodyPr rot="0" vert="horz" wrap="square" lIns="91440" tIns="45720" rIns="91440" bIns="45720" anchor="t" anchorCtr="0" upright="1">
                            <a:noAutofit/>
                          </wps:bodyPr>
                        </wps:wsp>
                      </wpg:grpSp>
                      <wps:wsp>
                        <wps:cNvPr id="905" name="Line 22"/>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E7A9E" id="Group 91" o:spid="_x0000_s1026" style="position:absolute;left:0;text-align:left;margin-left:171.3pt;margin-top:24.55pt;width:147.45pt;height:38.7pt;z-index:251658240"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">
                <v:group id="Group 904" o:spid="_x0000_s1027" style="position:absolute;left:609;width:2340;height:774" coordorigin="609"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type id="_x0000_t202" coordsize="21600,21600" o:spt="202" path="m,l,21600r21600,l21600,xe">
                    <v:stroke joinstyle="miter"/>
                    <v:path gradientshapeok="t" o:connecttype="rect"/>
                  </v:shapetype>
                  <v:shape id="Text Box 20"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" filled="f" stroked="f">
                    <v:textbox>
                      <w:txbxContent>
                        <w:p w14:paraId="3549C67E" w14:textId="77777777" w:rsidR="00563902" w:rsidRDefault="00563902" w:rsidP="00563902"/>
                      </w:txbxContent>
                    </v:textbox>
                  </v:shape>
                  <v:shape id="Text Box 21" o:spid="_x0000_s1029" type="#_x0000_t202" style="position:absolute;left:60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" stroked="f">
                    <v:textbox>
                      <w:txbxContent>
                        <w:p w14:paraId="3445752C" w14:textId="767386E2" w:rsidR="00563902" w:rsidRDefault="00563902" w:rsidP="00563902">
                          <w:pPr>
                            <w:rPr>
                              <w:sz w:val="32"/>
                            </w:rPr>
                          </w:pPr>
                          <w:r>
                            <w:rPr>
                              <w:sz w:val="32"/>
                            </w:rPr>
                            <w:t>167R - 01185</w:t>
                          </w:r>
                        </w:p>
                      </w:txbxContent>
                    </v:textbox>
                  </v:shape>
                </v:group>
                <v:line id="Line 22"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"/>
              </v:group>
            </w:pict>
          </mc:Fallback>
        </mc:AlternateContent>
      </w:r>
      <w:r w:rsidRPr="00196902">
        <w:object w:dxaOrig="6300" w:dyaOrig="1335" w14:anchorId="620D5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6pt;height:67pt" o:ole="">
            <v:imagedata r:id="rId12" o:title=""/>
          </v:shape>
          <o:OLEObject Type="Embed" ProgID="Word.Picture.8" ShapeID="_x0000_i1025" DrawAspect="Content" ObjectID="_1767790432" r:id="rId13"/>
        </w:object>
      </w:r>
    </w:p>
    <w:p w14:paraId="42E58AB4" w14:textId="77777777" w:rsidR="00563902" w:rsidRPr="00196902" w:rsidRDefault="00563902" w:rsidP="00563902">
      <w:pPr>
        <w:spacing w:after="120"/>
        <w:ind w:left="1134" w:right="1134" w:firstLine="567"/>
      </w:pPr>
      <w:r w:rsidRPr="00196902">
        <w:t>a = 8 mm min</w:t>
      </w:r>
    </w:p>
    <w:p w14:paraId="7B06FE84" w14:textId="75DAD2DA" w:rsidR="00563902" w:rsidRPr="00196902" w:rsidRDefault="00563902" w:rsidP="00563902">
      <w:pPr>
        <w:spacing w:after="120"/>
        <w:ind w:left="1134" w:right="1134" w:firstLine="567"/>
        <w:jc w:val="both"/>
        <w:rPr>
          <w:b/>
          <w:bCs/>
        </w:rPr>
      </w:pPr>
      <w:r w:rsidRPr="00196902">
        <w:t xml:space="preserve">The above approval mark affixed to a vehicle shows that the vehicle type concerned has been approved in Belgium (E6) with regard to Direct Vision pursuant to UN Regulation No. </w:t>
      </w:r>
      <w:r w:rsidRPr="00196902">
        <w:rPr>
          <w:b/>
          <w:bCs/>
        </w:rPr>
        <w:t>167</w:t>
      </w:r>
      <w:r w:rsidRPr="00196902">
        <w:t xml:space="preserve">. The first two digits of the approval number indicate that the approval was granted in accordance with the requirements of UN Regulation No. </w:t>
      </w:r>
      <w:r w:rsidRPr="00196902">
        <w:rPr>
          <w:b/>
          <w:bCs/>
        </w:rPr>
        <w:t>167</w:t>
      </w:r>
      <w:r w:rsidRPr="00196902">
        <w:t xml:space="preserve"> </w:t>
      </w:r>
      <w:r w:rsidRPr="00196902">
        <w:rPr>
          <w:b/>
          <w:bCs/>
          <w:lang w:eastAsia="en-GB"/>
        </w:rPr>
        <w:t>as amended by the 01 series of amendments</w:t>
      </w:r>
      <w:r w:rsidRPr="00196902">
        <w:rPr>
          <w:b/>
          <w:bCs/>
        </w:rPr>
        <w:t>.</w:t>
      </w:r>
    </w:p>
    <w:p w14:paraId="565F1A11" w14:textId="0DA9F8E5" w:rsidR="00563902" w:rsidRPr="00196902" w:rsidRDefault="00956AD6" w:rsidP="00563902">
      <w:pPr>
        <w:spacing w:after="120"/>
        <w:ind w:left="1134" w:right="1134"/>
        <w:jc w:val="both"/>
      </w:pPr>
      <w:r w:rsidRPr="00196902">
        <w:t>…"</w:t>
      </w:r>
    </w:p>
    <w:p w14:paraId="14A27001" w14:textId="35AC0ECB" w:rsidR="00C3287F" w:rsidRPr="00196902" w:rsidRDefault="00C3287F" w:rsidP="00563902">
      <w:pPr>
        <w:pStyle w:val="SingleTxtG"/>
      </w:pPr>
      <w:r w:rsidRPr="00196902">
        <w:rPr>
          <w:i/>
          <w:iCs/>
        </w:rPr>
        <w:t>Annex 4</w:t>
      </w:r>
      <w:r w:rsidR="00563902" w:rsidRPr="00196902">
        <w:rPr>
          <w:i/>
          <w:iCs/>
        </w:rPr>
        <w:t>,</w:t>
      </w:r>
      <w:r w:rsidRPr="00196902">
        <w:rPr>
          <w:i/>
          <w:iCs/>
        </w:rPr>
        <w:t xml:space="preserve"> Figure 1</w:t>
      </w:r>
      <w:r w:rsidR="00563902" w:rsidRPr="00196902">
        <w:t>, amend to read:</w:t>
      </w:r>
      <w:r w:rsidRPr="00196902">
        <w:t xml:space="preserve"> </w:t>
      </w:r>
    </w:p>
    <w:p w14:paraId="05B268A3" w14:textId="73492B55" w:rsidR="00563902" w:rsidRPr="00196902" w:rsidRDefault="00563902" w:rsidP="00563902">
      <w:pPr>
        <w:pStyle w:val="Caption"/>
        <w:ind w:left="1134"/>
        <w:rPr>
          <w:b w:val="0"/>
          <w:bCs w:val="0"/>
          <w:color w:val="auto"/>
          <w:sz w:val="22"/>
          <w:szCs w:val="22"/>
          <w:lang w:val="en-GB"/>
        </w:rPr>
      </w:pPr>
      <w:r w:rsidRPr="00196902">
        <w:rPr>
          <w:color w:val="auto"/>
          <w:lang w:val="en-GB"/>
        </w:rPr>
        <w:t>"</w:t>
      </w:r>
      <w:bookmarkStart w:id="5" w:name="_Ref76042231"/>
      <w:r w:rsidRPr="00196902">
        <w:rPr>
          <w:b w:val="0"/>
          <w:bCs w:val="0"/>
          <w:color w:val="auto"/>
          <w:sz w:val="20"/>
          <w:szCs w:val="20"/>
          <w:lang w:val="en-GB"/>
        </w:rPr>
        <w:t xml:space="preserve">Figure </w:t>
      </w:r>
      <w:bookmarkEnd w:id="5"/>
      <w:r w:rsidRPr="00196902">
        <w:rPr>
          <w:b w:val="0"/>
          <w:bCs w:val="0"/>
          <w:color w:val="auto"/>
          <w:sz w:val="20"/>
          <w:szCs w:val="20"/>
          <w:lang w:val="en-GB"/>
        </w:rPr>
        <w:t>1</w:t>
      </w:r>
      <w:r w:rsidRPr="00196902">
        <w:rPr>
          <w:color w:val="auto"/>
          <w:sz w:val="20"/>
          <w:szCs w:val="20"/>
          <w:lang w:val="en-GB"/>
        </w:rPr>
        <w:br/>
        <w:t>Definition of the Assessment Volume, Based on a Category N</w:t>
      </w:r>
      <w:r w:rsidRPr="00196902">
        <w:rPr>
          <w:color w:val="auto"/>
          <w:sz w:val="20"/>
          <w:szCs w:val="20"/>
          <w:vertAlign w:val="subscript"/>
          <w:lang w:val="en-GB"/>
        </w:rPr>
        <w:t>3</w:t>
      </w:r>
      <w:r w:rsidRPr="00196902">
        <w:rPr>
          <w:color w:val="auto"/>
          <w:sz w:val="20"/>
          <w:szCs w:val="20"/>
          <w:lang w:val="en-GB"/>
        </w:rPr>
        <w:t xml:space="preserve"> Vehicle as an Example</w:t>
      </w:r>
    </w:p>
    <w:p w14:paraId="11D86719" w14:textId="2864F6EE" w:rsidR="00563902" w:rsidRPr="00196902" w:rsidRDefault="00563902" w:rsidP="00C3287F">
      <w:pPr>
        <w:keepNext/>
        <w:keepLines/>
        <w:tabs>
          <w:tab w:val="right" w:pos="851"/>
          <w:tab w:val="left" w:pos="1134"/>
          <w:tab w:val="left" w:pos="1559"/>
          <w:tab w:val="left" w:pos="1984"/>
          <w:tab w:val="left" w:leader="dot" w:pos="8929"/>
          <w:tab w:val="right" w:pos="9638"/>
        </w:tabs>
        <w:spacing w:after="120"/>
        <w:ind w:left="709"/>
      </w:pPr>
    </w:p>
    <w:p w14:paraId="36AF900F" w14:textId="77777777" w:rsidR="00C3287F" w:rsidRPr="00196902" w:rsidRDefault="00C3287F" w:rsidP="00C3287F">
      <w:pPr>
        <w:keepNext/>
        <w:keepLines/>
        <w:tabs>
          <w:tab w:val="right" w:pos="851"/>
          <w:tab w:val="left" w:pos="1134"/>
          <w:tab w:val="left" w:pos="1559"/>
          <w:tab w:val="left" w:pos="1984"/>
          <w:tab w:val="left" w:leader="dot" w:pos="8929"/>
          <w:tab w:val="right" w:pos="9638"/>
        </w:tabs>
        <w:spacing w:after="120"/>
        <w:ind w:left="709"/>
      </w:pPr>
      <w:r w:rsidRPr="00196902">
        <w:t xml:space="preserve"> </w:t>
      </w:r>
      <w:r w:rsidRPr="00196902">
        <w:rPr>
          <w:noProof/>
        </w:rPr>
        <w:drawing>
          <wp:inline distT="0" distB="0" distL="0" distR="0" wp14:anchorId="3697AC0B" wp14:editId="09BF61D6">
            <wp:extent cx="4019490" cy="3346450"/>
            <wp:effectExtent l="0" t="0" r="635" b="6350"/>
            <wp:docPr id="1804352856" name="Picture 1" descr="Diagram of 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52856" name="Picture 1" descr="Diagram of a diagram of a diagram&#10;&#10;Description automatically generated"/>
                    <pic:cNvPicPr/>
                  </pic:nvPicPr>
                  <pic:blipFill>
                    <a:blip r:embed="rId14"/>
                    <a:stretch>
                      <a:fillRect/>
                    </a:stretch>
                  </pic:blipFill>
                  <pic:spPr>
                    <a:xfrm>
                      <a:off x="0" y="0"/>
                      <a:ext cx="4104200" cy="3416976"/>
                    </a:xfrm>
                    <a:prstGeom prst="rect">
                      <a:avLst/>
                    </a:prstGeom>
                  </pic:spPr>
                </pic:pic>
              </a:graphicData>
            </a:graphic>
          </wp:inline>
        </w:drawing>
      </w:r>
    </w:p>
    <w:p w14:paraId="0836640C" w14:textId="0E18FAF4" w:rsidR="00C3287F" w:rsidRPr="00196902" w:rsidRDefault="00563902" w:rsidP="00C3287F">
      <w:pPr>
        <w:ind w:left="1134"/>
      </w:pPr>
      <w:r w:rsidRPr="00196902">
        <w:t>"</w:t>
      </w:r>
    </w:p>
    <w:p w14:paraId="390445A3" w14:textId="77777777" w:rsidR="00956AD6" w:rsidRPr="00196902" w:rsidRDefault="00C3287F" w:rsidP="00C3287F">
      <w:pPr>
        <w:ind w:left="1134"/>
        <w:rPr>
          <w:i/>
          <w:iCs/>
        </w:rPr>
      </w:pPr>
      <w:r w:rsidRPr="00196902">
        <w:rPr>
          <w:i/>
          <w:iCs/>
        </w:rPr>
        <w:t>Annex 7</w:t>
      </w:r>
      <w:r w:rsidR="00956AD6" w:rsidRPr="00196902">
        <w:rPr>
          <w:i/>
          <w:iCs/>
        </w:rPr>
        <w:t xml:space="preserve">, </w:t>
      </w:r>
    </w:p>
    <w:p w14:paraId="29A8D69C" w14:textId="641EBD66" w:rsidR="00C3287F" w:rsidRPr="00196902" w:rsidRDefault="00956AD6" w:rsidP="00956AD6">
      <w:pPr>
        <w:spacing w:before="120" w:after="120"/>
        <w:ind w:left="1138"/>
      </w:pPr>
      <w:r w:rsidRPr="00196902">
        <w:rPr>
          <w:i/>
          <w:iCs/>
        </w:rPr>
        <w:t>P</w:t>
      </w:r>
      <w:r w:rsidR="00C3287F" w:rsidRPr="00196902">
        <w:rPr>
          <w:i/>
          <w:iCs/>
        </w:rPr>
        <w:t>aragraph 5.1</w:t>
      </w:r>
      <w:r w:rsidRPr="00196902">
        <w:rPr>
          <w:i/>
          <w:iCs/>
        </w:rPr>
        <w:t>.,</w:t>
      </w:r>
      <w:r w:rsidRPr="00196902">
        <w:t xml:space="preserve"> amend</w:t>
      </w:r>
      <w:r w:rsidR="00C3287F" w:rsidRPr="00196902">
        <w:t xml:space="preserve"> to read:</w:t>
      </w:r>
    </w:p>
    <w:p w14:paraId="5A9F2BDA" w14:textId="32ABB85B" w:rsidR="00C3287F" w:rsidRPr="00196902" w:rsidRDefault="00C3287F" w:rsidP="00956AD6">
      <w:pPr>
        <w:pStyle w:val="SingleTxtG"/>
        <w:spacing w:before="120"/>
        <w:ind w:left="2340" w:right="1138" w:hanging="1202"/>
      </w:pPr>
      <w:r w:rsidRPr="00196902">
        <w:rPr>
          <w:i/>
          <w:iCs/>
        </w:rPr>
        <w:t>"</w:t>
      </w:r>
      <w:r w:rsidRPr="00196902">
        <w:t>5.1</w:t>
      </w:r>
      <w:r w:rsidRPr="00196902">
        <w:rPr>
          <w:i/>
          <w:iCs/>
        </w:rPr>
        <w:t xml:space="preserve">. </w:t>
      </w:r>
      <w:r w:rsidR="00956AD6" w:rsidRPr="00196902">
        <w:rPr>
          <w:i/>
          <w:iCs/>
        </w:rPr>
        <w:tab/>
      </w:r>
      <w:r w:rsidRPr="00196902">
        <w:t xml:space="preserve">Each of the views to the driver’s nearside, front, </w:t>
      </w:r>
      <w:r w:rsidRPr="00196902">
        <w:rPr>
          <w:b/>
          <w:bCs/>
        </w:rPr>
        <w:t>SFVV</w:t>
      </w:r>
      <w:r w:rsidRPr="00196902">
        <w:t xml:space="preserve">, and offside shall be constrained to only those volumes that are within the assessment zone (the </w:t>
      </w:r>
      <w:r w:rsidRPr="00196902">
        <w:lastRenderedPageBreak/>
        <w:t>visible volume to each side). The remaining volumes of space shall be designated as:"</w:t>
      </w:r>
    </w:p>
    <w:p w14:paraId="7B637B0F" w14:textId="08E1AF1E" w:rsidR="00C3287F" w:rsidRPr="00196902" w:rsidRDefault="00956AD6" w:rsidP="00C3287F">
      <w:pPr>
        <w:ind w:left="1134"/>
        <w:rPr>
          <w:i/>
          <w:iCs/>
        </w:rPr>
      </w:pPr>
      <w:r w:rsidRPr="00196902">
        <w:rPr>
          <w:i/>
          <w:iCs/>
        </w:rPr>
        <w:t>Insert new p</w:t>
      </w:r>
      <w:r w:rsidR="00C3287F" w:rsidRPr="00196902">
        <w:rPr>
          <w:i/>
          <w:iCs/>
        </w:rPr>
        <w:t>aragraph 5.1.4</w:t>
      </w:r>
      <w:r w:rsidRPr="00196902">
        <w:rPr>
          <w:i/>
          <w:iCs/>
        </w:rPr>
        <w:t>.,</w:t>
      </w:r>
      <w:r w:rsidR="00C3287F" w:rsidRPr="00196902">
        <w:t xml:space="preserve"> to read:</w:t>
      </w:r>
    </w:p>
    <w:p w14:paraId="499B5DEF" w14:textId="60CC09E9" w:rsidR="00C3287F" w:rsidRPr="00196902" w:rsidRDefault="00C3287F" w:rsidP="00956AD6">
      <w:pPr>
        <w:spacing w:before="120" w:after="120"/>
        <w:ind w:left="1138"/>
        <w:rPr>
          <w:b/>
          <w:bCs/>
        </w:rPr>
      </w:pPr>
      <w:r w:rsidRPr="00196902">
        <w:t>"</w:t>
      </w:r>
      <w:r w:rsidRPr="00196902">
        <w:rPr>
          <w:b/>
          <w:bCs/>
        </w:rPr>
        <w:t>5.1.4.</w:t>
      </w:r>
      <w:r w:rsidR="00956AD6" w:rsidRPr="00196902">
        <w:rPr>
          <w:b/>
          <w:bCs/>
        </w:rPr>
        <w:tab/>
      </w:r>
      <w:r w:rsidR="00956AD6" w:rsidRPr="00196902">
        <w:rPr>
          <w:b/>
          <w:bCs/>
        </w:rPr>
        <w:tab/>
      </w:r>
      <w:r w:rsidRPr="00196902">
        <w:rPr>
          <w:b/>
          <w:bCs/>
        </w:rPr>
        <w:t>The Subsection frontal visible volume.</w:t>
      </w:r>
      <w:r w:rsidRPr="00196902">
        <w:t>"</w:t>
      </w:r>
    </w:p>
    <w:p w14:paraId="170E2E6C" w14:textId="4E47301A" w:rsidR="00C3287F" w:rsidRPr="00196902" w:rsidRDefault="00956AD6" w:rsidP="00956AD6">
      <w:pPr>
        <w:ind w:left="1170"/>
      </w:pPr>
      <w:r w:rsidRPr="00196902">
        <w:rPr>
          <w:i/>
          <w:iCs/>
        </w:rPr>
        <w:t>P</w:t>
      </w:r>
      <w:r w:rsidR="00C3287F" w:rsidRPr="00196902">
        <w:rPr>
          <w:i/>
          <w:iCs/>
        </w:rPr>
        <w:t>aragraph 5.2</w:t>
      </w:r>
      <w:r w:rsidRPr="00196902">
        <w:rPr>
          <w:i/>
          <w:iCs/>
        </w:rPr>
        <w:t>.,</w:t>
      </w:r>
      <w:r w:rsidRPr="00196902">
        <w:t xml:space="preserve"> amend</w:t>
      </w:r>
      <w:r w:rsidR="00C3287F" w:rsidRPr="00196902">
        <w:t xml:space="preserve"> to read:</w:t>
      </w:r>
    </w:p>
    <w:p w14:paraId="1617B1F7" w14:textId="77777777" w:rsidR="00C3287F" w:rsidRPr="00196902" w:rsidRDefault="00C3287F" w:rsidP="00C3287F">
      <w:pPr>
        <w:rPr>
          <w:i/>
          <w:iCs/>
        </w:rPr>
      </w:pPr>
    </w:p>
    <w:p w14:paraId="26130435" w14:textId="38D2A242" w:rsidR="00C3287F" w:rsidRPr="00196902" w:rsidRDefault="00C3287F" w:rsidP="00956AD6">
      <w:pPr>
        <w:ind w:left="2250" w:right="1089" w:hanging="1116"/>
        <w:jc w:val="both"/>
        <w:rPr>
          <w:b/>
          <w:bCs/>
        </w:rPr>
      </w:pPr>
      <w:r w:rsidRPr="00196902">
        <w:rPr>
          <w:b/>
          <w:bCs/>
          <w:i/>
          <w:iCs/>
        </w:rPr>
        <w:t>"</w:t>
      </w:r>
      <w:r w:rsidRPr="00196902">
        <w:t>5.2.</w:t>
      </w:r>
      <w:r w:rsidR="00956AD6" w:rsidRPr="00196902">
        <w:rPr>
          <w:b/>
          <w:bCs/>
        </w:rPr>
        <w:tab/>
      </w:r>
      <w:r w:rsidR="00956AD6" w:rsidRPr="00196902">
        <w:rPr>
          <w:b/>
          <w:bCs/>
        </w:rPr>
        <w:tab/>
      </w:r>
      <w:r w:rsidRPr="00196902">
        <w:t>The total visible volume is the sum of the</w:t>
      </w:r>
      <w:r w:rsidRPr="00196902">
        <w:rPr>
          <w:b/>
          <w:bCs/>
        </w:rPr>
        <w:t xml:space="preserve"> </w:t>
      </w:r>
      <w:r w:rsidRPr="00196902">
        <w:rPr>
          <w:strike/>
        </w:rPr>
        <w:t>visible volumes to each side</w:t>
      </w:r>
      <w:r w:rsidRPr="00196902">
        <w:rPr>
          <w:b/>
          <w:bCs/>
        </w:rPr>
        <w:t xml:space="preserve"> nearside, front and offside volumes.</w:t>
      </w:r>
      <w:r w:rsidRPr="00196902">
        <w:t>"</w:t>
      </w:r>
    </w:p>
    <w:p w14:paraId="11B76CD2" w14:textId="4DBD10BF" w:rsidR="00C3287F" w:rsidRPr="00196902" w:rsidRDefault="00C3287F" w:rsidP="00C3287F">
      <w:pPr>
        <w:pStyle w:val="HChG"/>
        <w:jc w:val="both"/>
      </w:pPr>
      <w:r w:rsidRPr="00196902">
        <w:tab/>
        <w:t>II.</w:t>
      </w:r>
      <w:r w:rsidRPr="00196902">
        <w:tab/>
        <w:t>Justification</w:t>
      </w:r>
    </w:p>
    <w:p w14:paraId="79B14D87" w14:textId="498A9556" w:rsidR="00C3287F" w:rsidRPr="00196902" w:rsidRDefault="00AC1F61" w:rsidP="00AC1F61">
      <w:pPr>
        <w:pStyle w:val="SingleTxtG"/>
      </w:pPr>
      <w:r w:rsidRPr="00196902">
        <w:t>1.</w:t>
      </w:r>
      <w:r w:rsidRPr="00196902">
        <w:tab/>
      </w:r>
      <w:r w:rsidR="00C3287F" w:rsidRPr="00196902">
        <w:t xml:space="preserve">The </w:t>
      </w:r>
      <w:r w:rsidR="00956AD6" w:rsidRPr="00196902">
        <w:t>original</w:t>
      </w:r>
      <w:r w:rsidR="00C3287F" w:rsidRPr="00196902">
        <w:t xml:space="preserve"> version of</w:t>
      </w:r>
      <w:r w:rsidR="00956AD6" w:rsidRPr="00196902">
        <w:t xml:space="preserve"> UN Regulation No.</w:t>
      </w:r>
      <w:r w:rsidR="00C3287F" w:rsidRPr="00196902">
        <w:t xml:space="preserve"> 167 defines the visible volume requirements to the front of the vehicle between the two A-pillars. This was not seen as technology neutral by manufacturers and so a recent proposal for an amendment from the VRU</w:t>
      </w:r>
      <w:r w:rsidR="00666249">
        <w:t>-</w:t>
      </w:r>
      <w:proofErr w:type="spellStart"/>
      <w:r w:rsidR="00C3287F" w:rsidRPr="00196902">
        <w:t>Proxi</w:t>
      </w:r>
      <w:proofErr w:type="spellEnd"/>
      <w:r w:rsidR="00C3287F" w:rsidRPr="00196902">
        <w:t xml:space="preserve"> group introduced a reduction of the front visible volume requirements proportional to any reduction in </w:t>
      </w:r>
      <w:r w:rsidR="00666249">
        <w:t>I</w:t>
      </w:r>
      <w:r w:rsidR="00C3287F" w:rsidRPr="00196902">
        <w:t xml:space="preserve">nter A-Pillar Distance (IAPD) below the thresholds also indicated in the amended </w:t>
      </w:r>
      <w:r w:rsidR="00666249">
        <w:t>t</w:t>
      </w:r>
      <w:r w:rsidR="00C3287F" w:rsidRPr="00196902">
        <w:t>able</w:t>
      </w:r>
      <w:r w:rsidRPr="00196902">
        <w:t> </w:t>
      </w:r>
      <w:r w:rsidR="00C3287F" w:rsidRPr="00196902">
        <w:t>1.</w:t>
      </w:r>
    </w:p>
    <w:p w14:paraId="4B749590" w14:textId="0D23A67A" w:rsidR="00C3287F" w:rsidRPr="00196902" w:rsidRDefault="00AC1F61" w:rsidP="00AC1F61">
      <w:pPr>
        <w:pStyle w:val="SingleTxtG"/>
      </w:pPr>
      <w:r w:rsidRPr="00196902">
        <w:t>2.</w:t>
      </w:r>
      <w:r w:rsidRPr="00196902">
        <w:tab/>
      </w:r>
      <w:r w:rsidR="00C3287F" w:rsidRPr="00196902">
        <w:t>The analysis that led to this solution also highlighted an additional issue where design changes could be made to vehicles in level</w:t>
      </w:r>
      <w:r w:rsidR="00666249">
        <w:t>s</w:t>
      </w:r>
      <w:r w:rsidR="00C3287F" w:rsidRPr="00196902">
        <w:t xml:space="preserve"> 1, 2 and 3, which could allow the vehicle to pass the frontal requirements defined in</w:t>
      </w:r>
      <w:r w:rsidRPr="00196902">
        <w:t xml:space="preserve"> the original version</w:t>
      </w:r>
      <w:r w:rsidR="00C3287F" w:rsidRPr="00196902">
        <w:t xml:space="preserve">, but without enabling adequate direct vision directly in front of the vehicle. </w:t>
      </w:r>
    </w:p>
    <w:p w14:paraId="73E70404" w14:textId="7DC6431E" w:rsidR="001C6663" w:rsidRPr="00196902" w:rsidRDefault="00AC1F61" w:rsidP="00AC1F61">
      <w:pPr>
        <w:pStyle w:val="SingleTxtG"/>
      </w:pPr>
      <w:r w:rsidRPr="00196902">
        <w:t>3.</w:t>
      </w:r>
      <w:r w:rsidRPr="00196902">
        <w:tab/>
      </w:r>
      <w:r w:rsidR="00C3287F" w:rsidRPr="00196902">
        <w:t xml:space="preserve">The </w:t>
      </w:r>
      <w:r w:rsidRPr="00196902">
        <w:t>original</w:t>
      </w:r>
      <w:r w:rsidR="00C3287F" w:rsidRPr="00196902">
        <w:t xml:space="preserve"> version involved the definition of volumetric score which must be achieved to the front and sides of the vehicle. This volume score was derived from the correlation between volumetric score and the average of </w:t>
      </w:r>
      <w:r w:rsidR="00764E02">
        <w:t>three</w:t>
      </w:r>
      <w:r w:rsidR="00C3287F" w:rsidRPr="00196902">
        <w:t xml:space="preserve"> VRU distances directly in front of the vehicle. Therefore, the intent was to allow </w:t>
      </w:r>
      <w:r w:rsidR="00764E02">
        <w:t xml:space="preserve">that </w:t>
      </w:r>
      <w:r w:rsidR="00C3287F" w:rsidRPr="00196902">
        <w:t xml:space="preserve">these VRUs be seen by the driver, and not </w:t>
      </w:r>
      <w:r w:rsidRPr="00196902">
        <w:t>be in</w:t>
      </w:r>
      <w:r w:rsidR="00C3287F" w:rsidRPr="00196902">
        <w:t xml:space="preserve"> a blind spot between direct vision and indirect vision. </w:t>
      </w:r>
    </w:p>
    <w:p w14:paraId="2C23D18C" w14:textId="752AB688" w:rsidR="00AC1F61" w:rsidRPr="00196902" w:rsidRDefault="00AC1F61" w:rsidP="00AC1F61">
      <w:pPr>
        <w:spacing w:before="240"/>
        <w:jc w:val="center"/>
        <w:rPr>
          <w:u w:val="single"/>
        </w:rPr>
      </w:pPr>
      <w:r w:rsidRPr="00196902">
        <w:rPr>
          <w:u w:val="single"/>
        </w:rPr>
        <w:tab/>
      </w:r>
      <w:r w:rsidRPr="00196902">
        <w:rPr>
          <w:u w:val="single"/>
        </w:rPr>
        <w:tab/>
      </w:r>
      <w:r w:rsidRPr="00196902">
        <w:rPr>
          <w:u w:val="single"/>
        </w:rPr>
        <w:tab/>
      </w:r>
    </w:p>
    <w:sectPr w:rsidR="00AC1F61" w:rsidRPr="00196902" w:rsidSect="00C3287F">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C04D" w14:textId="77777777" w:rsidR="00B55D3D" w:rsidRDefault="00B55D3D"/>
  </w:endnote>
  <w:endnote w:type="continuationSeparator" w:id="0">
    <w:p w14:paraId="20DDAE38" w14:textId="77777777" w:rsidR="00B55D3D" w:rsidRDefault="00B55D3D"/>
  </w:endnote>
  <w:endnote w:type="continuationNotice" w:id="1">
    <w:p w14:paraId="5C75A674" w14:textId="77777777" w:rsidR="00B55D3D" w:rsidRDefault="00B55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F45" w14:textId="10C54052" w:rsidR="00C3287F" w:rsidRPr="00C3287F" w:rsidRDefault="00C3287F" w:rsidP="00C3287F">
    <w:pPr>
      <w:pStyle w:val="Footer"/>
      <w:tabs>
        <w:tab w:val="right" w:pos="9638"/>
      </w:tabs>
      <w:rPr>
        <w:sz w:val="18"/>
      </w:rPr>
    </w:pPr>
    <w:r w:rsidRPr="00C3287F">
      <w:rPr>
        <w:b/>
        <w:sz w:val="18"/>
      </w:rPr>
      <w:fldChar w:fldCharType="begin"/>
    </w:r>
    <w:r w:rsidRPr="00C3287F">
      <w:rPr>
        <w:b/>
        <w:sz w:val="18"/>
      </w:rPr>
      <w:instrText xml:space="preserve"> PAGE  \* MERGEFORMAT </w:instrText>
    </w:r>
    <w:r w:rsidRPr="00C3287F">
      <w:rPr>
        <w:b/>
        <w:sz w:val="18"/>
      </w:rPr>
      <w:fldChar w:fldCharType="separate"/>
    </w:r>
    <w:r w:rsidRPr="00C3287F">
      <w:rPr>
        <w:b/>
        <w:noProof/>
        <w:sz w:val="18"/>
      </w:rPr>
      <w:t>2</w:t>
    </w:r>
    <w:r w:rsidRPr="00C328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103D" w14:textId="43B79E01" w:rsidR="00C3287F" w:rsidRPr="00C3287F" w:rsidRDefault="00C3287F" w:rsidP="00C3287F">
    <w:pPr>
      <w:pStyle w:val="Footer"/>
      <w:tabs>
        <w:tab w:val="right" w:pos="9638"/>
      </w:tabs>
      <w:rPr>
        <w:b/>
        <w:sz w:val="18"/>
      </w:rPr>
    </w:pPr>
    <w:r>
      <w:tab/>
    </w:r>
    <w:r w:rsidRPr="00C3287F">
      <w:rPr>
        <w:b/>
        <w:sz w:val="18"/>
      </w:rPr>
      <w:fldChar w:fldCharType="begin"/>
    </w:r>
    <w:r w:rsidRPr="00C3287F">
      <w:rPr>
        <w:b/>
        <w:sz w:val="18"/>
      </w:rPr>
      <w:instrText xml:space="preserve"> PAGE  \* MERGEFORMAT </w:instrText>
    </w:r>
    <w:r w:rsidRPr="00C3287F">
      <w:rPr>
        <w:b/>
        <w:sz w:val="18"/>
      </w:rPr>
      <w:fldChar w:fldCharType="separate"/>
    </w:r>
    <w:r w:rsidRPr="00C3287F">
      <w:rPr>
        <w:b/>
        <w:noProof/>
        <w:sz w:val="18"/>
      </w:rPr>
      <w:t>3</w:t>
    </w:r>
    <w:r w:rsidRPr="00C328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40C" w14:textId="559271C3" w:rsidR="009415F7" w:rsidRDefault="009415F7" w:rsidP="009415F7">
    <w:pPr>
      <w:pStyle w:val="Footer"/>
    </w:pPr>
    <w:r w:rsidRPr="0027112F">
      <w:rPr>
        <w:noProof/>
        <w:lang w:val="en-US"/>
      </w:rPr>
      <w:drawing>
        <wp:anchor distT="0" distB="0" distL="114300" distR="114300" simplePos="0" relativeHeight="251659264" behindDoc="0" locked="1" layoutInCell="1" allowOverlap="1" wp14:anchorId="508891EA" wp14:editId="225297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232778" w14:textId="1EEA7D57" w:rsidR="009415F7" w:rsidRPr="009415F7" w:rsidRDefault="009415F7" w:rsidP="009415F7">
    <w:pPr>
      <w:pStyle w:val="Footer"/>
      <w:ind w:right="1134"/>
      <w:rPr>
        <w:sz w:val="20"/>
      </w:rPr>
    </w:pPr>
    <w:r>
      <w:rPr>
        <w:sz w:val="20"/>
      </w:rPr>
      <w:t>GE.24-01414(E)</w:t>
    </w:r>
    <w:r>
      <w:rPr>
        <w:noProof/>
        <w:sz w:val="20"/>
      </w:rPr>
      <w:drawing>
        <wp:anchor distT="0" distB="0" distL="114300" distR="114300" simplePos="0" relativeHeight="251660288" behindDoc="0" locked="0" layoutInCell="1" allowOverlap="1" wp14:anchorId="22143F0B" wp14:editId="7ACBE13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8265" w14:textId="77777777" w:rsidR="00B55D3D" w:rsidRPr="000B175B" w:rsidRDefault="00B55D3D" w:rsidP="000B175B">
      <w:pPr>
        <w:tabs>
          <w:tab w:val="right" w:pos="2155"/>
        </w:tabs>
        <w:spacing w:after="80"/>
        <w:ind w:left="680"/>
        <w:rPr>
          <w:u w:val="single"/>
        </w:rPr>
      </w:pPr>
      <w:r>
        <w:rPr>
          <w:u w:val="single"/>
        </w:rPr>
        <w:tab/>
      </w:r>
    </w:p>
  </w:footnote>
  <w:footnote w:type="continuationSeparator" w:id="0">
    <w:p w14:paraId="529D20CC" w14:textId="77777777" w:rsidR="00B55D3D" w:rsidRPr="00FC68B7" w:rsidRDefault="00B55D3D" w:rsidP="00FC68B7">
      <w:pPr>
        <w:tabs>
          <w:tab w:val="left" w:pos="2155"/>
        </w:tabs>
        <w:spacing w:after="80"/>
        <w:ind w:left="680"/>
        <w:rPr>
          <w:u w:val="single"/>
        </w:rPr>
      </w:pPr>
      <w:r>
        <w:rPr>
          <w:u w:val="single"/>
        </w:rPr>
        <w:tab/>
      </w:r>
    </w:p>
  </w:footnote>
  <w:footnote w:type="continuationNotice" w:id="1">
    <w:p w14:paraId="2D71F170" w14:textId="77777777" w:rsidR="00B55D3D" w:rsidRDefault="00B55D3D"/>
  </w:footnote>
  <w:footnote w:id="2">
    <w:p w14:paraId="13861039" w14:textId="77777777" w:rsidR="00C3287F" w:rsidRPr="00EA370C" w:rsidRDefault="00C3287F" w:rsidP="00C3287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4F1" w14:textId="48F666CA" w:rsidR="00C3287F" w:rsidRPr="00C3287F" w:rsidRDefault="00630C7E">
    <w:pPr>
      <w:pStyle w:val="Header"/>
    </w:pPr>
    <w:r>
      <w:fldChar w:fldCharType="begin"/>
    </w:r>
    <w:r>
      <w:instrText xml:space="preserve"> TITLE  \* MERGEFORMAT </w:instrText>
    </w:r>
    <w:r>
      <w:fldChar w:fldCharType="separate"/>
    </w:r>
    <w:r w:rsidR="004B0960">
      <w:t>ECE/TRANS/WP.29/GRSG/2024/6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68A9" w14:textId="2BA80631" w:rsidR="00C3287F" w:rsidRPr="00C3287F" w:rsidRDefault="00630C7E" w:rsidP="00C3287F">
    <w:pPr>
      <w:pStyle w:val="Header"/>
      <w:jc w:val="right"/>
    </w:pPr>
    <w:r>
      <w:fldChar w:fldCharType="begin"/>
    </w:r>
    <w:r>
      <w:instrText xml:space="preserve"> TITLE  \* MERGEFORMAT </w:instrText>
    </w:r>
    <w:r>
      <w:fldChar w:fldCharType="separate"/>
    </w:r>
    <w:r w:rsidR="004B0960">
      <w:t>ECE/TRANS/WP.29/GRSG/2024/6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31516908">
    <w:abstractNumId w:val="1"/>
  </w:num>
  <w:num w:numId="2" w16cid:durableId="1363870602">
    <w:abstractNumId w:val="0"/>
  </w:num>
  <w:num w:numId="3" w16cid:durableId="592008780">
    <w:abstractNumId w:val="2"/>
  </w:num>
  <w:num w:numId="4" w16cid:durableId="1770393015">
    <w:abstractNumId w:val="3"/>
  </w:num>
  <w:num w:numId="5" w16cid:durableId="317419625">
    <w:abstractNumId w:val="8"/>
  </w:num>
  <w:num w:numId="6" w16cid:durableId="1276329270">
    <w:abstractNumId w:val="9"/>
  </w:num>
  <w:num w:numId="7" w16cid:durableId="958028860">
    <w:abstractNumId w:val="7"/>
  </w:num>
  <w:num w:numId="8" w16cid:durableId="11616086">
    <w:abstractNumId w:val="6"/>
  </w:num>
  <w:num w:numId="9" w16cid:durableId="1826900156">
    <w:abstractNumId w:val="5"/>
  </w:num>
  <w:num w:numId="10" w16cid:durableId="1902670640">
    <w:abstractNumId w:val="4"/>
  </w:num>
  <w:num w:numId="11" w16cid:durableId="1670718258">
    <w:abstractNumId w:val="15"/>
  </w:num>
  <w:num w:numId="12" w16cid:durableId="2039118278">
    <w:abstractNumId w:val="14"/>
  </w:num>
  <w:num w:numId="13" w16cid:durableId="1622297667">
    <w:abstractNumId w:val="10"/>
  </w:num>
  <w:num w:numId="14" w16cid:durableId="367679400">
    <w:abstractNumId w:val="12"/>
  </w:num>
  <w:num w:numId="15" w16cid:durableId="1761607745">
    <w:abstractNumId w:val="16"/>
  </w:num>
  <w:num w:numId="16" w16cid:durableId="1693720533">
    <w:abstractNumId w:val="13"/>
  </w:num>
  <w:num w:numId="17" w16cid:durableId="2014795294">
    <w:abstractNumId w:val="17"/>
  </w:num>
  <w:num w:numId="18" w16cid:durableId="1290625509">
    <w:abstractNumId w:val="18"/>
  </w:num>
  <w:num w:numId="19" w16cid:durableId="61872669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7F"/>
    <w:rsid w:val="00002A7D"/>
    <w:rsid w:val="000038A8"/>
    <w:rsid w:val="00005DF3"/>
    <w:rsid w:val="00006790"/>
    <w:rsid w:val="00027624"/>
    <w:rsid w:val="00050F6B"/>
    <w:rsid w:val="00056B65"/>
    <w:rsid w:val="000678CD"/>
    <w:rsid w:val="00072C8C"/>
    <w:rsid w:val="00081CE0"/>
    <w:rsid w:val="00084D30"/>
    <w:rsid w:val="00090320"/>
    <w:rsid w:val="000931C0"/>
    <w:rsid w:val="00097003"/>
    <w:rsid w:val="000A2E09"/>
    <w:rsid w:val="000B175B"/>
    <w:rsid w:val="000B3A0F"/>
    <w:rsid w:val="000E0415"/>
    <w:rsid w:val="000F7715"/>
    <w:rsid w:val="001027B1"/>
    <w:rsid w:val="00156B99"/>
    <w:rsid w:val="001639AB"/>
    <w:rsid w:val="00166124"/>
    <w:rsid w:val="00184DDA"/>
    <w:rsid w:val="001900CD"/>
    <w:rsid w:val="00196902"/>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116D"/>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B0960"/>
    <w:rsid w:val="004C55B0"/>
    <w:rsid w:val="004F6BA0"/>
    <w:rsid w:val="00503BEA"/>
    <w:rsid w:val="00533616"/>
    <w:rsid w:val="00535ABA"/>
    <w:rsid w:val="0053768B"/>
    <w:rsid w:val="005420F2"/>
    <w:rsid w:val="0054285C"/>
    <w:rsid w:val="00563902"/>
    <w:rsid w:val="00584173"/>
    <w:rsid w:val="00595520"/>
    <w:rsid w:val="005A44B9"/>
    <w:rsid w:val="005B1BA0"/>
    <w:rsid w:val="005B3DB3"/>
    <w:rsid w:val="005C0268"/>
    <w:rsid w:val="005D15CA"/>
    <w:rsid w:val="005D66B7"/>
    <w:rsid w:val="005F08DF"/>
    <w:rsid w:val="005F3066"/>
    <w:rsid w:val="005F3E61"/>
    <w:rsid w:val="00604DDD"/>
    <w:rsid w:val="006115CC"/>
    <w:rsid w:val="00611FC4"/>
    <w:rsid w:val="006176FB"/>
    <w:rsid w:val="00630FCB"/>
    <w:rsid w:val="00640B26"/>
    <w:rsid w:val="0065766B"/>
    <w:rsid w:val="00666249"/>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64E02"/>
    <w:rsid w:val="00780C68"/>
    <w:rsid w:val="007959FE"/>
    <w:rsid w:val="007A0CF1"/>
    <w:rsid w:val="007B6BA5"/>
    <w:rsid w:val="007C3390"/>
    <w:rsid w:val="007C42D8"/>
    <w:rsid w:val="007C4F4B"/>
    <w:rsid w:val="007D6F65"/>
    <w:rsid w:val="007D7362"/>
    <w:rsid w:val="007F5CE2"/>
    <w:rsid w:val="007F6611"/>
    <w:rsid w:val="00810BAC"/>
    <w:rsid w:val="008148F6"/>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15F7"/>
    <w:rsid w:val="00947162"/>
    <w:rsid w:val="00956AD6"/>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1F61"/>
    <w:rsid w:val="00AC502A"/>
    <w:rsid w:val="00AE1E26"/>
    <w:rsid w:val="00AF58C1"/>
    <w:rsid w:val="00B04A3F"/>
    <w:rsid w:val="00B06643"/>
    <w:rsid w:val="00B15055"/>
    <w:rsid w:val="00B20551"/>
    <w:rsid w:val="00B30179"/>
    <w:rsid w:val="00B31E0B"/>
    <w:rsid w:val="00B33FC7"/>
    <w:rsid w:val="00B37B15"/>
    <w:rsid w:val="00B4162A"/>
    <w:rsid w:val="00B45C02"/>
    <w:rsid w:val="00B55D3D"/>
    <w:rsid w:val="00B67FA5"/>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287F"/>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48C"/>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011E46"/>
  <w15:docId w15:val="{556057F2-573B-43AB-9495-4204D7CF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C3287F"/>
    <w:rPr>
      <w:lang w:val="en-GB"/>
    </w:rPr>
  </w:style>
  <w:style w:type="character" w:customStyle="1" w:styleId="HChGChar">
    <w:name w:val="_ H _Ch_G Char"/>
    <w:link w:val="HChG"/>
    <w:qFormat/>
    <w:rsid w:val="00C3287F"/>
    <w:rPr>
      <w:b/>
      <w:sz w:val="28"/>
      <w:lang w:val="en-GB"/>
    </w:rPr>
  </w:style>
  <w:style w:type="character" w:customStyle="1" w:styleId="H1GChar">
    <w:name w:val="_ H_1_G Char"/>
    <w:link w:val="H1G"/>
    <w:locked/>
    <w:rsid w:val="00C3287F"/>
    <w:rPr>
      <w:b/>
      <w:sz w:val="24"/>
      <w:lang w:val="en-GB"/>
    </w:rPr>
  </w:style>
  <w:style w:type="paragraph" w:styleId="Caption">
    <w:name w:val="caption"/>
    <w:basedOn w:val="Normal"/>
    <w:next w:val="Normal"/>
    <w:uiPriority w:val="35"/>
    <w:semiHidden/>
    <w:unhideWhenUsed/>
    <w:qFormat/>
    <w:rsid w:val="00563902"/>
    <w:pPr>
      <w:spacing w:after="200" w:line="240" w:lineRule="auto"/>
    </w:pPr>
    <w:rPr>
      <w:b/>
      <w:bCs/>
      <w:color w:val="4F81BD"/>
      <w:sz w:val="18"/>
      <w:szCs w:val="18"/>
      <w:lang w:val="ru-RU" w:eastAsia="ar-SA"/>
    </w:rPr>
  </w:style>
  <w:style w:type="paragraph" w:styleId="Revision">
    <w:name w:val="Revision"/>
    <w:hidden/>
    <w:uiPriority w:val="99"/>
    <w:semiHidden/>
    <w:rsid w:val="00196902"/>
    <w:rPr>
      <w:lang w:val="en-GB"/>
    </w:rPr>
  </w:style>
  <w:style w:type="character" w:styleId="CommentReference">
    <w:name w:val="annotation reference"/>
    <w:basedOn w:val="DefaultParagraphFont"/>
    <w:semiHidden/>
    <w:unhideWhenUsed/>
    <w:rsid w:val="00196902"/>
    <w:rPr>
      <w:sz w:val="16"/>
      <w:szCs w:val="16"/>
    </w:rPr>
  </w:style>
  <w:style w:type="paragraph" w:styleId="CommentText">
    <w:name w:val="annotation text"/>
    <w:basedOn w:val="Normal"/>
    <w:link w:val="CommentTextChar"/>
    <w:unhideWhenUsed/>
    <w:rsid w:val="00196902"/>
    <w:pPr>
      <w:spacing w:line="240" w:lineRule="auto"/>
    </w:pPr>
  </w:style>
  <w:style w:type="character" w:customStyle="1" w:styleId="CommentTextChar">
    <w:name w:val="Comment Text Char"/>
    <w:basedOn w:val="DefaultParagraphFont"/>
    <w:link w:val="CommentText"/>
    <w:rsid w:val="00196902"/>
    <w:rPr>
      <w:lang w:val="en-GB"/>
    </w:rPr>
  </w:style>
  <w:style w:type="paragraph" w:styleId="CommentSubject">
    <w:name w:val="annotation subject"/>
    <w:basedOn w:val="CommentText"/>
    <w:next w:val="CommentText"/>
    <w:link w:val="CommentSubjectChar"/>
    <w:semiHidden/>
    <w:unhideWhenUsed/>
    <w:rsid w:val="00196902"/>
    <w:rPr>
      <w:b/>
      <w:bCs/>
    </w:rPr>
  </w:style>
  <w:style w:type="character" w:customStyle="1" w:styleId="CommentSubjectChar">
    <w:name w:val="Comment Subject Char"/>
    <w:basedOn w:val="CommentTextChar"/>
    <w:link w:val="CommentSubject"/>
    <w:semiHidden/>
    <w:rsid w:val="0019690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6347">
      <w:bodyDiv w:val="1"/>
      <w:marLeft w:val="0"/>
      <w:marRight w:val="0"/>
      <w:marTop w:val="0"/>
      <w:marBottom w:val="0"/>
      <w:divBdr>
        <w:top w:val="none" w:sz="0" w:space="0" w:color="auto"/>
        <w:left w:val="none" w:sz="0" w:space="0" w:color="auto"/>
        <w:bottom w:val="none" w:sz="0" w:space="0" w:color="auto"/>
        <w:right w:val="none" w:sz="0" w:space="0" w:color="auto"/>
      </w:divBdr>
    </w:div>
    <w:div w:id="11536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779AB72-D6C8-490E-9403-5BADBD77244B}">
  <ds:schemaRefs>
    <ds:schemaRef ds:uri="http://schemas.microsoft.com/sharepoint/v3/contenttype/forms"/>
  </ds:schemaRefs>
</ds:datastoreItem>
</file>

<file path=customXml/itemProps3.xml><?xml version="1.0" encoding="utf-8"?>
<ds:datastoreItem xmlns:ds="http://schemas.openxmlformats.org/officeDocument/2006/customXml" ds:itemID="{F4C49C84-93E0-46BB-9454-AE501EA3E50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E097FA7-1D9F-4AF1-B900-52BA4DDA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4494</Characters>
  <Application>Microsoft Office Word</Application>
  <DocSecurity>0</DocSecurity>
  <Lines>158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ECE/TRANS/WP.29/GRSG/2024/6</vt:lpstr>
      <vt:lpstr/>
    </vt:vector>
  </TitlesOfParts>
  <Company>CSD</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ECE/TRANS/WP.29/GRSG/2024/6</dc:title>
  <dc:subject>2401414</dc:subject>
  <dc:creator>EG</dc:creator>
  <cp:keywords/>
  <dc:description/>
  <cp:lastModifiedBy>Maria Rosario Corazon Gatmaytan</cp:lastModifiedBy>
  <cp:revision>2</cp:revision>
  <cp:lastPrinted>2024-01-26T14:45:00Z</cp:lastPrinted>
  <dcterms:created xsi:type="dcterms:W3CDTF">2024-01-26T15:07:00Z</dcterms:created>
  <dcterms:modified xsi:type="dcterms:W3CDTF">2024-01-26T15:07:00Z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