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3D461A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B9EC63" w14:textId="77777777" w:rsidR="00F35BAF" w:rsidRPr="00DB58B5" w:rsidRDefault="00F35BAF" w:rsidP="005D2E0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AE728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6D43F1" w14:textId="114D70D8" w:rsidR="00F35BAF" w:rsidRPr="00DB58B5" w:rsidRDefault="005D2E04" w:rsidP="005D2E04">
            <w:pPr>
              <w:jc w:val="right"/>
            </w:pPr>
            <w:r w:rsidRPr="005D2E04">
              <w:rPr>
                <w:sz w:val="40"/>
              </w:rPr>
              <w:t>ECE</w:t>
            </w:r>
            <w:r>
              <w:t>/TRANS/WP</w:t>
            </w:r>
            <w:r w:rsidRPr="005D2E04">
              <w:t>.</w:t>
            </w:r>
            <w:r>
              <w:t>29/2024/13</w:t>
            </w:r>
          </w:p>
        </w:tc>
      </w:tr>
      <w:tr w:rsidR="00F35BAF" w:rsidRPr="00DB58B5" w14:paraId="122AC0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B2E2C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BB235C" wp14:editId="684841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B23B4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83A8E5" w14:textId="7E64DDA2" w:rsidR="00F35BAF" w:rsidRDefault="005D2E0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Pr="005D2E04">
              <w:t>.</w:t>
            </w:r>
            <w:r>
              <w:t xml:space="preserve"> générale</w:t>
            </w:r>
          </w:p>
          <w:p w14:paraId="2C562481" w14:textId="77777777" w:rsidR="005D2E04" w:rsidRDefault="005D2E04" w:rsidP="005D2E04">
            <w:pPr>
              <w:spacing w:line="240" w:lineRule="exact"/>
            </w:pPr>
            <w:r>
              <w:t>21 décembre 2023</w:t>
            </w:r>
          </w:p>
          <w:p w14:paraId="174A61D0" w14:textId="77777777" w:rsidR="005D2E04" w:rsidRDefault="005D2E04" w:rsidP="005D2E04">
            <w:pPr>
              <w:spacing w:line="240" w:lineRule="exact"/>
            </w:pPr>
            <w:r>
              <w:t>Français</w:t>
            </w:r>
          </w:p>
          <w:p w14:paraId="429967AA" w14:textId="132C0E7E" w:rsidR="005D2E04" w:rsidRPr="00DB58B5" w:rsidRDefault="005D2E04" w:rsidP="005D2E04">
            <w:pPr>
              <w:spacing w:line="240" w:lineRule="exact"/>
            </w:pPr>
            <w:r>
              <w:t>Original : anglais</w:t>
            </w:r>
          </w:p>
        </w:tc>
      </w:tr>
    </w:tbl>
    <w:p w14:paraId="0D1B228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508D7B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F1A27F6" w14:textId="77777777" w:rsidR="005D2E04" w:rsidRPr="002109F4" w:rsidRDefault="005D2E04" w:rsidP="005D2E04">
      <w:pPr>
        <w:spacing w:before="120"/>
        <w:ind w:right="3684"/>
        <w:rPr>
          <w:b/>
          <w:lang w:val="fr-FR"/>
        </w:rPr>
      </w:pPr>
      <w:r w:rsidRPr="002109F4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2109F4">
        <w:rPr>
          <w:b/>
          <w:bCs/>
          <w:sz w:val="24"/>
          <w:szCs w:val="24"/>
          <w:lang w:val="fr-FR"/>
        </w:rPr>
        <w:t>harmonisation des Règlements concernant les véhicules</w:t>
      </w:r>
    </w:p>
    <w:p w14:paraId="597C0486" w14:textId="77777777" w:rsidR="005D2E04" w:rsidRPr="002109F4" w:rsidRDefault="005D2E04" w:rsidP="005D2E04">
      <w:pPr>
        <w:tabs>
          <w:tab w:val="left" w:pos="7830"/>
        </w:tabs>
        <w:spacing w:before="120"/>
        <w:rPr>
          <w:b/>
          <w:lang w:val="fr-FR"/>
        </w:rPr>
      </w:pPr>
      <w:r w:rsidRPr="002109F4">
        <w:rPr>
          <w:b/>
          <w:bCs/>
          <w:lang w:val="fr-FR"/>
        </w:rPr>
        <w:t>1</w:t>
      </w:r>
      <w:r>
        <w:rPr>
          <w:b/>
          <w:bCs/>
          <w:lang w:val="fr-FR"/>
        </w:rPr>
        <w:t>9</w:t>
      </w:r>
      <w:r w:rsidRPr="002109F4">
        <w:rPr>
          <w:b/>
          <w:bCs/>
          <w:lang w:val="fr-FR"/>
        </w:rPr>
        <w:t>2</w:t>
      </w:r>
      <w:r w:rsidRPr="002109F4">
        <w:rPr>
          <w:b/>
          <w:bCs/>
          <w:vertAlign w:val="superscript"/>
          <w:lang w:val="fr-FR"/>
        </w:rPr>
        <w:t>e</w:t>
      </w:r>
      <w:r w:rsidRPr="002109F4">
        <w:rPr>
          <w:b/>
          <w:bCs/>
          <w:lang w:val="fr-FR"/>
        </w:rPr>
        <w:t xml:space="preserve"> session</w:t>
      </w:r>
    </w:p>
    <w:p w14:paraId="05C661C6" w14:textId="77777777" w:rsidR="005D2E04" w:rsidRPr="002109F4" w:rsidRDefault="005D2E04" w:rsidP="005D2E04">
      <w:pPr>
        <w:rPr>
          <w:lang w:val="fr-FR"/>
        </w:rPr>
      </w:pPr>
      <w:r w:rsidRPr="002109F4">
        <w:rPr>
          <w:lang w:val="fr-FR"/>
        </w:rPr>
        <w:t xml:space="preserve">Genève, </w:t>
      </w:r>
      <w:r>
        <w:rPr>
          <w:lang w:val="fr-FR"/>
        </w:rPr>
        <w:t>5-8 mars</w:t>
      </w:r>
      <w:r w:rsidRPr="002109F4">
        <w:rPr>
          <w:lang w:val="fr-FR"/>
        </w:rPr>
        <w:t xml:space="preserve"> 202</w:t>
      </w:r>
      <w:r>
        <w:rPr>
          <w:lang w:val="fr-FR"/>
        </w:rPr>
        <w:t>4</w:t>
      </w:r>
    </w:p>
    <w:p w14:paraId="26A19B49" w14:textId="4E4EDAA6" w:rsidR="005D2E04" w:rsidRPr="002109F4" w:rsidRDefault="005D2E04" w:rsidP="005D2E04">
      <w:pPr>
        <w:rPr>
          <w:lang w:val="fr-FR"/>
        </w:rPr>
      </w:pPr>
      <w:r w:rsidRPr="002109F4">
        <w:rPr>
          <w:lang w:val="fr-FR"/>
        </w:rPr>
        <w:t>Point 4</w:t>
      </w:r>
      <w:r w:rsidRPr="005D2E04">
        <w:rPr>
          <w:lang w:val="fr-FR"/>
        </w:rPr>
        <w:t>.</w:t>
      </w:r>
      <w:r>
        <w:rPr>
          <w:lang w:val="fr-FR"/>
        </w:rPr>
        <w:t>8</w:t>
      </w:r>
      <w:r w:rsidRPr="005D2E04">
        <w:rPr>
          <w:lang w:val="fr-FR"/>
        </w:rPr>
        <w:t>.</w:t>
      </w:r>
      <w:r>
        <w:rPr>
          <w:lang w:val="fr-FR"/>
        </w:rPr>
        <w:t>3</w:t>
      </w:r>
      <w:r w:rsidRPr="002109F4">
        <w:rPr>
          <w:lang w:val="fr-FR"/>
        </w:rPr>
        <w:t xml:space="preserve"> de l</w:t>
      </w:r>
      <w:r>
        <w:rPr>
          <w:lang w:val="fr-FR"/>
        </w:rPr>
        <w:t>’</w:t>
      </w:r>
      <w:r w:rsidRPr="002109F4">
        <w:rPr>
          <w:lang w:val="fr-FR"/>
        </w:rPr>
        <w:t>ordre du jour provisoire</w:t>
      </w:r>
    </w:p>
    <w:p w14:paraId="20CEF565" w14:textId="758C0FC5" w:rsidR="005D2E04" w:rsidRPr="002109F4" w:rsidRDefault="005D2E04" w:rsidP="005D2E04">
      <w:pPr>
        <w:ind w:right="3684"/>
        <w:rPr>
          <w:b/>
          <w:bCs/>
          <w:lang w:val="fr-FR"/>
        </w:rPr>
      </w:pPr>
      <w:r>
        <w:rPr>
          <w:b/>
          <w:bCs/>
          <w:lang w:val="fr-FR"/>
        </w:rPr>
        <w:t>Accord de 1958</w:t>
      </w:r>
      <w:r w:rsidRPr="002109F4"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br/>
        <w:t>Examen de projets d</w:t>
      </w:r>
      <w:r>
        <w:rPr>
          <w:b/>
          <w:bCs/>
          <w:lang w:val="fr-BE"/>
        </w:rPr>
        <w:t xml:space="preserve">’amendements à des </w:t>
      </w:r>
      <w:r w:rsidRPr="002109F4">
        <w:rPr>
          <w:b/>
          <w:bCs/>
          <w:lang w:val="fr-FR"/>
        </w:rPr>
        <w:t>Règlement</w:t>
      </w:r>
      <w:r>
        <w:rPr>
          <w:b/>
          <w:bCs/>
          <w:lang w:val="fr-FR"/>
        </w:rPr>
        <w:t>s</w:t>
      </w:r>
      <w:r w:rsidRPr="002109F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2109F4">
        <w:rPr>
          <w:b/>
          <w:bCs/>
          <w:lang w:val="fr-FR"/>
        </w:rPr>
        <w:t xml:space="preserve">ONU </w:t>
      </w:r>
      <w:r>
        <w:rPr>
          <w:b/>
          <w:bCs/>
          <w:lang w:val="fr-FR"/>
        </w:rPr>
        <w:t>existants, soumis par le GRSG</w:t>
      </w:r>
    </w:p>
    <w:p w14:paraId="3EA8EE2C" w14:textId="77777777" w:rsidR="005D2E04" w:rsidRPr="002109F4" w:rsidRDefault="005D2E04" w:rsidP="005D2E04">
      <w:pPr>
        <w:pStyle w:val="HChG"/>
        <w:rPr>
          <w:szCs w:val="28"/>
          <w:lang w:val="fr-FR"/>
        </w:rPr>
      </w:pPr>
      <w:r w:rsidRPr="002109F4">
        <w:rPr>
          <w:lang w:val="fr-FR"/>
        </w:rPr>
        <w:tab/>
      </w:r>
      <w:r w:rsidRPr="002109F4">
        <w:rPr>
          <w:lang w:val="fr-FR"/>
        </w:rPr>
        <w:tab/>
        <w:t xml:space="preserve">Proposition de complément 1 à la version originale </w:t>
      </w:r>
      <w:r w:rsidRPr="002109F4">
        <w:rPr>
          <w:lang w:val="fr-FR"/>
        </w:rPr>
        <w:br/>
        <w:t>du Règlement ONU n</w:t>
      </w:r>
      <w:r w:rsidRPr="002109F4">
        <w:rPr>
          <w:vertAlign w:val="superscript"/>
          <w:lang w:val="fr-FR"/>
        </w:rPr>
        <w:t>o</w:t>
      </w:r>
      <w:r w:rsidRPr="002109F4">
        <w:rPr>
          <w:lang w:val="fr-FR"/>
        </w:rPr>
        <w:t xml:space="preserve"> 167 (Vision directe </w:t>
      </w:r>
      <w:r w:rsidRPr="002109F4">
        <w:rPr>
          <w:lang w:val="fr-FR"/>
        </w:rPr>
        <w:br/>
        <w:t>des usagers de la route vulnérables)</w:t>
      </w:r>
    </w:p>
    <w:p w14:paraId="71C5D696" w14:textId="1945E1FE" w:rsidR="005D2E04" w:rsidRPr="002109F4" w:rsidRDefault="005D2E04" w:rsidP="005D2E04">
      <w:pPr>
        <w:pStyle w:val="H1G"/>
        <w:rPr>
          <w:vertAlign w:val="superscript"/>
          <w:lang w:val="fr-FR"/>
        </w:rPr>
      </w:pPr>
      <w:r w:rsidRPr="002109F4">
        <w:rPr>
          <w:lang w:val="fr-FR"/>
        </w:rPr>
        <w:tab/>
      </w:r>
      <w:r w:rsidRPr="002109F4">
        <w:rPr>
          <w:lang w:val="fr-FR"/>
        </w:rPr>
        <w:tab/>
        <w:t xml:space="preserve">Communication du </w:t>
      </w:r>
      <w:r>
        <w:rPr>
          <w:lang w:val="fr-FR"/>
        </w:rPr>
        <w:t>G</w:t>
      </w:r>
      <w:r w:rsidRPr="002109F4">
        <w:rPr>
          <w:lang w:val="fr-FR"/>
        </w:rPr>
        <w:t xml:space="preserve">roupe de travail </w:t>
      </w:r>
      <w:r>
        <w:rPr>
          <w:lang w:val="fr-FR"/>
        </w:rPr>
        <w:t xml:space="preserve">des dispositions générales </w:t>
      </w:r>
      <w:r>
        <w:rPr>
          <w:lang w:val="fr-FR"/>
        </w:rPr>
        <w:br/>
      </w:r>
      <w:r>
        <w:rPr>
          <w:lang w:val="fr-FR"/>
        </w:rPr>
        <w:t>de sécurité</w:t>
      </w:r>
      <w:r w:rsidRPr="005D2E04">
        <w:rPr>
          <w:b w:val="0"/>
          <w:position w:val="2"/>
          <w:sz w:val="20"/>
          <w:lang w:val="fr-FR"/>
        </w:rPr>
        <w:footnoteReference w:customMarkFollows="1" w:id="2"/>
        <w:t>*</w:t>
      </w:r>
    </w:p>
    <w:p w14:paraId="4DC63912" w14:textId="4A3CF42B" w:rsidR="005D2E04" w:rsidRPr="005D2E04" w:rsidRDefault="005D2E04" w:rsidP="005D2E04">
      <w:pPr>
        <w:pStyle w:val="SingleTxtG"/>
        <w:ind w:firstLine="567"/>
        <w:rPr>
          <w:lang w:val="fr-FR"/>
        </w:rPr>
      </w:pPr>
      <w:r w:rsidRPr="005D2E04">
        <w:rPr>
          <w:lang w:val="fr-FR"/>
        </w:rPr>
        <w:t>Le texte ci-après, adopté par le Groupe de travail des dispositions générales de sécurité à sa 126</w:t>
      </w:r>
      <w:r w:rsidRPr="005D2E04">
        <w:rPr>
          <w:vertAlign w:val="superscript"/>
          <w:lang w:val="fr-FR"/>
        </w:rPr>
        <w:t>e</w:t>
      </w:r>
      <w:r w:rsidRPr="005D2E04">
        <w:rPr>
          <w:lang w:val="fr-FR"/>
        </w:rPr>
        <w:t xml:space="preserve"> session (</w:t>
      </w:r>
      <w:r w:rsidRPr="005D2E04">
        <w:t>ECE/TRANS/WP</w:t>
      </w:r>
      <w:r w:rsidRPr="005D2E04">
        <w:t>.</w:t>
      </w:r>
      <w:r w:rsidRPr="005D2E04">
        <w:t>29/GRSG/105, par</w:t>
      </w:r>
      <w:r w:rsidRPr="005D2E04">
        <w:t>. </w:t>
      </w:r>
      <w:r w:rsidRPr="005D2E04">
        <w:t>10), est fondé sur le documen</w:t>
      </w:r>
      <w:r w:rsidRPr="005D2E04">
        <w:t xml:space="preserve">t </w:t>
      </w:r>
      <w:r w:rsidRPr="005D2E04">
        <w:rPr>
          <w:lang w:eastAsia="en-GB"/>
        </w:rPr>
        <w:t>ECE/TRANS/WP</w:t>
      </w:r>
      <w:r w:rsidRPr="005D2E04">
        <w:rPr>
          <w:lang w:eastAsia="en-GB"/>
        </w:rPr>
        <w:t>.</w:t>
      </w:r>
      <w:r w:rsidRPr="005D2E04">
        <w:rPr>
          <w:lang w:eastAsia="en-GB"/>
        </w:rPr>
        <w:t>29/GRSG/2023/21, tel que modifié par l’annexe IV du rapport</w:t>
      </w:r>
      <w:r w:rsidRPr="005D2E04">
        <w:rPr>
          <w:lang w:eastAsia="en-GB"/>
        </w:rPr>
        <w:t>.</w:t>
      </w:r>
      <w:r w:rsidRPr="005D2E04">
        <w:rPr>
          <w:lang w:eastAsia="en-GB"/>
        </w:rPr>
        <w:t xml:space="preserve"> </w:t>
      </w:r>
      <w:r w:rsidRPr="005D2E04">
        <w:rPr>
          <w:shd w:val="clear" w:color="auto" w:fill="FFFFFF"/>
        </w:rPr>
        <w:t>Il est soumis au Forum mondial de l’harmonisation des Règlements concernant les véhicules (WP</w:t>
      </w:r>
      <w:r w:rsidRPr="005D2E04">
        <w:rPr>
          <w:shd w:val="clear" w:color="auto" w:fill="FFFFFF"/>
        </w:rPr>
        <w:t>.</w:t>
      </w:r>
      <w:r w:rsidRPr="005D2E04">
        <w:rPr>
          <w:shd w:val="clear" w:color="auto" w:fill="FFFFFF"/>
        </w:rPr>
        <w:t>29) et au Comité d’administration de l’Accord de 1958 (AC</w:t>
      </w:r>
      <w:r w:rsidRPr="005D2E04">
        <w:rPr>
          <w:shd w:val="clear" w:color="auto" w:fill="FFFFFF"/>
        </w:rPr>
        <w:t>.</w:t>
      </w:r>
      <w:r w:rsidRPr="005D2E04">
        <w:rPr>
          <w:shd w:val="clear" w:color="auto" w:fill="FFFFFF"/>
        </w:rPr>
        <w:t>1) pour examen à leurs sessions de mars 2024</w:t>
      </w:r>
      <w:r w:rsidRPr="005D2E04">
        <w:rPr>
          <w:spacing w:val="-3"/>
          <w:lang w:val="fr-FR"/>
        </w:rPr>
        <w:t>.</w:t>
      </w:r>
    </w:p>
    <w:p w14:paraId="488835B0" w14:textId="77777777" w:rsidR="005D2E04" w:rsidRPr="002109F4" w:rsidRDefault="005D2E04" w:rsidP="005D2E04">
      <w:pPr>
        <w:suppressAutoHyphens w:val="0"/>
        <w:spacing w:after="200" w:line="276" w:lineRule="auto"/>
        <w:rPr>
          <w:lang w:val="fr-FR"/>
        </w:rPr>
      </w:pPr>
      <w:r w:rsidRPr="002109F4">
        <w:rPr>
          <w:lang w:val="fr-FR"/>
        </w:rPr>
        <w:br w:type="page"/>
      </w:r>
    </w:p>
    <w:p w14:paraId="2C808C16" w14:textId="233F9F2E" w:rsidR="005D2E04" w:rsidRPr="002109F4" w:rsidRDefault="005D2E04" w:rsidP="005D2E04">
      <w:pPr>
        <w:pStyle w:val="SingleTxtG"/>
        <w:rPr>
          <w:lang w:val="fr-FR"/>
        </w:rPr>
      </w:pPr>
      <w:r w:rsidRPr="002109F4">
        <w:rPr>
          <w:i/>
          <w:iCs/>
          <w:lang w:val="fr-FR"/>
        </w:rPr>
        <w:lastRenderedPageBreak/>
        <w:t>Ajouter le nouveau paragraphe 2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30</w:t>
      </w:r>
      <w:r w:rsidRPr="002109F4">
        <w:rPr>
          <w:lang w:val="fr-FR"/>
        </w:rPr>
        <w:t>, libellé comme suit :</w:t>
      </w:r>
    </w:p>
    <w:p w14:paraId="5A8AF817" w14:textId="7986D865" w:rsidR="005D2E04" w:rsidRPr="002109F4" w:rsidRDefault="005D2E04" w:rsidP="005D2E04">
      <w:pPr>
        <w:pStyle w:val="SingleTxtG"/>
        <w:ind w:left="2250" w:hanging="1116"/>
        <w:rPr>
          <w:b/>
          <w:bCs/>
          <w:lang w:val="fr-FR"/>
        </w:rPr>
      </w:pPr>
      <w:r w:rsidRPr="002109F4">
        <w:rPr>
          <w:lang w:val="fr-FR"/>
        </w:rPr>
        <w:t>« </w:t>
      </w:r>
      <w:r w:rsidRPr="0033765C">
        <w:rPr>
          <w:lang w:val="fr-FR"/>
        </w:rPr>
        <w:t>2</w:t>
      </w:r>
      <w:r w:rsidRPr="005D2E04">
        <w:rPr>
          <w:lang w:val="fr-FR"/>
        </w:rPr>
        <w:t>.</w:t>
      </w:r>
      <w:r w:rsidRPr="0033765C">
        <w:rPr>
          <w:lang w:val="fr-FR"/>
        </w:rPr>
        <w:t>30</w:t>
      </w:r>
      <w:r w:rsidRPr="002109F4">
        <w:rPr>
          <w:lang w:val="fr-FR"/>
        </w:rPr>
        <w:tab/>
        <w:t>« </w:t>
      </w:r>
      <w:r w:rsidRPr="0033765C">
        <w:rPr>
          <w:lang w:val="fr-FR"/>
        </w:rPr>
        <w:t>Distance entre les montants A (DEMA) », la distance horizontale entre</w:t>
      </w:r>
      <w:r w:rsidRPr="0033765C">
        <w:rPr>
          <w:i/>
          <w:iCs/>
          <w:lang w:val="fr-FR"/>
        </w:rPr>
        <w:t xml:space="preserve"> </w:t>
      </w:r>
      <w:r w:rsidRPr="0033765C">
        <w:rPr>
          <w:lang w:val="fr-FR"/>
        </w:rPr>
        <w:t>les montants A, mesurée sur l</w:t>
      </w:r>
      <w:r>
        <w:rPr>
          <w:lang w:val="fr-FR"/>
        </w:rPr>
        <w:t>’</w:t>
      </w:r>
      <w:r w:rsidRPr="0033765C">
        <w:rPr>
          <w:lang w:val="fr-FR"/>
        </w:rPr>
        <w:t>axe y du véhicule, sur un plan horizontal passant par les points E, ou la moyenne de cette mesure prise sur deux plans horizontaux à des hauteurs équidistantes du plan passant par les points</w:t>
      </w:r>
      <w:r w:rsidRPr="00DA04A4">
        <w:rPr>
          <w:lang w:val="fr-FR"/>
        </w:rPr>
        <w:t> </w:t>
      </w:r>
      <w:r w:rsidRPr="0033765C">
        <w:rPr>
          <w:lang w:val="fr-FR"/>
        </w:rPr>
        <w:t>E, l</w:t>
      </w:r>
      <w:r>
        <w:rPr>
          <w:lang w:val="fr-FR"/>
        </w:rPr>
        <w:t>’</w:t>
      </w:r>
      <w:r w:rsidRPr="0033765C">
        <w:rPr>
          <w:lang w:val="fr-FR"/>
        </w:rPr>
        <w:t>un étant situé au</w:t>
      </w:r>
      <w:r>
        <w:rPr>
          <w:lang w:val="fr-FR"/>
        </w:rPr>
        <w:noBreakHyphen/>
      </w:r>
      <w:r w:rsidRPr="0033765C">
        <w:rPr>
          <w:lang w:val="fr-FR"/>
        </w:rPr>
        <w:t>dessus et l</w:t>
      </w:r>
      <w:r>
        <w:rPr>
          <w:lang w:val="fr-FR"/>
        </w:rPr>
        <w:t>’</w:t>
      </w:r>
      <w:r w:rsidRPr="0033765C">
        <w:rPr>
          <w:lang w:val="fr-FR"/>
        </w:rPr>
        <w:t>autre au-dessous de ce plan</w:t>
      </w:r>
      <w:r w:rsidRPr="005D2E04">
        <w:rPr>
          <w:lang w:val="fr-FR"/>
        </w:rPr>
        <w:t>.</w:t>
      </w:r>
      <w:r w:rsidRPr="00DA04A4">
        <w:rPr>
          <w:lang w:val="fr-FR"/>
        </w:rPr>
        <w:t xml:space="preserve"> </w:t>
      </w:r>
      <w:r w:rsidRPr="0033765C">
        <w:rPr>
          <w:lang w:val="fr-FR"/>
        </w:rPr>
        <w:t>La</w:t>
      </w:r>
      <w:r>
        <w:rPr>
          <w:lang w:val="fr-FR"/>
        </w:rPr>
        <w:t xml:space="preserve"> </w:t>
      </w:r>
      <w:r w:rsidRPr="0033765C">
        <w:rPr>
          <w:lang w:val="fr-FR"/>
        </w:rPr>
        <w:t>méthode de mesure doit être arrêtée par le constructeur du véhicule et le service technique et approuvée par l</w:t>
      </w:r>
      <w:r>
        <w:rPr>
          <w:lang w:val="fr-FR"/>
        </w:rPr>
        <w:t>’</w:t>
      </w:r>
      <w:r w:rsidRPr="0033765C">
        <w:rPr>
          <w:lang w:val="fr-FR"/>
        </w:rPr>
        <w:t>autorité d</w:t>
      </w:r>
      <w:r>
        <w:rPr>
          <w:lang w:val="fr-FR"/>
        </w:rPr>
        <w:t>’</w:t>
      </w:r>
      <w:r w:rsidRPr="0033765C">
        <w:rPr>
          <w:lang w:val="fr-FR"/>
        </w:rPr>
        <w:t>homologation de type comme étant celle qui permet de déterminer le plus exactement la largeur du pare-brise avant entre les montants A à des hauteurs pertinentes pour la vision directe</w:t>
      </w:r>
      <w:r w:rsidRPr="005D2E04">
        <w:rPr>
          <w:lang w:val="fr-FR"/>
        </w:rPr>
        <w:t>.</w:t>
      </w:r>
      <w:r w:rsidRPr="002109F4">
        <w:rPr>
          <w:lang w:val="fr-FR"/>
        </w:rPr>
        <w:t> »</w:t>
      </w:r>
      <w:r w:rsidRPr="005D2E04">
        <w:rPr>
          <w:lang w:val="fr-FR"/>
        </w:rPr>
        <w:t>.</w:t>
      </w:r>
    </w:p>
    <w:p w14:paraId="205C6ADE" w14:textId="6FAC333E" w:rsidR="005D2E04" w:rsidRPr="002109F4" w:rsidRDefault="005D2E04" w:rsidP="005D2E04">
      <w:pPr>
        <w:pStyle w:val="SingleTxtG"/>
        <w:rPr>
          <w:lang w:val="fr-FR"/>
        </w:rPr>
      </w:pPr>
      <w:r w:rsidRPr="002109F4">
        <w:rPr>
          <w:i/>
          <w:iCs/>
          <w:lang w:val="fr-FR"/>
        </w:rPr>
        <w:t>Ajouter le nouveau paragraphe 5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2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2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2</w:t>
      </w:r>
      <w:r w:rsidRPr="002109F4">
        <w:rPr>
          <w:lang w:val="fr-FR"/>
        </w:rPr>
        <w:t>, libellé comme suit :</w:t>
      </w:r>
    </w:p>
    <w:p w14:paraId="147C7854" w14:textId="1E2DB92B" w:rsidR="005D2E04" w:rsidRPr="0033765C" w:rsidRDefault="005D2E04" w:rsidP="005D2E04">
      <w:pPr>
        <w:pStyle w:val="SingleTxtG"/>
        <w:rPr>
          <w:strike/>
          <w:lang w:val="fr-FR"/>
        </w:rPr>
      </w:pPr>
      <w:r w:rsidRPr="002109F4">
        <w:rPr>
          <w:lang w:val="fr-FR"/>
        </w:rPr>
        <w:t>« </w:t>
      </w:r>
      <w:r w:rsidRPr="0033765C">
        <w:rPr>
          <w:lang w:val="fr-FR"/>
        </w:rPr>
        <w:t>5</w:t>
      </w:r>
      <w:r w:rsidRPr="005D2E04">
        <w:rPr>
          <w:lang w:val="fr-FR"/>
        </w:rPr>
        <w:t>.</w:t>
      </w:r>
      <w:r w:rsidRPr="0033765C">
        <w:rPr>
          <w:lang w:val="fr-FR"/>
        </w:rPr>
        <w:t>2</w:t>
      </w:r>
      <w:r w:rsidRPr="005D2E04">
        <w:rPr>
          <w:lang w:val="fr-FR"/>
        </w:rPr>
        <w:t>.</w:t>
      </w:r>
      <w:r w:rsidRPr="0033765C">
        <w:rPr>
          <w:lang w:val="fr-FR"/>
        </w:rPr>
        <w:t>2</w:t>
      </w:r>
      <w:r w:rsidRPr="005D2E04">
        <w:rPr>
          <w:lang w:val="fr-FR"/>
        </w:rPr>
        <w:t>.</w:t>
      </w:r>
      <w:r w:rsidRPr="0033765C">
        <w:rPr>
          <w:lang w:val="fr-FR"/>
        </w:rPr>
        <w:t>2</w:t>
      </w:r>
      <w:r w:rsidRPr="00DA04A4">
        <w:rPr>
          <w:lang w:val="fr-FR"/>
        </w:rPr>
        <w:tab/>
      </w:r>
      <w:r w:rsidRPr="0033765C">
        <w:rPr>
          <w:lang w:val="fr-FR"/>
        </w:rPr>
        <w:t>Véhicules de grande capacité et véhicules ayant des objectifs concurrents</w:t>
      </w:r>
    </w:p>
    <w:p w14:paraId="0620F268" w14:textId="77777777" w:rsidR="005D2E04" w:rsidRPr="0033765C" w:rsidRDefault="005D2E04" w:rsidP="005D2E04">
      <w:pPr>
        <w:pStyle w:val="SingleTxtG"/>
        <w:ind w:left="2268"/>
        <w:rPr>
          <w:lang w:val="fr-FR"/>
        </w:rPr>
      </w:pPr>
      <w:r w:rsidRPr="0033765C">
        <w:rPr>
          <w:lang w:val="fr-FR"/>
        </w:rPr>
        <w:t>Pour les véhicules de catégorie N</w:t>
      </w:r>
      <w:r w:rsidRPr="0033765C">
        <w:rPr>
          <w:vertAlign w:val="subscript"/>
          <w:lang w:val="fr-FR"/>
        </w:rPr>
        <w:t>3</w:t>
      </w:r>
      <w:r w:rsidRPr="0033765C">
        <w:rPr>
          <w:i/>
          <w:iCs/>
          <w:lang w:val="fr-FR"/>
        </w:rPr>
        <w:t xml:space="preserve"> </w:t>
      </w:r>
      <w:r w:rsidRPr="0033765C">
        <w:rPr>
          <w:lang w:val="fr-FR"/>
        </w:rPr>
        <w:t>du niveau 3 répondant aux critères de conception et de construction suivants :</w:t>
      </w:r>
    </w:p>
    <w:p w14:paraId="390022A0" w14:textId="2CA3B5EC" w:rsidR="005D2E04" w:rsidRPr="0033765C" w:rsidRDefault="005D2E04" w:rsidP="005D2E04">
      <w:pPr>
        <w:pStyle w:val="SingleTxtG"/>
        <w:numPr>
          <w:ilvl w:val="0"/>
          <w:numId w:val="17"/>
        </w:numPr>
        <w:tabs>
          <w:tab w:val="left" w:pos="3119"/>
        </w:tabs>
        <w:ind w:left="2982" w:hanging="357"/>
        <w:rPr>
          <w:lang w:val="fr-FR"/>
        </w:rPr>
      </w:pPr>
      <w:r>
        <w:rPr>
          <w:lang w:val="fr-FR"/>
        </w:rPr>
        <w:t>D</w:t>
      </w:r>
      <w:r w:rsidRPr="0033765C">
        <w:rPr>
          <w:lang w:val="fr-FR"/>
        </w:rPr>
        <w:t>ispositif d</w:t>
      </w:r>
      <w:r>
        <w:rPr>
          <w:lang w:val="fr-FR"/>
        </w:rPr>
        <w:t>’</w:t>
      </w:r>
      <w:r w:rsidRPr="0033765C">
        <w:rPr>
          <w:lang w:val="fr-FR"/>
        </w:rPr>
        <w:t>attelage ;</w:t>
      </w:r>
    </w:p>
    <w:p w14:paraId="553D195C" w14:textId="158E0D03" w:rsidR="005D2E04" w:rsidRPr="0033765C" w:rsidRDefault="005D2E04" w:rsidP="005D2E04">
      <w:pPr>
        <w:pStyle w:val="SingleTxtG"/>
        <w:numPr>
          <w:ilvl w:val="0"/>
          <w:numId w:val="17"/>
        </w:numPr>
        <w:tabs>
          <w:tab w:val="left" w:pos="3119"/>
        </w:tabs>
        <w:ind w:left="2982" w:hanging="357"/>
        <w:rPr>
          <w:lang w:val="fr-FR"/>
        </w:rPr>
      </w:pPr>
      <w:r>
        <w:rPr>
          <w:lang w:val="fr-FR"/>
        </w:rPr>
        <w:t>T</w:t>
      </w:r>
      <w:r w:rsidRPr="0033765C">
        <w:rPr>
          <w:lang w:val="fr-FR"/>
        </w:rPr>
        <w:t>rois essieux ou plus ;</w:t>
      </w:r>
    </w:p>
    <w:p w14:paraId="2402B1F8" w14:textId="62C842AC" w:rsidR="005D2E04" w:rsidRPr="0033765C" w:rsidRDefault="005D2E04" w:rsidP="005D2E04">
      <w:pPr>
        <w:pStyle w:val="SingleTxtG"/>
        <w:numPr>
          <w:ilvl w:val="0"/>
          <w:numId w:val="17"/>
        </w:numPr>
        <w:tabs>
          <w:tab w:val="left" w:pos="3119"/>
        </w:tabs>
        <w:ind w:left="2982" w:hanging="357"/>
        <w:rPr>
          <w:lang w:val="fr-FR"/>
        </w:rPr>
      </w:pPr>
      <w:r>
        <w:rPr>
          <w:lang w:val="fr-FR"/>
        </w:rPr>
        <w:t>P</w:t>
      </w:r>
      <w:r w:rsidRPr="0033765C">
        <w:rPr>
          <w:lang w:val="fr-FR"/>
        </w:rPr>
        <w:t>uissance maximale du moteur de 320 kW ou plus ;</w:t>
      </w:r>
    </w:p>
    <w:p w14:paraId="16723EE1" w14:textId="5C7D954D" w:rsidR="005D2E04" w:rsidRPr="0033765C" w:rsidRDefault="005D2E04" w:rsidP="005D2E04">
      <w:pPr>
        <w:pStyle w:val="SingleTxtG"/>
        <w:numPr>
          <w:ilvl w:val="0"/>
          <w:numId w:val="17"/>
        </w:numPr>
        <w:tabs>
          <w:tab w:val="left" w:pos="3119"/>
        </w:tabs>
        <w:ind w:left="2982" w:hanging="357"/>
        <w:rPr>
          <w:lang w:val="fr-FR"/>
        </w:rPr>
      </w:pPr>
      <w:r>
        <w:rPr>
          <w:lang w:val="fr-FR"/>
        </w:rPr>
        <w:t>P</w:t>
      </w:r>
      <w:r w:rsidRPr="0033765C">
        <w:rPr>
          <w:lang w:val="fr-FR"/>
        </w:rPr>
        <w:t xml:space="preserve">oids total roulant (PTR) maximal autorisé supérieur à </w:t>
      </w:r>
      <w:r>
        <w:rPr>
          <w:lang w:val="fr-FR"/>
        </w:rPr>
        <w:t>60</w:t>
      </w:r>
      <w:r w:rsidRPr="0033765C">
        <w:rPr>
          <w:lang w:val="fr-FR"/>
        </w:rPr>
        <w:t> tonnes</w:t>
      </w:r>
      <w:r>
        <w:rPr>
          <w:lang w:val="fr-FR"/>
        </w:rPr>
        <w:t>,</w:t>
      </w:r>
    </w:p>
    <w:p w14:paraId="37E2F1AA" w14:textId="2F6AB457" w:rsidR="005D2E04" w:rsidRPr="002109F4" w:rsidRDefault="005D2E04" w:rsidP="005D2E04">
      <w:pPr>
        <w:pStyle w:val="SingleTxtG"/>
        <w:ind w:left="2268"/>
        <w:rPr>
          <w:b/>
          <w:bCs/>
          <w:lang w:val="fr-FR"/>
        </w:rPr>
      </w:pPr>
      <w:r w:rsidRPr="0033765C">
        <w:rPr>
          <w:lang w:val="fr-FR"/>
        </w:rPr>
        <w:t>il n</w:t>
      </w:r>
      <w:r>
        <w:rPr>
          <w:lang w:val="fr-FR"/>
        </w:rPr>
        <w:t>’</w:t>
      </w:r>
      <w:r w:rsidRPr="0033765C">
        <w:rPr>
          <w:lang w:val="fr-FR"/>
        </w:rPr>
        <w:t>est pas obligatoire d</w:t>
      </w:r>
      <w:r>
        <w:rPr>
          <w:lang w:val="fr-FR"/>
        </w:rPr>
        <w:t>’</w:t>
      </w:r>
      <w:r w:rsidRPr="0033765C">
        <w:rPr>
          <w:lang w:val="fr-FR"/>
        </w:rPr>
        <w:t>appliquer la prescription relative au volume visible vers l</w:t>
      </w:r>
      <w:r>
        <w:rPr>
          <w:lang w:val="fr-FR"/>
        </w:rPr>
        <w:t>’</w:t>
      </w:r>
      <w:r w:rsidRPr="0033765C">
        <w:rPr>
          <w:lang w:val="fr-FR"/>
        </w:rPr>
        <w:t>avant</w:t>
      </w:r>
      <w:r w:rsidRPr="005D2E04">
        <w:rPr>
          <w:lang w:val="fr-FR"/>
        </w:rPr>
        <w:t>.</w:t>
      </w:r>
      <w:r w:rsidRPr="002109F4">
        <w:rPr>
          <w:lang w:val="fr-FR"/>
        </w:rPr>
        <w:t> »</w:t>
      </w:r>
      <w:r w:rsidRPr="005D2E04">
        <w:rPr>
          <w:lang w:val="fr-FR"/>
        </w:rPr>
        <w:t>.</w:t>
      </w:r>
    </w:p>
    <w:p w14:paraId="185DDBE1" w14:textId="28A9A3D1" w:rsidR="005D2E04" w:rsidRPr="002109F4" w:rsidRDefault="005D2E04" w:rsidP="005D2E04">
      <w:pPr>
        <w:pStyle w:val="SingleTxtG"/>
        <w:rPr>
          <w:lang w:val="fr-FR"/>
        </w:rPr>
      </w:pPr>
      <w:r w:rsidRPr="002109F4">
        <w:rPr>
          <w:i/>
          <w:iCs/>
          <w:lang w:val="fr-FR"/>
        </w:rPr>
        <w:t>Paragraphe 5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2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2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1, tableau 1</w:t>
      </w:r>
      <w:r w:rsidRPr="002109F4">
        <w:rPr>
          <w:lang w:val="fr-FR"/>
        </w:rPr>
        <w:t>, lire :</w:t>
      </w:r>
    </w:p>
    <w:p w14:paraId="322DCAE4" w14:textId="2C463A88" w:rsidR="005D2E04" w:rsidRPr="002109F4" w:rsidRDefault="005D2E04" w:rsidP="005D2E04">
      <w:pPr>
        <w:spacing w:after="120"/>
        <w:ind w:left="1134"/>
        <w:rPr>
          <w:b/>
          <w:bCs/>
          <w:i/>
          <w:iCs/>
          <w:lang w:val="fr-FR"/>
        </w:rPr>
      </w:pPr>
      <w:bookmarkStart w:id="0" w:name="_Ref82094650"/>
      <w:r w:rsidRPr="002109F4">
        <w:rPr>
          <w:lang w:val="fr-FR"/>
        </w:rPr>
        <w:t>« Tableau 1</w:t>
      </w:r>
      <w:bookmarkEnd w:id="0"/>
      <w:r>
        <w:rPr>
          <w:lang w:val="fr-FR"/>
        </w:rPr>
        <w:t xml:space="preserve"> </w:t>
      </w:r>
      <w:r>
        <w:rPr>
          <w:lang w:val="fr-FR"/>
        </w:rPr>
        <w:br/>
      </w:r>
      <w:r w:rsidRPr="002109F4">
        <w:rPr>
          <w:b/>
          <w:bCs/>
          <w:lang w:val="fr-FR"/>
        </w:rPr>
        <w:t>Valeurs minimales du volume visible</w:t>
      </w:r>
    </w:p>
    <w:tbl>
      <w:tblPr>
        <w:tblW w:w="8368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918"/>
        <w:gridCol w:w="1201"/>
        <w:gridCol w:w="1263"/>
        <w:gridCol w:w="49"/>
        <w:gridCol w:w="1097"/>
        <w:gridCol w:w="215"/>
        <w:gridCol w:w="1312"/>
        <w:gridCol w:w="1313"/>
      </w:tblGrid>
      <w:tr w:rsidR="005D2E04" w:rsidRPr="002109F4" w14:paraId="24DBFD75" w14:textId="77777777" w:rsidTr="004A12BA">
        <w:trPr>
          <w:tblHeader/>
        </w:trPr>
        <w:tc>
          <w:tcPr>
            <w:tcW w:w="1918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D69D1" w14:textId="77777777" w:rsidR="005D2E04" w:rsidRPr="002109F4" w:rsidRDefault="005D2E04" w:rsidP="004A12BA">
            <w:pPr>
              <w:spacing w:before="80" w:after="80" w:line="200" w:lineRule="exact"/>
              <w:ind w:right="113"/>
              <w:rPr>
                <w:i/>
                <w:sz w:val="16"/>
                <w:lang w:val="fr-FR" w:eastAsia="ar-SA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</w:tcBorders>
          </w:tcPr>
          <w:p w14:paraId="60613A5C" w14:textId="77777777" w:rsidR="005D2E04" w:rsidRPr="002109F4" w:rsidRDefault="005D2E04" w:rsidP="004A12BA">
            <w:pPr>
              <w:spacing w:before="80" w:after="80" w:line="200" w:lineRule="exact"/>
              <w:ind w:right="113"/>
              <w:rPr>
                <w:i/>
                <w:sz w:val="16"/>
                <w:lang w:val="fr-FR" w:eastAsia="ar-SA"/>
              </w:rPr>
            </w:pPr>
          </w:p>
        </w:tc>
        <w:tc>
          <w:tcPr>
            <w:tcW w:w="524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0D08C78C" w14:textId="77777777" w:rsidR="005D2E04" w:rsidRPr="002109F4" w:rsidRDefault="005D2E04" w:rsidP="004A12BA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2109F4">
              <w:rPr>
                <w:i/>
                <w:iCs/>
                <w:sz w:val="16"/>
                <w:szCs w:val="16"/>
                <w:lang w:val="fr-FR"/>
              </w:rPr>
              <w:t>Volume minimal (m</w:t>
            </w:r>
            <w:r w:rsidRPr="002109F4">
              <w:rPr>
                <w:i/>
                <w:iCs/>
                <w:sz w:val="16"/>
                <w:szCs w:val="16"/>
                <w:vertAlign w:val="superscript"/>
                <w:lang w:val="fr-FR"/>
              </w:rPr>
              <w:t>3</w:t>
            </w:r>
            <w:r w:rsidRPr="002109F4">
              <w:rPr>
                <w:i/>
                <w:iCs/>
                <w:sz w:val="16"/>
                <w:szCs w:val="16"/>
                <w:lang w:val="fr-FR"/>
              </w:rPr>
              <w:t>) de visibilité directe</w:t>
            </w:r>
          </w:p>
        </w:tc>
      </w:tr>
      <w:tr w:rsidR="005D2E04" w:rsidRPr="002109F4" w14:paraId="64895179" w14:textId="77777777" w:rsidTr="004A12BA">
        <w:trPr>
          <w:gridAfter w:val="3"/>
          <w:wAfter w:w="2840" w:type="dxa"/>
          <w:trHeight w:hRule="exact" w:val="113"/>
          <w:tblHeader/>
        </w:trPr>
        <w:tc>
          <w:tcPr>
            <w:tcW w:w="1918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9742CE" w14:textId="77777777" w:rsidR="005D2E04" w:rsidRPr="002109F4" w:rsidRDefault="005D2E04" w:rsidP="004A12BA">
            <w:pPr>
              <w:spacing w:before="40" w:after="120"/>
              <w:ind w:right="113"/>
              <w:rPr>
                <w:lang w:val="fr-FR" w:eastAsia="ar-SA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14:paraId="13EA8F63" w14:textId="77777777" w:rsidR="005D2E04" w:rsidRPr="002109F4" w:rsidRDefault="005D2E04" w:rsidP="004A12BA">
            <w:pPr>
              <w:spacing w:before="40" w:after="120"/>
              <w:ind w:right="113"/>
              <w:rPr>
                <w:lang w:val="fr-FR" w:eastAsia="ar-SA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</w:tcPr>
          <w:p w14:paraId="288B856F" w14:textId="77777777" w:rsidR="005D2E04" w:rsidRPr="002109F4" w:rsidRDefault="005D2E04" w:rsidP="004A12BA">
            <w:pPr>
              <w:spacing w:before="40" w:after="120"/>
              <w:ind w:right="113"/>
              <w:rPr>
                <w:lang w:val="fr-FR" w:eastAsia="ar-SA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</w:tcPr>
          <w:p w14:paraId="0B8ABD35" w14:textId="77777777" w:rsidR="005D2E04" w:rsidRPr="002109F4" w:rsidRDefault="005D2E04" w:rsidP="004A12BA">
            <w:pPr>
              <w:spacing w:before="40" w:after="120"/>
              <w:ind w:right="113"/>
              <w:rPr>
                <w:lang w:val="fr-FR" w:eastAsia="ar-SA"/>
              </w:rPr>
            </w:pPr>
          </w:p>
        </w:tc>
      </w:tr>
      <w:tr w:rsidR="005D2E04" w:rsidRPr="002109F4" w14:paraId="66443726" w14:textId="77777777" w:rsidTr="004A12BA">
        <w:trPr>
          <w:tblHeader/>
        </w:trPr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078A25" w14:textId="77777777" w:rsidR="005D2E04" w:rsidRPr="002109F4" w:rsidRDefault="005D2E04" w:rsidP="004A12BA">
            <w:pPr>
              <w:spacing w:before="40" w:after="120"/>
              <w:ind w:right="113"/>
              <w:rPr>
                <w:lang w:val="fr-FR" w:eastAsia="ar-SA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4B523B" w14:textId="77777777" w:rsidR="005D2E04" w:rsidRPr="002109F4" w:rsidRDefault="005D2E04" w:rsidP="004A12BA">
            <w:pPr>
              <w:spacing w:before="40" w:after="120"/>
              <w:jc w:val="center"/>
              <w:rPr>
                <w:lang w:val="fr-FR" w:eastAsia="ar-SA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8266" w14:textId="77777777" w:rsidR="005D2E04" w:rsidRPr="005D2E04" w:rsidRDefault="005D2E04" w:rsidP="004A12BA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Niveau 1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D28D1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 w:eastAsia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C8BF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Niveau 2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913AA" w14:textId="77777777" w:rsidR="005D2E04" w:rsidRPr="005D2E04" w:rsidRDefault="005D2E04" w:rsidP="004A12BA">
            <w:pPr>
              <w:spacing w:before="40" w:after="120"/>
              <w:ind w:right="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Niveau 3</w:t>
            </w:r>
          </w:p>
        </w:tc>
      </w:tr>
      <w:tr w:rsidR="005D2E04" w:rsidRPr="005D2E04" w14:paraId="57DB8A15" w14:textId="77777777" w:rsidTr="004A12BA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9733" w14:textId="77777777" w:rsidR="005D2E04" w:rsidRPr="005D2E04" w:rsidRDefault="005D2E04" w:rsidP="004A12BA">
            <w:pPr>
              <w:spacing w:before="40" w:after="120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Volume visible du côté passager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7D08" w14:textId="77777777" w:rsidR="005D2E04" w:rsidRPr="005D2E04" w:rsidRDefault="005D2E04" w:rsidP="004A12BA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3,4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F44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01A2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Non déterminé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C8AF4" w14:textId="77777777" w:rsidR="005D2E04" w:rsidRPr="005D2E04" w:rsidRDefault="005D2E04" w:rsidP="004A12BA">
            <w:pPr>
              <w:spacing w:before="40" w:after="120"/>
              <w:ind w:right="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Non déterminé</w:t>
            </w:r>
          </w:p>
        </w:tc>
      </w:tr>
      <w:tr w:rsidR="005D2E04" w:rsidRPr="005D2E04" w14:paraId="3CCA6586" w14:textId="77777777" w:rsidTr="004A12BA"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4D207F" w14:textId="77777777" w:rsidR="005D2E04" w:rsidRPr="005D2E04" w:rsidRDefault="005D2E04" w:rsidP="004A12BA">
            <w:pPr>
              <w:spacing w:before="40" w:after="120"/>
              <w:ind w:right="113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Volume visible vers l’avant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BF2" w14:textId="77777777" w:rsidR="005D2E04" w:rsidRPr="005D2E04" w:rsidRDefault="005D2E04" w:rsidP="004A12BA">
            <w:pPr>
              <w:spacing w:before="40" w:after="120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DEMA ≥</w:t>
            </w:r>
          </w:p>
          <w:p w14:paraId="370E0B84" w14:textId="77777777" w:rsidR="005D2E04" w:rsidRPr="005D2E04" w:rsidRDefault="005D2E04" w:rsidP="004A12BA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2 156 mm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904F" w14:textId="77777777" w:rsidR="005D2E04" w:rsidRPr="005D2E04" w:rsidRDefault="005D2E04" w:rsidP="004A12BA">
            <w:pPr>
              <w:spacing w:before="40" w:after="120"/>
              <w:ind w:right="-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1,8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9DF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DEMA ≥</w:t>
            </w:r>
          </w:p>
          <w:p w14:paraId="3FB6AB51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2 154 mm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0AF4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C2C40" w14:textId="77777777" w:rsidR="005D2E04" w:rsidRPr="005D2E04" w:rsidRDefault="005D2E04" w:rsidP="004A12BA">
            <w:pPr>
              <w:spacing w:before="40" w:after="120"/>
              <w:ind w:right="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1,0</w:t>
            </w:r>
          </w:p>
        </w:tc>
      </w:tr>
      <w:tr w:rsidR="005D2E04" w:rsidRPr="005D2E04" w14:paraId="0B8CE52C" w14:textId="77777777" w:rsidTr="004A12BA"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8A17" w14:textId="77777777" w:rsidR="005D2E04" w:rsidRPr="005D2E04" w:rsidRDefault="005D2E04" w:rsidP="004A12BA">
            <w:pPr>
              <w:spacing w:before="40" w:after="120"/>
              <w:ind w:right="113"/>
              <w:rPr>
                <w:sz w:val="18"/>
                <w:szCs w:val="18"/>
                <w:lang w:val="fr-FR"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7F9" w14:textId="77777777" w:rsidR="005D2E04" w:rsidRPr="005D2E04" w:rsidRDefault="005D2E04" w:rsidP="004A12BA">
            <w:pPr>
              <w:spacing w:before="40" w:after="120"/>
              <w:ind w:right="113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DEMA &lt;</w:t>
            </w:r>
          </w:p>
          <w:p w14:paraId="5C34B092" w14:textId="77777777" w:rsidR="005D2E04" w:rsidRPr="005D2E04" w:rsidRDefault="005D2E04" w:rsidP="004A12BA">
            <w:pPr>
              <w:spacing w:before="40" w:after="120"/>
              <w:ind w:right="-8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2 156 mm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A734" w14:textId="700D1997" w:rsidR="005D2E04" w:rsidRPr="005D2E04" w:rsidRDefault="005D2E04" w:rsidP="004A12BA">
            <w:pPr>
              <w:spacing w:before="40" w:after="120"/>
              <w:ind w:right="-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Voir par</w:t>
            </w:r>
            <w:r w:rsidRPr="005D2E04">
              <w:rPr>
                <w:sz w:val="18"/>
                <w:szCs w:val="18"/>
                <w:lang w:val="fr-FR"/>
              </w:rPr>
              <w:t>.</w:t>
            </w:r>
            <w:r w:rsidRPr="005D2E04">
              <w:rPr>
                <w:sz w:val="18"/>
                <w:szCs w:val="18"/>
                <w:lang w:val="fr-FR"/>
              </w:rPr>
              <w:t> 5</w:t>
            </w:r>
            <w:r w:rsidRPr="005D2E04">
              <w:rPr>
                <w:sz w:val="18"/>
                <w:szCs w:val="18"/>
                <w:lang w:val="fr-FR"/>
              </w:rPr>
              <w:t>.</w:t>
            </w:r>
            <w:r w:rsidRPr="005D2E0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1BF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DEMA &lt;</w:t>
            </w:r>
          </w:p>
          <w:p w14:paraId="05FD8FF8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2 154 mm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DFED" w14:textId="2F388A5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Voir par</w:t>
            </w:r>
            <w:r w:rsidRPr="005D2E04">
              <w:rPr>
                <w:sz w:val="18"/>
                <w:szCs w:val="18"/>
                <w:lang w:val="fr-FR"/>
              </w:rPr>
              <w:t>.</w:t>
            </w:r>
            <w:r w:rsidRPr="005D2E04">
              <w:rPr>
                <w:sz w:val="18"/>
                <w:szCs w:val="18"/>
                <w:lang w:val="fr-FR"/>
              </w:rPr>
              <w:t> 5</w:t>
            </w:r>
            <w:r w:rsidRPr="005D2E04">
              <w:rPr>
                <w:sz w:val="18"/>
                <w:szCs w:val="18"/>
                <w:lang w:val="fr-FR"/>
              </w:rPr>
              <w:t>.</w:t>
            </w:r>
            <w:r w:rsidRPr="005D2E0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38832" w14:textId="6BF6C72D" w:rsidR="005D2E04" w:rsidRPr="005D2E04" w:rsidRDefault="005D2E04" w:rsidP="004A12BA">
            <w:pPr>
              <w:spacing w:before="40" w:after="120"/>
              <w:ind w:right="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Voir par</w:t>
            </w:r>
            <w:r w:rsidRPr="005D2E04">
              <w:rPr>
                <w:sz w:val="18"/>
                <w:szCs w:val="18"/>
                <w:lang w:val="fr-FR"/>
              </w:rPr>
              <w:t>.</w:t>
            </w:r>
            <w:r w:rsidRPr="005D2E04">
              <w:rPr>
                <w:sz w:val="18"/>
                <w:szCs w:val="18"/>
                <w:lang w:val="fr-FR"/>
              </w:rPr>
              <w:t> 5</w:t>
            </w:r>
            <w:r w:rsidRPr="005D2E04">
              <w:rPr>
                <w:sz w:val="18"/>
                <w:szCs w:val="18"/>
                <w:lang w:val="fr-FR"/>
              </w:rPr>
              <w:t>.</w:t>
            </w:r>
            <w:r w:rsidRPr="005D2E04">
              <w:rPr>
                <w:sz w:val="18"/>
                <w:szCs w:val="18"/>
                <w:lang w:val="fr-FR"/>
              </w:rPr>
              <w:t>3</w:t>
            </w:r>
          </w:p>
        </w:tc>
      </w:tr>
      <w:tr w:rsidR="005D2E04" w:rsidRPr="005D2E04" w14:paraId="75B227DC" w14:textId="77777777" w:rsidTr="004A12BA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77F7" w14:textId="77777777" w:rsidR="005D2E04" w:rsidRPr="005D2E04" w:rsidRDefault="005D2E04" w:rsidP="004A12BA">
            <w:pPr>
              <w:spacing w:before="40" w:after="120"/>
              <w:ind w:right="113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Volume visible du côté conducteur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7144D" w14:textId="77777777" w:rsidR="005D2E04" w:rsidRPr="005D2E04" w:rsidRDefault="005D2E04" w:rsidP="004A12BA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2,8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29216" w14:textId="77777777" w:rsidR="005D2E04" w:rsidRPr="005D2E04" w:rsidRDefault="005D2E04" w:rsidP="004A12BA">
            <w:pPr>
              <w:spacing w:before="40" w:after="120"/>
              <w:ind w:left="2" w:right="-5"/>
              <w:jc w:val="center"/>
              <w:rPr>
                <w:sz w:val="18"/>
                <w:szCs w:val="18"/>
                <w:lang w:val="fr-FR"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0DBE" w14:textId="77777777" w:rsidR="005D2E04" w:rsidRPr="005D2E04" w:rsidRDefault="005D2E04" w:rsidP="004A12BA">
            <w:pPr>
              <w:spacing w:before="40" w:after="120"/>
              <w:ind w:left="2"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Non déterminé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AEAE4" w14:textId="77777777" w:rsidR="005D2E04" w:rsidRPr="005D2E04" w:rsidRDefault="005D2E04" w:rsidP="004A12BA">
            <w:pPr>
              <w:spacing w:before="40" w:after="120"/>
              <w:ind w:right="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Non déterminé</w:t>
            </w:r>
          </w:p>
        </w:tc>
      </w:tr>
      <w:tr w:rsidR="005D2E04" w:rsidRPr="005D2E04" w14:paraId="1ECD808E" w14:textId="77777777" w:rsidTr="004A12BA"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B006A7" w14:textId="77777777" w:rsidR="005D2E04" w:rsidRPr="005D2E04" w:rsidRDefault="005D2E04" w:rsidP="004A12BA">
            <w:pPr>
              <w:spacing w:before="40" w:after="120"/>
              <w:ind w:right="113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Volume total visible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FC0584" w14:textId="77777777" w:rsidR="005D2E04" w:rsidRPr="005D2E04" w:rsidRDefault="005D2E04" w:rsidP="004A12BA">
            <w:pPr>
              <w:spacing w:before="40" w:after="120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11,2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4C6C726B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E4810" w14:textId="77777777" w:rsidR="005D2E04" w:rsidRPr="005D2E04" w:rsidRDefault="005D2E04" w:rsidP="004A12BA">
            <w:pPr>
              <w:spacing w:before="40" w:after="120"/>
              <w:ind w:right="-5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CCF7BCE" w14:textId="77777777" w:rsidR="005D2E04" w:rsidRPr="005D2E04" w:rsidRDefault="005D2E04" w:rsidP="004A12BA">
            <w:pPr>
              <w:spacing w:before="40" w:after="120"/>
              <w:ind w:right="2"/>
              <w:jc w:val="center"/>
              <w:rPr>
                <w:sz w:val="18"/>
                <w:szCs w:val="18"/>
                <w:lang w:val="fr-FR"/>
              </w:rPr>
            </w:pPr>
            <w:r w:rsidRPr="005D2E04">
              <w:rPr>
                <w:sz w:val="18"/>
                <w:szCs w:val="18"/>
                <w:lang w:val="fr-FR"/>
              </w:rPr>
              <w:t>7,0</w:t>
            </w:r>
          </w:p>
        </w:tc>
      </w:tr>
    </w:tbl>
    <w:p w14:paraId="4CC97E95" w14:textId="499D4C88" w:rsidR="005D2E04" w:rsidRPr="002109F4" w:rsidRDefault="005D2E04" w:rsidP="005D2E04">
      <w:pPr>
        <w:pStyle w:val="SingleTxtG"/>
        <w:spacing w:before="120" w:after="240"/>
        <w:ind w:right="0"/>
        <w:jc w:val="right"/>
        <w:rPr>
          <w:lang w:val="fr-FR"/>
        </w:rPr>
      </w:pPr>
      <w:r>
        <w:rPr>
          <w:lang w:val="fr-FR"/>
        </w:rPr>
        <w:t>.</w:t>
      </w:r>
      <w:r w:rsidRPr="002109F4">
        <w:rPr>
          <w:lang w:val="fr-FR"/>
        </w:rPr>
        <w:t>»</w:t>
      </w:r>
      <w:r w:rsidRPr="005D2E04">
        <w:rPr>
          <w:lang w:val="fr-FR"/>
        </w:rPr>
        <w:t>.</w:t>
      </w:r>
    </w:p>
    <w:p w14:paraId="690A0067" w14:textId="4571D02D" w:rsidR="005D2E04" w:rsidRPr="002109F4" w:rsidRDefault="005D2E04" w:rsidP="005D2E04">
      <w:pPr>
        <w:pStyle w:val="SingleTxtG"/>
        <w:keepNext/>
        <w:keepLines/>
        <w:rPr>
          <w:lang w:val="fr-FR"/>
        </w:rPr>
      </w:pPr>
      <w:r w:rsidRPr="002109F4">
        <w:rPr>
          <w:i/>
          <w:iCs/>
          <w:lang w:val="fr-FR"/>
        </w:rPr>
        <w:t>Paragraphes 5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3 à 5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3</w:t>
      </w:r>
      <w:r w:rsidRPr="005D2E04">
        <w:rPr>
          <w:i/>
          <w:iCs/>
          <w:lang w:val="fr-FR"/>
        </w:rPr>
        <w:t>.</w:t>
      </w:r>
      <w:r w:rsidRPr="002109F4">
        <w:rPr>
          <w:i/>
          <w:iCs/>
          <w:lang w:val="fr-FR"/>
        </w:rPr>
        <w:t>3</w:t>
      </w:r>
      <w:r w:rsidRPr="002109F4">
        <w:rPr>
          <w:lang w:val="fr-FR"/>
        </w:rPr>
        <w:t>, lire :</w:t>
      </w:r>
    </w:p>
    <w:p w14:paraId="3FBE6D4C" w14:textId="55911F33" w:rsidR="005D2E04" w:rsidRPr="002109F4" w:rsidRDefault="005D2E04" w:rsidP="005D2E04">
      <w:pPr>
        <w:keepNext/>
        <w:keepLines/>
        <w:spacing w:after="120"/>
        <w:ind w:left="2259" w:right="1134" w:hanging="1125"/>
        <w:jc w:val="both"/>
        <w:rPr>
          <w:b/>
          <w:bCs/>
          <w:lang w:val="fr-FR"/>
        </w:rPr>
      </w:pPr>
      <w:bookmarkStart w:id="1" w:name="_Hlk138150038"/>
      <w:r w:rsidRPr="002109F4">
        <w:rPr>
          <w:lang w:val="fr-FR"/>
        </w:rPr>
        <w:t>« 5</w:t>
      </w:r>
      <w:r w:rsidRPr="005D2E04">
        <w:rPr>
          <w:lang w:val="fr-FR"/>
        </w:rPr>
        <w:t>.</w:t>
      </w:r>
      <w:r w:rsidRPr="002109F4">
        <w:rPr>
          <w:lang w:val="fr-FR"/>
        </w:rPr>
        <w:t>3</w:t>
      </w:r>
      <w:r w:rsidRPr="002109F4">
        <w:rPr>
          <w:lang w:val="fr-FR"/>
        </w:rPr>
        <w:tab/>
      </w:r>
      <w:bookmarkEnd w:id="1"/>
      <w:r w:rsidRPr="0033765C">
        <w:rPr>
          <w:lang w:val="fr-FR"/>
        </w:rPr>
        <w:t>Lorsque la distance entre les montants A est inférieure à la valeur indiquée dans le tableau 1, la valeur minimale du volume visible vers l</w:t>
      </w:r>
      <w:r>
        <w:rPr>
          <w:lang w:val="fr-FR"/>
        </w:rPr>
        <w:t>’</w:t>
      </w:r>
      <w:r w:rsidRPr="0033765C">
        <w:rPr>
          <w:lang w:val="fr-FR"/>
        </w:rPr>
        <w:t>avant (V, mesurée en mm</w:t>
      </w:r>
      <w:r w:rsidRPr="0033765C">
        <w:rPr>
          <w:vertAlign w:val="superscript"/>
          <w:lang w:val="fr-FR"/>
        </w:rPr>
        <w:t>3</w:t>
      </w:r>
      <w:r w:rsidRPr="0033765C">
        <w:rPr>
          <w:lang w:val="fr-FR"/>
        </w:rPr>
        <w:t>) est déterminée pour le niveau concerné au moyen des formules définies aux paragraphes 5</w:t>
      </w:r>
      <w:r w:rsidRPr="005D2E04">
        <w:rPr>
          <w:lang w:val="fr-FR"/>
        </w:rPr>
        <w:t>.</w:t>
      </w:r>
      <w:r w:rsidRPr="0033765C">
        <w:rPr>
          <w:lang w:val="fr-FR"/>
        </w:rPr>
        <w:t>3</w:t>
      </w:r>
      <w:r w:rsidRPr="005D2E04">
        <w:rPr>
          <w:lang w:val="fr-FR"/>
        </w:rPr>
        <w:t>.</w:t>
      </w:r>
      <w:r w:rsidRPr="0033765C">
        <w:rPr>
          <w:lang w:val="fr-FR"/>
        </w:rPr>
        <w:t>1 à 5</w:t>
      </w:r>
      <w:r w:rsidRPr="005D2E04">
        <w:rPr>
          <w:lang w:val="fr-FR"/>
        </w:rPr>
        <w:t>.</w:t>
      </w:r>
      <w:r w:rsidRPr="0033765C">
        <w:rPr>
          <w:lang w:val="fr-FR"/>
        </w:rPr>
        <w:t>3</w:t>
      </w:r>
      <w:r w:rsidRPr="005D2E04">
        <w:rPr>
          <w:lang w:val="fr-FR"/>
        </w:rPr>
        <w:t>.</w:t>
      </w:r>
      <w:r w:rsidRPr="0033765C">
        <w:rPr>
          <w:lang w:val="fr-FR"/>
        </w:rPr>
        <w:t>3 ci-dessous</w:t>
      </w:r>
      <w:r w:rsidRPr="005D2E04">
        <w:rPr>
          <w:lang w:val="fr-FR"/>
        </w:rPr>
        <w:t>.</w:t>
      </w:r>
    </w:p>
    <w:p w14:paraId="0773DC72" w14:textId="14B2DAF0" w:rsidR="005D2E04" w:rsidRPr="002109F4" w:rsidRDefault="005D2E04" w:rsidP="005D2E04">
      <w:pPr>
        <w:spacing w:after="120"/>
        <w:ind w:left="2259" w:right="1134" w:hanging="1125"/>
        <w:jc w:val="both"/>
        <w:rPr>
          <w:lang w:val="fr-FR"/>
        </w:rPr>
      </w:pPr>
      <w:r w:rsidRPr="002109F4">
        <w:rPr>
          <w:lang w:val="fr-FR"/>
        </w:rPr>
        <w:t>5</w:t>
      </w:r>
      <w:r w:rsidRPr="005D2E04">
        <w:rPr>
          <w:lang w:val="fr-FR"/>
        </w:rPr>
        <w:t>.</w:t>
      </w:r>
      <w:r w:rsidRPr="002109F4">
        <w:rPr>
          <w:lang w:val="fr-FR"/>
        </w:rPr>
        <w:t>3</w:t>
      </w:r>
      <w:r w:rsidRPr="005D2E04">
        <w:rPr>
          <w:lang w:val="fr-FR"/>
        </w:rPr>
        <w:t>.</w:t>
      </w:r>
      <w:r w:rsidRPr="002109F4">
        <w:rPr>
          <w:lang w:val="fr-FR"/>
        </w:rPr>
        <w:t>1</w:t>
      </w:r>
      <w:r w:rsidRPr="002109F4">
        <w:rPr>
          <w:lang w:val="fr-FR"/>
        </w:rPr>
        <w:tab/>
        <w:t>Niveau 1 :</w:t>
      </w:r>
    </w:p>
    <w:p w14:paraId="02DCC11B" w14:textId="30FF4180" w:rsidR="005D2E04" w:rsidRPr="00203457" w:rsidRDefault="005D2E04" w:rsidP="005D2E04">
      <w:pPr>
        <w:spacing w:after="120"/>
        <w:ind w:left="2259" w:right="1134"/>
        <w:jc w:val="both"/>
        <w:rPr>
          <w:lang w:val="fr-FR"/>
        </w:rPr>
      </w:pPr>
      <w:r w:rsidRPr="0033765C">
        <w:rPr>
          <w:lang w:val="fr-FR"/>
        </w:rPr>
        <w:t>V = 392,13379*DEMA</w:t>
      </w:r>
      <w:r w:rsidRPr="0033765C">
        <w:rPr>
          <w:vertAlign w:val="superscript"/>
          <w:lang w:val="fr-FR"/>
        </w:rPr>
        <w:t>2 </w:t>
      </w:r>
      <w:r w:rsidRPr="0033765C">
        <w:rPr>
          <w:lang w:val="fr-FR"/>
        </w:rPr>
        <w:t>– 275907,57455*DEMA + 573475207,82932</w:t>
      </w:r>
      <w:r>
        <w:rPr>
          <w:lang w:val="fr-FR"/>
        </w:rPr>
        <w:t>.</w:t>
      </w:r>
    </w:p>
    <w:p w14:paraId="69E8EB6B" w14:textId="71FE8C2D" w:rsidR="005D2E04" w:rsidRPr="002109F4" w:rsidRDefault="005D2E04" w:rsidP="005D2E04">
      <w:pPr>
        <w:spacing w:after="120"/>
        <w:ind w:left="2259" w:right="1134" w:hanging="1125"/>
        <w:jc w:val="both"/>
        <w:rPr>
          <w:lang w:val="fr-FR"/>
        </w:rPr>
      </w:pPr>
      <w:r w:rsidRPr="002109F4">
        <w:rPr>
          <w:lang w:val="fr-FR"/>
        </w:rPr>
        <w:t>5</w:t>
      </w:r>
      <w:r w:rsidRPr="005D2E04">
        <w:rPr>
          <w:lang w:val="fr-FR"/>
        </w:rPr>
        <w:t>.</w:t>
      </w:r>
      <w:r w:rsidRPr="002109F4">
        <w:rPr>
          <w:lang w:val="fr-FR"/>
        </w:rPr>
        <w:t>3</w:t>
      </w:r>
      <w:r w:rsidRPr="005D2E04">
        <w:rPr>
          <w:lang w:val="fr-FR"/>
        </w:rPr>
        <w:t>.</w:t>
      </w:r>
      <w:r w:rsidRPr="002109F4">
        <w:rPr>
          <w:lang w:val="fr-FR"/>
        </w:rPr>
        <w:t>2</w:t>
      </w:r>
      <w:r w:rsidRPr="002109F4">
        <w:rPr>
          <w:lang w:val="fr-FR"/>
        </w:rPr>
        <w:tab/>
        <w:t>Niveau 2 :</w:t>
      </w:r>
    </w:p>
    <w:p w14:paraId="279C5412" w14:textId="4B80942E" w:rsidR="005D2E04" w:rsidRPr="005D2E04" w:rsidRDefault="005D2E04" w:rsidP="005D2E04">
      <w:pPr>
        <w:spacing w:after="120"/>
        <w:ind w:left="2259" w:right="1134"/>
        <w:jc w:val="both"/>
        <w:rPr>
          <w:lang w:val="es-ES"/>
        </w:rPr>
      </w:pPr>
      <w:bookmarkStart w:id="2" w:name="_Hlk89848629"/>
      <w:r w:rsidRPr="005D2E04">
        <w:rPr>
          <w:lang w:val="es-ES"/>
        </w:rPr>
        <w:t>V = 329,82551*DEMA</w:t>
      </w:r>
      <w:r w:rsidRPr="005D2E04">
        <w:rPr>
          <w:vertAlign w:val="superscript"/>
          <w:lang w:val="es-ES"/>
        </w:rPr>
        <w:t>2</w:t>
      </w:r>
      <w:r w:rsidRPr="005D2E04">
        <w:rPr>
          <w:lang w:val="es-ES"/>
        </w:rPr>
        <w:t> – 480212,23549*DEMA + 504819967,89481</w:t>
      </w:r>
      <w:bookmarkEnd w:id="2"/>
      <w:r w:rsidRPr="005D2E04">
        <w:rPr>
          <w:lang w:val="es-ES"/>
        </w:rPr>
        <w:t>.</w:t>
      </w:r>
    </w:p>
    <w:p w14:paraId="33520C1C" w14:textId="49034BDA" w:rsidR="005D2E04" w:rsidRPr="005D2E04" w:rsidRDefault="005D2E04" w:rsidP="005D2E04">
      <w:pPr>
        <w:spacing w:after="120"/>
        <w:ind w:left="2259" w:right="1134" w:hanging="1125"/>
        <w:jc w:val="both"/>
        <w:rPr>
          <w:lang w:val="es-ES"/>
        </w:rPr>
      </w:pPr>
      <w:r w:rsidRPr="005D2E04">
        <w:rPr>
          <w:lang w:val="es-ES"/>
        </w:rPr>
        <w:lastRenderedPageBreak/>
        <w:t>5</w:t>
      </w:r>
      <w:r w:rsidRPr="005D2E04">
        <w:rPr>
          <w:lang w:val="es-ES"/>
        </w:rPr>
        <w:t>.</w:t>
      </w:r>
      <w:r w:rsidRPr="005D2E04">
        <w:rPr>
          <w:lang w:val="es-ES"/>
        </w:rPr>
        <w:t>3</w:t>
      </w:r>
      <w:r w:rsidRPr="005D2E04">
        <w:rPr>
          <w:lang w:val="es-ES"/>
        </w:rPr>
        <w:t>.</w:t>
      </w:r>
      <w:r w:rsidRPr="005D2E04">
        <w:rPr>
          <w:lang w:val="es-ES"/>
        </w:rPr>
        <w:t>3</w:t>
      </w:r>
      <w:r w:rsidRPr="005D2E04">
        <w:rPr>
          <w:lang w:val="es-ES"/>
        </w:rPr>
        <w:tab/>
        <w:t>Niveau 3 :</w:t>
      </w:r>
    </w:p>
    <w:p w14:paraId="6DA75247" w14:textId="5A6D7859" w:rsidR="005D2E04" w:rsidRPr="005D2E04" w:rsidRDefault="005D2E04" w:rsidP="005D2E04">
      <w:pPr>
        <w:spacing w:after="120"/>
        <w:ind w:left="2259" w:right="1134"/>
        <w:jc w:val="both"/>
        <w:rPr>
          <w:lang w:val="es-ES"/>
        </w:rPr>
      </w:pPr>
      <w:r w:rsidRPr="005D2E04">
        <w:rPr>
          <w:lang w:val="es-ES"/>
        </w:rPr>
        <w:t>V = 329,82551*DEMA</w:t>
      </w:r>
      <w:r w:rsidRPr="005D2E04">
        <w:rPr>
          <w:vertAlign w:val="superscript"/>
          <w:lang w:val="es-ES"/>
        </w:rPr>
        <w:t>2</w:t>
      </w:r>
      <w:r w:rsidRPr="005D2E04">
        <w:rPr>
          <w:lang w:val="es-ES"/>
        </w:rPr>
        <w:t> – 480212,23549*DEMA + 504819967,89481</w:t>
      </w:r>
      <w:r w:rsidRPr="005D2E04">
        <w:rPr>
          <w:lang w:val="es-ES"/>
        </w:rPr>
        <w:t>.</w:t>
      </w:r>
      <w:r w:rsidRPr="005D2E04">
        <w:rPr>
          <w:lang w:val="es-ES"/>
        </w:rPr>
        <w:t> »</w:t>
      </w:r>
      <w:r w:rsidRPr="005D2E04">
        <w:rPr>
          <w:lang w:val="es-ES"/>
        </w:rPr>
        <w:t>.</w:t>
      </w:r>
    </w:p>
    <w:p w14:paraId="470C7244" w14:textId="2C17BEDC" w:rsidR="005D2E04" w:rsidRDefault="005D2E04" w:rsidP="005D2E04">
      <w:pPr>
        <w:pStyle w:val="SingleTxtG"/>
        <w:keepNext/>
        <w:keepLines/>
        <w:rPr>
          <w:lang w:val="fr-FR"/>
        </w:rPr>
      </w:pPr>
      <w:r>
        <w:rPr>
          <w:i/>
          <w:iCs/>
          <w:lang w:val="fr-BE"/>
        </w:rPr>
        <w:t xml:space="preserve">Annexe 5, </w:t>
      </w:r>
      <w:r w:rsidRPr="002109F4">
        <w:rPr>
          <w:i/>
          <w:iCs/>
          <w:lang w:val="fr-FR"/>
        </w:rPr>
        <w:t>paragraphe</w:t>
      </w:r>
      <w:r>
        <w:rPr>
          <w:i/>
          <w:iCs/>
          <w:lang w:val="fr-FR"/>
        </w:rPr>
        <w:t> 2</w:t>
      </w:r>
      <w:r w:rsidRPr="005D2E04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 w:rsidRPr="005D2E04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Pr="002109F4">
        <w:rPr>
          <w:lang w:val="fr-FR"/>
        </w:rPr>
        <w:t>, lire :</w:t>
      </w:r>
    </w:p>
    <w:p w14:paraId="28E97021" w14:textId="4EE73516" w:rsidR="00F9573C" w:rsidRDefault="005D2E04" w:rsidP="005D2E04">
      <w:pPr>
        <w:pStyle w:val="SingleTxtG"/>
        <w:ind w:left="2268" w:hanging="1134"/>
        <w:rPr>
          <w:lang w:val="fr-FR"/>
        </w:rPr>
      </w:pPr>
      <w:r w:rsidRPr="002109F4">
        <w:rPr>
          <w:lang w:val="fr-FR"/>
        </w:rPr>
        <w:t>« </w:t>
      </w:r>
      <w:r>
        <w:rPr>
          <w:lang w:val="fr-FR"/>
        </w:rPr>
        <w:t>2</w:t>
      </w:r>
      <w:r w:rsidRPr="005D2E04">
        <w:rPr>
          <w:lang w:val="fr-FR"/>
        </w:rPr>
        <w:t>.</w:t>
      </w:r>
      <w:r>
        <w:rPr>
          <w:lang w:val="fr-FR"/>
        </w:rPr>
        <w:t>1</w:t>
      </w:r>
      <w:r w:rsidRPr="005D2E04">
        <w:rPr>
          <w:lang w:val="fr-FR"/>
        </w:rPr>
        <w:t>.</w:t>
      </w:r>
      <w:r>
        <w:rPr>
          <w:lang w:val="fr-FR"/>
        </w:rPr>
        <w:t>2</w:t>
      </w:r>
      <w:r>
        <w:rPr>
          <w:lang w:val="fr-FR"/>
        </w:rPr>
        <w:tab/>
      </w:r>
      <w:r w:rsidRPr="002109F4">
        <w:rPr>
          <w:lang w:val="fr-FR"/>
        </w:rPr>
        <w:tab/>
      </w:r>
      <w:r w:rsidRPr="002F1D0F">
        <w:rPr>
          <w:lang w:val="fr-FR"/>
        </w:rPr>
        <w:t>L</w:t>
      </w:r>
      <w:r>
        <w:rPr>
          <w:lang w:val="fr-FR"/>
        </w:rPr>
        <w:t>es véhicules des catégories M</w:t>
      </w:r>
      <w:r w:rsidRPr="0033765C">
        <w:rPr>
          <w:vertAlign w:val="subscript"/>
          <w:lang w:val="fr-FR"/>
        </w:rPr>
        <w:t>2</w:t>
      </w:r>
      <w:r>
        <w:rPr>
          <w:lang w:val="fr-FR"/>
        </w:rPr>
        <w:t xml:space="preserve"> et N</w:t>
      </w:r>
      <w:r w:rsidRPr="0033765C">
        <w:rPr>
          <w:vertAlign w:val="subscript"/>
          <w:lang w:val="fr-FR"/>
        </w:rPr>
        <w:t>2</w:t>
      </w:r>
      <w:r>
        <w:rPr>
          <w:lang w:val="fr-FR"/>
        </w:rPr>
        <w:t xml:space="preserve"> dérivés de véhicules des catégories M</w:t>
      </w:r>
      <w:r w:rsidRPr="0033765C">
        <w:rPr>
          <w:vertAlign w:val="subscript"/>
          <w:lang w:val="fr-FR"/>
        </w:rPr>
        <w:t>1</w:t>
      </w:r>
      <w:r>
        <w:rPr>
          <w:lang w:val="fr-FR"/>
        </w:rPr>
        <w:t xml:space="preserve"> ou N</w:t>
      </w:r>
      <w:r w:rsidRPr="0033765C">
        <w:rPr>
          <w:vertAlign w:val="subscript"/>
          <w:lang w:val="fr-FR"/>
        </w:rPr>
        <w:t>1</w:t>
      </w:r>
      <w:r>
        <w:rPr>
          <w:lang w:val="fr-FR"/>
        </w:rPr>
        <w:t xml:space="preserve"> homologués conformément au Règlement ONU n</w:t>
      </w:r>
      <w:r w:rsidRPr="0033765C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125 sont réputés satisfaire aux prescriptions</w:t>
      </w:r>
      <w:r>
        <w:rPr>
          <w:lang w:val="fr-FR"/>
        </w:rPr>
        <w:t xml:space="preserve"> </w:t>
      </w:r>
      <w:r>
        <w:rPr>
          <w:lang w:val="fr-FR"/>
        </w:rPr>
        <w:t>du présent Règlement</w:t>
      </w:r>
      <w:r w:rsidRPr="005D2E04">
        <w:rPr>
          <w:lang w:val="fr-FR"/>
        </w:rPr>
        <w:t>.</w:t>
      </w:r>
      <w:r>
        <w:rPr>
          <w:lang w:val="fr-FR"/>
        </w:rPr>
        <w:t> »</w:t>
      </w:r>
      <w:r w:rsidRPr="005D2E04">
        <w:rPr>
          <w:lang w:val="fr-FR"/>
        </w:rPr>
        <w:t>.</w:t>
      </w:r>
    </w:p>
    <w:p w14:paraId="7D4EFCA8" w14:textId="086A6AB3" w:rsidR="005D2E04" w:rsidRPr="005D2E04" w:rsidRDefault="005D2E04" w:rsidP="005D2E0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2E04" w:rsidRPr="005D2E04" w:rsidSect="005D2E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B31F" w14:textId="77777777" w:rsidR="00994DDA" w:rsidRDefault="00994DDA" w:rsidP="00F95C08">
      <w:pPr>
        <w:spacing w:line="240" w:lineRule="auto"/>
      </w:pPr>
    </w:p>
  </w:endnote>
  <w:endnote w:type="continuationSeparator" w:id="0">
    <w:p w14:paraId="1B8D3389" w14:textId="77777777" w:rsidR="00994DDA" w:rsidRPr="00AC3823" w:rsidRDefault="00994DDA" w:rsidP="00AC3823">
      <w:pPr>
        <w:pStyle w:val="Pieddepage"/>
      </w:pPr>
    </w:p>
  </w:endnote>
  <w:endnote w:type="continuationNotice" w:id="1">
    <w:p w14:paraId="51F8E1DC" w14:textId="77777777" w:rsidR="00994DDA" w:rsidRDefault="00994D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522" w14:textId="31C7E722" w:rsidR="005D2E04" w:rsidRPr="005D2E04" w:rsidRDefault="005D2E04" w:rsidP="005D2E04">
    <w:pPr>
      <w:pStyle w:val="Pieddepage"/>
      <w:tabs>
        <w:tab w:val="right" w:pos="9638"/>
      </w:tabs>
    </w:pPr>
    <w:r w:rsidRPr="005D2E04">
      <w:rPr>
        <w:b/>
        <w:sz w:val="18"/>
      </w:rPr>
      <w:fldChar w:fldCharType="begin"/>
    </w:r>
    <w:r w:rsidRPr="005D2E04">
      <w:rPr>
        <w:b/>
        <w:sz w:val="18"/>
      </w:rPr>
      <w:instrText xml:space="preserve"> PAGE  \* MERGEFORMAT </w:instrText>
    </w:r>
    <w:r w:rsidRPr="005D2E04">
      <w:rPr>
        <w:b/>
        <w:sz w:val="18"/>
      </w:rPr>
      <w:fldChar w:fldCharType="separate"/>
    </w:r>
    <w:r w:rsidRPr="005D2E04">
      <w:rPr>
        <w:b/>
        <w:noProof/>
        <w:sz w:val="18"/>
      </w:rPr>
      <w:t>2</w:t>
    </w:r>
    <w:r w:rsidRPr="005D2E04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Pr="005D2E04">
      <w:t>.</w:t>
    </w:r>
    <w:r>
      <w:t>23-25753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ED58" w14:textId="1B9D79A9" w:rsidR="005D2E04" w:rsidRPr="005D2E04" w:rsidRDefault="005D2E04" w:rsidP="005D2E04">
    <w:pPr>
      <w:pStyle w:val="Pieddepage"/>
      <w:tabs>
        <w:tab w:val="right" w:pos="9638"/>
      </w:tabs>
      <w:rPr>
        <w:b/>
        <w:sz w:val="18"/>
      </w:rPr>
    </w:pPr>
    <w:r>
      <w:t>GE</w:t>
    </w:r>
    <w:r w:rsidRPr="005D2E04">
      <w:t>.</w:t>
    </w:r>
    <w:r>
      <w:t>23-25753</w:t>
    </w:r>
    <w:r>
      <w:tab/>
    </w:r>
    <w:r w:rsidRPr="005D2E04">
      <w:rPr>
        <w:b/>
        <w:sz w:val="18"/>
      </w:rPr>
      <w:fldChar w:fldCharType="begin"/>
    </w:r>
    <w:r w:rsidRPr="005D2E04">
      <w:rPr>
        <w:b/>
        <w:sz w:val="18"/>
      </w:rPr>
      <w:instrText xml:space="preserve"> PAGE  \* MERGEFORMAT </w:instrText>
    </w:r>
    <w:r w:rsidRPr="005D2E04">
      <w:rPr>
        <w:b/>
        <w:sz w:val="18"/>
      </w:rPr>
      <w:fldChar w:fldCharType="separate"/>
    </w:r>
    <w:r w:rsidRPr="005D2E04">
      <w:rPr>
        <w:b/>
        <w:noProof/>
        <w:sz w:val="18"/>
      </w:rPr>
      <w:t>3</w:t>
    </w:r>
    <w:r w:rsidRPr="005D2E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6684" w14:textId="57F1E81E" w:rsidR="007F20FA" w:rsidRPr="005D2E04" w:rsidRDefault="005D2E04" w:rsidP="005D2E04">
    <w:pPr>
      <w:pStyle w:val="Pieddepage"/>
      <w:spacing w:before="120"/>
      <w:rPr>
        <w:sz w:val="20"/>
      </w:rPr>
    </w:pPr>
    <w:r>
      <w:rPr>
        <w:sz w:val="20"/>
      </w:rPr>
      <w:t>GE</w:t>
    </w:r>
    <w:r w:rsidRPr="005D2E04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EF6A10" wp14:editId="418217F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23-25753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EE9712" wp14:editId="2EB3A7B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100124    110124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B86E" w14:textId="77777777" w:rsidR="00994DDA" w:rsidRPr="00AC3823" w:rsidRDefault="00994D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8D9467" w14:textId="77777777" w:rsidR="00994DDA" w:rsidRPr="00AC3823" w:rsidRDefault="00994DD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24FFB9" w14:textId="77777777" w:rsidR="00994DDA" w:rsidRPr="00AC3823" w:rsidRDefault="00994DDA">
      <w:pPr>
        <w:spacing w:line="240" w:lineRule="auto"/>
        <w:rPr>
          <w:sz w:val="2"/>
          <w:szCs w:val="2"/>
        </w:rPr>
      </w:pPr>
    </w:p>
  </w:footnote>
  <w:footnote w:id="2">
    <w:p w14:paraId="65BAC0DB" w14:textId="6554C500" w:rsidR="005D2E04" w:rsidRDefault="005D2E04" w:rsidP="005D2E04">
      <w:pPr>
        <w:pStyle w:val="Notedebasdepage"/>
        <w:rPr>
          <w:lang w:val="fr-FR"/>
        </w:rPr>
      </w:pPr>
      <w:r>
        <w:rPr>
          <w:lang w:val="fr-FR"/>
        </w:rPr>
        <w:tab/>
      </w:r>
      <w:r w:rsidRPr="00A714A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</w:t>
      </w:r>
      <w:r w:rsidRPr="0033765C">
        <w:t>A/78/6 (Sect</w:t>
      </w:r>
      <w:r w:rsidRPr="005D2E04">
        <w:t>.</w:t>
      </w:r>
      <w:r w:rsidRPr="0033765C">
        <w:t> 20</w:t>
      </w:r>
      <w:r>
        <w:rPr>
          <w:lang w:val="fr-FR"/>
        </w:rPr>
        <w:t>), tableau 20</w:t>
      </w:r>
      <w:r w:rsidRPr="005D2E04">
        <w:rPr>
          <w:lang w:val="fr-FR"/>
        </w:rPr>
        <w:t>.</w:t>
      </w:r>
      <w:r>
        <w:rPr>
          <w:lang w:val="fr-FR"/>
        </w:rPr>
        <w:t>5), le Forum mondial a pour mission d’élaborer, d’harmoniser et de mettre à jour les Règlements ONU en vue d’améliorer les caractéristiques fonctionnelles des véhicules</w:t>
      </w:r>
      <w:r w:rsidRPr="005D2E04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Pr="005D2E04">
        <w:rPr>
          <w:lang w:val="fr-FR"/>
        </w:rPr>
        <w:t>.</w:t>
      </w:r>
    </w:p>
    <w:p w14:paraId="4C69D390" w14:textId="77777777" w:rsidR="005D2E04" w:rsidRPr="00511256" w:rsidRDefault="005D2E04" w:rsidP="005D2E04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9B11" w14:textId="5ABBA29C" w:rsidR="005D2E04" w:rsidRPr="005D2E04" w:rsidRDefault="005D2E04">
    <w:pPr>
      <w:pStyle w:val="En-tte"/>
    </w:pPr>
    <w:fldSimple w:instr=" TITLE  \* MERGEFORMAT ">
      <w:r w:rsidR="00E03484">
        <w:t>ECE/TRANS/WP.29/2024/13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563E" w14:textId="7B24E7FF" w:rsidR="005D2E04" w:rsidRPr="005D2E04" w:rsidRDefault="005D2E04" w:rsidP="005D2E04">
    <w:pPr>
      <w:pStyle w:val="En-tte"/>
      <w:jc w:val="right"/>
    </w:pPr>
    <w:fldSimple w:instr=" TITLE  \* MERGEFORMAT ">
      <w:r w:rsidR="00E03484">
        <w:t>ECE/TRANS/WP.29/2024/13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C93163D"/>
    <w:multiLevelType w:val="hybridMultilevel"/>
    <w:tmpl w:val="3C40EF32"/>
    <w:lvl w:ilvl="0" w:tplc="DA1AA4D6">
      <w:start w:val="1"/>
      <w:numFmt w:val="lowerLetter"/>
      <w:lvlText w:val="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98669147">
    <w:abstractNumId w:val="13"/>
  </w:num>
  <w:num w:numId="2" w16cid:durableId="61222950">
    <w:abstractNumId w:val="11"/>
  </w:num>
  <w:num w:numId="3" w16cid:durableId="1526165468">
    <w:abstractNumId w:val="10"/>
  </w:num>
  <w:num w:numId="4" w16cid:durableId="1809664816">
    <w:abstractNumId w:val="8"/>
  </w:num>
  <w:num w:numId="5" w16cid:durableId="1142232296">
    <w:abstractNumId w:val="3"/>
  </w:num>
  <w:num w:numId="6" w16cid:durableId="1495606604">
    <w:abstractNumId w:val="2"/>
  </w:num>
  <w:num w:numId="7" w16cid:durableId="1633948696">
    <w:abstractNumId w:val="1"/>
  </w:num>
  <w:num w:numId="8" w16cid:durableId="452213899">
    <w:abstractNumId w:val="0"/>
  </w:num>
  <w:num w:numId="9" w16cid:durableId="1279144726">
    <w:abstractNumId w:val="9"/>
  </w:num>
  <w:num w:numId="10" w16cid:durableId="401099675">
    <w:abstractNumId w:val="7"/>
  </w:num>
  <w:num w:numId="11" w16cid:durableId="948203074">
    <w:abstractNumId w:val="6"/>
  </w:num>
  <w:num w:numId="12" w16cid:durableId="1786844156">
    <w:abstractNumId w:val="5"/>
  </w:num>
  <w:num w:numId="13" w16cid:durableId="2022975553">
    <w:abstractNumId w:val="4"/>
  </w:num>
  <w:num w:numId="14" w16cid:durableId="417941207">
    <w:abstractNumId w:val="13"/>
  </w:num>
  <w:num w:numId="15" w16cid:durableId="840852161">
    <w:abstractNumId w:val="11"/>
  </w:num>
  <w:num w:numId="16" w16cid:durableId="1093090912">
    <w:abstractNumId w:val="10"/>
  </w:num>
  <w:num w:numId="17" w16cid:durableId="4836673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D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2E0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94DDA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03484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B5D2"/>
  <w15:docId w15:val="{C657F891-5E4E-4092-AB59-3C7B9FD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D2E0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D2E0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9D411-5D99-41EB-BB61-8F26502E685A}"/>
</file>

<file path=customXml/itemProps2.xml><?xml version="1.0" encoding="utf-8"?>
<ds:datastoreItem xmlns:ds="http://schemas.openxmlformats.org/officeDocument/2006/customXml" ds:itemID="{7751C72E-5D67-436B-86C0-396D23D6BFD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5</TotalTime>
  <Pages>3</Pages>
  <Words>455</Words>
  <Characters>3192</Characters>
  <Application>Microsoft Office Word</Application>
  <DocSecurity>0</DocSecurity>
  <Lines>266</Lines>
  <Paragraphs>145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ECE/TRANS/WP.29/2024/13</dc:title>
  <dc:subject/>
  <dc:creator>Maud DARICHE</dc:creator>
  <cp:keywords/>
  <cp:lastModifiedBy>Maud Dariche</cp:lastModifiedBy>
  <cp:revision>3</cp:revision>
  <cp:lastPrinted>2024-01-11T08:47:00Z</cp:lastPrinted>
  <dcterms:created xsi:type="dcterms:W3CDTF">2024-01-11T08:47:00Z</dcterms:created>
  <dcterms:modified xsi:type="dcterms:W3CDTF">2024-01-11T08:48:00Z</dcterms:modified>
</cp:coreProperties>
</file>