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A7DF476" w14:textId="77777777" w:rsidTr="00B20551">
        <w:trPr>
          <w:cantSplit/>
          <w:trHeight w:hRule="exact" w:val="851"/>
        </w:trPr>
        <w:tc>
          <w:tcPr>
            <w:tcW w:w="1276" w:type="dxa"/>
            <w:tcBorders>
              <w:bottom w:val="single" w:sz="4" w:space="0" w:color="auto"/>
            </w:tcBorders>
            <w:vAlign w:val="bottom"/>
          </w:tcPr>
          <w:p w14:paraId="5BB221DD" w14:textId="77777777" w:rsidR="009E6CB7" w:rsidRDefault="009E6CB7" w:rsidP="00B20551">
            <w:pPr>
              <w:spacing w:after="80"/>
            </w:pPr>
          </w:p>
        </w:tc>
        <w:tc>
          <w:tcPr>
            <w:tcW w:w="2268" w:type="dxa"/>
            <w:tcBorders>
              <w:bottom w:val="single" w:sz="4" w:space="0" w:color="auto"/>
            </w:tcBorders>
            <w:vAlign w:val="bottom"/>
          </w:tcPr>
          <w:p w14:paraId="5BC9F16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3DE4C3" w14:textId="35E0DB29" w:rsidR="009E6CB7" w:rsidRPr="00D47EEA" w:rsidRDefault="00481202" w:rsidP="00481202">
            <w:pPr>
              <w:jc w:val="right"/>
            </w:pPr>
            <w:r w:rsidRPr="00481202">
              <w:rPr>
                <w:sz w:val="40"/>
              </w:rPr>
              <w:t>ECE</w:t>
            </w:r>
            <w:r>
              <w:t>/TRANS/WP.29/2024/13</w:t>
            </w:r>
          </w:p>
        </w:tc>
      </w:tr>
      <w:tr w:rsidR="009E6CB7" w14:paraId="7ADB2ABD" w14:textId="77777777" w:rsidTr="00B20551">
        <w:trPr>
          <w:cantSplit/>
          <w:trHeight w:hRule="exact" w:val="2835"/>
        </w:trPr>
        <w:tc>
          <w:tcPr>
            <w:tcW w:w="1276" w:type="dxa"/>
            <w:tcBorders>
              <w:top w:val="single" w:sz="4" w:space="0" w:color="auto"/>
              <w:bottom w:val="single" w:sz="12" w:space="0" w:color="auto"/>
            </w:tcBorders>
          </w:tcPr>
          <w:p w14:paraId="4D185B29" w14:textId="77777777" w:rsidR="009E6CB7" w:rsidRDefault="00686A48" w:rsidP="00B20551">
            <w:pPr>
              <w:spacing w:before="120"/>
            </w:pPr>
            <w:r>
              <w:rPr>
                <w:noProof/>
                <w:lang w:val="fr-CH" w:eastAsia="fr-CH"/>
              </w:rPr>
              <w:drawing>
                <wp:inline distT="0" distB="0" distL="0" distR="0" wp14:anchorId="33E325EF" wp14:editId="2C3318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6E1D5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AAFE3A" w14:textId="77777777" w:rsidR="009E6CB7" w:rsidRDefault="00481202" w:rsidP="00481202">
            <w:pPr>
              <w:spacing w:before="240" w:line="240" w:lineRule="exact"/>
            </w:pPr>
            <w:r>
              <w:t>Distr.: General</w:t>
            </w:r>
          </w:p>
          <w:p w14:paraId="6C22D1DB" w14:textId="77777777" w:rsidR="00481202" w:rsidRDefault="00481202" w:rsidP="00481202">
            <w:pPr>
              <w:spacing w:line="240" w:lineRule="exact"/>
            </w:pPr>
            <w:r>
              <w:t>21 December 2023</w:t>
            </w:r>
          </w:p>
          <w:p w14:paraId="50CEA3BA" w14:textId="77777777" w:rsidR="00481202" w:rsidRDefault="00481202" w:rsidP="00481202">
            <w:pPr>
              <w:spacing w:line="240" w:lineRule="exact"/>
            </w:pPr>
          </w:p>
          <w:p w14:paraId="2D679C12" w14:textId="226BF309" w:rsidR="00481202" w:rsidRDefault="00481202" w:rsidP="00481202">
            <w:pPr>
              <w:spacing w:line="240" w:lineRule="exact"/>
            </w:pPr>
            <w:r>
              <w:t>Original: English</w:t>
            </w:r>
          </w:p>
        </w:tc>
      </w:tr>
    </w:tbl>
    <w:p w14:paraId="2CB42C4C" w14:textId="77777777" w:rsidR="00481202" w:rsidRPr="001D703D" w:rsidRDefault="00481202" w:rsidP="00A36AC2">
      <w:pPr>
        <w:spacing w:before="120"/>
        <w:rPr>
          <w:b/>
          <w:sz w:val="28"/>
          <w:szCs w:val="28"/>
        </w:rPr>
      </w:pPr>
      <w:r w:rsidRPr="001D703D">
        <w:rPr>
          <w:b/>
          <w:sz w:val="28"/>
          <w:szCs w:val="28"/>
        </w:rPr>
        <w:t>Economic Commission for Europe</w:t>
      </w:r>
    </w:p>
    <w:p w14:paraId="1714351B" w14:textId="77777777" w:rsidR="00481202" w:rsidRPr="001D703D" w:rsidRDefault="00481202" w:rsidP="00A36AC2">
      <w:pPr>
        <w:spacing w:before="120"/>
        <w:rPr>
          <w:sz w:val="28"/>
          <w:szCs w:val="28"/>
        </w:rPr>
      </w:pPr>
      <w:r w:rsidRPr="001D703D">
        <w:rPr>
          <w:sz w:val="28"/>
          <w:szCs w:val="28"/>
        </w:rPr>
        <w:t>Inland Transport Committee</w:t>
      </w:r>
    </w:p>
    <w:p w14:paraId="7D4609F2" w14:textId="77777777" w:rsidR="00481202" w:rsidRPr="001D703D" w:rsidRDefault="00481202" w:rsidP="00A36AC2">
      <w:pPr>
        <w:spacing w:before="120"/>
        <w:rPr>
          <w:b/>
          <w:sz w:val="24"/>
          <w:szCs w:val="24"/>
        </w:rPr>
      </w:pPr>
      <w:r w:rsidRPr="001D703D">
        <w:rPr>
          <w:b/>
          <w:sz w:val="24"/>
          <w:szCs w:val="24"/>
        </w:rPr>
        <w:t>World Forum for Harmonization of Vehicle Regulations</w:t>
      </w:r>
    </w:p>
    <w:p w14:paraId="485FB646" w14:textId="77777777" w:rsidR="003C1AF3" w:rsidRPr="006D33D9" w:rsidRDefault="003C1AF3" w:rsidP="003C1AF3">
      <w:pPr>
        <w:spacing w:before="120"/>
        <w:rPr>
          <w:b/>
          <w:lang w:val="en-US"/>
        </w:rPr>
      </w:pPr>
      <w:r>
        <w:rPr>
          <w:b/>
          <w:lang w:val="en-US"/>
        </w:rPr>
        <w:t xml:space="preserve">192nd </w:t>
      </w:r>
      <w:r w:rsidRPr="006D33D9">
        <w:rPr>
          <w:b/>
          <w:lang w:val="en-US"/>
        </w:rPr>
        <w:t>session</w:t>
      </w:r>
    </w:p>
    <w:p w14:paraId="1AE0871B" w14:textId="77777777" w:rsidR="003C1AF3" w:rsidRPr="00C64574" w:rsidRDefault="003C1AF3" w:rsidP="003C1AF3">
      <w:r w:rsidRPr="00C64574">
        <w:t xml:space="preserve">Geneva, </w:t>
      </w:r>
      <w:r>
        <w:t>5</w:t>
      </w:r>
      <w:r w:rsidRPr="002A5241">
        <w:t>–</w:t>
      </w:r>
      <w:r>
        <w:t xml:space="preserve">8 March </w:t>
      </w:r>
      <w:r w:rsidRPr="00C64574">
        <w:t>20</w:t>
      </w:r>
      <w:r>
        <w:t>24</w:t>
      </w:r>
    </w:p>
    <w:p w14:paraId="32ABCAF6" w14:textId="77777777" w:rsidR="003C1AF3" w:rsidRDefault="003C1AF3" w:rsidP="003C1AF3">
      <w:r>
        <w:t>Item 4.8.3 of the provisional agenda</w:t>
      </w:r>
    </w:p>
    <w:p w14:paraId="03960308" w14:textId="77777777" w:rsidR="003C1AF3" w:rsidRDefault="003C1AF3" w:rsidP="003C1AF3">
      <w:pPr>
        <w:rPr>
          <w:b/>
        </w:rPr>
      </w:pPr>
      <w:r>
        <w:rPr>
          <w:b/>
        </w:rPr>
        <w:t>1958 Agreement:</w:t>
      </w:r>
    </w:p>
    <w:p w14:paraId="2CFEFE35" w14:textId="77777777" w:rsidR="003C1AF3" w:rsidRDefault="003C1AF3" w:rsidP="003C1AF3">
      <w:pPr>
        <w:rPr>
          <w:b/>
        </w:rPr>
      </w:pPr>
      <w:r>
        <w:rPr>
          <w:b/>
        </w:rPr>
        <w:t>Consideration of draft amendments to existing</w:t>
      </w:r>
    </w:p>
    <w:p w14:paraId="4D6B08DA" w14:textId="77777777" w:rsidR="003C1AF3" w:rsidRDefault="003C1AF3" w:rsidP="003C1AF3">
      <w:pPr>
        <w:rPr>
          <w:b/>
          <w:bCs/>
        </w:rPr>
      </w:pPr>
      <w:r>
        <w:rPr>
          <w:b/>
        </w:rPr>
        <w:t xml:space="preserve">UN Regulations submitted by </w:t>
      </w:r>
      <w:proofErr w:type="gramStart"/>
      <w:r>
        <w:rPr>
          <w:b/>
        </w:rPr>
        <w:t>GRSG</w:t>
      </w:r>
      <w:proofErr w:type="gramEnd"/>
    </w:p>
    <w:p w14:paraId="75406FA7" w14:textId="77777777" w:rsidR="006A0B48" w:rsidRDefault="006A0B48" w:rsidP="006A0B48">
      <w:pPr>
        <w:pStyle w:val="HChG"/>
        <w:ind w:left="1124" w:right="1138" w:firstLine="0"/>
      </w:pPr>
      <w:r w:rsidRPr="003D77C4">
        <w:t>Proposal for Supplement 1 to the original version of UN Regulation No. 167 (Vulnerable Road Users Direct Vision)</w:t>
      </w:r>
      <w:r>
        <w:t xml:space="preserve"> </w:t>
      </w:r>
    </w:p>
    <w:p w14:paraId="44084F01" w14:textId="77777777" w:rsidR="006A0B48" w:rsidRDefault="006A0B48" w:rsidP="006A0B48">
      <w:pPr>
        <w:pStyle w:val="H1G"/>
        <w:rPr>
          <w:szCs w:val="24"/>
        </w:rPr>
      </w:pPr>
      <w:r>
        <w:tab/>
      </w:r>
      <w:r>
        <w:tab/>
      </w:r>
      <w:r>
        <w:rPr>
          <w:szCs w:val="24"/>
        </w:rPr>
        <w:t>Submitted by the Working Party on General Safety Provisions</w:t>
      </w:r>
      <w:r w:rsidRPr="00CB6F40">
        <w:footnoteReference w:customMarkFollows="1" w:id="2"/>
        <w:t>*</w:t>
      </w:r>
    </w:p>
    <w:p w14:paraId="0DCBC497" w14:textId="1FA20D03" w:rsidR="006A0B48" w:rsidRDefault="006A0B48" w:rsidP="006A0B48">
      <w:pPr>
        <w:pStyle w:val="SingleTxtG"/>
        <w:ind w:firstLine="567"/>
        <w:rPr>
          <w:sz w:val="24"/>
          <w:szCs w:val="24"/>
          <w:lang w:eastAsia="zh-CN"/>
        </w:rPr>
      </w:pPr>
      <w:r>
        <w:rPr>
          <w:lang w:val="en-US"/>
        </w:rPr>
        <w:t>The text reproduced below was adopted by the Working Party on General Safety Provisions (GRSG) at its 126</w:t>
      </w:r>
      <w:r w:rsidRPr="00FE4D5D">
        <w:rPr>
          <w:vertAlign w:val="superscript"/>
          <w:lang w:val="en-US"/>
        </w:rPr>
        <w:t>th</w:t>
      </w:r>
      <w:r>
        <w:rPr>
          <w:lang w:val="en-US"/>
        </w:rPr>
        <w:t xml:space="preserve"> session (EC</w:t>
      </w:r>
      <w:r w:rsidRPr="00D6385D">
        <w:rPr>
          <w:lang w:val="en-US"/>
        </w:rPr>
        <w:t>E/TRANS/WP.29/GR</w:t>
      </w:r>
      <w:r>
        <w:rPr>
          <w:lang w:val="en-US"/>
        </w:rPr>
        <w:t>SG</w:t>
      </w:r>
      <w:r w:rsidRPr="00D6385D">
        <w:rPr>
          <w:lang w:val="en-US"/>
        </w:rPr>
        <w:t>/</w:t>
      </w:r>
      <w:r>
        <w:rPr>
          <w:lang w:val="en-US"/>
        </w:rPr>
        <w:t>105</w:t>
      </w:r>
      <w:r w:rsidRPr="00D6385D">
        <w:rPr>
          <w:lang w:val="en-US"/>
        </w:rPr>
        <w:t>, para.</w:t>
      </w:r>
      <w:r w:rsidRPr="009C1B21">
        <w:rPr>
          <w:lang w:val="en-US"/>
        </w:rPr>
        <w:t xml:space="preserve"> </w:t>
      </w:r>
      <w:r>
        <w:rPr>
          <w:lang w:val="en-US"/>
        </w:rPr>
        <w:t>10).</w:t>
      </w:r>
      <w:r w:rsidRPr="00555980">
        <w:rPr>
          <w:lang w:eastAsia="en-GB"/>
        </w:rPr>
        <w:t xml:space="preserve"> </w:t>
      </w:r>
      <w:r w:rsidR="00F85D27">
        <w:rPr>
          <w:lang w:eastAsia="en-GB"/>
        </w:rPr>
        <w:t xml:space="preserve">It is based on </w:t>
      </w:r>
      <w:r w:rsidRPr="00FE018D">
        <w:rPr>
          <w:lang w:eastAsia="en-GB"/>
        </w:rPr>
        <w:t>ECE/TRANS/WP.29/GRSG/202</w:t>
      </w:r>
      <w:r>
        <w:rPr>
          <w:lang w:eastAsia="en-GB"/>
        </w:rPr>
        <w:t>3</w:t>
      </w:r>
      <w:r w:rsidRPr="00FE018D">
        <w:rPr>
          <w:lang w:eastAsia="en-GB"/>
        </w:rPr>
        <w:t>/</w:t>
      </w:r>
      <w:r>
        <w:rPr>
          <w:lang w:eastAsia="en-GB"/>
        </w:rPr>
        <w:t>21</w:t>
      </w:r>
      <w:r w:rsidRPr="00F1523C">
        <w:t xml:space="preserve">, </w:t>
      </w:r>
      <w:r>
        <w:rPr>
          <w:lang w:eastAsia="en-GB"/>
        </w:rPr>
        <w:t>as</w:t>
      </w:r>
      <w:r w:rsidRPr="00FE018D">
        <w:rPr>
          <w:lang w:eastAsia="en-GB"/>
        </w:rPr>
        <w:t xml:space="preserve"> </w:t>
      </w:r>
      <w:r>
        <w:rPr>
          <w:lang w:eastAsia="en-GB"/>
        </w:rPr>
        <w:t>amended by annex IV to the report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5D41858F" w14:textId="77777777" w:rsidR="006A0B48" w:rsidRPr="00687A45" w:rsidRDefault="006A0B48" w:rsidP="006A0B48">
      <w:pPr>
        <w:spacing w:line="240" w:lineRule="auto"/>
      </w:pPr>
      <w:r w:rsidRPr="00687A45">
        <w:br w:type="page"/>
      </w:r>
    </w:p>
    <w:p w14:paraId="35AD9B56" w14:textId="77777777" w:rsidR="006A0B48" w:rsidRPr="00BA28E3" w:rsidRDefault="006A0B48" w:rsidP="006A0B48">
      <w:pPr>
        <w:pStyle w:val="SingleTxtG"/>
      </w:pPr>
      <w:r w:rsidRPr="00BA28E3">
        <w:rPr>
          <w:i/>
          <w:iCs/>
        </w:rPr>
        <w:lastRenderedPageBreak/>
        <w:t>Insert new paragraph 2.30</w:t>
      </w:r>
      <w:r w:rsidRPr="00BA28E3">
        <w:t>., to read:</w:t>
      </w:r>
    </w:p>
    <w:p w14:paraId="602D0AA8" w14:textId="77777777" w:rsidR="006A0B48" w:rsidRPr="00BA28E3" w:rsidRDefault="006A0B48" w:rsidP="006A0B48">
      <w:pPr>
        <w:pStyle w:val="SingleTxtG"/>
        <w:ind w:left="2268" w:hanging="1116"/>
      </w:pPr>
      <w:r w:rsidRPr="00BA28E3">
        <w:t>"2.30.</w:t>
      </w:r>
      <w:r w:rsidRPr="00BA28E3">
        <w:tab/>
        <w:t>"Inter A-pillar distance (IAPD)" means the horizontal distance between the A-pillars, measured in the y-axis of the vehicle in a horizontal plane passing through the E-points, or the mean of the same measurement taken in two horizontal planes at heights equidistant from the E-point plane, one above and one below the plane containing the E-point. The selection shall be agreed between the manufacturer and the technical service and approved by type approval authority as the one best characterising the width of the front windscreen between the A-pillars at heights relevant to direct vision."</w:t>
      </w:r>
    </w:p>
    <w:p w14:paraId="3AFEB5C2" w14:textId="77777777" w:rsidR="006A0B48" w:rsidRPr="00BA28E3" w:rsidRDefault="006A0B48" w:rsidP="006A0B48">
      <w:pPr>
        <w:pStyle w:val="SingleTxtG"/>
      </w:pPr>
      <w:r w:rsidRPr="00BA28E3">
        <w:rPr>
          <w:i/>
          <w:iCs/>
        </w:rPr>
        <w:t>Insert new paragraph 5.2.2.2</w:t>
      </w:r>
      <w:r w:rsidRPr="00BA28E3">
        <w:t>., to read:</w:t>
      </w:r>
    </w:p>
    <w:p w14:paraId="588FAE70" w14:textId="77777777" w:rsidR="006A0B48" w:rsidRPr="00BA28E3" w:rsidRDefault="006A0B48" w:rsidP="006A0B48">
      <w:pPr>
        <w:pStyle w:val="SingleTxtG"/>
        <w:ind w:left="2268" w:hanging="1134"/>
        <w:rPr>
          <w:strike/>
          <w:lang w:val="en-US"/>
        </w:rPr>
      </w:pPr>
      <w:r w:rsidRPr="00BA28E3">
        <w:rPr>
          <w:lang w:val="en-US"/>
        </w:rPr>
        <w:t xml:space="preserve">"5.2.2.2. </w:t>
      </w:r>
      <w:r w:rsidRPr="00BA28E3">
        <w:rPr>
          <w:lang w:val="en-US"/>
        </w:rPr>
        <w:tab/>
      </w:r>
      <w:proofErr w:type="gramStart"/>
      <w:r w:rsidRPr="00BA28E3">
        <w:rPr>
          <w:lang w:val="en-US"/>
        </w:rPr>
        <w:t>High capacity</w:t>
      </w:r>
      <w:proofErr w:type="gramEnd"/>
      <w:r w:rsidRPr="00BA28E3">
        <w:rPr>
          <w:lang w:val="en-US"/>
        </w:rPr>
        <w:t xml:space="preserve"> vehicles and vehicles with competing objectives</w:t>
      </w:r>
    </w:p>
    <w:p w14:paraId="1B23EC29" w14:textId="77777777" w:rsidR="006A0B48" w:rsidRPr="00BA28E3" w:rsidRDefault="006A0B48" w:rsidP="006A0B48">
      <w:pPr>
        <w:pStyle w:val="SingleTxtG"/>
        <w:ind w:left="2268"/>
        <w:rPr>
          <w:lang w:val="en-US"/>
        </w:rPr>
      </w:pPr>
      <w:r w:rsidRPr="00BA28E3">
        <w:rPr>
          <w:lang w:val="en-US"/>
        </w:rPr>
        <w:t>N</w:t>
      </w:r>
      <w:r w:rsidRPr="00BA28E3">
        <w:rPr>
          <w:vertAlign w:val="subscript"/>
          <w:lang w:val="en-US"/>
        </w:rPr>
        <w:t>3</w:t>
      </w:r>
      <w:r w:rsidRPr="00BA28E3">
        <w:rPr>
          <w:lang w:val="en-US"/>
        </w:rPr>
        <w:t xml:space="preserve"> vehicles in Level 3 meeting the design and construction criteria as follows:</w:t>
      </w:r>
    </w:p>
    <w:p w14:paraId="4C27A2D5" w14:textId="77777777" w:rsidR="006A0B48" w:rsidRPr="00BA28E3" w:rsidRDefault="006A0B48" w:rsidP="006A0B48">
      <w:pPr>
        <w:pStyle w:val="SingleTxtG"/>
        <w:numPr>
          <w:ilvl w:val="0"/>
          <w:numId w:val="20"/>
        </w:numPr>
        <w:tabs>
          <w:tab w:val="clear" w:pos="1701"/>
          <w:tab w:val="clear" w:pos="2268"/>
          <w:tab w:val="clear" w:pos="2835"/>
        </w:tabs>
        <w:suppressAutoHyphens/>
        <w:rPr>
          <w:lang w:val="en-US"/>
        </w:rPr>
      </w:pPr>
      <w:r w:rsidRPr="00BA28E3">
        <w:rPr>
          <w:lang w:val="en-US"/>
        </w:rPr>
        <w:t xml:space="preserve">equipped with a coupling device, </w:t>
      </w:r>
      <w:proofErr w:type="gramStart"/>
      <w:r w:rsidRPr="00BA28E3">
        <w:rPr>
          <w:lang w:val="en-US"/>
        </w:rPr>
        <w:t>and;</w:t>
      </w:r>
      <w:proofErr w:type="gramEnd"/>
    </w:p>
    <w:p w14:paraId="279E993A" w14:textId="77777777" w:rsidR="006A0B48" w:rsidRPr="00BA28E3" w:rsidRDefault="006A0B48" w:rsidP="006A0B48">
      <w:pPr>
        <w:pStyle w:val="SingleTxtG"/>
        <w:numPr>
          <w:ilvl w:val="0"/>
          <w:numId w:val="20"/>
        </w:numPr>
        <w:tabs>
          <w:tab w:val="clear" w:pos="1701"/>
          <w:tab w:val="clear" w:pos="2268"/>
          <w:tab w:val="clear" w:pos="2835"/>
        </w:tabs>
        <w:suppressAutoHyphens/>
        <w:rPr>
          <w:lang w:val="en-US"/>
        </w:rPr>
      </w:pPr>
      <w:r w:rsidRPr="00BA28E3">
        <w:rPr>
          <w:lang w:val="en-US"/>
        </w:rPr>
        <w:t xml:space="preserve">having 3 axles or more, </w:t>
      </w:r>
      <w:proofErr w:type="gramStart"/>
      <w:r w:rsidRPr="00BA28E3">
        <w:rPr>
          <w:lang w:val="en-US"/>
        </w:rPr>
        <w:t>and;</w:t>
      </w:r>
      <w:proofErr w:type="gramEnd"/>
    </w:p>
    <w:p w14:paraId="0A69035E" w14:textId="77777777" w:rsidR="006A0B48" w:rsidRPr="00BA28E3" w:rsidRDefault="006A0B48" w:rsidP="006A0B48">
      <w:pPr>
        <w:pStyle w:val="SingleTxtG"/>
        <w:numPr>
          <w:ilvl w:val="0"/>
          <w:numId w:val="20"/>
        </w:numPr>
        <w:tabs>
          <w:tab w:val="clear" w:pos="1701"/>
          <w:tab w:val="clear" w:pos="2268"/>
          <w:tab w:val="clear" w:pos="2835"/>
        </w:tabs>
        <w:suppressAutoHyphens/>
        <w:rPr>
          <w:lang w:val="en-US"/>
        </w:rPr>
      </w:pPr>
      <w:r w:rsidRPr="00BA28E3">
        <w:rPr>
          <w:lang w:val="en-US" w:eastAsia="ja-JP"/>
        </w:rPr>
        <w:t xml:space="preserve">with a maximum engine power of 320 kW or more, </w:t>
      </w:r>
      <w:proofErr w:type="gramStart"/>
      <w:r w:rsidRPr="00BA28E3">
        <w:rPr>
          <w:lang w:val="en-US" w:eastAsia="ja-JP"/>
        </w:rPr>
        <w:t>and;</w:t>
      </w:r>
      <w:proofErr w:type="gramEnd"/>
    </w:p>
    <w:p w14:paraId="79B2D096" w14:textId="77777777" w:rsidR="006A0B48" w:rsidRPr="00BA28E3" w:rsidRDefault="006A0B48" w:rsidP="006A0B48">
      <w:pPr>
        <w:pStyle w:val="SingleTxtG"/>
        <w:numPr>
          <w:ilvl w:val="0"/>
          <w:numId w:val="20"/>
        </w:numPr>
        <w:tabs>
          <w:tab w:val="clear" w:pos="1701"/>
          <w:tab w:val="clear" w:pos="2268"/>
          <w:tab w:val="clear" w:pos="2835"/>
        </w:tabs>
        <w:suppressAutoHyphens/>
        <w:rPr>
          <w:lang w:val="en-US"/>
        </w:rPr>
      </w:pPr>
      <w:r w:rsidRPr="00BA28E3">
        <w:rPr>
          <w:lang w:val="en-US" w:eastAsia="ja-JP"/>
        </w:rPr>
        <w:t>designed with a permissible maximum gross combination weight (GCW) mass exceeding 60 tons,</w:t>
      </w:r>
    </w:p>
    <w:p w14:paraId="5BF90779" w14:textId="77777777" w:rsidR="006A0B48" w:rsidRPr="00BA28E3" w:rsidRDefault="006A0B48" w:rsidP="006A0B48">
      <w:pPr>
        <w:pStyle w:val="SingleTxtG"/>
        <w:ind w:left="2268"/>
      </w:pPr>
      <w:r w:rsidRPr="00BA28E3">
        <w:t>do not need to meet the required Front Visible Volume."</w:t>
      </w:r>
    </w:p>
    <w:p w14:paraId="7BA085E5" w14:textId="77777777" w:rsidR="006A0B48" w:rsidRDefault="006A0B48" w:rsidP="006A0B48">
      <w:pPr>
        <w:pStyle w:val="SingleTxtG"/>
      </w:pPr>
      <w:r>
        <w:rPr>
          <w:i/>
          <w:iCs/>
        </w:rPr>
        <w:t>Paragraph 5.2.2.1., Table 1</w:t>
      </w:r>
      <w:r>
        <w:t>, amend to read:</w:t>
      </w:r>
    </w:p>
    <w:p w14:paraId="583D9355" w14:textId="0A09E533" w:rsidR="006A0B48" w:rsidRDefault="006A0B48" w:rsidP="006A0B48">
      <w:pPr>
        <w:ind w:left="1134" w:right="1134"/>
      </w:pPr>
      <w:bookmarkStart w:id="0" w:name="_Ref82094650"/>
      <w:r>
        <w:t xml:space="preserve">"Table </w:t>
      </w:r>
      <w:r>
        <w:fldChar w:fldCharType="begin"/>
      </w:r>
      <w:r>
        <w:instrText xml:space="preserve"> SEQ Table \* ARABIC </w:instrText>
      </w:r>
      <w:r>
        <w:fldChar w:fldCharType="separate"/>
      </w:r>
      <w:r w:rsidR="007B3AF3">
        <w:rPr>
          <w:noProof/>
        </w:rPr>
        <w:t>1</w:t>
      </w:r>
      <w:r>
        <w:fldChar w:fldCharType="end"/>
      </w:r>
      <w:bookmarkEnd w:id="0"/>
    </w:p>
    <w:p w14:paraId="4D4A0882" w14:textId="77777777" w:rsidR="006A0B48" w:rsidRDefault="006A0B48" w:rsidP="006A0B48">
      <w:pPr>
        <w:keepNext/>
        <w:keepLines/>
        <w:tabs>
          <w:tab w:val="left" w:pos="720"/>
          <w:tab w:val="left" w:pos="1134"/>
          <w:tab w:val="right" w:pos="1170"/>
          <w:tab w:val="left" w:pos="1260"/>
          <w:tab w:val="left" w:pos="1559"/>
          <w:tab w:val="left" w:pos="1984"/>
          <w:tab w:val="left" w:leader="dot" w:pos="8929"/>
          <w:tab w:val="right" w:pos="9638"/>
        </w:tabs>
        <w:spacing w:after="120"/>
        <w:ind w:left="1134" w:right="1134" w:hanging="850"/>
        <w:rPr>
          <w:b/>
          <w:bCs/>
          <w:i/>
          <w:iCs/>
        </w:rPr>
      </w:pPr>
      <w:r>
        <w:tab/>
      </w:r>
      <w:r>
        <w:tab/>
      </w:r>
      <w:r>
        <w:rPr>
          <w:b/>
          <w:bCs/>
        </w:rPr>
        <w:t>Minimum Values of Visible Volume</w:t>
      </w:r>
    </w:p>
    <w:tbl>
      <w:tblPr>
        <w:tblStyle w:val="TableGrid"/>
        <w:tblW w:w="85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3"/>
        <w:gridCol w:w="1417"/>
        <w:gridCol w:w="1134"/>
        <w:gridCol w:w="1417"/>
        <w:gridCol w:w="1422"/>
        <w:gridCol w:w="10"/>
      </w:tblGrid>
      <w:tr w:rsidR="006A0B48" w14:paraId="0C4A9F0E" w14:textId="77777777" w:rsidTr="001F335E">
        <w:trPr>
          <w:tblHeader/>
        </w:trPr>
        <w:tc>
          <w:tcPr>
            <w:tcW w:w="2126" w:type="dxa"/>
            <w:vMerge w:val="restart"/>
            <w:tcBorders>
              <w:top w:val="single" w:sz="6" w:space="0" w:color="auto"/>
              <w:left w:val="nil"/>
              <w:bottom w:val="single" w:sz="4" w:space="0" w:color="auto"/>
              <w:right w:val="nil"/>
            </w:tcBorders>
            <w:vAlign w:val="bottom"/>
          </w:tcPr>
          <w:p w14:paraId="2C353AE5" w14:textId="77777777" w:rsidR="006A0B48" w:rsidRDefault="006A0B48" w:rsidP="001F335E">
            <w:pPr>
              <w:spacing w:before="80" w:after="80" w:line="200" w:lineRule="exact"/>
              <w:ind w:right="567"/>
              <w:rPr>
                <w:i/>
                <w:lang w:val="de-DE" w:eastAsia="ar-SA"/>
              </w:rPr>
            </w:pPr>
          </w:p>
        </w:tc>
        <w:tc>
          <w:tcPr>
            <w:tcW w:w="993" w:type="dxa"/>
            <w:tcBorders>
              <w:top w:val="single" w:sz="6" w:space="0" w:color="auto"/>
              <w:left w:val="nil"/>
              <w:bottom w:val="nil"/>
              <w:right w:val="nil"/>
            </w:tcBorders>
          </w:tcPr>
          <w:p w14:paraId="11212A9A" w14:textId="77777777" w:rsidR="006A0B48" w:rsidRDefault="006A0B48" w:rsidP="001F335E">
            <w:pPr>
              <w:spacing w:before="80" w:after="80" w:line="200" w:lineRule="exact"/>
              <w:ind w:right="567"/>
              <w:rPr>
                <w:i/>
                <w:lang w:val="de-DE" w:eastAsia="ar-SA"/>
              </w:rPr>
            </w:pPr>
          </w:p>
        </w:tc>
        <w:tc>
          <w:tcPr>
            <w:tcW w:w="5400" w:type="dxa"/>
            <w:gridSpan w:val="5"/>
            <w:tcBorders>
              <w:top w:val="single" w:sz="6" w:space="0" w:color="auto"/>
              <w:left w:val="nil"/>
              <w:bottom w:val="single" w:sz="12" w:space="0" w:color="auto"/>
              <w:right w:val="nil"/>
            </w:tcBorders>
            <w:hideMark/>
          </w:tcPr>
          <w:p w14:paraId="406C0D64" w14:textId="77777777" w:rsidR="006A0B48" w:rsidRPr="00D356F7" w:rsidRDefault="006A0B48" w:rsidP="001F335E">
            <w:pPr>
              <w:spacing w:before="80" w:after="80" w:line="200" w:lineRule="exact"/>
              <w:ind w:right="567"/>
              <w:jc w:val="center"/>
              <w:rPr>
                <w:i/>
                <w:lang w:val="en-US" w:eastAsia="ar-SA"/>
              </w:rPr>
            </w:pPr>
            <w:r w:rsidRPr="00D356F7">
              <w:rPr>
                <w:i/>
                <w:lang w:val="en-US" w:eastAsia="ar-SA"/>
              </w:rPr>
              <w:t>Minimum Volume (m</w:t>
            </w:r>
            <w:r w:rsidRPr="00D356F7">
              <w:rPr>
                <w:i/>
                <w:vertAlign w:val="superscript"/>
                <w:lang w:val="en-US" w:eastAsia="ar-SA"/>
              </w:rPr>
              <w:t>3</w:t>
            </w:r>
            <w:r w:rsidRPr="00D356F7">
              <w:rPr>
                <w:i/>
                <w:lang w:val="en-US" w:eastAsia="ar-SA"/>
              </w:rPr>
              <w:t>) of Direct Vision</w:t>
            </w:r>
          </w:p>
        </w:tc>
      </w:tr>
      <w:tr w:rsidR="006A0B48" w14:paraId="2E6F92FC" w14:textId="77777777" w:rsidTr="001F335E">
        <w:trPr>
          <w:gridAfter w:val="3"/>
          <w:wAfter w:w="2849" w:type="dxa"/>
          <w:trHeight w:hRule="exact" w:val="113"/>
          <w:tblHeader/>
        </w:trPr>
        <w:tc>
          <w:tcPr>
            <w:tcW w:w="3119" w:type="dxa"/>
            <w:vMerge/>
            <w:tcBorders>
              <w:top w:val="single" w:sz="6" w:space="0" w:color="auto"/>
              <w:left w:val="nil"/>
              <w:bottom w:val="single" w:sz="4" w:space="0" w:color="auto"/>
              <w:right w:val="nil"/>
            </w:tcBorders>
            <w:vAlign w:val="center"/>
            <w:hideMark/>
          </w:tcPr>
          <w:p w14:paraId="25C49AE1" w14:textId="77777777" w:rsidR="006A0B48" w:rsidRPr="00D356F7" w:rsidRDefault="006A0B48" w:rsidP="001F335E">
            <w:pPr>
              <w:suppressAutoHyphens w:val="0"/>
              <w:spacing w:line="240" w:lineRule="auto"/>
              <w:rPr>
                <w:i/>
                <w:lang w:val="en-US" w:eastAsia="ar-SA"/>
              </w:rPr>
            </w:pPr>
          </w:p>
        </w:tc>
        <w:tc>
          <w:tcPr>
            <w:tcW w:w="993" w:type="dxa"/>
          </w:tcPr>
          <w:p w14:paraId="02766576" w14:textId="77777777" w:rsidR="006A0B48" w:rsidRPr="00D356F7" w:rsidRDefault="006A0B48" w:rsidP="001F335E">
            <w:pPr>
              <w:spacing w:before="40" w:after="120"/>
              <w:ind w:right="567"/>
              <w:rPr>
                <w:lang w:val="en-US" w:eastAsia="ar-SA"/>
              </w:rPr>
            </w:pPr>
          </w:p>
        </w:tc>
        <w:tc>
          <w:tcPr>
            <w:tcW w:w="1417" w:type="dxa"/>
            <w:tcBorders>
              <w:top w:val="single" w:sz="12" w:space="0" w:color="auto"/>
              <w:left w:val="nil"/>
              <w:bottom w:val="nil"/>
              <w:right w:val="nil"/>
            </w:tcBorders>
          </w:tcPr>
          <w:p w14:paraId="131F0A6E" w14:textId="77777777" w:rsidR="006A0B48" w:rsidRPr="00D356F7" w:rsidRDefault="006A0B48" w:rsidP="001F335E">
            <w:pPr>
              <w:spacing w:before="40" w:after="120"/>
              <w:ind w:right="567"/>
              <w:rPr>
                <w:lang w:val="en-US" w:eastAsia="ar-SA"/>
              </w:rPr>
            </w:pPr>
          </w:p>
        </w:tc>
        <w:tc>
          <w:tcPr>
            <w:tcW w:w="1134" w:type="dxa"/>
            <w:tcBorders>
              <w:top w:val="single" w:sz="12" w:space="0" w:color="auto"/>
              <w:left w:val="nil"/>
              <w:bottom w:val="nil"/>
              <w:right w:val="nil"/>
            </w:tcBorders>
          </w:tcPr>
          <w:p w14:paraId="28DFD809" w14:textId="77777777" w:rsidR="006A0B48" w:rsidRPr="00D356F7" w:rsidRDefault="006A0B48" w:rsidP="001F335E">
            <w:pPr>
              <w:spacing w:before="40" w:after="120"/>
              <w:ind w:right="567"/>
              <w:rPr>
                <w:lang w:val="en-US" w:eastAsia="ar-SA"/>
              </w:rPr>
            </w:pPr>
          </w:p>
        </w:tc>
      </w:tr>
      <w:tr w:rsidR="006A0B48" w14:paraId="3F2F5977" w14:textId="77777777" w:rsidTr="001F335E">
        <w:trPr>
          <w:gridAfter w:val="1"/>
          <w:wAfter w:w="10" w:type="dxa"/>
          <w:tblHeader/>
        </w:trPr>
        <w:tc>
          <w:tcPr>
            <w:tcW w:w="3119" w:type="dxa"/>
            <w:vMerge/>
            <w:tcBorders>
              <w:top w:val="single" w:sz="6" w:space="0" w:color="auto"/>
              <w:left w:val="nil"/>
              <w:bottom w:val="single" w:sz="4" w:space="0" w:color="auto"/>
              <w:right w:val="nil"/>
            </w:tcBorders>
            <w:vAlign w:val="center"/>
            <w:hideMark/>
          </w:tcPr>
          <w:p w14:paraId="09668C7E" w14:textId="77777777" w:rsidR="006A0B48" w:rsidRPr="00D356F7" w:rsidRDefault="006A0B48" w:rsidP="001F335E">
            <w:pPr>
              <w:suppressAutoHyphens w:val="0"/>
              <w:spacing w:line="240" w:lineRule="auto"/>
              <w:rPr>
                <w:i/>
                <w:lang w:val="en-US" w:eastAsia="ar-SA"/>
              </w:rPr>
            </w:pPr>
          </w:p>
        </w:tc>
        <w:tc>
          <w:tcPr>
            <w:tcW w:w="993" w:type="dxa"/>
            <w:tcBorders>
              <w:top w:val="nil"/>
              <w:left w:val="nil"/>
              <w:bottom w:val="single" w:sz="4" w:space="0" w:color="auto"/>
              <w:right w:val="single" w:sz="4" w:space="0" w:color="auto"/>
            </w:tcBorders>
          </w:tcPr>
          <w:p w14:paraId="3E286111" w14:textId="77777777" w:rsidR="006A0B48" w:rsidRPr="00D356F7" w:rsidRDefault="006A0B48" w:rsidP="001F335E">
            <w:pPr>
              <w:spacing w:before="40" w:after="120"/>
              <w:ind w:right="567"/>
              <w:jc w:val="center"/>
              <w:rPr>
                <w:lang w:val="en-US" w:eastAsia="ar-SA"/>
              </w:rPr>
            </w:pPr>
          </w:p>
        </w:tc>
        <w:tc>
          <w:tcPr>
            <w:tcW w:w="1417" w:type="dxa"/>
            <w:tcBorders>
              <w:top w:val="nil"/>
              <w:left w:val="single" w:sz="4" w:space="0" w:color="auto"/>
              <w:bottom w:val="single" w:sz="4" w:space="0" w:color="auto"/>
              <w:right w:val="single" w:sz="4" w:space="0" w:color="auto"/>
            </w:tcBorders>
            <w:hideMark/>
          </w:tcPr>
          <w:p w14:paraId="2E2091DC" w14:textId="77777777" w:rsidR="006A0B48" w:rsidRDefault="006A0B48" w:rsidP="001F335E">
            <w:pPr>
              <w:spacing w:before="40" w:after="120"/>
              <w:ind w:right="30"/>
              <w:jc w:val="center"/>
              <w:rPr>
                <w:lang w:val="de-DE" w:eastAsia="ar-SA"/>
              </w:rPr>
            </w:pPr>
            <w:r>
              <w:rPr>
                <w:lang w:val="de-DE" w:eastAsia="ar-SA"/>
              </w:rPr>
              <w:t>Level 1</w:t>
            </w:r>
          </w:p>
        </w:tc>
        <w:tc>
          <w:tcPr>
            <w:tcW w:w="1134" w:type="dxa"/>
            <w:tcBorders>
              <w:top w:val="nil"/>
              <w:left w:val="single" w:sz="4" w:space="0" w:color="auto"/>
              <w:bottom w:val="nil"/>
              <w:right w:val="single" w:sz="4" w:space="0" w:color="auto"/>
            </w:tcBorders>
          </w:tcPr>
          <w:p w14:paraId="32885FBE" w14:textId="77777777" w:rsidR="006A0B48" w:rsidRDefault="006A0B48" w:rsidP="001F335E">
            <w:pPr>
              <w:spacing w:before="40" w:after="120"/>
              <w:ind w:right="567"/>
              <w:jc w:val="center"/>
              <w:rPr>
                <w:lang w:val="de-DE" w:eastAsia="ar-SA"/>
              </w:rPr>
            </w:pPr>
          </w:p>
        </w:tc>
        <w:tc>
          <w:tcPr>
            <w:tcW w:w="1417" w:type="dxa"/>
            <w:tcBorders>
              <w:top w:val="nil"/>
              <w:left w:val="single" w:sz="4" w:space="0" w:color="auto"/>
              <w:bottom w:val="single" w:sz="4" w:space="0" w:color="auto"/>
              <w:right w:val="single" w:sz="4" w:space="0" w:color="auto"/>
            </w:tcBorders>
            <w:hideMark/>
          </w:tcPr>
          <w:p w14:paraId="34CDC60E" w14:textId="77777777" w:rsidR="006A0B48" w:rsidRDefault="006A0B48" w:rsidP="001F335E">
            <w:pPr>
              <w:spacing w:before="40" w:after="120"/>
              <w:ind w:left="-106" w:right="-107"/>
              <w:jc w:val="center"/>
              <w:rPr>
                <w:lang w:val="de-DE" w:eastAsia="ar-SA"/>
              </w:rPr>
            </w:pPr>
            <w:r>
              <w:rPr>
                <w:lang w:val="de-DE" w:eastAsia="ar-SA"/>
              </w:rPr>
              <w:t>Level 2</w:t>
            </w:r>
          </w:p>
        </w:tc>
        <w:tc>
          <w:tcPr>
            <w:tcW w:w="1422" w:type="dxa"/>
            <w:tcBorders>
              <w:top w:val="nil"/>
              <w:left w:val="single" w:sz="4" w:space="0" w:color="auto"/>
              <w:bottom w:val="single" w:sz="4" w:space="0" w:color="auto"/>
              <w:right w:val="nil"/>
            </w:tcBorders>
            <w:hideMark/>
          </w:tcPr>
          <w:p w14:paraId="5533CC3E" w14:textId="77777777" w:rsidR="006A0B48" w:rsidRDefault="006A0B48" w:rsidP="001F335E">
            <w:pPr>
              <w:spacing w:before="40" w:after="120"/>
              <w:ind w:left="-107" w:right="-105"/>
              <w:jc w:val="center"/>
              <w:rPr>
                <w:lang w:val="de-DE" w:eastAsia="ar-SA"/>
              </w:rPr>
            </w:pPr>
            <w:r>
              <w:rPr>
                <w:lang w:val="de-DE" w:eastAsia="ar-SA"/>
              </w:rPr>
              <w:t>Level 3</w:t>
            </w:r>
          </w:p>
        </w:tc>
      </w:tr>
      <w:tr w:rsidR="006A0B48" w14:paraId="467ABEF6" w14:textId="77777777" w:rsidTr="001F335E">
        <w:trPr>
          <w:gridAfter w:val="1"/>
          <w:wAfter w:w="10" w:type="dxa"/>
        </w:trPr>
        <w:tc>
          <w:tcPr>
            <w:tcW w:w="3119" w:type="dxa"/>
            <w:gridSpan w:val="2"/>
            <w:tcBorders>
              <w:top w:val="single" w:sz="4" w:space="0" w:color="auto"/>
              <w:left w:val="nil"/>
              <w:bottom w:val="single" w:sz="4" w:space="0" w:color="auto"/>
              <w:right w:val="single" w:sz="4" w:space="0" w:color="auto"/>
            </w:tcBorders>
            <w:hideMark/>
          </w:tcPr>
          <w:p w14:paraId="1687F623" w14:textId="77777777" w:rsidR="006A0B48" w:rsidRDefault="006A0B48" w:rsidP="001F335E">
            <w:pPr>
              <w:spacing w:before="40" w:after="120"/>
              <w:ind w:right="567"/>
              <w:rPr>
                <w:lang w:val="de-DE" w:eastAsia="ar-SA"/>
              </w:rPr>
            </w:pPr>
            <w:proofErr w:type="spellStart"/>
            <w:r>
              <w:rPr>
                <w:lang w:val="de-DE" w:eastAsia="ar-SA"/>
              </w:rPr>
              <w:t>Nearside</w:t>
            </w:r>
            <w:proofErr w:type="spellEnd"/>
            <w:r>
              <w:rPr>
                <w:lang w:val="de-DE" w:eastAsia="ar-SA"/>
              </w:rPr>
              <w:t xml:space="preserve"> Visible Volume </w:t>
            </w:r>
          </w:p>
        </w:tc>
        <w:tc>
          <w:tcPr>
            <w:tcW w:w="1417" w:type="dxa"/>
            <w:tcBorders>
              <w:top w:val="single" w:sz="4" w:space="0" w:color="auto"/>
              <w:left w:val="single" w:sz="4" w:space="0" w:color="auto"/>
              <w:bottom w:val="single" w:sz="4" w:space="0" w:color="auto"/>
              <w:right w:val="single" w:sz="4" w:space="0" w:color="auto"/>
            </w:tcBorders>
            <w:hideMark/>
          </w:tcPr>
          <w:p w14:paraId="78FA5043" w14:textId="77777777" w:rsidR="006A0B48" w:rsidRDefault="006A0B48" w:rsidP="001F335E">
            <w:pPr>
              <w:spacing w:before="40" w:after="120"/>
              <w:jc w:val="center"/>
              <w:rPr>
                <w:lang w:val="de-DE" w:eastAsia="ar-SA"/>
              </w:rPr>
            </w:pPr>
            <w:r>
              <w:rPr>
                <w:lang w:val="de-DE" w:eastAsia="ar-SA"/>
              </w:rPr>
              <w:t>3.4</w:t>
            </w:r>
          </w:p>
        </w:tc>
        <w:tc>
          <w:tcPr>
            <w:tcW w:w="1134" w:type="dxa"/>
            <w:tcBorders>
              <w:top w:val="nil"/>
              <w:left w:val="single" w:sz="4" w:space="0" w:color="auto"/>
              <w:bottom w:val="single" w:sz="4" w:space="0" w:color="auto"/>
              <w:right w:val="single" w:sz="4" w:space="0" w:color="auto"/>
            </w:tcBorders>
          </w:tcPr>
          <w:p w14:paraId="35E61958" w14:textId="77777777" w:rsidR="006A0B48" w:rsidRDefault="006A0B48" w:rsidP="001F335E">
            <w:pPr>
              <w:spacing w:before="40" w:after="120"/>
              <w:ind w:right="567"/>
              <w:jc w:val="center"/>
              <w:rPr>
                <w:lang w:val="de-DE" w:eastAsia="ar-SA"/>
              </w:rPr>
            </w:pPr>
          </w:p>
        </w:tc>
        <w:tc>
          <w:tcPr>
            <w:tcW w:w="1417" w:type="dxa"/>
            <w:tcBorders>
              <w:top w:val="single" w:sz="4" w:space="0" w:color="auto"/>
              <w:left w:val="single" w:sz="4" w:space="0" w:color="auto"/>
              <w:bottom w:val="single" w:sz="4" w:space="0" w:color="auto"/>
              <w:right w:val="single" w:sz="4" w:space="0" w:color="auto"/>
            </w:tcBorders>
            <w:hideMark/>
          </w:tcPr>
          <w:p w14:paraId="57671A50" w14:textId="77777777" w:rsidR="006A0B48" w:rsidRDefault="006A0B48" w:rsidP="001F335E">
            <w:pPr>
              <w:spacing w:before="40" w:after="120"/>
              <w:ind w:right="-107"/>
              <w:jc w:val="center"/>
              <w:rPr>
                <w:lang w:val="de-DE" w:eastAsia="ar-SA"/>
              </w:rPr>
            </w:pPr>
            <w:r>
              <w:rPr>
                <w:lang w:val="de-DE" w:eastAsia="ar-SA"/>
              </w:rPr>
              <w:t xml:space="preserve">Not </w:t>
            </w:r>
            <w:proofErr w:type="spellStart"/>
            <w:r>
              <w:rPr>
                <w:lang w:val="de-DE" w:eastAsia="ar-SA"/>
              </w:rPr>
              <w:t>Specified</w:t>
            </w:r>
            <w:proofErr w:type="spellEnd"/>
          </w:p>
        </w:tc>
        <w:tc>
          <w:tcPr>
            <w:tcW w:w="1422" w:type="dxa"/>
            <w:tcBorders>
              <w:top w:val="single" w:sz="4" w:space="0" w:color="auto"/>
              <w:left w:val="single" w:sz="4" w:space="0" w:color="auto"/>
              <w:bottom w:val="single" w:sz="4" w:space="0" w:color="auto"/>
              <w:right w:val="nil"/>
            </w:tcBorders>
            <w:hideMark/>
          </w:tcPr>
          <w:p w14:paraId="296944A2" w14:textId="77777777" w:rsidR="006A0B48" w:rsidRDefault="006A0B48" w:rsidP="001F335E">
            <w:pPr>
              <w:spacing w:before="40" w:after="120"/>
              <w:jc w:val="center"/>
              <w:rPr>
                <w:lang w:val="de-DE" w:eastAsia="ar-SA"/>
              </w:rPr>
            </w:pPr>
            <w:r>
              <w:rPr>
                <w:lang w:val="de-DE" w:eastAsia="ar-SA"/>
              </w:rPr>
              <w:t xml:space="preserve">Not </w:t>
            </w:r>
            <w:proofErr w:type="spellStart"/>
            <w:r>
              <w:rPr>
                <w:lang w:val="de-DE" w:eastAsia="ar-SA"/>
              </w:rPr>
              <w:t>Specified</w:t>
            </w:r>
            <w:proofErr w:type="spellEnd"/>
          </w:p>
        </w:tc>
      </w:tr>
      <w:tr w:rsidR="006A0B48" w14:paraId="73D64541" w14:textId="77777777" w:rsidTr="001F335E">
        <w:trPr>
          <w:gridAfter w:val="1"/>
          <w:wAfter w:w="10" w:type="dxa"/>
        </w:trPr>
        <w:tc>
          <w:tcPr>
            <w:tcW w:w="2126" w:type="dxa"/>
            <w:tcBorders>
              <w:top w:val="single" w:sz="4" w:space="0" w:color="auto"/>
              <w:left w:val="nil"/>
              <w:bottom w:val="nil"/>
              <w:right w:val="single" w:sz="4" w:space="0" w:color="auto"/>
            </w:tcBorders>
            <w:hideMark/>
          </w:tcPr>
          <w:p w14:paraId="6DFCC17A" w14:textId="77777777" w:rsidR="006A0B48" w:rsidRDefault="006A0B48" w:rsidP="001F335E">
            <w:pPr>
              <w:spacing w:before="40" w:after="120"/>
              <w:ind w:right="567"/>
              <w:rPr>
                <w:lang w:val="de-DE" w:eastAsia="ar-SA"/>
              </w:rPr>
            </w:pPr>
            <w:r>
              <w:rPr>
                <w:lang w:val="de-DE"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hideMark/>
          </w:tcPr>
          <w:p w14:paraId="1497448F" w14:textId="77777777" w:rsidR="006A0B48" w:rsidRPr="00BA28E3" w:rsidRDefault="006A0B48" w:rsidP="001F335E">
            <w:pPr>
              <w:spacing w:before="40" w:after="120"/>
              <w:ind w:right="34"/>
              <w:jc w:val="center"/>
              <w:rPr>
                <w:lang w:val="de-DE" w:eastAsia="ar-SA"/>
              </w:rPr>
            </w:pPr>
            <w:r w:rsidRPr="00BA28E3">
              <w:rPr>
                <w:lang w:val="de-DE" w:eastAsia="ar-SA"/>
              </w:rPr>
              <w:t>IAPD ≥</w:t>
            </w:r>
          </w:p>
          <w:p w14:paraId="0A2DD055" w14:textId="77777777" w:rsidR="006A0B48" w:rsidRPr="00BA28E3" w:rsidRDefault="006A0B48" w:rsidP="001F335E">
            <w:pPr>
              <w:spacing w:before="40" w:after="120"/>
              <w:ind w:left="-101" w:right="-108"/>
              <w:jc w:val="center"/>
              <w:rPr>
                <w:lang w:val="de-DE" w:eastAsia="ar-SA"/>
              </w:rPr>
            </w:pPr>
            <w:r w:rsidRPr="00BA28E3">
              <w:rPr>
                <w:lang w:val="de-DE" w:eastAsia="ar-SA"/>
              </w:rPr>
              <w:t>2156mm</w:t>
            </w:r>
          </w:p>
        </w:tc>
        <w:tc>
          <w:tcPr>
            <w:tcW w:w="1417" w:type="dxa"/>
            <w:tcBorders>
              <w:top w:val="single" w:sz="4" w:space="0" w:color="auto"/>
              <w:left w:val="single" w:sz="4" w:space="0" w:color="auto"/>
              <w:bottom w:val="single" w:sz="4" w:space="0" w:color="auto"/>
              <w:right w:val="single" w:sz="4" w:space="0" w:color="auto"/>
            </w:tcBorders>
            <w:hideMark/>
          </w:tcPr>
          <w:p w14:paraId="1A9E1111" w14:textId="77777777" w:rsidR="006A0B48" w:rsidRPr="00BA28E3" w:rsidRDefault="006A0B48" w:rsidP="001F335E">
            <w:pPr>
              <w:spacing w:before="40" w:after="120"/>
              <w:ind w:right="30"/>
              <w:jc w:val="center"/>
              <w:rPr>
                <w:lang w:val="de-DE" w:eastAsia="ar-SA"/>
              </w:rPr>
            </w:pPr>
            <w:r w:rsidRPr="00BA28E3">
              <w:rPr>
                <w:lang w:val="de-DE" w:eastAsia="ar-SA"/>
              </w:rPr>
              <w:t>1.8</w:t>
            </w:r>
          </w:p>
        </w:tc>
        <w:tc>
          <w:tcPr>
            <w:tcW w:w="1134" w:type="dxa"/>
            <w:tcBorders>
              <w:top w:val="single" w:sz="4" w:space="0" w:color="auto"/>
              <w:left w:val="single" w:sz="4" w:space="0" w:color="auto"/>
              <w:bottom w:val="single" w:sz="4" w:space="0" w:color="auto"/>
              <w:right w:val="single" w:sz="4" w:space="0" w:color="auto"/>
            </w:tcBorders>
            <w:hideMark/>
          </w:tcPr>
          <w:p w14:paraId="3D0177E4" w14:textId="77777777" w:rsidR="006A0B48" w:rsidRPr="00BA28E3" w:rsidRDefault="006A0B48" w:rsidP="001F335E">
            <w:pPr>
              <w:spacing w:before="40" w:after="120"/>
              <w:jc w:val="center"/>
              <w:rPr>
                <w:lang w:val="de-DE" w:eastAsia="ar-SA"/>
              </w:rPr>
            </w:pPr>
            <w:r w:rsidRPr="00BA28E3">
              <w:rPr>
                <w:lang w:val="de-DE" w:eastAsia="ar-SA"/>
              </w:rPr>
              <w:t>IAPD ≥</w:t>
            </w:r>
          </w:p>
          <w:p w14:paraId="7C6140F0" w14:textId="77777777" w:rsidR="006A0B48" w:rsidRPr="00BA28E3" w:rsidRDefault="006A0B48" w:rsidP="001F335E">
            <w:pPr>
              <w:spacing w:before="40" w:after="120"/>
              <w:ind w:right="-108"/>
              <w:jc w:val="center"/>
              <w:rPr>
                <w:lang w:val="de-DE" w:eastAsia="ar-SA"/>
              </w:rPr>
            </w:pPr>
            <w:r w:rsidRPr="00BA28E3">
              <w:rPr>
                <w:lang w:val="de-DE" w:eastAsia="ar-SA"/>
              </w:rPr>
              <w:t>2154mm</w:t>
            </w:r>
          </w:p>
        </w:tc>
        <w:tc>
          <w:tcPr>
            <w:tcW w:w="1417" w:type="dxa"/>
            <w:tcBorders>
              <w:top w:val="single" w:sz="4" w:space="0" w:color="auto"/>
              <w:left w:val="single" w:sz="4" w:space="0" w:color="auto"/>
              <w:bottom w:val="single" w:sz="4" w:space="0" w:color="auto"/>
              <w:right w:val="single" w:sz="4" w:space="0" w:color="auto"/>
            </w:tcBorders>
            <w:hideMark/>
          </w:tcPr>
          <w:p w14:paraId="3A053298" w14:textId="77777777" w:rsidR="006A0B48" w:rsidRPr="00BA28E3" w:rsidRDefault="006A0B48" w:rsidP="001F335E">
            <w:pPr>
              <w:spacing w:before="40" w:after="120"/>
              <w:jc w:val="center"/>
              <w:rPr>
                <w:lang w:val="de-DE" w:eastAsia="ar-SA"/>
              </w:rPr>
            </w:pPr>
            <w:r w:rsidRPr="00BA28E3">
              <w:rPr>
                <w:lang w:val="de-DE" w:eastAsia="ar-SA"/>
              </w:rPr>
              <w:t>1.0</w:t>
            </w:r>
          </w:p>
        </w:tc>
        <w:tc>
          <w:tcPr>
            <w:tcW w:w="1422" w:type="dxa"/>
            <w:tcBorders>
              <w:top w:val="single" w:sz="4" w:space="0" w:color="auto"/>
              <w:left w:val="single" w:sz="4" w:space="0" w:color="auto"/>
              <w:bottom w:val="single" w:sz="4" w:space="0" w:color="auto"/>
              <w:right w:val="nil"/>
            </w:tcBorders>
            <w:hideMark/>
          </w:tcPr>
          <w:p w14:paraId="7472D159" w14:textId="77777777" w:rsidR="006A0B48" w:rsidRPr="00BA28E3" w:rsidRDefault="006A0B48" w:rsidP="001F335E">
            <w:pPr>
              <w:spacing w:before="40" w:after="120"/>
              <w:ind w:left="-107" w:right="-105"/>
              <w:jc w:val="center"/>
              <w:rPr>
                <w:lang w:val="de-DE" w:eastAsia="ar-SA"/>
              </w:rPr>
            </w:pPr>
            <w:r w:rsidRPr="00BA28E3">
              <w:rPr>
                <w:lang w:val="de-DE" w:eastAsia="ar-SA"/>
              </w:rPr>
              <w:t>1.0</w:t>
            </w:r>
          </w:p>
        </w:tc>
      </w:tr>
      <w:tr w:rsidR="006A0B48" w14:paraId="3AF15D64" w14:textId="77777777" w:rsidTr="001F335E">
        <w:trPr>
          <w:gridAfter w:val="1"/>
          <w:wAfter w:w="10" w:type="dxa"/>
        </w:trPr>
        <w:tc>
          <w:tcPr>
            <w:tcW w:w="2126" w:type="dxa"/>
            <w:tcBorders>
              <w:top w:val="nil"/>
              <w:left w:val="nil"/>
              <w:bottom w:val="single" w:sz="4" w:space="0" w:color="auto"/>
              <w:right w:val="single" w:sz="4" w:space="0" w:color="auto"/>
            </w:tcBorders>
          </w:tcPr>
          <w:p w14:paraId="7E2BCD9D" w14:textId="77777777" w:rsidR="006A0B48" w:rsidRDefault="006A0B48" w:rsidP="001F335E">
            <w:pPr>
              <w:spacing w:before="40" w:after="120"/>
              <w:ind w:right="567"/>
              <w:rPr>
                <w:lang w:val="de-DE" w:eastAsia="ar-SA"/>
              </w:rPr>
            </w:pPr>
          </w:p>
        </w:tc>
        <w:tc>
          <w:tcPr>
            <w:tcW w:w="993" w:type="dxa"/>
            <w:tcBorders>
              <w:top w:val="single" w:sz="4" w:space="0" w:color="auto"/>
              <w:left w:val="single" w:sz="4" w:space="0" w:color="auto"/>
              <w:bottom w:val="single" w:sz="4" w:space="0" w:color="auto"/>
              <w:right w:val="single" w:sz="4" w:space="0" w:color="auto"/>
            </w:tcBorders>
            <w:hideMark/>
          </w:tcPr>
          <w:p w14:paraId="717BFBBD" w14:textId="77777777" w:rsidR="006A0B48" w:rsidRPr="00BA28E3" w:rsidRDefault="006A0B48" w:rsidP="001F335E">
            <w:pPr>
              <w:spacing w:before="40" w:after="120"/>
              <w:ind w:left="-101" w:right="-108"/>
              <w:jc w:val="center"/>
              <w:rPr>
                <w:lang w:val="de-DE" w:eastAsia="ar-SA"/>
              </w:rPr>
            </w:pPr>
            <w:r w:rsidRPr="00BA28E3">
              <w:rPr>
                <w:lang w:val="de-DE" w:eastAsia="ar-SA"/>
              </w:rPr>
              <w:t>IAPD &lt;</w:t>
            </w:r>
          </w:p>
          <w:p w14:paraId="3C757DAB" w14:textId="77777777" w:rsidR="006A0B48" w:rsidRPr="00BA28E3" w:rsidRDefault="006A0B48" w:rsidP="001F335E">
            <w:pPr>
              <w:spacing w:before="40" w:after="120"/>
              <w:ind w:left="-101" w:right="-108"/>
              <w:jc w:val="center"/>
              <w:rPr>
                <w:lang w:val="de-DE" w:eastAsia="ar-SA"/>
              </w:rPr>
            </w:pPr>
            <w:r w:rsidRPr="00BA28E3">
              <w:rPr>
                <w:lang w:val="de-DE" w:eastAsia="ar-SA"/>
              </w:rPr>
              <w:t>2156mm</w:t>
            </w:r>
          </w:p>
        </w:tc>
        <w:tc>
          <w:tcPr>
            <w:tcW w:w="1417" w:type="dxa"/>
            <w:tcBorders>
              <w:top w:val="single" w:sz="4" w:space="0" w:color="auto"/>
              <w:left w:val="single" w:sz="4" w:space="0" w:color="auto"/>
              <w:bottom w:val="single" w:sz="4" w:space="0" w:color="auto"/>
              <w:right w:val="single" w:sz="4" w:space="0" w:color="auto"/>
            </w:tcBorders>
            <w:hideMark/>
          </w:tcPr>
          <w:p w14:paraId="0262D447" w14:textId="77777777" w:rsidR="006A0B48" w:rsidRPr="00BA28E3" w:rsidRDefault="006A0B48" w:rsidP="001F335E">
            <w:pPr>
              <w:spacing w:before="40" w:after="120"/>
              <w:ind w:left="-106" w:right="-112"/>
              <w:jc w:val="center"/>
              <w:rPr>
                <w:lang w:val="de-DE" w:eastAsia="ar-SA"/>
              </w:rPr>
            </w:pPr>
            <w:r w:rsidRPr="00BA28E3">
              <w:rPr>
                <w:lang w:val="de-DE" w:eastAsia="ar-SA"/>
              </w:rPr>
              <w:t xml:space="preserve">See </w:t>
            </w:r>
            <w:proofErr w:type="spellStart"/>
            <w:r w:rsidRPr="00BA28E3">
              <w:rPr>
                <w:lang w:val="de-DE" w:eastAsia="ar-SA"/>
              </w:rPr>
              <w:t>paragraph</w:t>
            </w:r>
            <w:proofErr w:type="spellEnd"/>
            <w:r w:rsidRPr="00BA28E3">
              <w:rPr>
                <w:lang w:val="de-DE" w:eastAsia="ar-SA"/>
              </w:rPr>
              <w:t xml:space="preserve"> 5.3</w:t>
            </w:r>
          </w:p>
        </w:tc>
        <w:tc>
          <w:tcPr>
            <w:tcW w:w="1134" w:type="dxa"/>
            <w:tcBorders>
              <w:top w:val="single" w:sz="4" w:space="0" w:color="auto"/>
              <w:left w:val="single" w:sz="4" w:space="0" w:color="auto"/>
              <w:bottom w:val="single" w:sz="4" w:space="0" w:color="auto"/>
              <w:right w:val="single" w:sz="4" w:space="0" w:color="auto"/>
            </w:tcBorders>
            <w:hideMark/>
          </w:tcPr>
          <w:p w14:paraId="24766264" w14:textId="77777777" w:rsidR="006A0B48" w:rsidRPr="00BA28E3" w:rsidRDefault="006A0B48" w:rsidP="001F335E">
            <w:pPr>
              <w:spacing w:before="40" w:after="120"/>
              <w:ind w:left="-112" w:right="-108"/>
              <w:jc w:val="center"/>
              <w:rPr>
                <w:lang w:val="de-DE" w:eastAsia="ar-SA"/>
              </w:rPr>
            </w:pPr>
            <w:r w:rsidRPr="00BA28E3">
              <w:rPr>
                <w:lang w:val="de-DE" w:eastAsia="ar-SA"/>
              </w:rPr>
              <w:t>IAPD &lt;</w:t>
            </w:r>
          </w:p>
          <w:p w14:paraId="6CA94B74" w14:textId="77777777" w:rsidR="006A0B48" w:rsidRPr="00BA28E3" w:rsidRDefault="006A0B48" w:rsidP="001F335E">
            <w:pPr>
              <w:spacing w:before="40" w:after="120"/>
              <w:ind w:left="-112" w:right="-108"/>
              <w:jc w:val="center"/>
              <w:rPr>
                <w:lang w:val="de-DE" w:eastAsia="ar-SA"/>
              </w:rPr>
            </w:pPr>
            <w:r w:rsidRPr="00BA28E3">
              <w:rPr>
                <w:lang w:val="de-DE" w:eastAsia="ar-SA"/>
              </w:rPr>
              <w:t>2154mm</w:t>
            </w:r>
          </w:p>
        </w:tc>
        <w:tc>
          <w:tcPr>
            <w:tcW w:w="1417" w:type="dxa"/>
            <w:tcBorders>
              <w:top w:val="single" w:sz="4" w:space="0" w:color="auto"/>
              <w:left w:val="single" w:sz="4" w:space="0" w:color="auto"/>
              <w:bottom w:val="single" w:sz="4" w:space="0" w:color="auto"/>
              <w:right w:val="single" w:sz="4" w:space="0" w:color="auto"/>
            </w:tcBorders>
            <w:hideMark/>
          </w:tcPr>
          <w:p w14:paraId="35C089AB" w14:textId="77777777" w:rsidR="006A0B48" w:rsidRPr="00BA28E3" w:rsidRDefault="006A0B48" w:rsidP="001F335E">
            <w:pPr>
              <w:spacing w:before="40" w:after="120"/>
              <w:ind w:left="-106" w:right="-107"/>
              <w:jc w:val="center"/>
              <w:rPr>
                <w:lang w:val="de-DE" w:eastAsia="ar-SA"/>
              </w:rPr>
            </w:pPr>
            <w:r w:rsidRPr="00BA28E3">
              <w:rPr>
                <w:lang w:val="de-DE" w:eastAsia="ar-SA"/>
              </w:rPr>
              <w:t xml:space="preserve">See </w:t>
            </w:r>
            <w:proofErr w:type="spellStart"/>
            <w:r w:rsidRPr="00BA28E3">
              <w:rPr>
                <w:lang w:val="de-DE" w:eastAsia="ar-SA"/>
              </w:rPr>
              <w:t>paragraph</w:t>
            </w:r>
            <w:proofErr w:type="spellEnd"/>
            <w:r w:rsidRPr="00BA28E3">
              <w:rPr>
                <w:lang w:val="de-DE" w:eastAsia="ar-SA"/>
              </w:rPr>
              <w:t xml:space="preserve"> 5.3</w:t>
            </w:r>
          </w:p>
        </w:tc>
        <w:tc>
          <w:tcPr>
            <w:tcW w:w="1422" w:type="dxa"/>
            <w:tcBorders>
              <w:top w:val="single" w:sz="4" w:space="0" w:color="auto"/>
              <w:left w:val="single" w:sz="4" w:space="0" w:color="auto"/>
              <w:bottom w:val="single" w:sz="4" w:space="0" w:color="auto"/>
              <w:right w:val="nil"/>
            </w:tcBorders>
            <w:hideMark/>
          </w:tcPr>
          <w:p w14:paraId="366E2795" w14:textId="77777777" w:rsidR="006A0B48" w:rsidRPr="00BA28E3" w:rsidRDefault="006A0B48" w:rsidP="001F335E">
            <w:pPr>
              <w:spacing w:before="40" w:after="120"/>
              <w:ind w:left="-107" w:right="-105"/>
              <w:jc w:val="center"/>
              <w:rPr>
                <w:lang w:val="de-DE" w:eastAsia="ar-SA"/>
              </w:rPr>
            </w:pPr>
            <w:r w:rsidRPr="00BA28E3">
              <w:rPr>
                <w:lang w:val="de-DE" w:eastAsia="ar-SA"/>
              </w:rPr>
              <w:t xml:space="preserve">See </w:t>
            </w:r>
            <w:proofErr w:type="spellStart"/>
            <w:r w:rsidRPr="00BA28E3">
              <w:rPr>
                <w:lang w:val="de-DE" w:eastAsia="ar-SA"/>
              </w:rPr>
              <w:t>paragraph</w:t>
            </w:r>
            <w:proofErr w:type="spellEnd"/>
            <w:r w:rsidRPr="00BA28E3">
              <w:rPr>
                <w:lang w:val="de-DE" w:eastAsia="ar-SA"/>
              </w:rPr>
              <w:t xml:space="preserve"> 5.3</w:t>
            </w:r>
          </w:p>
        </w:tc>
      </w:tr>
      <w:tr w:rsidR="006A0B48" w14:paraId="2A94EB78" w14:textId="77777777" w:rsidTr="001F335E">
        <w:trPr>
          <w:gridAfter w:val="1"/>
          <w:wAfter w:w="10" w:type="dxa"/>
        </w:trPr>
        <w:tc>
          <w:tcPr>
            <w:tcW w:w="3119" w:type="dxa"/>
            <w:gridSpan w:val="2"/>
            <w:tcBorders>
              <w:top w:val="single" w:sz="4" w:space="0" w:color="auto"/>
              <w:left w:val="nil"/>
              <w:bottom w:val="single" w:sz="4" w:space="0" w:color="auto"/>
              <w:right w:val="single" w:sz="4" w:space="0" w:color="auto"/>
            </w:tcBorders>
            <w:hideMark/>
          </w:tcPr>
          <w:p w14:paraId="58988C22" w14:textId="77777777" w:rsidR="006A0B48" w:rsidRDefault="006A0B48" w:rsidP="001F335E">
            <w:pPr>
              <w:spacing w:before="40" w:after="120"/>
              <w:ind w:right="567"/>
              <w:rPr>
                <w:lang w:val="de-DE" w:eastAsia="ar-SA"/>
              </w:rPr>
            </w:pPr>
            <w:r>
              <w:rPr>
                <w:lang w:val="de-DE" w:eastAsia="ar-SA"/>
              </w:rPr>
              <w:t xml:space="preserve">Offside Visible Volume </w:t>
            </w:r>
          </w:p>
        </w:tc>
        <w:tc>
          <w:tcPr>
            <w:tcW w:w="1417" w:type="dxa"/>
            <w:tcBorders>
              <w:top w:val="single" w:sz="4" w:space="0" w:color="auto"/>
              <w:left w:val="single" w:sz="4" w:space="0" w:color="auto"/>
              <w:bottom w:val="single" w:sz="4" w:space="0" w:color="auto"/>
              <w:right w:val="nil"/>
            </w:tcBorders>
            <w:hideMark/>
          </w:tcPr>
          <w:p w14:paraId="6F44E724" w14:textId="77777777" w:rsidR="006A0B48" w:rsidRDefault="006A0B48" w:rsidP="001F335E">
            <w:pPr>
              <w:spacing w:before="40" w:after="120"/>
              <w:ind w:left="-109" w:right="-104"/>
              <w:jc w:val="center"/>
              <w:rPr>
                <w:lang w:val="de-DE" w:eastAsia="ar-SA"/>
              </w:rPr>
            </w:pPr>
            <w:r>
              <w:rPr>
                <w:lang w:val="de-DE" w:eastAsia="ar-SA"/>
              </w:rPr>
              <w:t>2.8</w:t>
            </w:r>
          </w:p>
        </w:tc>
        <w:tc>
          <w:tcPr>
            <w:tcW w:w="1134" w:type="dxa"/>
            <w:tcBorders>
              <w:top w:val="single" w:sz="4" w:space="0" w:color="auto"/>
              <w:left w:val="single" w:sz="4" w:space="0" w:color="auto"/>
              <w:bottom w:val="nil"/>
              <w:right w:val="nil"/>
            </w:tcBorders>
          </w:tcPr>
          <w:p w14:paraId="41643468" w14:textId="77777777" w:rsidR="006A0B48" w:rsidRDefault="006A0B48" w:rsidP="001F335E">
            <w:pPr>
              <w:spacing w:before="40" w:after="120"/>
              <w:ind w:left="2" w:right="567"/>
              <w:jc w:val="center"/>
              <w:rPr>
                <w:lang w:val="de-DE" w:eastAsia="ar-SA"/>
              </w:rPr>
            </w:pPr>
          </w:p>
        </w:tc>
        <w:tc>
          <w:tcPr>
            <w:tcW w:w="1417" w:type="dxa"/>
            <w:tcBorders>
              <w:top w:val="single" w:sz="4" w:space="0" w:color="auto"/>
              <w:left w:val="single" w:sz="4" w:space="0" w:color="auto"/>
              <w:bottom w:val="single" w:sz="4" w:space="0" w:color="auto"/>
              <w:right w:val="single" w:sz="4" w:space="0" w:color="auto"/>
            </w:tcBorders>
            <w:hideMark/>
          </w:tcPr>
          <w:p w14:paraId="3C3B5C03" w14:textId="77777777" w:rsidR="006A0B48" w:rsidRDefault="006A0B48" w:rsidP="001F335E">
            <w:pPr>
              <w:spacing w:before="40" w:after="120"/>
              <w:ind w:left="-105" w:right="-109"/>
              <w:jc w:val="center"/>
              <w:rPr>
                <w:lang w:val="de-DE" w:eastAsia="ar-SA"/>
              </w:rPr>
            </w:pPr>
            <w:r>
              <w:rPr>
                <w:lang w:val="de-DE" w:eastAsia="ar-SA"/>
              </w:rPr>
              <w:t xml:space="preserve">Not </w:t>
            </w:r>
            <w:proofErr w:type="spellStart"/>
            <w:r>
              <w:rPr>
                <w:lang w:val="de-DE" w:eastAsia="ar-SA"/>
              </w:rPr>
              <w:t>Specified</w:t>
            </w:r>
            <w:proofErr w:type="spellEnd"/>
          </w:p>
        </w:tc>
        <w:tc>
          <w:tcPr>
            <w:tcW w:w="1422" w:type="dxa"/>
            <w:tcBorders>
              <w:top w:val="single" w:sz="4" w:space="0" w:color="auto"/>
              <w:left w:val="single" w:sz="4" w:space="0" w:color="auto"/>
              <w:bottom w:val="single" w:sz="4" w:space="0" w:color="auto"/>
              <w:right w:val="nil"/>
            </w:tcBorders>
            <w:hideMark/>
          </w:tcPr>
          <w:p w14:paraId="4C45BDF3" w14:textId="77777777" w:rsidR="006A0B48" w:rsidRDefault="006A0B48" w:rsidP="001F335E">
            <w:pPr>
              <w:spacing w:before="40" w:after="120"/>
              <w:ind w:left="-105" w:right="-107"/>
              <w:jc w:val="center"/>
              <w:rPr>
                <w:lang w:val="de-DE" w:eastAsia="ar-SA"/>
              </w:rPr>
            </w:pPr>
            <w:r>
              <w:rPr>
                <w:lang w:val="de-DE" w:eastAsia="ar-SA"/>
              </w:rPr>
              <w:t xml:space="preserve">Not </w:t>
            </w:r>
            <w:proofErr w:type="spellStart"/>
            <w:r>
              <w:rPr>
                <w:lang w:val="de-DE" w:eastAsia="ar-SA"/>
              </w:rPr>
              <w:t>Specified</w:t>
            </w:r>
            <w:proofErr w:type="spellEnd"/>
          </w:p>
        </w:tc>
      </w:tr>
      <w:tr w:rsidR="006A0B48" w14:paraId="59D40CC7" w14:textId="77777777" w:rsidTr="001F335E">
        <w:trPr>
          <w:gridAfter w:val="1"/>
          <w:wAfter w:w="10" w:type="dxa"/>
        </w:trPr>
        <w:tc>
          <w:tcPr>
            <w:tcW w:w="3119" w:type="dxa"/>
            <w:gridSpan w:val="2"/>
            <w:tcBorders>
              <w:top w:val="single" w:sz="4" w:space="0" w:color="auto"/>
              <w:left w:val="nil"/>
              <w:bottom w:val="single" w:sz="12" w:space="0" w:color="auto"/>
              <w:right w:val="single" w:sz="4" w:space="0" w:color="auto"/>
            </w:tcBorders>
            <w:hideMark/>
          </w:tcPr>
          <w:p w14:paraId="2E1A2C6B" w14:textId="77777777" w:rsidR="006A0B48" w:rsidRDefault="006A0B48" w:rsidP="001F335E">
            <w:pPr>
              <w:spacing w:before="40" w:after="120"/>
              <w:ind w:right="567"/>
              <w:rPr>
                <w:lang w:val="de-DE" w:eastAsia="ar-SA"/>
              </w:rPr>
            </w:pPr>
            <w:r>
              <w:rPr>
                <w:lang w:val="de-DE" w:eastAsia="ar-SA"/>
              </w:rPr>
              <w:t>Total Visible Volume</w:t>
            </w:r>
          </w:p>
        </w:tc>
        <w:tc>
          <w:tcPr>
            <w:tcW w:w="1417" w:type="dxa"/>
            <w:tcBorders>
              <w:top w:val="single" w:sz="4" w:space="0" w:color="auto"/>
              <w:left w:val="single" w:sz="4" w:space="0" w:color="auto"/>
              <w:bottom w:val="single" w:sz="12" w:space="0" w:color="auto"/>
              <w:right w:val="nil"/>
            </w:tcBorders>
            <w:hideMark/>
          </w:tcPr>
          <w:p w14:paraId="3D26C5D6" w14:textId="77777777" w:rsidR="006A0B48" w:rsidRDefault="006A0B48" w:rsidP="001F335E">
            <w:pPr>
              <w:spacing w:before="40" w:after="120"/>
              <w:ind w:left="-109" w:right="-104"/>
              <w:jc w:val="center"/>
              <w:rPr>
                <w:lang w:val="de-DE" w:eastAsia="ar-SA"/>
              </w:rPr>
            </w:pPr>
            <w:r>
              <w:rPr>
                <w:lang w:val="de-DE" w:eastAsia="ar-SA"/>
              </w:rPr>
              <w:t>11.2</w:t>
            </w:r>
          </w:p>
        </w:tc>
        <w:tc>
          <w:tcPr>
            <w:tcW w:w="1134" w:type="dxa"/>
            <w:tcBorders>
              <w:top w:val="nil"/>
              <w:left w:val="single" w:sz="4" w:space="0" w:color="auto"/>
              <w:bottom w:val="single" w:sz="12" w:space="0" w:color="auto"/>
              <w:right w:val="nil"/>
            </w:tcBorders>
          </w:tcPr>
          <w:p w14:paraId="138068BA" w14:textId="77777777" w:rsidR="006A0B48" w:rsidRDefault="006A0B48" w:rsidP="001F335E">
            <w:pPr>
              <w:spacing w:before="40" w:after="120"/>
              <w:ind w:right="567"/>
              <w:jc w:val="center"/>
              <w:rPr>
                <w:lang w:val="de-DE" w:eastAsia="ar-SA"/>
              </w:rPr>
            </w:pPr>
          </w:p>
        </w:tc>
        <w:tc>
          <w:tcPr>
            <w:tcW w:w="1417" w:type="dxa"/>
            <w:tcBorders>
              <w:top w:val="single" w:sz="4" w:space="0" w:color="auto"/>
              <w:left w:val="single" w:sz="4" w:space="0" w:color="auto"/>
              <w:bottom w:val="single" w:sz="12" w:space="0" w:color="auto"/>
              <w:right w:val="single" w:sz="4" w:space="0" w:color="auto"/>
            </w:tcBorders>
            <w:hideMark/>
          </w:tcPr>
          <w:p w14:paraId="403E7413" w14:textId="77777777" w:rsidR="006A0B48" w:rsidRDefault="006A0B48" w:rsidP="001F335E">
            <w:pPr>
              <w:spacing w:before="40" w:after="120"/>
              <w:ind w:left="-105" w:right="-109"/>
              <w:jc w:val="center"/>
              <w:rPr>
                <w:lang w:val="de-DE" w:eastAsia="ar-SA"/>
              </w:rPr>
            </w:pPr>
            <w:r>
              <w:rPr>
                <w:lang w:val="de-DE" w:eastAsia="ar-SA"/>
              </w:rPr>
              <w:t>8.0</w:t>
            </w:r>
          </w:p>
        </w:tc>
        <w:tc>
          <w:tcPr>
            <w:tcW w:w="1422" w:type="dxa"/>
            <w:tcBorders>
              <w:top w:val="single" w:sz="4" w:space="0" w:color="auto"/>
              <w:left w:val="single" w:sz="4" w:space="0" w:color="auto"/>
              <w:bottom w:val="single" w:sz="12" w:space="0" w:color="auto"/>
              <w:right w:val="nil"/>
            </w:tcBorders>
            <w:hideMark/>
          </w:tcPr>
          <w:p w14:paraId="36F7C1D6" w14:textId="77777777" w:rsidR="006A0B48" w:rsidRDefault="006A0B48" w:rsidP="001F335E">
            <w:pPr>
              <w:spacing w:before="40" w:after="120"/>
              <w:ind w:left="-105" w:right="-107"/>
              <w:jc w:val="center"/>
              <w:rPr>
                <w:lang w:val="de-DE" w:eastAsia="ar-SA"/>
              </w:rPr>
            </w:pPr>
            <w:r>
              <w:rPr>
                <w:lang w:val="de-DE" w:eastAsia="ar-SA"/>
              </w:rPr>
              <w:t>7.0</w:t>
            </w:r>
          </w:p>
        </w:tc>
      </w:tr>
    </w:tbl>
    <w:p w14:paraId="36FB068F" w14:textId="77777777" w:rsidR="006A0B48" w:rsidRDefault="006A0B48" w:rsidP="006A0B48">
      <w:pPr>
        <w:ind w:right="567" w:firstLine="567"/>
        <w:rPr>
          <w:i/>
          <w:iCs/>
          <w:lang w:eastAsia="en-US"/>
        </w:rPr>
      </w:pPr>
      <w:r>
        <w:rPr>
          <w:i/>
          <w:iCs/>
        </w:rPr>
        <w:t>"</w:t>
      </w:r>
    </w:p>
    <w:p w14:paraId="573774BD" w14:textId="77777777" w:rsidR="006A0B48" w:rsidRDefault="006A0B48" w:rsidP="006A0B48">
      <w:pPr>
        <w:spacing w:before="120" w:after="120"/>
        <w:ind w:left="567" w:right="1138" w:firstLine="567"/>
      </w:pPr>
      <w:r>
        <w:rPr>
          <w:i/>
        </w:rPr>
        <w:t>Paragraphs 5.3. to 5.3.3.</w:t>
      </w:r>
      <w:r>
        <w:t>, amend to read:</w:t>
      </w:r>
    </w:p>
    <w:p w14:paraId="058659DE" w14:textId="77777777" w:rsidR="006A0B48" w:rsidRPr="000C5195" w:rsidRDefault="006A0B48" w:rsidP="006A0B48">
      <w:pPr>
        <w:spacing w:after="120"/>
        <w:ind w:left="2259" w:right="1134" w:hanging="1125"/>
        <w:jc w:val="both"/>
        <w:rPr>
          <w:strike/>
        </w:rPr>
      </w:pPr>
      <w:bookmarkStart w:id="1" w:name="_Hlk138150038"/>
      <w:r>
        <w:t>"5.3.</w:t>
      </w:r>
      <w:bookmarkEnd w:id="1"/>
      <w:r w:rsidRPr="000C5195">
        <w:tab/>
        <w:t>Where the inter</w:t>
      </w:r>
      <w:r w:rsidRPr="001B4A67">
        <w:rPr>
          <w:strike/>
        </w:rPr>
        <w:t>-</w:t>
      </w:r>
      <w:r w:rsidRPr="001B4A67">
        <w:t xml:space="preserve"> A-</w:t>
      </w:r>
      <w:r w:rsidRPr="000C5195">
        <w:t>pillar distance is less than IAPD as defined in Table 1, the limit value for the Front Visible Volume (V, measured in mm</w:t>
      </w:r>
      <w:r w:rsidRPr="000C5195">
        <w:rPr>
          <w:vertAlign w:val="superscript"/>
        </w:rPr>
        <w:t>3</w:t>
      </w:r>
      <w:r w:rsidRPr="000C5195">
        <w:t>) shall be determined for the applicable level by the formulae as defined in paragraphs 5.3.1 to 5.3.3 below.</w:t>
      </w:r>
    </w:p>
    <w:p w14:paraId="0E326002" w14:textId="77777777" w:rsidR="006A0B48" w:rsidRPr="001B4A67" w:rsidRDefault="006A0B48" w:rsidP="006A0B48">
      <w:pPr>
        <w:spacing w:after="120"/>
        <w:ind w:left="2259" w:right="1134" w:hanging="1125"/>
        <w:jc w:val="both"/>
      </w:pPr>
      <w:r w:rsidRPr="001B4A67">
        <w:t>5.3.1.</w:t>
      </w:r>
      <w:r w:rsidRPr="001B4A67">
        <w:tab/>
        <w:t xml:space="preserve">Level 1: </w:t>
      </w:r>
      <w:r>
        <w:t xml:space="preserve">  </w:t>
      </w:r>
    </w:p>
    <w:p w14:paraId="3D99F5B5" w14:textId="77777777" w:rsidR="006A0B48" w:rsidRPr="001B4A67" w:rsidRDefault="006A0B48" w:rsidP="006A0B48">
      <w:pPr>
        <w:spacing w:after="120"/>
        <w:ind w:left="2259" w:right="1134"/>
        <w:jc w:val="both"/>
      </w:pPr>
      <w:r w:rsidRPr="001B4A67">
        <w:t>V= 392.13379*IAPD</w:t>
      </w:r>
      <w:r w:rsidRPr="001B4A67">
        <w:rPr>
          <w:vertAlign w:val="superscript"/>
        </w:rPr>
        <w:t>2</w:t>
      </w:r>
      <w:r w:rsidRPr="001B4A67">
        <w:t xml:space="preserve"> – 275907.57455*IAPD + 573475207.82932</w:t>
      </w:r>
    </w:p>
    <w:p w14:paraId="5673F772" w14:textId="77777777" w:rsidR="006A0B48" w:rsidRPr="001B4A67" w:rsidRDefault="006A0B48" w:rsidP="006A0B48">
      <w:pPr>
        <w:spacing w:after="120"/>
        <w:ind w:left="2259" w:right="1134" w:hanging="1125"/>
        <w:jc w:val="both"/>
      </w:pPr>
      <w:r w:rsidRPr="001B4A67">
        <w:t>5.3.2.</w:t>
      </w:r>
      <w:r w:rsidRPr="001B4A67">
        <w:tab/>
        <w:t>Level 2:</w:t>
      </w:r>
      <w:bookmarkStart w:id="2" w:name="_Hlk89848629"/>
      <w:r w:rsidRPr="001B4A67">
        <w:t xml:space="preserve"> </w:t>
      </w:r>
    </w:p>
    <w:bookmarkEnd w:id="2"/>
    <w:p w14:paraId="39E8B053" w14:textId="77777777" w:rsidR="006A0B48" w:rsidRPr="001B4A67" w:rsidRDefault="006A0B48" w:rsidP="006A0B48">
      <w:pPr>
        <w:spacing w:after="120"/>
        <w:ind w:left="2259" w:right="1134"/>
        <w:jc w:val="both"/>
      </w:pPr>
      <w:r w:rsidRPr="001B4A67">
        <w:t>V= 329.82551*IAPD</w:t>
      </w:r>
      <w:r w:rsidRPr="001B4A67">
        <w:rPr>
          <w:vertAlign w:val="superscript"/>
        </w:rPr>
        <w:t>2</w:t>
      </w:r>
      <w:r w:rsidRPr="001B4A67">
        <w:t xml:space="preserve"> – 480212.23549* IAPD + 504819967.89481</w:t>
      </w:r>
    </w:p>
    <w:p w14:paraId="2EC126D0" w14:textId="77777777" w:rsidR="006A0B48" w:rsidRPr="001B4A67" w:rsidRDefault="006A0B48" w:rsidP="006A0B48">
      <w:pPr>
        <w:spacing w:after="120"/>
        <w:ind w:left="2259" w:right="1134" w:hanging="1125"/>
        <w:jc w:val="both"/>
      </w:pPr>
      <w:r w:rsidRPr="001B4A67">
        <w:t>5.3.3.</w:t>
      </w:r>
      <w:r w:rsidRPr="001B4A67">
        <w:tab/>
        <w:t xml:space="preserve">Level 3: </w:t>
      </w:r>
    </w:p>
    <w:p w14:paraId="42FAB80E" w14:textId="77777777" w:rsidR="006A0B48" w:rsidRPr="001B4A67" w:rsidRDefault="006A0B48" w:rsidP="006A0B48">
      <w:pPr>
        <w:spacing w:after="120"/>
        <w:ind w:left="2259" w:right="1134"/>
        <w:jc w:val="both"/>
      </w:pPr>
      <w:r w:rsidRPr="001B4A67">
        <w:t>V= 329.82551*IAPD</w:t>
      </w:r>
      <w:r w:rsidRPr="001B4A67">
        <w:rPr>
          <w:vertAlign w:val="superscript"/>
        </w:rPr>
        <w:t>2</w:t>
      </w:r>
      <w:r w:rsidRPr="001B4A67">
        <w:t xml:space="preserve"> – 480212.23549* IAPD + 504819967.89481"</w:t>
      </w:r>
    </w:p>
    <w:p w14:paraId="2773B74C" w14:textId="77777777" w:rsidR="006A0B48" w:rsidRDefault="006A0B48" w:rsidP="006A0B48">
      <w:pPr>
        <w:spacing w:before="120" w:after="120"/>
        <w:ind w:left="1134" w:right="1134"/>
        <w:jc w:val="both"/>
      </w:pPr>
      <w:r>
        <w:rPr>
          <w:i/>
          <w:iCs/>
        </w:rPr>
        <w:lastRenderedPageBreak/>
        <w:t xml:space="preserve">Annex 5, Paragraph 2.1.2., </w:t>
      </w:r>
      <w:r>
        <w:t>amend to read:</w:t>
      </w:r>
    </w:p>
    <w:p w14:paraId="1D4B99A8" w14:textId="77777777" w:rsidR="006A0B48" w:rsidRPr="00911F64" w:rsidRDefault="006A0B48" w:rsidP="006A0B48">
      <w:pPr>
        <w:spacing w:after="120"/>
        <w:ind w:left="2268" w:right="1134" w:hanging="1134"/>
        <w:jc w:val="both"/>
      </w:pPr>
      <w:r>
        <w:t>"2.1.2.</w:t>
      </w:r>
      <w:r>
        <w:tab/>
      </w:r>
      <w:r w:rsidRPr="00911F64">
        <w:t>Vehicles of category M</w:t>
      </w:r>
      <w:r w:rsidRPr="00911F64">
        <w:rPr>
          <w:vertAlign w:val="subscript"/>
        </w:rPr>
        <w:t>2</w:t>
      </w:r>
      <w:r w:rsidRPr="00911F64">
        <w:t xml:space="preserve"> and N</w:t>
      </w:r>
      <w:r w:rsidRPr="00911F64">
        <w:rPr>
          <w:vertAlign w:val="subscript"/>
        </w:rPr>
        <w:t>2</w:t>
      </w:r>
      <w:r w:rsidRPr="00911F64">
        <w:t>, derived from M</w:t>
      </w:r>
      <w:r w:rsidRPr="00911F64">
        <w:rPr>
          <w:vertAlign w:val="subscript"/>
        </w:rPr>
        <w:t>1</w:t>
      </w:r>
      <w:r w:rsidRPr="00911F64">
        <w:t xml:space="preserve"> or N</w:t>
      </w:r>
      <w:r w:rsidRPr="00911F64">
        <w:rPr>
          <w:vertAlign w:val="subscript"/>
        </w:rPr>
        <w:t>1</w:t>
      </w:r>
      <w:r w:rsidRPr="00911F64">
        <w:t xml:space="preserve"> approved to UN Regulation No. 125, shall be considered compliant with the requirements of this Regulation."</w:t>
      </w:r>
    </w:p>
    <w:p w14:paraId="44CDD5AB" w14:textId="10E6CC77" w:rsidR="001C6663" w:rsidRPr="00DD6218" w:rsidRDefault="00DD6218" w:rsidP="00DD6218">
      <w:pPr>
        <w:spacing w:before="240"/>
        <w:jc w:val="center"/>
        <w:rPr>
          <w:u w:val="single"/>
        </w:rPr>
      </w:pPr>
      <w:r>
        <w:rPr>
          <w:u w:val="single"/>
        </w:rPr>
        <w:tab/>
      </w:r>
      <w:r>
        <w:rPr>
          <w:u w:val="single"/>
        </w:rPr>
        <w:tab/>
      </w:r>
      <w:r>
        <w:rPr>
          <w:u w:val="single"/>
        </w:rPr>
        <w:tab/>
      </w:r>
    </w:p>
    <w:sectPr w:rsidR="001C6663" w:rsidRPr="00DD6218" w:rsidSect="0048120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93E4" w14:textId="77777777" w:rsidR="001F5721" w:rsidRDefault="001F5721"/>
  </w:endnote>
  <w:endnote w:type="continuationSeparator" w:id="0">
    <w:p w14:paraId="35297F68" w14:textId="77777777" w:rsidR="001F5721" w:rsidRDefault="001F5721"/>
  </w:endnote>
  <w:endnote w:type="continuationNotice" w:id="1">
    <w:p w14:paraId="4F058707" w14:textId="77777777" w:rsidR="001F5721" w:rsidRDefault="001F5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FF9D" w14:textId="3A7D3D87" w:rsidR="00481202" w:rsidRPr="00481202" w:rsidRDefault="00481202" w:rsidP="00481202">
    <w:pPr>
      <w:pStyle w:val="Footer"/>
      <w:tabs>
        <w:tab w:val="right" w:pos="9638"/>
      </w:tabs>
      <w:rPr>
        <w:sz w:val="18"/>
      </w:rPr>
    </w:pPr>
    <w:r w:rsidRPr="00481202">
      <w:rPr>
        <w:b/>
        <w:sz w:val="18"/>
      </w:rPr>
      <w:fldChar w:fldCharType="begin"/>
    </w:r>
    <w:r w:rsidRPr="00481202">
      <w:rPr>
        <w:b/>
        <w:sz w:val="18"/>
      </w:rPr>
      <w:instrText xml:space="preserve"> PAGE  \* MERGEFORMAT </w:instrText>
    </w:r>
    <w:r w:rsidRPr="00481202">
      <w:rPr>
        <w:b/>
        <w:sz w:val="18"/>
      </w:rPr>
      <w:fldChar w:fldCharType="separate"/>
    </w:r>
    <w:r w:rsidRPr="00481202">
      <w:rPr>
        <w:b/>
        <w:noProof/>
        <w:sz w:val="18"/>
      </w:rPr>
      <w:t>2</w:t>
    </w:r>
    <w:r w:rsidRPr="004812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FFEB" w14:textId="2751B8CF" w:rsidR="00481202" w:rsidRPr="00481202" w:rsidRDefault="00481202" w:rsidP="00481202">
    <w:pPr>
      <w:pStyle w:val="Footer"/>
      <w:tabs>
        <w:tab w:val="right" w:pos="9638"/>
      </w:tabs>
      <w:rPr>
        <w:b/>
        <w:sz w:val="18"/>
      </w:rPr>
    </w:pPr>
    <w:r>
      <w:tab/>
    </w:r>
    <w:r w:rsidRPr="00481202">
      <w:rPr>
        <w:b/>
        <w:sz w:val="18"/>
      </w:rPr>
      <w:fldChar w:fldCharType="begin"/>
    </w:r>
    <w:r w:rsidRPr="00481202">
      <w:rPr>
        <w:b/>
        <w:sz w:val="18"/>
      </w:rPr>
      <w:instrText xml:space="preserve"> PAGE  \* MERGEFORMAT </w:instrText>
    </w:r>
    <w:r w:rsidRPr="00481202">
      <w:rPr>
        <w:b/>
        <w:sz w:val="18"/>
      </w:rPr>
      <w:fldChar w:fldCharType="separate"/>
    </w:r>
    <w:r w:rsidRPr="00481202">
      <w:rPr>
        <w:b/>
        <w:noProof/>
        <w:sz w:val="18"/>
      </w:rPr>
      <w:t>3</w:t>
    </w:r>
    <w:r w:rsidRPr="004812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A8E9" w14:textId="303C833D" w:rsidR="00544CB9" w:rsidRDefault="00544CB9" w:rsidP="00544CB9">
    <w:pPr>
      <w:pStyle w:val="Footer"/>
    </w:pPr>
    <w:r w:rsidRPr="0027112F">
      <w:rPr>
        <w:noProof/>
        <w:lang w:val="en-US"/>
      </w:rPr>
      <w:drawing>
        <wp:anchor distT="0" distB="0" distL="114300" distR="114300" simplePos="0" relativeHeight="251659264" behindDoc="0" locked="1" layoutInCell="1" allowOverlap="1" wp14:anchorId="4AA4D5E4" wp14:editId="30AE77F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838C76" w14:textId="4C0038E7" w:rsidR="00544CB9" w:rsidRPr="00544CB9" w:rsidRDefault="00544CB9" w:rsidP="00544CB9">
    <w:pPr>
      <w:pStyle w:val="Footer"/>
      <w:ind w:right="1134"/>
      <w:rPr>
        <w:sz w:val="20"/>
      </w:rPr>
    </w:pPr>
    <w:r>
      <w:rPr>
        <w:sz w:val="20"/>
      </w:rPr>
      <w:t>GE.23-25753(E)</w:t>
    </w:r>
    <w:r>
      <w:rPr>
        <w:noProof/>
        <w:sz w:val="20"/>
      </w:rPr>
      <w:drawing>
        <wp:anchor distT="0" distB="0" distL="114300" distR="114300" simplePos="0" relativeHeight="251660288" behindDoc="0" locked="0" layoutInCell="1" allowOverlap="1" wp14:anchorId="6911BDBB" wp14:editId="05816C3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390B" w14:textId="77777777" w:rsidR="001F5721" w:rsidRPr="000B175B" w:rsidRDefault="001F5721" w:rsidP="000B175B">
      <w:pPr>
        <w:tabs>
          <w:tab w:val="right" w:pos="2155"/>
        </w:tabs>
        <w:spacing w:after="80"/>
        <w:ind w:left="680"/>
        <w:rPr>
          <w:u w:val="single"/>
        </w:rPr>
      </w:pPr>
      <w:r>
        <w:rPr>
          <w:u w:val="single"/>
        </w:rPr>
        <w:tab/>
      </w:r>
    </w:p>
  </w:footnote>
  <w:footnote w:type="continuationSeparator" w:id="0">
    <w:p w14:paraId="6F3445DC" w14:textId="77777777" w:rsidR="001F5721" w:rsidRPr="00FC68B7" w:rsidRDefault="001F5721" w:rsidP="00FC68B7">
      <w:pPr>
        <w:tabs>
          <w:tab w:val="left" w:pos="2155"/>
        </w:tabs>
        <w:spacing w:after="80"/>
        <w:ind w:left="680"/>
        <w:rPr>
          <w:u w:val="single"/>
        </w:rPr>
      </w:pPr>
      <w:r>
        <w:rPr>
          <w:u w:val="single"/>
        </w:rPr>
        <w:tab/>
      </w:r>
    </w:p>
  </w:footnote>
  <w:footnote w:type="continuationNotice" w:id="1">
    <w:p w14:paraId="2DD5364A" w14:textId="77777777" w:rsidR="001F5721" w:rsidRDefault="001F5721"/>
  </w:footnote>
  <w:footnote w:id="2">
    <w:p w14:paraId="78527A99" w14:textId="77777777" w:rsidR="006A0B48" w:rsidRPr="00EA370C" w:rsidRDefault="006A0B48" w:rsidP="006A0B48">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0F4E" w14:textId="72C38980" w:rsidR="00481202" w:rsidRPr="00481202" w:rsidRDefault="0059495F">
    <w:pPr>
      <w:pStyle w:val="Header"/>
    </w:pPr>
    <w:fldSimple w:instr=" TITLE  \* MERGEFORMAT ">
      <w:r w:rsidR="007B3AF3">
        <w:t>ECE/TRANS/WP.29/2024/13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45A0" w14:textId="6B8BCFCF" w:rsidR="00481202" w:rsidRPr="00481202" w:rsidRDefault="0059495F" w:rsidP="00481202">
    <w:pPr>
      <w:pStyle w:val="Header"/>
      <w:jc w:val="right"/>
    </w:pPr>
    <w:fldSimple w:instr=" TITLE  \* MERGEFORMAT ">
      <w:r w:rsidR="007B3AF3">
        <w:t>ECE/TRANS/WP.29/2024/13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93163D"/>
    <w:multiLevelType w:val="hybridMultilevel"/>
    <w:tmpl w:val="C90A0426"/>
    <w:lvl w:ilvl="0" w:tplc="EEFAA336">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start w:val="1"/>
      <w:numFmt w:val="lowerLetter"/>
      <w:lvlText w:val="%5."/>
      <w:lvlJc w:val="left"/>
      <w:pPr>
        <w:ind w:left="5868" w:hanging="360"/>
      </w:pPr>
    </w:lvl>
    <w:lvl w:ilvl="5" w:tplc="0809001B">
      <w:start w:val="1"/>
      <w:numFmt w:val="lowerRoman"/>
      <w:lvlText w:val="%6."/>
      <w:lvlJc w:val="right"/>
      <w:pPr>
        <w:ind w:left="6588" w:hanging="180"/>
      </w:pPr>
    </w:lvl>
    <w:lvl w:ilvl="6" w:tplc="0809000F">
      <w:start w:val="1"/>
      <w:numFmt w:val="decimal"/>
      <w:lvlText w:val="%7."/>
      <w:lvlJc w:val="left"/>
      <w:pPr>
        <w:ind w:left="7308" w:hanging="360"/>
      </w:pPr>
    </w:lvl>
    <w:lvl w:ilvl="7" w:tplc="08090019">
      <w:start w:val="1"/>
      <w:numFmt w:val="lowerLetter"/>
      <w:lvlText w:val="%8."/>
      <w:lvlJc w:val="left"/>
      <w:pPr>
        <w:ind w:left="8028" w:hanging="360"/>
      </w:pPr>
    </w:lvl>
    <w:lvl w:ilvl="8" w:tplc="0809001B">
      <w:start w:val="1"/>
      <w:numFmt w:val="lowerRoman"/>
      <w:lvlText w:val="%9."/>
      <w:lvlJc w:val="right"/>
      <w:pPr>
        <w:ind w:left="8748"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3945952">
    <w:abstractNumId w:val="1"/>
  </w:num>
  <w:num w:numId="2" w16cid:durableId="298610537">
    <w:abstractNumId w:val="0"/>
  </w:num>
  <w:num w:numId="3" w16cid:durableId="1385107724">
    <w:abstractNumId w:val="2"/>
  </w:num>
  <w:num w:numId="4" w16cid:durableId="533006270">
    <w:abstractNumId w:val="3"/>
  </w:num>
  <w:num w:numId="5" w16cid:durableId="2041085704">
    <w:abstractNumId w:val="8"/>
  </w:num>
  <w:num w:numId="6" w16cid:durableId="938442333">
    <w:abstractNumId w:val="9"/>
  </w:num>
  <w:num w:numId="7" w16cid:durableId="873036658">
    <w:abstractNumId w:val="7"/>
  </w:num>
  <w:num w:numId="8" w16cid:durableId="1259286813">
    <w:abstractNumId w:val="6"/>
  </w:num>
  <w:num w:numId="9" w16cid:durableId="893321572">
    <w:abstractNumId w:val="5"/>
  </w:num>
  <w:num w:numId="10" w16cid:durableId="72550398">
    <w:abstractNumId w:val="4"/>
  </w:num>
  <w:num w:numId="11" w16cid:durableId="1444421957">
    <w:abstractNumId w:val="15"/>
  </w:num>
  <w:num w:numId="12" w16cid:durableId="1398941077">
    <w:abstractNumId w:val="14"/>
  </w:num>
  <w:num w:numId="13" w16cid:durableId="1997495862">
    <w:abstractNumId w:val="10"/>
  </w:num>
  <w:num w:numId="14" w16cid:durableId="1499687344">
    <w:abstractNumId w:val="12"/>
  </w:num>
  <w:num w:numId="15" w16cid:durableId="338116745">
    <w:abstractNumId w:val="16"/>
  </w:num>
  <w:num w:numId="16" w16cid:durableId="1318419076">
    <w:abstractNumId w:val="13"/>
  </w:num>
  <w:num w:numId="17" w16cid:durableId="1295864632">
    <w:abstractNumId w:val="18"/>
  </w:num>
  <w:num w:numId="18" w16cid:durableId="597494124">
    <w:abstractNumId w:val="19"/>
  </w:num>
  <w:num w:numId="19" w16cid:durableId="827673775">
    <w:abstractNumId w:val="11"/>
  </w:num>
  <w:num w:numId="20" w16cid:durableId="650255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02"/>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22174"/>
    <w:rsid w:val="00156B99"/>
    <w:rsid w:val="00166124"/>
    <w:rsid w:val="00184DDA"/>
    <w:rsid w:val="001900CD"/>
    <w:rsid w:val="001A0452"/>
    <w:rsid w:val="001B4B04"/>
    <w:rsid w:val="001B5875"/>
    <w:rsid w:val="001C4B9C"/>
    <w:rsid w:val="001C6663"/>
    <w:rsid w:val="001C7895"/>
    <w:rsid w:val="001D26DF"/>
    <w:rsid w:val="001F0EEF"/>
    <w:rsid w:val="001F1599"/>
    <w:rsid w:val="001F19C4"/>
    <w:rsid w:val="001F5721"/>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1AF3"/>
    <w:rsid w:val="003C2CC4"/>
    <w:rsid w:val="003D4B23"/>
    <w:rsid w:val="003E278A"/>
    <w:rsid w:val="00413520"/>
    <w:rsid w:val="004325CB"/>
    <w:rsid w:val="00440A07"/>
    <w:rsid w:val="00462880"/>
    <w:rsid w:val="00476F24"/>
    <w:rsid w:val="00481202"/>
    <w:rsid w:val="004A5D33"/>
    <w:rsid w:val="004C55B0"/>
    <w:rsid w:val="004F6BA0"/>
    <w:rsid w:val="00503BEA"/>
    <w:rsid w:val="00533616"/>
    <w:rsid w:val="00535ABA"/>
    <w:rsid w:val="0053768B"/>
    <w:rsid w:val="005420F2"/>
    <w:rsid w:val="0054285C"/>
    <w:rsid w:val="00544CB9"/>
    <w:rsid w:val="00584173"/>
    <w:rsid w:val="0059495F"/>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0B48"/>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3AF3"/>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47EAE"/>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D6218"/>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2831"/>
    <w:rsid w:val="00F04E44"/>
    <w:rsid w:val="00F21786"/>
    <w:rsid w:val="00F25D06"/>
    <w:rsid w:val="00F31CFF"/>
    <w:rsid w:val="00F3742B"/>
    <w:rsid w:val="00F41FDB"/>
    <w:rsid w:val="00F50597"/>
    <w:rsid w:val="00F56D63"/>
    <w:rsid w:val="00F609A9"/>
    <w:rsid w:val="00F80C99"/>
    <w:rsid w:val="00F85D27"/>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88268"/>
  <w15:docId w15:val="{9C639B8A-0D07-4EF7-B176-6CB699B7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locked/>
    <w:rsid w:val="006A0B48"/>
    <w:rPr>
      <w:lang w:val="en-GB"/>
    </w:rPr>
  </w:style>
  <w:style w:type="character" w:customStyle="1" w:styleId="HChGChar">
    <w:name w:val="_ H _Ch_G Char"/>
    <w:link w:val="HChG"/>
    <w:locked/>
    <w:rsid w:val="006A0B48"/>
    <w:rPr>
      <w:b/>
      <w:sz w:val="28"/>
      <w:lang w:val="en-GB"/>
    </w:rPr>
  </w:style>
  <w:style w:type="character" w:customStyle="1" w:styleId="H1GChar">
    <w:name w:val="_ H_1_G Char"/>
    <w:link w:val="H1G"/>
    <w:locked/>
    <w:rsid w:val="006A0B48"/>
    <w:rPr>
      <w:b/>
      <w:sz w:val="24"/>
      <w:lang w:val="en-GB"/>
    </w:rPr>
  </w:style>
  <w:style w:type="paragraph" w:styleId="Revision">
    <w:name w:val="Revision"/>
    <w:hidden/>
    <w:uiPriority w:val="99"/>
    <w:semiHidden/>
    <w:rsid w:val="00F85D2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F42808DE-8220-4B4B-A2FF-1AF986011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3</Pages>
  <Words>509</Words>
  <Characters>2755</Characters>
  <Application>Microsoft Office Word</Application>
  <DocSecurity>0</DocSecurity>
  <Lines>110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ECE/TRANS/WP.29/2024/13</dc:title>
  <dc:subject>2325753</dc:subject>
  <dc:creator>Secretariat</dc:creator>
  <cp:keywords/>
  <dc:description/>
  <cp:lastModifiedBy>Pauline Anne Escalante</cp:lastModifiedBy>
  <cp:revision>2</cp:revision>
  <cp:lastPrinted>2023-12-21T23:56:00Z</cp:lastPrinted>
  <dcterms:created xsi:type="dcterms:W3CDTF">2024-01-10T10:23:00Z</dcterms:created>
  <dcterms:modified xsi:type="dcterms:W3CDTF">2024-01-10T10:23:00Z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