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FCEAA8C" w14:textId="77777777" w:rsidTr="006476E1">
        <w:trPr>
          <w:trHeight w:val="851"/>
        </w:trPr>
        <w:tc>
          <w:tcPr>
            <w:tcW w:w="1259" w:type="dxa"/>
            <w:tcBorders>
              <w:top w:val="nil"/>
              <w:left w:val="nil"/>
              <w:bottom w:val="single" w:sz="4" w:space="0" w:color="auto"/>
              <w:right w:val="nil"/>
            </w:tcBorders>
          </w:tcPr>
          <w:p w14:paraId="4A165717" w14:textId="77777777" w:rsidR="00E52109" w:rsidRPr="002A32CB" w:rsidRDefault="00E52109" w:rsidP="004858F5"/>
        </w:tc>
        <w:tc>
          <w:tcPr>
            <w:tcW w:w="2236" w:type="dxa"/>
            <w:tcBorders>
              <w:top w:val="nil"/>
              <w:left w:val="nil"/>
              <w:bottom w:val="single" w:sz="4" w:space="0" w:color="auto"/>
              <w:right w:val="nil"/>
            </w:tcBorders>
            <w:vAlign w:val="bottom"/>
          </w:tcPr>
          <w:p w14:paraId="5617DCA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C77ED12" w14:textId="5E819321" w:rsidR="00E52109" w:rsidRDefault="00362536" w:rsidP="00362536">
            <w:pPr>
              <w:jc w:val="right"/>
            </w:pPr>
            <w:r w:rsidRPr="00362536">
              <w:rPr>
                <w:sz w:val="40"/>
              </w:rPr>
              <w:t>ST</w:t>
            </w:r>
            <w:r>
              <w:t>/SG/AC.10/C.3/124</w:t>
            </w:r>
          </w:p>
        </w:tc>
      </w:tr>
      <w:tr w:rsidR="00E52109" w14:paraId="2A8D665A" w14:textId="77777777" w:rsidTr="006476E1">
        <w:trPr>
          <w:trHeight w:val="2835"/>
        </w:trPr>
        <w:tc>
          <w:tcPr>
            <w:tcW w:w="1259" w:type="dxa"/>
            <w:tcBorders>
              <w:top w:val="single" w:sz="4" w:space="0" w:color="auto"/>
              <w:left w:val="nil"/>
              <w:bottom w:val="single" w:sz="12" w:space="0" w:color="auto"/>
              <w:right w:val="nil"/>
            </w:tcBorders>
          </w:tcPr>
          <w:p w14:paraId="4671A2FD" w14:textId="77777777" w:rsidR="00E52109" w:rsidRDefault="00E52109" w:rsidP="006476E1">
            <w:pPr>
              <w:spacing w:before="120"/>
              <w:jc w:val="center"/>
            </w:pPr>
            <w:r>
              <w:rPr>
                <w:noProof/>
                <w:lang w:val="fr-CH" w:eastAsia="fr-CH"/>
              </w:rPr>
              <w:drawing>
                <wp:inline distT="0" distB="0" distL="0" distR="0" wp14:anchorId="415CC960" wp14:editId="1FA6490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0868D7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D72B7B7" w14:textId="77777777" w:rsidR="00D94B05" w:rsidRDefault="00362536" w:rsidP="00362536">
            <w:pPr>
              <w:spacing w:before="240" w:line="240" w:lineRule="exact"/>
            </w:pPr>
            <w:r>
              <w:t>Distr.: General</w:t>
            </w:r>
          </w:p>
          <w:p w14:paraId="097EBD68" w14:textId="5B4DF3D5" w:rsidR="00362536" w:rsidRDefault="002C4AF1" w:rsidP="00362536">
            <w:pPr>
              <w:spacing w:line="240" w:lineRule="exact"/>
            </w:pPr>
            <w:r>
              <w:t>21 July 2023</w:t>
            </w:r>
          </w:p>
          <w:p w14:paraId="32D6A1C6" w14:textId="77777777" w:rsidR="00362536" w:rsidRDefault="00362536" w:rsidP="00362536">
            <w:pPr>
              <w:spacing w:line="240" w:lineRule="exact"/>
            </w:pPr>
          </w:p>
          <w:p w14:paraId="14EEDC7D" w14:textId="7761C889" w:rsidR="00362536" w:rsidRDefault="00362536" w:rsidP="00362536">
            <w:pPr>
              <w:spacing w:line="240" w:lineRule="exact"/>
            </w:pPr>
            <w:r>
              <w:t>Original: English</w:t>
            </w:r>
          </w:p>
        </w:tc>
      </w:tr>
    </w:tbl>
    <w:p w14:paraId="23FC1CC1" w14:textId="77777777" w:rsidR="00AB001F" w:rsidRPr="006500BA" w:rsidRDefault="00AB001F" w:rsidP="00AB001F">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9E7CCC1" w14:textId="77777777" w:rsidR="00AB001F" w:rsidRPr="006500BA" w:rsidRDefault="00AB001F" w:rsidP="00AB001F">
      <w:pPr>
        <w:spacing w:before="120"/>
        <w:rPr>
          <w:rFonts w:ascii="Helv" w:hAnsi="Helv" w:cs="Helv"/>
          <w:b/>
          <w:color w:val="000000"/>
        </w:rPr>
      </w:pPr>
      <w:r w:rsidRPr="006500BA">
        <w:rPr>
          <w:b/>
        </w:rPr>
        <w:t xml:space="preserve">Sub-Committee of Experts on the </w:t>
      </w:r>
      <w:r>
        <w:rPr>
          <w:b/>
        </w:rPr>
        <w:t>Transport of Dangerous Goods</w:t>
      </w:r>
    </w:p>
    <w:p w14:paraId="6CA6BF85" w14:textId="77777777" w:rsidR="00AB001F" w:rsidRPr="009E5EAE" w:rsidRDefault="00AB001F" w:rsidP="00AB001F">
      <w:pPr>
        <w:spacing w:before="120"/>
        <w:rPr>
          <w:b/>
        </w:rPr>
      </w:pPr>
      <w:r>
        <w:rPr>
          <w:b/>
        </w:rPr>
        <w:t>S</w:t>
      </w:r>
      <w:r w:rsidRPr="009E5EAE">
        <w:rPr>
          <w:b/>
        </w:rPr>
        <w:t>i</w:t>
      </w:r>
      <w:r>
        <w:rPr>
          <w:b/>
        </w:rPr>
        <w:t>x</w:t>
      </w:r>
      <w:r w:rsidRPr="009E5EAE">
        <w:rPr>
          <w:b/>
        </w:rPr>
        <w:t>ty-</w:t>
      </w:r>
      <w:r>
        <w:rPr>
          <w:b/>
        </w:rPr>
        <w:t>second</w:t>
      </w:r>
      <w:r w:rsidRPr="009E5EAE">
        <w:rPr>
          <w:b/>
        </w:rPr>
        <w:t xml:space="preserve"> session</w:t>
      </w:r>
    </w:p>
    <w:p w14:paraId="540E4ABD" w14:textId="77777777" w:rsidR="00AB001F" w:rsidRPr="006500BA" w:rsidRDefault="00AB001F" w:rsidP="00AB001F">
      <w:r w:rsidRPr="009E5EAE">
        <w:t xml:space="preserve">Geneva, </w:t>
      </w:r>
      <w:r>
        <w:t xml:space="preserve">3-7 July </w:t>
      </w:r>
      <w:r w:rsidRPr="009E5EAE">
        <w:t>202</w:t>
      </w:r>
      <w:r>
        <w:t>3</w:t>
      </w:r>
    </w:p>
    <w:p w14:paraId="435608CE" w14:textId="77777777" w:rsidR="00AB001F" w:rsidRDefault="00AB001F" w:rsidP="00AB001F">
      <w:r w:rsidRPr="006500BA">
        <w:t xml:space="preserve">Item </w:t>
      </w:r>
      <w:r>
        <w:t>17</w:t>
      </w:r>
      <w:r w:rsidRPr="006500BA">
        <w:t xml:space="preserve"> of the provisional agenda</w:t>
      </w:r>
    </w:p>
    <w:p w14:paraId="569CA000" w14:textId="77777777" w:rsidR="00AB001F" w:rsidRPr="004637DD" w:rsidRDefault="00AB001F" w:rsidP="00AB001F">
      <w:pPr>
        <w:rPr>
          <w:b/>
          <w:bCs/>
        </w:rPr>
      </w:pPr>
      <w:r w:rsidRPr="004637DD">
        <w:rPr>
          <w:b/>
          <w:bCs/>
        </w:rPr>
        <w:t>Adoption of the report</w:t>
      </w:r>
    </w:p>
    <w:p w14:paraId="51B2FFAF" w14:textId="45B3FDCF" w:rsidR="00AB001F" w:rsidRDefault="00AB001F" w:rsidP="00AB001F">
      <w:pPr>
        <w:pStyle w:val="HChG"/>
      </w:pPr>
      <w:r w:rsidRPr="00634742">
        <w:tab/>
      </w:r>
      <w:r w:rsidRPr="00634742">
        <w:tab/>
      </w:r>
      <w:r>
        <w:t>R</w:t>
      </w:r>
      <w:r w:rsidRPr="00634742">
        <w:t>eport</w:t>
      </w:r>
      <w:r w:rsidR="00D0599B">
        <w:t xml:space="preserve"> </w:t>
      </w:r>
      <w:r w:rsidR="00CA3A92">
        <w:t>of t</w:t>
      </w:r>
      <w:r w:rsidR="00D0599B" w:rsidRPr="00634742">
        <w:t xml:space="preserve">he Sub-Committee of Experts on the Transport of Dangerous Goods held its </w:t>
      </w:r>
      <w:r w:rsidR="00D0599B">
        <w:t>six</w:t>
      </w:r>
      <w:r w:rsidR="00D0599B" w:rsidRPr="00634742">
        <w:t>ty-</w:t>
      </w:r>
      <w:r w:rsidR="00D0599B">
        <w:t>second session</w:t>
      </w:r>
    </w:p>
    <w:p w14:paraId="63898562" w14:textId="7452FF34" w:rsidR="00805A8C" w:rsidRDefault="00DA2B58" w:rsidP="00913D5D">
      <w:pPr>
        <w:pStyle w:val="SingleTxtG"/>
      </w:pPr>
      <w:r>
        <w:t>h</w:t>
      </w:r>
      <w:r w:rsidR="00CA3A92">
        <w:t>eld in Geneva from 3</w:t>
      </w:r>
      <w:r>
        <w:t xml:space="preserve"> to 7 July 2023</w:t>
      </w:r>
    </w:p>
    <w:p w14:paraId="27B4DF06" w14:textId="77777777" w:rsidR="0063651F" w:rsidRDefault="0063651F" w:rsidP="0063651F">
      <w:pPr>
        <w:spacing w:after="240" w:line="200" w:lineRule="atLeast"/>
        <w:rPr>
          <w:sz w:val="28"/>
          <w:lang w:val="fr-CH"/>
        </w:rPr>
      </w:pPr>
      <w:r w:rsidRPr="00BF42B4">
        <w:rPr>
          <w:sz w:val="28"/>
          <w:lang w:val="fr-CH"/>
        </w:rPr>
        <w:t>Contents</w:t>
      </w:r>
    </w:p>
    <w:p w14:paraId="60DCBB4D" w14:textId="77777777" w:rsidR="0063651F" w:rsidRPr="001F3DCB" w:rsidRDefault="0063651F" w:rsidP="0063651F">
      <w:pPr>
        <w:tabs>
          <w:tab w:val="right" w:pos="8929"/>
          <w:tab w:val="right" w:pos="9638"/>
        </w:tabs>
        <w:spacing w:after="120"/>
        <w:ind w:left="283"/>
        <w:rPr>
          <w:lang w:val="fr-CH"/>
        </w:rPr>
      </w:pPr>
      <w:r w:rsidRPr="00BF42B4">
        <w:rPr>
          <w:i/>
          <w:sz w:val="18"/>
          <w:lang w:val="fr-CH"/>
        </w:rPr>
        <w:tab/>
      </w:r>
      <w:proofErr w:type="spellStart"/>
      <w:r w:rsidRPr="00BF42B4">
        <w:rPr>
          <w:i/>
          <w:sz w:val="18"/>
          <w:lang w:val="fr-CH"/>
        </w:rPr>
        <w:t>Paragraph</w:t>
      </w:r>
      <w:proofErr w:type="spellEnd"/>
      <w:r>
        <w:rPr>
          <w:i/>
          <w:sz w:val="18"/>
          <w:lang w:val="fr-CH"/>
        </w:rPr>
        <w:t>(</w:t>
      </w:r>
      <w:r w:rsidRPr="00BF42B4">
        <w:rPr>
          <w:i/>
          <w:sz w:val="18"/>
          <w:lang w:val="fr-CH"/>
        </w:rPr>
        <w:t>s</w:t>
      </w:r>
      <w:r>
        <w:rPr>
          <w:i/>
          <w:sz w:val="18"/>
          <w:lang w:val="fr-CH"/>
        </w:rPr>
        <w:t>)</w:t>
      </w:r>
      <w:r w:rsidRPr="00BF42B4">
        <w:rPr>
          <w:i/>
          <w:sz w:val="18"/>
          <w:lang w:val="fr-CH"/>
        </w:rPr>
        <w:tab/>
        <w:t>Page</w:t>
      </w:r>
    </w:p>
    <w:p w14:paraId="0F0A55D0" w14:textId="711908AA" w:rsidR="0063651F" w:rsidRDefault="0063651F" w:rsidP="0063651F">
      <w:pPr>
        <w:pStyle w:val="ListParagraph"/>
        <w:numPr>
          <w:ilvl w:val="0"/>
          <w:numId w:val="14"/>
        </w:numPr>
        <w:tabs>
          <w:tab w:val="right" w:pos="850"/>
          <w:tab w:val="left" w:pos="1134"/>
          <w:tab w:val="left" w:pos="1559"/>
          <w:tab w:val="left" w:pos="1984"/>
          <w:tab w:val="left" w:leader="dot" w:pos="7654"/>
          <w:tab w:val="right" w:pos="8929"/>
          <w:tab w:val="right" w:pos="9638"/>
        </w:tabs>
        <w:spacing w:before="120" w:after="120"/>
      </w:pPr>
      <w:r>
        <w:t>Attendance</w:t>
      </w:r>
      <w:r>
        <w:tab/>
      </w:r>
      <w:r>
        <w:tab/>
      </w:r>
      <w:r w:rsidR="00C473D2">
        <w:t>1-6</w:t>
      </w:r>
      <w:r>
        <w:tab/>
      </w:r>
      <w:r w:rsidR="00E35A75">
        <w:t>5</w:t>
      </w:r>
    </w:p>
    <w:p w14:paraId="1A8AC210" w14:textId="28AEF707" w:rsidR="0063651F" w:rsidRDefault="0063651F" w:rsidP="0063651F">
      <w:pPr>
        <w:tabs>
          <w:tab w:val="right" w:pos="850"/>
          <w:tab w:val="left" w:pos="1134"/>
          <w:tab w:val="left" w:pos="1559"/>
          <w:tab w:val="left" w:pos="1984"/>
          <w:tab w:val="left" w:leader="dot" w:pos="7654"/>
          <w:tab w:val="right" w:pos="8929"/>
          <w:tab w:val="right" w:pos="9638"/>
        </w:tabs>
        <w:spacing w:before="120" w:after="120"/>
        <w:ind w:left="735"/>
      </w:pPr>
      <w:r>
        <w:t>II.</w:t>
      </w:r>
      <w:r>
        <w:tab/>
        <w:t>Organizational matters</w:t>
      </w:r>
      <w:r>
        <w:tab/>
      </w:r>
      <w:r>
        <w:tab/>
      </w:r>
      <w:r w:rsidR="00E35A75">
        <w:t>7</w:t>
      </w:r>
      <w:r w:rsidR="00241729">
        <w:t>-9</w:t>
      </w:r>
      <w:r>
        <w:tab/>
      </w:r>
      <w:r w:rsidR="00E35A75">
        <w:t>5</w:t>
      </w:r>
    </w:p>
    <w:p w14:paraId="5843ADD0" w14:textId="213F884B" w:rsidR="0063651F" w:rsidRDefault="0063651F" w:rsidP="0063651F">
      <w:pPr>
        <w:pStyle w:val="ListParagraph"/>
        <w:numPr>
          <w:ilvl w:val="0"/>
          <w:numId w:val="15"/>
        </w:numPr>
        <w:tabs>
          <w:tab w:val="right" w:pos="850"/>
          <w:tab w:val="left" w:pos="1134"/>
          <w:tab w:val="left" w:pos="1559"/>
          <w:tab w:val="left" w:pos="1984"/>
          <w:tab w:val="left" w:leader="dot" w:pos="7654"/>
          <w:tab w:val="right" w:pos="8929"/>
          <w:tab w:val="right" w:pos="9638"/>
        </w:tabs>
        <w:spacing w:before="120" w:after="120"/>
      </w:pPr>
      <w:r>
        <w:t>Adoption of the agenda (agenda item 1)</w:t>
      </w:r>
      <w:r>
        <w:tab/>
      </w:r>
      <w:r>
        <w:tab/>
      </w:r>
      <w:r w:rsidR="00484D2F">
        <w:t>10-14</w:t>
      </w:r>
      <w:r>
        <w:tab/>
      </w:r>
      <w:r w:rsidR="00484D2F">
        <w:t>6</w:t>
      </w:r>
    </w:p>
    <w:p w14:paraId="376FE1C6" w14:textId="1BB1A288" w:rsidR="0063651F" w:rsidRDefault="0063651F" w:rsidP="0063651F">
      <w:pPr>
        <w:tabs>
          <w:tab w:val="right" w:pos="850"/>
          <w:tab w:val="left" w:pos="1134"/>
          <w:tab w:val="left" w:pos="1559"/>
          <w:tab w:val="left" w:pos="1984"/>
          <w:tab w:val="left" w:leader="dot" w:pos="7654"/>
          <w:tab w:val="right" w:pos="8929"/>
          <w:tab w:val="right" w:pos="9638"/>
        </w:tabs>
        <w:spacing w:before="120" w:after="120"/>
        <w:ind w:left="735"/>
      </w:pPr>
      <w:r>
        <w:t>IV.</w:t>
      </w:r>
      <w:r>
        <w:tab/>
        <w:t>Explosives and related matters (agenda item 2)</w:t>
      </w:r>
      <w:r>
        <w:tab/>
      </w:r>
      <w:r>
        <w:tab/>
      </w:r>
      <w:r w:rsidR="00484D2F">
        <w:t>15-38</w:t>
      </w:r>
      <w:r>
        <w:tab/>
      </w:r>
      <w:r w:rsidR="00484D2F">
        <w:t>6</w:t>
      </w:r>
    </w:p>
    <w:p w14:paraId="5A354145" w14:textId="72C34927" w:rsidR="0063651F" w:rsidRPr="00F12FD1" w:rsidRDefault="0063651F" w:rsidP="0063651F">
      <w:pPr>
        <w:tabs>
          <w:tab w:val="right" w:pos="850"/>
          <w:tab w:val="left" w:pos="1134"/>
          <w:tab w:val="left" w:pos="1559"/>
          <w:tab w:val="left" w:pos="1984"/>
          <w:tab w:val="left" w:leader="dot" w:pos="7654"/>
          <w:tab w:val="right" w:pos="8929"/>
          <w:tab w:val="right" w:pos="9638"/>
        </w:tabs>
        <w:spacing w:before="120" w:after="120"/>
        <w:ind w:left="1140"/>
      </w:pPr>
      <w:r w:rsidRPr="00F12FD1">
        <w:t>A.</w:t>
      </w:r>
      <w:r w:rsidRPr="00F12FD1">
        <w:tab/>
        <w:t>Review of test series 6</w:t>
      </w:r>
      <w:r w:rsidRPr="00F12FD1">
        <w:tab/>
      </w:r>
      <w:r w:rsidRPr="00F12FD1">
        <w:tab/>
      </w:r>
      <w:r w:rsidR="00933567">
        <w:t>18</w:t>
      </w:r>
      <w:r>
        <w:tab/>
      </w:r>
      <w:r w:rsidR="00933567">
        <w:t>7</w:t>
      </w:r>
    </w:p>
    <w:p w14:paraId="4815D3D3" w14:textId="414D1735" w:rsidR="0063651F" w:rsidRPr="00F12FD1" w:rsidRDefault="0063651F" w:rsidP="0063651F">
      <w:pPr>
        <w:tabs>
          <w:tab w:val="right" w:pos="850"/>
          <w:tab w:val="left" w:pos="1134"/>
          <w:tab w:val="left" w:pos="1559"/>
          <w:tab w:val="left" w:pos="1984"/>
          <w:tab w:val="left" w:leader="dot" w:pos="7654"/>
          <w:tab w:val="right" w:pos="8929"/>
          <w:tab w:val="right" w:pos="9638"/>
        </w:tabs>
        <w:spacing w:before="120" w:after="120"/>
        <w:ind w:left="1140"/>
      </w:pPr>
      <w:r w:rsidRPr="00F12FD1">
        <w:t>B.</w:t>
      </w:r>
      <w:r w:rsidRPr="00F12FD1">
        <w:tab/>
        <w:t>Improvement of test series 8</w:t>
      </w:r>
      <w:r w:rsidRPr="00F12FD1">
        <w:tab/>
      </w:r>
      <w:r w:rsidRPr="00F12FD1">
        <w:tab/>
      </w:r>
      <w:r w:rsidR="00933567">
        <w:t>19</w:t>
      </w:r>
      <w:r>
        <w:tab/>
      </w:r>
      <w:r w:rsidR="00933567">
        <w:t>7</w:t>
      </w:r>
    </w:p>
    <w:p w14:paraId="086C24BD" w14:textId="7E2E4E92" w:rsidR="0063651F" w:rsidRPr="00F12FD1" w:rsidRDefault="0063651F" w:rsidP="0063651F">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C.</w:t>
      </w:r>
      <w:r w:rsidRPr="00F12FD1">
        <w:tab/>
        <w:t>Review of tests in Parts I, II and III of the Manual of Tests and Criteria</w:t>
      </w:r>
      <w:r w:rsidRPr="00F12FD1">
        <w:tab/>
      </w:r>
      <w:r w:rsidRPr="00F12FD1">
        <w:tab/>
      </w:r>
      <w:r w:rsidR="000A7761">
        <w:t>20</w:t>
      </w:r>
      <w:r>
        <w:tab/>
      </w:r>
      <w:r w:rsidR="000A7761">
        <w:t>7</w:t>
      </w:r>
    </w:p>
    <w:p w14:paraId="3C9C3741" w14:textId="38D3846E" w:rsidR="0063651F" w:rsidRPr="00F12FD1" w:rsidRDefault="0063651F" w:rsidP="0063651F">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D.</w:t>
      </w:r>
      <w:r w:rsidRPr="00F12FD1">
        <w:tab/>
        <w:t>“UN” standard detonators</w:t>
      </w:r>
      <w:r w:rsidRPr="00F12FD1">
        <w:tab/>
      </w:r>
      <w:r w:rsidRPr="00F12FD1">
        <w:tab/>
      </w:r>
      <w:r w:rsidR="000A7761">
        <w:t>21</w:t>
      </w:r>
      <w:r>
        <w:tab/>
      </w:r>
      <w:r w:rsidR="000A7761">
        <w:t>7</w:t>
      </w:r>
    </w:p>
    <w:p w14:paraId="50009A65" w14:textId="52F6FA5C" w:rsidR="0063651F" w:rsidRPr="00F12FD1" w:rsidRDefault="0063651F" w:rsidP="0063651F">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E.</w:t>
      </w:r>
      <w:r w:rsidRPr="00F12FD1">
        <w:tab/>
      </w:r>
      <w:r w:rsidR="002D0AFB" w:rsidRPr="005E003D">
        <w:t>Energetic samples</w:t>
      </w:r>
      <w:r w:rsidRPr="00F12FD1">
        <w:tab/>
      </w:r>
      <w:r>
        <w:tab/>
      </w:r>
      <w:r w:rsidR="000A7761">
        <w:t>22</w:t>
      </w:r>
      <w:r w:rsidR="000A7761">
        <w:tab/>
      </w:r>
      <w:r w:rsidR="00AE46EE">
        <w:t>7</w:t>
      </w:r>
    </w:p>
    <w:p w14:paraId="422FF01B" w14:textId="1452E377" w:rsidR="0063651F" w:rsidRPr="00F12FD1" w:rsidRDefault="0063651F" w:rsidP="0063651F">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F.</w:t>
      </w:r>
      <w:r w:rsidRPr="00F12FD1">
        <w:tab/>
      </w:r>
      <w:r w:rsidR="00F118CD" w:rsidRPr="005E003D">
        <w:t>Review of packaging and transport requirements for ammonium nitrate emulsions</w:t>
      </w:r>
      <w:r w:rsidRPr="00F12FD1">
        <w:tab/>
      </w:r>
      <w:r w:rsidR="00AE46EE">
        <w:t>23</w:t>
      </w:r>
      <w:r w:rsidRPr="00F12FD1">
        <w:tab/>
      </w:r>
      <w:r w:rsidR="00AE46EE">
        <w:t>7</w:t>
      </w:r>
    </w:p>
    <w:p w14:paraId="441B065D" w14:textId="7818DB09" w:rsidR="0063651F" w:rsidRPr="00F12FD1" w:rsidRDefault="0063651F" w:rsidP="0063651F">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G.</w:t>
      </w:r>
      <w:r w:rsidRPr="00F12FD1">
        <w:tab/>
      </w:r>
      <w:r w:rsidR="00F118CD" w:rsidRPr="005E003D">
        <w:t>Electrification and alternative fuels and how they will affect transport of explosives</w:t>
      </w:r>
      <w:r w:rsidRPr="00F12FD1">
        <w:tab/>
      </w:r>
      <w:r w:rsidR="00AE46EE">
        <w:t>24</w:t>
      </w:r>
      <w:r w:rsidRPr="00F12FD1">
        <w:tab/>
      </w:r>
      <w:r w:rsidR="0062604A">
        <w:t>7</w:t>
      </w:r>
    </w:p>
    <w:p w14:paraId="6FBB25F2" w14:textId="31373D93" w:rsidR="0063651F" w:rsidRDefault="0063651F" w:rsidP="007748FF">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H.</w:t>
      </w:r>
      <w:r w:rsidRPr="00F12FD1">
        <w:tab/>
      </w:r>
      <w:r w:rsidR="007748FF" w:rsidRPr="005E003D">
        <w:t>Miscellaneous</w:t>
      </w:r>
      <w:r w:rsidRPr="00F12FD1">
        <w:tab/>
      </w:r>
      <w:r w:rsidRPr="00F12FD1">
        <w:tab/>
      </w:r>
      <w:r w:rsidR="00984F66">
        <w:t>25-</w:t>
      </w:r>
      <w:r w:rsidR="00E33CAA">
        <w:t>38</w:t>
      </w:r>
      <w:r w:rsidRPr="00F12FD1">
        <w:tab/>
      </w:r>
      <w:r w:rsidR="00030A7F">
        <w:t>8</w:t>
      </w:r>
    </w:p>
    <w:p w14:paraId="79AB96C4" w14:textId="5191B5A3"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r>
      <w:r>
        <w:tab/>
        <w:t>1.</w:t>
      </w:r>
      <w:r>
        <w:tab/>
      </w:r>
      <w:r w:rsidR="006D2D39" w:rsidRPr="005E003D">
        <w:t>Amendment to section 51.4.4.2 (e) of the Manual of Tests and Criteria</w:t>
      </w:r>
      <w:r>
        <w:tab/>
      </w:r>
      <w:r>
        <w:tab/>
      </w:r>
      <w:r w:rsidR="00030A7F">
        <w:t>25-26</w:t>
      </w:r>
      <w:r>
        <w:tab/>
      </w:r>
      <w:r w:rsidR="00030A7F">
        <w:t>8</w:t>
      </w:r>
    </w:p>
    <w:p w14:paraId="46C3E619" w14:textId="7812025F"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r>
      <w:r>
        <w:tab/>
        <w:t>2.</w:t>
      </w:r>
      <w:r>
        <w:tab/>
      </w:r>
      <w:r w:rsidR="006D2D39" w:rsidRPr="005E003D">
        <w:t>Amendment</w:t>
      </w:r>
      <w:r w:rsidR="006D2D39" w:rsidRPr="005E003D">
        <w:rPr>
          <w:rFonts w:eastAsia="Times New Roman"/>
          <w:lang w:eastAsia="en-US"/>
        </w:rPr>
        <w:t xml:space="preserve"> of definition "explosive or pyrotechnic effect"</w:t>
      </w:r>
      <w:r>
        <w:tab/>
      </w:r>
      <w:r>
        <w:tab/>
      </w:r>
      <w:r w:rsidR="00030A7F">
        <w:t>27-28</w:t>
      </w:r>
      <w:r>
        <w:tab/>
      </w:r>
      <w:r w:rsidR="0089397F">
        <w:t>8</w:t>
      </w:r>
    </w:p>
    <w:p w14:paraId="645F2186" w14:textId="3E67C4EE"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980" w:hanging="1980"/>
      </w:pPr>
      <w:r>
        <w:tab/>
      </w:r>
      <w:r>
        <w:tab/>
      </w:r>
      <w:r>
        <w:tab/>
        <w:t>3.</w:t>
      </w:r>
      <w:r>
        <w:tab/>
      </w:r>
      <w:r w:rsidR="00163068" w:rsidRPr="005E003D">
        <w:t>Consideration of amendments to chapter 2.17 (Desensitized explosives) of the</w:t>
      </w:r>
      <w:r w:rsidR="003E3699">
        <w:br/>
      </w:r>
      <w:r w:rsidR="00163068" w:rsidRPr="005E003D">
        <w:t>Globall</w:t>
      </w:r>
      <w:r w:rsidR="0046597C">
        <w:t xml:space="preserve">y </w:t>
      </w:r>
      <w:r w:rsidR="00163068" w:rsidRPr="005E003D">
        <w:t>Harmonized System and section 51 of the Manual of Tests and Criteria</w:t>
      </w:r>
      <w:r>
        <w:tab/>
      </w:r>
      <w:r w:rsidR="003E3699">
        <w:t xml:space="preserve"> </w:t>
      </w:r>
      <w:r w:rsidR="0089397F">
        <w:t>29-30</w:t>
      </w:r>
      <w:r>
        <w:tab/>
      </w:r>
      <w:r w:rsidR="00A2592A">
        <w:t>8</w:t>
      </w:r>
    </w:p>
    <w:p w14:paraId="309606B8" w14:textId="67ECBDA9"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r>
      <w:r>
        <w:tab/>
        <w:t>4.</w:t>
      </w:r>
      <w:r>
        <w:tab/>
      </w:r>
      <w:r w:rsidR="00163068" w:rsidRPr="005E003D">
        <w:t xml:space="preserve">Proposal to amend the definition for </w:t>
      </w:r>
      <w:r w:rsidR="00C8378D">
        <w:t>c</w:t>
      </w:r>
      <w:r w:rsidR="00163068" w:rsidRPr="005E003D">
        <w:t>lass 1 explosives</w:t>
      </w:r>
      <w:r>
        <w:tab/>
      </w:r>
      <w:r>
        <w:tab/>
      </w:r>
      <w:r w:rsidR="00AA420A">
        <w:t>31</w:t>
      </w:r>
      <w:r>
        <w:tab/>
      </w:r>
      <w:r w:rsidR="00AA420A">
        <w:t>8</w:t>
      </w:r>
    </w:p>
    <w:p w14:paraId="068C900C" w14:textId="65F0B630"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980" w:hanging="1980"/>
      </w:pPr>
      <w:r>
        <w:tab/>
      </w:r>
      <w:r>
        <w:tab/>
      </w:r>
      <w:r>
        <w:tab/>
        <w:t>5.</w:t>
      </w:r>
      <w:r>
        <w:tab/>
      </w:r>
      <w:r w:rsidR="00163068" w:rsidRPr="005E003D">
        <w:t xml:space="preserve">Proposal to extend the entry for UN 3375 to provide for all potential packing </w:t>
      </w:r>
      <w:r w:rsidR="00E87CD7">
        <w:br/>
      </w:r>
      <w:r w:rsidR="00163068" w:rsidRPr="005E003D">
        <w:t>groups</w:t>
      </w:r>
      <w:r>
        <w:tab/>
      </w:r>
      <w:r>
        <w:tab/>
      </w:r>
      <w:r w:rsidR="00E87CD7">
        <w:t>32</w:t>
      </w:r>
      <w:r w:rsidR="00E87CD7">
        <w:tab/>
      </w:r>
      <w:r w:rsidR="0062604A">
        <w:t>8</w:t>
      </w:r>
    </w:p>
    <w:p w14:paraId="4FA630BF" w14:textId="29709B5C" w:rsidR="00163068" w:rsidRDefault="00163068" w:rsidP="00336A91">
      <w:pPr>
        <w:tabs>
          <w:tab w:val="right" w:pos="850"/>
          <w:tab w:val="left" w:pos="1134"/>
          <w:tab w:val="left" w:pos="1559"/>
          <w:tab w:val="left" w:pos="1984"/>
          <w:tab w:val="left" w:leader="dot" w:pos="7654"/>
          <w:tab w:val="right" w:pos="8929"/>
          <w:tab w:val="right" w:pos="9638"/>
        </w:tabs>
        <w:spacing w:before="120" w:after="120"/>
        <w:ind w:left="1980" w:hanging="1980"/>
      </w:pPr>
      <w:r>
        <w:lastRenderedPageBreak/>
        <w:tab/>
      </w:r>
      <w:r>
        <w:tab/>
      </w:r>
      <w:r>
        <w:tab/>
        <w:t>6.</w:t>
      </w:r>
      <w:r>
        <w:tab/>
      </w:r>
      <w:r w:rsidRPr="005E003D">
        <w:t>Packing instruction P130 and metal on metal contact between explosives</w:t>
      </w:r>
      <w:r w:rsidR="00206218">
        <w:br/>
      </w:r>
      <w:r w:rsidRPr="005E003D">
        <w:t xml:space="preserve"> and packaging</w:t>
      </w:r>
      <w:r>
        <w:tab/>
      </w:r>
      <w:r w:rsidR="00206218">
        <w:tab/>
        <w:t>33</w:t>
      </w:r>
      <w:r w:rsidR="00206218">
        <w:tab/>
        <w:t>9</w:t>
      </w:r>
    </w:p>
    <w:p w14:paraId="2253FD8C" w14:textId="7803EF5C" w:rsidR="00163068" w:rsidRDefault="00163068" w:rsidP="0063651F">
      <w:pPr>
        <w:tabs>
          <w:tab w:val="right" w:pos="850"/>
          <w:tab w:val="left" w:pos="1134"/>
          <w:tab w:val="left" w:pos="1559"/>
          <w:tab w:val="left" w:pos="1984"/>
          <w:tab w:val="left" w:leader="dot" w:pos="7654"/>
          <w:tab w:val="right" w:pos="8929"/>
          <w:tab w:val="right" w:pos="9638"/>
        </w:tabs>
        <w:spacing w:before="120" w:after="120"/>
      </w:pPr>
      <w:r>
        <w:tab/>
      </w:r>
      <w:r>
        <w:tab/>
      </w:r>
      <w:r>
        <w:tab/>
        <w:t>7.</w:t>
      </w:r>
      <w:r>
        <w:tab/>
      </w:r>
      <w:r w:rsidRPr="005E003D">
        <w:t>Polymerizing substances and self-acceleration polymerization temperature</w:t>
      </w:r>
      <w:r>
        <w:tab/>
      </w:r>
      <w:r w:rsidR="008A455E">
        <w:t>34</w:t>
      </w:r>
      <w:r>
        <w:tab/>
      </w:r>
      <w:r w:rsidR="008A455E">
        <w:t>9</w:t>
      </w:r>
    </w:p>
    <w:p w14:paraId="6190DB23" w14:textId="32B847EE" w:rsidR="00163068" w:rsidRDefault="00163068" w:rsidP="0063651F">
      <w:pPr>
        <w:tabs>
          <w:tab w:val="right" w:pos="850"/>
          <w:tab w:val="left" w:pos="1134"/>
          <w:tab w:val="left" w:pos="1559"/>
          <w:tab w:val="left" w:pos="1984"/>
          <w:tab w:val="left" w:leader="dot" w:pos="7654"/>
          <w:tab w:val="right" w:pos="8929"/>
          <w:tab w:val="right" w:pos="9638"/>
        </w:tabs>
        <w:spacing w:before="120" w:after="120"/>
      </w:pPr>
      <w:r>
        <w:tab/>
      </w:r>
      <w:r>
        <w:tab/>
      </w:r>
      <w:r>
        <w:tab/>
        <w:t>8.</w:t>
      </w:r>
      <w:r>
        <w:tab/>
      </w:r>
      <w:r w:rsidRPr="005E003D">
        <w:t>Report of the intersessional correspondence group on fireworks</w:t>
      </w:r>
      <w:r>
        <w:tab/>
      </w:r>
      <w:r>
        <w:tab/>
      </w:r>
      <w:r w:rsidR="008A455E">
        <w:t>35</w:t>
      </w:r>
      <w:r>
        <w:tab/>
      </w:r>
      <w:r w:rsidR="005476FA">
        <w:t>9</w:t>
      </w:r>
    </w:p>
    <w:p w14:paraId="6967FCA2" w14:textId="21475FC8" w:rsidR="00163068" w:rsidRDefault="00163068" w:rsidP="00336A91">
      <w:pPr>
        <w:tabs>
          <w:tab w:val="right" w:pos="850"/>
          <w:tab w:val="left" w:pos="1134"/>
          <w:tab w:val="left" w:pos="1559"/>
          <w:tab w:val="left" w:pos="1984"/>
          <w:tab w:val="left" w:leader="dot" w:pos="7654"/>
          <w:tab w:val="right" w:pos="8929"/>
          <w:tab w:val="right" w:pos="9638"/>
        </w:tabs>
        <w:spacing w:before="120" w:after="120"/>
        <w:ind w:left="1985" w:hanging="1985"/>
      </w:pPr>
      <w:r>
        <w:tab/>
      </w:r>
      <w:r>
        <w:tab/>
      </w:r>
      <w:r>
        <w:tab/>
        <w:t>9.</w:t>
      </w:r>
      <w:r>
        <w:tab/>
      </w:r>
      <w:r w:rsidRPr="005E003D">
        <w:t>Termination of certain explosive classification approvals due to Model Regulation</w:t>
      </w:r>
      <w:r w:rsidR="005476FA">
        <w:br/>
      </w:r>
      <w:r w:rsidRPr="005E003D">
        <w:t xml:space="preserve"> test series</w:t>
      </w:r>
      <w:r w:rsidR="005476FA">
        <w:t xml:space="preserve"> </w:t>
      </w:r>
      <w:r w:rsidRPr="005E003D">
        <w:t>6(d) requirement</w:t>
      </w:r>
      <w:r>
        <w:tab/>
      </w:r>
      <w:r>
        <w:tab/>
      </w:r>
      <w:r w:rsidR="005476FA">
        <w:t>36</w:t>
      </w:r>
      <w:r>
        <w:tab/>
      </w:r>
      <w:r w:rsidR="005476FA">
        <w:t>9</w:t>
      </w:r>
    </w:p>
    <w:p w14:paraId="0BC39B06" w14:textId="32AB858E" w:rsidR="00163068" w:rsidRDefault="00163068" w:rsidP="00163068">
      <w:pPr>
        <w:tabs>
          <w:tab w:val="right" w:pos="850"/>
          <w:tab w:val="left" w:pos="1134"/>
          <w:tab w:val="left" w:pos="1559"/>
          <w:tab w:val="left" w:pos="1984"/>
          <w:tab w:val="left" w:leader="dot" w:pos="7654"/>
          <w:tab w:val="right" w:pos="8929"/>
          <w:tab w:val="right" w:pos="9638"/>
        </w:tabs>
        <w:spacing w:before="120" w:after="120"/>
        <w:ind w:left="1701" w:hanging="1701"/>
      </w:pPr>
      <w:r>
        <w:tab/>
      </w:r>
      <w:r>
        <w:tab/>
      </w:r>
      <w:r>
        <w:tab/>
        <w:t>10.</w:t>
      </w:r>
      <w:r>
        <w:tab/>
      </w:r>
      <w:r w:rsidRPr="005E003D">
        <w:t>New special provision and special packing provision of UN 2029</w:t>
      </w:r>
      <w:r>
        <w:tab/>
      </w:r>
      <w:r>
        <w:tab/>
      </w:r>
      <w:r w:rsidR="005476FA">
        <w:t>37</w:t>
      </w:r>
      <w:r>
        <w:tab/>
      </w:r>
      <w:r w:rsidR="005476FA">
        <w:t>9</w:t>
      </w:r>
    </w:p>
    <w:p w14:paraId="0C642B12" w14:textId="0034F0D6" w:rsidR="00163068" w:rsidRDefault="00163068" w:rsidP="00336A91">
      <w:pPr>
        <w:tabs>
          <w:tab w:val="right" w:pos="850"/>
          <w:tab w:val="left" w:pos="1134"/>
          <w:tab w:val="left" w:pos="1559"/>
          <w:tab w:val="left" w:pos="1984"/>
          <w:tab w:val="left" w:leader="dot" w:pos="7654"/>
          <w:tab w:val="right" w:pos="8929"/>
          <w:tab w:val="right" w:pos="9638"/>
        </w:tabs>
        <w:spacing w:before="120" w:after="120"/>
        <w:ind w:left="1701" w:hanging="1701"/>
      </w:pPr>
      <w:r>
        <w:tab/>
      </w:r>
      <w:r>
        <w:tab/>
      </w:r>
      <w:r>
        <w:tab/>
        <w:t>11.</w:t>
      </w:r>
      <w:r>
        <w:tab/>
      </w:r>
      <w:r w:rsidRPr="005E003D">
        <w:t>Introduction of Division 1.4 Entry for 1,4-benzoquinone dioxime (QDO)</w:t>
      </w:r>
      <w:r>
        <w:tab/>
      </w:r>
      <w:r w:rsidR="009A25BF">
        <w:t>38</w:t>
      </w:r>
      <w:r>
        <w:tab/>
      </w:r>
      <w:r w:rsidR="00CA18B0">
        <w:t>9</w:t>
      </w:r>
    </w:p>
    <w:p w14:paraId="597ECF9C" w14:textId="72F8AF4F" w:rsidR="0063651F" w:rsidRDefault="0063651F" w:rsidP="0063651F">
      <w:pPr>
        <w:tabs>
          <w:tab w:val="right" w:pos="850"/>
          <w:tab w:val="left" w:pos="1134"/>
          <w:tab w:val="left" w:pos="1559"/>
          <w:tab w:val="left" w:pos="1984"/>
          <w:tab w:val="left" w:leader="dot" w:pos="7654"/>
          <w:tab w:val="right" w:pos="8929"/>
          <w:tab w:val="right" w:pos="9638"/>
        </w:tabs>
        <w:spacing w:before="120" w:after="120"/>
        <w:ind w:left="735"/>
      </w:pPr>
      <w:r>
        <w:t>V.</w:t>
      </w:r>
      <w:r>
        <w:tab/>
        <w:t>Listing, classification and packing (agenda item 3)</w:t>
      </w:r>
      <w:r>
        <w:tab/>
      </w:r>
      <w:r>
        <w:tab/>
      </w:r>
      <w:r w:rsidR="00812D18">
        <w:t>39-51</w:t>
      </w:r>
      <w:r>
        <w:tab/>
      </w:r>
      <w:r w:rsidR="00585C32">
        <w:t>10</w:t>
      </w:r>
    </w:p>
    <w:p w14:paraId="70EF76CD" w14:textId="3DCF1CBF" w:rsidR="0063651F" w:rsidRDefault="0063651F" w:rsidP="0063651F">
      <w:pPr>
        <w:tabs>
          <w:tab w:val="right" w:pos="850"/>
          <w:tab w:val="left" w:pos="1134"/>
          <w:tab w:val="left" w:pos="1559"/>
          <w:tab w:val="left" w:pos="1984"/>
          <w:tab w:val="left" w:leader="dot" w:pos="7654"/>
          <w:tab w:val="right" w:pos="8929"/>
          <w:tab w:val="right" w:pos="9638"/>
        </w:tabs>
        <w:spacing w:before="120" w:after="120"/>
        <w:ind w:left="735"/>
      </w:pPr>
      <w:r>
        <w:tab/>
      </w:r>
      <w:r>
        <w:tab/>
        <w:t>A.</w:t>
      </w:r>
      <w:r>
        <w:tab/>
      </w:r>
      <w:r w:rsidR="00163068" w:rsidRPr="00BE68BE">
        <w:t>Proposal to add class 8 as subsidiary hazard to UN 1040, UN 1041 and UN 3300</w:t>
      </w:r>
      <w:r>
        <w:tab/>
      </w:r>
      <w:r w:rsidR="00E14A8C">
        <w:t>39</w:t>
      </w:r>
      <w:r>
        <w:tab/>
      </w:r>
      <w:r w:rsidR="00E14A8C">
        <w:t>10</w:t>
      </w:r>
    </w:p>
    <w:p w14:paraId="2DAD7C3A" w14:textId="7C4951EA" w:rsidR="0063651F" w:rsidRDefault="0063651F" w:rsidP="0063651F">
      <w:pPr>
        <w:tabs>
          <w:tab w:val="right" w:pos="850"/>
          <w:tab w:val="left" w:pos="1134"/>
          <w:tab w:val="left" w:pos="1559"/>
          <w:tab w:val="left" w:pos="1984"/>
          <w:tab w:val="left" w:leader="dot" w:pos="7654"/>
          <w:tab w:val="right" w:pos="8929"/>
          <w:tab w:val="right" w:pos="9638"/>
        </w:tabs>
        <w:spacing w:before="120" w:after="120"/>
        <w:ind w:left="735"/>
      </w:pPr>
      <w:r>
        <w:tab/>
      </w:r>
      <w:r>
        <w:tab/>
        <w:t>B.</w:t>
      </w:r>
      <w:r>
        <w:tab/>
      </w:r>
      <w:r w:rsidR="00163068" w:rsidRPr="00BE68BE">
        <w:rPr>
          <w:bCs/>
        </w:rPr>
        <w:t>Amendments on special provisions 145 and 146</w:t>
      </w:r>
      <w:r>
        <w:tab/>
      </w:r>
      <w:r>
        <w:tab/>
      </w:r>
      <w:r w:rsidR="00E14A8C">
        <w:t>40</w:t>
      </w:r>
      <w:r>
        <w:tab/>
      </w:r>
      <w:r w:rsidR="00E14A8C">
        <w:t>10</w:t>
      </w:r>
    </w:p>
    <w:p w14:paraId="73838A52" w14:textId="337726D1"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559" w:hanging="824"/>
      </w:pPr>
      <w:r>
        <w:tab/>
      </w:r>
      <w:r>
        <w:tab/>
        <w:t>C.</w:t>
      </w:r>
      <w:r>
        <w:tab/>
      </w:r>
      <w:r w:rsidR="00163068" w:rsidRPr="001F270B">
        <w:rPr>
          <w:bCs/>
        </w:rPr>
        <w:t xml:space="preserve">Status of UN 1362 (CARBON, ACTIVATED) and its redefinition to provide </w:t>
      </w:r>
      <w:r w:rsidR="00E14A8C">
        <w:rPr>
          <w:bCs/>
        </w:rPr>
        <w:br/>
      </w:r>
      <w:r w:rsidR="00163068" w:rsidRPr="001F270B">
        <w:rPr>
          <w:bCs/>
        </w:rPr>
        <w:t>greater clarity</w:t>
      </w:r>
      <w:r>
        <w:tab/>
      </w:r>
      <w:r>
        <w:tab/>
      </w:r>
      <w:r w:rsidR="00E14A8C">
        <w:t>41</w:t>
      </w:r>
      <w:r w:rsidR="00E14A8C">
        <w:tab/>
        <w:t>10</w:t>
      </w:r>
    </w:p>
    <w:p w14:paraId="185E500C" w14:textId="411F29C6" w:rsidR="0063651F" w:rsidRDefault="0063651F" w:rsidP="0063651F">
      <w:pPr>
        <w:tabs>
          <w:tab w:val="right" w:pos="850"/>
          <w:tab w:val="left" w:pos="1134"/>
          <w:tab w:val="left" w:pos="1559"/>
          <w:tab w:val="left" w:pos="1984"/>
          <w:tab w:val="left" w:leader="dot" w:pos="7654"/>
          <w:tab w:val="right" w:pos="8929"/>
          <w:tab w:val="right" w:pos="9638"/>
        </w:tabs>
        <w:spacing w:before="120" w:after="120"/>
        <w:ind w:left="735"/>
      </w:pPr>
      <w:r>
        <w:tab/>
      </w:r>
      <w:r>
        <w:tab/>
        <w:t>D.</w:t>
      </w:r>
      <w:r>
        <w:tab/>
      </w:r>
      <w:r w:rsidR="00163068" w:rsidRPr="00BE68BE">
        <w:t>Future considerations for medical devices powered by lithium batteries</w:t>
      </w:r>
      <w:r>
        <w:tab/>
      </w:r>
      <w:r>
        <w:tab/>
      </w:r>
      <w:r w:rsidR="00FC6CB1">
        <w:t>42</w:t>
      </w:r>
      <w:r>
        <w:tab/>
      </w:r>
      <w:r w:rsidR="00FC6CB1">
        <w:t>10</w:t>
      </w:r>
    </w:p>
    <w:p w14:paraId="75319155" w14:textId="0A07FF90"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559" w:hanging="824"/>
      </w:pPr>
      <w:r>
        <w:tab/>
      </w:r>
      <w:r>
        <w:tab/>
        <w:t>E.</w:t>
      </w:r>
      <w:r>
        <w:tab/>
      </w:r>
      <w:r w:rsidR="00163068" w:rsidRPr="00B32C74">
        <w:t xml:space="preserve">Amendment to 2.6.3.2 of the Model Regulations - classification of infectious </w:t>
      </w:r>
      <w:r w:rsidR="00F661AE">
        <w:br/>
      </w:r>
      <w:r w:rsidR="00163068" w:rsidRPr="00B32C74">
        <w:t>substances</w:t>
      </w:r>
      <w:r>
        <w:tab/>
      </w:r>
      <w:r>
        <w:tab/>
      </w:r>
      <w:r w:rsidR="00F661AE">
        <w:t>43</w:t>
      </w:r>
      <w:r w:rsidR="00F661AE">
        <w:tab/>
        <w:t>1</w:t>
      </w:r>
      <w:r w:rsidR="00CA18B0">
        <w:t>0</w:t>
      </w:r>
    </w:p>
    <w:p w14:paraId="09A153D5" w14:textId="2314A884"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559" w:hanging="824"/>
        <w:rPr>
          <w:lang w:val="en-US" w:eastAsia="ja-JP"/>
        </w:rPr>
      </w:pPr>
      <w:r>
        <w:tab/>
      </w:r>
      <w:r>
        <w:tab/>
        <w:t>F.</w:t>
      </w:r>
      <w:r>
        <w:tab/>
      </w:r>
      <w:r w:rsidR="00163068" w:rsidRPr="00EB0F09">
        <w:t xml:space="preserve">Present and future products in the liquid petroleum gas industry - proposal </w:t>
      </w:r>
      <w:r w:rsidR="00F661AE">
        <w:br/>
      </w:r>
      <w:r w:rsidR="00163068" w:rsidRPr="00EB0F09">
        <w:t>for a new UN number</w:t>
      </w:r>
      <w:r>
        <w:rPr>
          <w:lang w:val="en-US" w:eastAsia="ja-JP"/>
        </w:rPr>
        <w:tab/>
      </w:r>
      <w:r w:rsidR="00F661AE">
        <w:rPr>
          <w:lang w:val="en-US" w:eastAsia="ja-JP"/>
        </w:rPr>
        <w:tab/>
        <w:t>44</w:t>
      </w:r>
      <w:r w:rsidR="00F661AE">
        <w:rPr>
          <w:lang w:val="en-US" w:eastAsia="ja-JP"/>
        </w:rPr>
        <w:tab/>
        <w:t>11</w:t>
      </w:r>
    </w:p>
    <w:p w14:paraId="0D19BFDD" w14:textId="4086960B" w:rsidR="0063651F" w:rsidRDefault="0063651F" w:rsidP="0063651F">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rPr>
          <w:lang w:val="en-US" w:eastAsia="ja-JP"/>
        </w:rPr>
        <w:tab/>
      </w:r>
      <w:r>
        <w:rPr>
          <w:lang w:val="en-US" w:eastAsia="ja-JP"/>
        </w:rPr>
        <w:tab/>
        <w:t>G.</w:t>
      </w:r>
      <w:r>
        <w:rPr>
          <w:lang w:val="en-US" w:eastAsia="ja-JP"/>
        </w:rPr>
        <w:tab/>
      </w:r>
      <w:r w:rsidR="00163068" w:rsidRPr="00BE68BE">
        <w:t>Hermetically sealed packaging</w:t>
      </w:r>
      <w:r>
        <w:rPr>
          <w:lang w:val="en-US" w:eastAsia="ja-JP"/>
        </w:rPr>
        <w:tab/>
      </w:r>
      <w:r>
        <w:rPr>
          <w:lang w:val="en-US" w:eastAsia="ja-JP"/>
        </w:rPr>
        <w:tab/>
      </w:r>
      <w:r w:rsidR="00F661AE">
        <w:rPr>
          <w:lang w:val="en-US" w:eastAsia="ja-JP"/>
        </w:rPr>
        <w:t>45</w:t>
      </w:r>
      <w:r>
        <w:rPr>
          <w:lang w:val="en-US" w:eastAsia="ja-JP"/>
        </w:rPr>
        <w:tab/>
      </w:r>
      <w:r w:rsidR="00F661AE">
        <w:rPr>
          <w:lang w:val="en-US" w:eastAsia="ja-JP"/>
        </w:rPr>
        <w:t>11</w:t>
      </w:r>
    </w:p>
    <w:p w14:paraId="2FE23E94" w14:textId="5E00F4F6" w:rsidR="0063651F" w:rsidRDefault="0063651F" w:rsidP="0063651F">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rPr>
          <w:lang w:val="en-US" w:eastAsia="ja-JP"/>
        </w:rPr>
        <w:tab/>
      </w:r>
      <w:r>
        <w:rPr>
          <w:lang w:val="en-US" w:eastAsia="ja-JP"/>
        </w:rPr>
        <w:tab/>
        <w:t>H.</w:t>
      </w:r>
      <w:r>
        <w:rPr>
          <w:lang w:val="en-US" w:eastAsia="ja-JP"/>
        </w:rPr>
        <w:tab/>
      </w:r>
      <w:r w:rsidR="00163068">
        <w:t>Classification of UN 2372 1,2-DI-(DIMETHYLAMINO) ETHANE</w:t>
      </w:r>
      <w:r>
        <w:rPr>
          <w:lang w:val="en-US" w:eastAsia="ja-JP"/>
        </w:rPr>
        <w:tab/>
      </w:r>
      <w:r>
        <w:rPr>
          <w:lang w:val="en-US" w:eastAsia="ja-JP"/>
        </w:rPr>
        <w:tab/>
      </w:r>
      <w:r w:rsidR="00F661AE">
        <w:rPr>
          <w:lang w:val="en-US" w:eastAsia="ja-JP"/>
        </w:rPr>
        <w:t>46</w:t>
      </w:r>
      <w:r>
        <w:rPr>
          <w:lang w:val="en-US" w:eastAsia="ja-JP"/>
        </w:rPr>
        <w:tab/>
      </w:r>
      <w:r w:rsidR="00F661AE">
        <w:rPr>
          <w:lang w:val="en-US" w:eastAsia="ja-JP"/>
        </w:rPr>
        <w:t>11</w:t>
      </w:r>
    </w:p>
    <w:p w14:paraId="15877D93" w14:textId="27A09935"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559" w:hanging="824"/>
        <w:rPr>
          <w:lang w:val="en-US" w:eastAsia="ja-JP"/>
        </w:rPr>
      </w:pPr>
      <w:r>
        <w:rPr>
          <w:lang w:val="en-US" w:eastAsia="ja-JP"/>
        </w:rPr>
        <w:tab/>
      </w:r>
      <w:r>
        <w:rPr>
          <w:lang w:val="en-US" w:eastAsia="ja-JP"/>
        </w:rPr>
        <w:tab/>
        <w:t>I.</w:t>
      </w:r>
      <w:r>
        <w:rPr>
          <w:lang w:val="en-US" w:eastAsia="ja-JP"/>
        </w:rPr>
        <w:tab/>
      </w:r>
      <w:r w:rsidR="00163068" w:rsidRPr="00310546">
        <w:t>Report from the correspondence group on the differentiation between UN 1950</w:t>
      </w:r>
      <w:r w:rsidR="00F661AE">
        <w:br/>
      </w:r>
      <w:r w:rsidR="00163068" w:rsidRPr="00310546">
        <w:t xml:space="preserve"> and UN 2037</w:t>
      </w:r>
      <w:r>
        <w:rPr>
          <w:lang w:val="en-US" w:eastAsia="ja-JP"/>
        </w:rPr>
        <w:tab/>
      </w:r>
      <w:r w:rsidR="00F661AE">
        <w:rPr>
          <w:lang w:val="en-US" w:eastAsia="ja-JP"/>
        </w:rPr>
        <w:tab/>
        <w:t>47</w:t>
      </w:r>
      <w:r w:rsidR="00F661AE">
        <w:rPr>
          <w:lang w:val="en-US" w:eastAsia="ja-JP"/>
        </w:rPr>
        <w:tab/>
        <w:t>11</w:t>
      </w:r>
    </w:p>
    <w:p w14:paraId="09E920A9" w14:textId="6FE3E52B"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559" w:hanging="824"/>
        <w:rPr>
          <w:lang w:val="en-US" w:eastAsia="ja-JP"/>
        </w:rPr>
      </w:pPr>
      <w:r>
        <w:rPr>
          <w:lang w:val="en-US" w:eastAsia="ja-JP"/>
        </w:rPr>
        <w:tab/>
      </w:r>
      <w:r>
        <w:rPr>
          <w:lang w:val="en-US" w:eastAsia="ja-JP"/>
        </w:rPr>
        <w:tab/>
        <w:t>J.</w:t>
      </w:r>
      <w:r>
        <w:rPr>
          <w:lang w:val="en-US" w:eastAsia="ja-JP"/>
        </w:rPr>
        <w:tab/>
      </w:r>
      <w:r w:rsidR="00163068" w:rsidRPr="00F80CDB">
        <w:rPr>
          <w:rFonts w:eastAsia="MS Mincho"/>
        </w:rPr>
        <w:t xml:space="preserve">Carriage of liquid organic hydrogen carrier (LOHC) - new </w:t>
      </w:r>
      <w:r w:rsidR="00163068" w:rsidRPr="003440F0">
        <w:t>special</w:t>
      </w:r>
      <w:r w:rsidR="00163068" w:rsidRPr="00F80CDB">
        <w:rPr>
          <w:rFonts w:eastAsia="MS Mincho"/>
        </w:rPr>
        <w:t xml:space="preserve"> provision</w:t>
      </w:r>
      <w:r w:rsidR="00D03BEB">
        <w:rPr>
          <w:rFonts w:eastAsia="MS Mincho"/>
        </w:rPr>
        <w:br/>
      </w:r>
      <w:r w:rsidR="00163068" w:rsidRPr="00F80CDB">
        <w:rPr>
          <w:rFonts w:eastAsia="MS Mincho"/>
        </w:rPr>
        <w:t xml:space="preserve"> to UN 3082</w:t>
      </w:r>
      <w:r>
        <w:rPr>
          <w:lang w:val="en-US" w:eastAsia="ja-JP"/>
        </w:rPr>
        <w:tab/>
      </w:r>
      <w:r>
        <w:rPr>
          <w:lang w:val="en-US" w:eastAsia="ja-JP"/>
        </w:rPr>
        <w:tab/>
      </w:r>
      <w:r w:rsidR="00D03BEB">
        <w:rPr>
          <w:lang w:val="en-US" w:eastAsia="ja-JP"/>
        </w:rPr>
        <w:t>48</w:t>
      </w:r>
      <w:r w:rsidR="00D03BEB">
        <w:rPr>
          <w:lang w:val="en-US" w:eastAsia="ja-JP"/>
        </w:rPr>
        <w:tab/>
        <w:t>1</w:t>
      </w:r>
      <w:r w:rsidR="00CA18B0">
        <w:rPr>
          <w:lang w:val="en-US" w:eastAsia="ja-JP"/>
        </w:rPr>
        <w:t>1</w:t>
      </w:r>
    </w:p>
    <w:p w14:paraId="4F96A5F8" w14:textId="2B7E2807"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559" w:hanging="824"/>
        <w:rPr>
          <w:lang w:val="en-US" w:eastAsia="ja-JP"/>
        </w:rPr>
      </w:pPr>
      <w:r>
        <w:rPr>
          <w:lang w:val="en-US" w:eastAsia="ja-JP"/>
        </w:rPr>
        <w:tab/>
      </w:r>
      <w:r>
        <w:rPr>
          <w:lang w:val="en-US" w:eastAsia="ja-JP"/>
        </w:rPr>
        <w:tab/>
        <w:t>K.</w:t>
      </w:r>
      <w:r>
        <w:rPr>
          <w:lang w:val="en-US" w:eastAsia="ja-JP"/>
        </w:rPr>
        <w:tab/>
      </w:r>
      <w:r w:rsidR="00163068">
        <w:t xml:space="preserve">Transport provisions for small quantities of environmentally hazardous paints and </w:t>
      </w:r>
      <w:r w:rsidR="00246CA7">
        <w:br/>
      </w:r>
      <w:r w:rsidR="00163068">
        <w:t>printing inks</w:t>
      </w:r>
      <w:r w:rsidR="00246CA7">
        <w:t xml:space="preserve"> </w:t>
      </w:r>
      <w:r w:rsidR="00163068">
        <w:t>(and related materials)</w:t>
      </w:r>
      <w:r>
        <w:rPr>
          <w:lang w:val="en-US" w:eastAsia="ja-JP"/>
        </w:rPr>
        <w:tab/>
      </w:r>
      <w:r>
        <w:rPr>
          <w:lang w:val="en-US" w:eastAsia="ja-JP"/>
        </w:rPr>
        <w:tab/>
      </w:r>
      <w:r w:rsidR="00185788">
        <w:rPr>
          <w:lang w:val="en-US" w:eastAsia="ja-JP"/>
        </w:rPr>
        <w:t>49-50</w:t>
      </w:r>
      <w:r>
        <w:rPr>
          <w:lang w:val="en-US" w:eastAsia="ja-JP"/>
        </w:rPr>
        <w:tab/>
      </w:r>
      <w:r w:rsidR="00185788">
        <w:rPr>
          <w:lang w:val="en-US" w:eastAsia="ja-JP"/>
        </w:rPr>
        <w:t>12</w:t>
      </w:r>
    </w:p>
    <w:p w14:paraId="616A0C3C" w14:textId="262E8FC6" w:rsidR="0063651F" w:rsidRDefault="0063651F" w:rsidP="0063651F">
      <w:pPr>
        <w:tabs>
          <w:tab w:val="right" w:pos="850"/>
          <w:tab w:val="left" w:pos="1134"/>
          <w:tab w:val="left" w:pos="1559"/>
          <w:tab w:val="left" w:pos="1984"/>
          <w:tab w:val="left" w:leader="dot" w:pos="7654"/>
          <w:tab w:val="right" w:pos="8929"/>
          <w:tab w:val="right" w:pos="9638"/>
        </w:tabs>
        <w:spacing w:before="120" w:after="120"/>
        <w:ind w:left="735"/>
        <w:rPr>
          <w:bCs/>
          <w:lang w:val="en-US"/>
        </w:rPr>
      </w:pPr>
      <w:r>
        <w:rPr>
          <w:lang w:val="en-US" w:eastAsia="ja-JP"/>
        </w:rPr>
        <w:tab/>
      </w:r>
      <w:r>
        <w:rPr>
          <w:lang w:val="en-US" w:eastAsia="ja-JP"/>
        </w:rPr>
        <w:tab/>
        <w:t>L.</w:t>
      </w:r>
      <w:r>
        <w:rPr>
          <w:lang w:val="en-US" w:eastAsia="ja-JP"/>
        </w:rPr>
        <w:tab/>
      </w:r>
      <w:r w:rsidR="00163068" w:rsidRPr="005E003D">
        <w:rPr>
          <w:bCs/>
        </w:rPr>
        <w:t>Precedence of classes - corrections to 2.0.3.1 and 2.8.2.4 to align with 2.6.2.2.4.1</w:t>
      </w:r>
      <w:r>
        <w:rPr>
          <w:bCs/>
          <w:lang w:val="en-US"/>
        </w:rPr>
        <w:tab/>
      </w:r>
      <w:r w:rsidR="00185788">
        <w:rPr>
          <w:bCs/>
          <w:lang w:val="en-US"/>
        </w:rPr>
        <w:t>51</w:t>
      </w:r>
      <w:r>
        <w:rPr>
          <w:bCs/>
          <w:lang w:val="en-US"/>
        </w:rPr>
        <w:tab/>
      </w:r>
      <w:r w:rsidR="00185788">
        <w:rPr>
          <w:bCs/>
          <w:lang w:val="en-US"/>
        </w:rPr>
        <w:t>12</w:t>
      </w:r>
    </w:p>
    <w:p w14:paraId="6CB5F385" w14:textId="03F4BAC9" w:rsidR="0063651F" w:rsidRDefault="0063651F" w:rsidP="0063651F">
      <w:pPr>
        <w:tabs>
          <w:tab w:val="right" w:pos="850"/>
          <w:tab w:val="left" w:pos="1134"/>
          <w:tab w:val="left" w:pos="1559"/>
          <w:tab w:val="left" w:pos="1984"/>
          <w:tab w:val="left" w:leader="dot" w:pos="7654"/>
          <w:tab w:val="right" w:pos="8929"/>
          <w:tab w:val="right" w:pos="9638"/>
        </w:tabs>
        <w:spacing w:before="120" w:after="120"/>
        <w:ind w:left="735"/>
      </w:pPr>
      <w:r>
        <w:t>VI.</w:t>
      </w:r>
      <w:r>
        <w:tab/>
        <w:t>Electric storage systems (agenda item 4)</w:t>
      </w:r>
      <w:r>
        <w:tab/>
      </w:r>
      <w:r>
        <w:tab/>
      </w:r>
      <w:r w:rsidR="00185788">
        <w:t>52-</w:t>
      </w:r>
      <w:r w:rsidR="0080413D">
        <w:t>66</w:t>
      </w:r>
      <w:r>
        <w:tab/>
      </w:r>
      <w:r w:rsidR="001A60DD">
        <w:t>12</w:t>
      </w:r>
    </w:p>
    <w:p w14:paraId="1B4C2B55" w14:textId="79871EB4"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t>A.</w:t>
      </w:r>
      <w:r>
        <w:tab/>
        <w:t>Testing of lithium batteries</w:t>
      </w:r>
      <w:r>
        <w:tab/>
      </w:r>
      <w:r>
        <w:tab/>
      </w:r>
      <w:r w:rsidR="001A60DD">
        <w:t>52</w:t>
      </w:r>
      <w:r>
        <w:tab/>
      </w:r>
      <w:r w:rsidR="001A60DD">
        <w:t>12</w:t>
      </w:r>
    </w:p>
    <w:p w14:paraId="542712A7" w14:textId="52C06F40"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t>B.</w:t>
      </w:r>
      <w:r>
        <w:tab/>
        <w:t>Hazard based system for classification of lithium batteries</w:t>
      </w:r>
      <w:r>
        <w:tab/>
      </w:r>
      <w:r>
        <w:tab/>
      </w:r>
      <w:r w:rsidR="001A60DD">
        <w:t>53</w:t>
      </w:r>
      <w:r w:rsidR="0068198C">
        <w:t>-54</w:t>
      </w:r>
      <w:r>
        <w:tab/>
      </w:r>
      <w:r w:rsidR="001A60DD">
        <w:t>12</w:t>
      </w:r>
    </w:p>
    <w:p w14:paraId="7A036209" w14:textId="7C0859C2"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t>C.</w:t>
      </w:r>
      <w:r>
        <w:tab/>
        <w:t>Transport provisions</w:t>
      </w:r>
      <w:r>
        <w:tab/>
      </w:r>
      <w:r>
        <w:tab/>
      </w:r>
      <w:r w:rsidR="0068198C">
        <w:t>55-59</w:t>
      </w:r>
      <w:r>
        <w:tab/>
      </w:r>
      <w:r w:rsidR="0068198C">
        <w:t>13</w:t>
      </w:r>
    </w:p>
    <w:p w14:paraId="6ED4FD82" w14:textId="6036E0EA"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r>
      <w:r>
        <w:tab/>
        <w:t>1.</w:t>
      </w:r>
      <w:r>
        <w:tab/>
      </w:r>
      <w:r w:rsidR="00163068" w:rsidRPr="00BE68BE">
        <w:t>Amendments to special provision 384 in the Model Regulations</w:t>
      </w:r>
      <w:r>
        <w:tab/>
      </w:r>
      <w:r>
        <w:tab/>
      </w:r>
      <w:r w:rsidR="005D50FF">
        <w:t>55</w:t>
      </w:r>
      <w:r>
        <w:tab/>
      </w:r>
      <w:r w:rsidR="005D50FF">
        <w:t>13</w:t>
      </w:r>
    </w:p>
    <w:p w14:paraId="7C0E695F" w14:textId="19750059"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980" w:hanging="1980"/>
      </w:pPr>
      <w:r>
        <w:tab/>
      </w:r>
      <w:r>
        <w:tab/>
      </w:r>
      <w:r>
        <w:tab/>
        <w:t>2.</w:t>
      </w:r>
      <w:r>
        <w:tab/>
      </w:r>
      <w:r w:rsidR="00163068" w:rsidRPr="00BE68BE">
        <w:rPr>
          <w:lang w:val="en-US"/>
        </w:rPr>
        <w:t>Proposal</w:t>
      </w:r>
      <w:r w:rsidR="00163068" w:rsidRPr="00BE68BE">
        <w:rPr>
          <w:rFonts w:eastAsia="MS Mincho"/>
          <w:lang w:val="en-US" w:eastAsia="ja-JP"/>
        </w:rPr>
        <w:t xml:space="preserve"> for the lithium battery mark located on the same </w:t>
      </w:r>
      <w:r w:rsidR="00163068" w:rsidRPr="00BE68BE">
        <w:rPr>
          <w:lang w:val="en-US"/>
        </w:rPr>
        <w:t>surface</w:t>
      </w:r>
      <w:r w:rsidR="00163068" w:rsidRPr="00BE68BE">
        <w:rPr>
          <w:rFonts w:eastAsia="MS Mincho"/>
          <w:lang w:val="en-US" w:eastAsia="ja-JP"/>
        </w:rPr>
        <w:t xml:space="preserve"> of the package</w:t>
      </w:r>
      <w:r w:rsidR="00163068">
        <w:rPr>
          <w:rFonts w:eastAsia="MS Mincho"/>
          <w:lang w:val="en-US" w:eastAsia="ja-JP"/>
        </w:rPr>
        <w:br/>
      </w:r>
      <w:r w:rsidR="00163068" w:rsidRPr="00BE68BE">
        <w:rPr>
          <w:rFonts w:eastAsia="MS Mincho"/>
          <w:lang w:val="en-US" w:eastAsia="ja-JP"/>
        </w:rPr>
        <w:t>near the hazard labels</w:t>
      </w:r>
      <w:r>
        <w:tab/>
      </w:r>
      <w:r>
        <w:tab/>
      </w:r>
      <w:r w:rsidR="005D50FF">
        <w:t>56</w:t>
      </w:r>
      <w:r>
        <w:tab/>
      </w:r>
      <w:r w:rsidR="005D50FF">
        <w:t>13</w:t>
      </w:r>
    </w:p>
    <w:p w14:paraId="4FED592C" w14:textId="5AE09085"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r>
      <w:r>
        <w:tab/>
        <w:t>3.</w:t>
      </w:r>
      <w:r>
        <w:tab/>
      </w:r>
      <w:r w:rsidR="00163068" w:rsidRPr="00BE68BE">
        <w:t>Future considerations for medical devices powered by lithium batteries</w:t>
      </w:r>
      <w:r>
        <w:tab/>
      </w:r>
      <w:r w:rsidR="005D50FF">
        <w:t>57-58</w:t>
      </w:r>
      <w:r>
        <w:tab/>
      </w:r>
      <w:r w:rsidR="005D50FF">
        <w:t>13</w:t>
      </w:r>
    </w:p>
    <w:p w14:paraId="2D7E1E3D" w14:textId="5BCDB41B"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980" w:hanging="1980"/>
      </w:pPr>
      <w:r>
        <w:tab/>
      </w:r>
      <w:r>
        <w:tab/>
      </w:r>
      <w:r>
        <w:tab/>
        <w:t>4.</w:t>
      </w:r>
      <w:r>
        <w:tab/>
      </w:r>
      <w:r w:rsidR="00163068" w:rsidRPr="00A41792">
        <w:t xml:space="preserve">Transport provisions for </w:t>
      </w:r>
      <w:r w:rsidR="00163068">
        <w:t>hybrid batteries with</w:t>
      </w:r>
      <w:r w:rsidR="00163068" w:rsidRPr="00A41792">
        <w:t xml:space="preserve"> both lithium</w:t>
      </w:r>
      <w:r w:rsidR="00163068">
        <w:t xml:space="preserve"> </w:t>
      </w:r>
      <w:r w:rsidR="00163068" w:rsidRPr="00A41792">
        <w:t xml:space="preserve">ion cells and </w:t>
      </w:r>
      <w:r w:rsidR="005D50FF">
        <w:br/>
      </w:r>
      <w:r w:rsidR="00163068" w:rsidRPr="00A41792">
        <w:t>sodium</w:t>
      </w:r>
      <w:r w:rsidR="00163068">
        <w:t xml:space="preserve"> </w:t>
      </w:r>
      <w:r w:rsidR="00163068" w:rsidRPr="00A41792">
        <w:t>ion cells</w:t>
      </w:r>
      <w:r>
        <w:tab/>
      </w:r>
      <w:r w:rsidR="005D50FF">
        <w:tab/>
      </w:r>
      <w:r w:rsidR="0096298D">
        <w:t>59</w:t>
      </w:r>
      <w:r w:rsidR="005D50FF">
        <w:tab/>
      </w:r>
      <w:r w:rsidR="0096298D">
        <w:t>13</w:t>
      </w:r>
    </w:p>
    <w:p w14:paraId="5A5ADB9B" w14:textId="14DB9122"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t>D.</w:t>
      </w:r>
      <w:r>
        <w:tab/>
        <w:t>Damaged of defective lithium batteries</w:t>
      </w:r>
      <w:r>
        <w:tab/>
      </w:r>
      <w:r>
        <w:tab/>
      </w:r>
      <w:r w:rsidR="0096298D">
        <w:t>60-61</w:t>
      </w:r>
      <w:r>
        <w:tab/>
      </w:r>
      <w:r w:rsidR="00917872">
        <w:t>1</w:t>
      </w:r>
      <w:r w:rsidR="00CA18B0">
        <w:t>3</w:t>
      </w:r>
    </w:p>
    <w:p w14:paraId="6AA7B427" w14:textId="768F9C1B"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t>E.</w:t>
      </w:r>
      <w:r>
        <w:tab/>
        <w:t>Sodium-ion batteries</w:t>
      </w:r>
      <w:r>
        <w:tab/>
      </w:r>
      <w:r>
        <w:tab/>
      </w:r>
      <w:r w:rsidR="00917872">
        <w:t>62-</w:t>
      </w:r>
      <w:r w:rsidR="00E75F36">
        <w:t>65</w:t>
      </w:r>
      <w:r>
        <w:tab/>
      </w:r>
      <w:r w:rsidR="00E75F36">
        <w:t>14</w:t>
      </w:r>
    </w:p>
    <w:p w14:paraId="3EB73D1F" w14:textId="6A712432"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t>F.</w:t>
      </w:r>
      <w:r>
        <w:tab/>
        <w:t>Miscellaneous</w:t>
      </w:r>
      <w:r>
        <w:tab/>
      </w:r>
      <w:r>
        <w:tab/>
      </w:r>
      <w:r w:rsidR="00E75F36">
        <w:t>66</w:t>
      </w:r>
      <w:r>
        <w:tab/>
      </w:r>
      <w:r w:rsidR="00E75F36">
        <w:t>14</w:t>
      </w:r>
    </w:p>
    <w:p w14:paraId="0E33C37D" w14:textId="756F2F23"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t>VII.</w:t>
      </w:r>
      <w:r>
        <w:tab/>
        <w:t>Transport of gases</w:t>
      </w:r>
      <w:r w:rsidR="00163068">
        <w:t xml:space="preserve"> </w:t>
      </w:r>
      <w:r w:rsidR="00163068" w:rsidRPr="00634742">
        <w:t>(agenda item</w:t>
      </w:r>
      <w:r w:rsidR="00163068">
        <w:t> 5</w:t>
      </w:r>
      <w:r w:rsidR="00163068" w:rsidRPr="00634742">
        <w:t>)</w:t>
      </w:r>
      <w:r>
        <w:tab/>
      </w:r>
      <w:r>
        <w:tab/>
      </w:r>
      <w:r w:rsidR="00E75F36">
        <w:t>67-</w:t>
      </w:r>
      <w:r w:rsidR="006A14CB">
        <w:t>71</w:t>
      </w:r>
      <w:r>
        <w:tab/>
      </w:r>
      <w:r w:rsidR="006A14CB">
        <w:t>14</w:t>
      </w:r>
    </w:p>
    <w:p w14:paraId="72DF3AF2" w14:textId="2A47B06B" w:rsidR="0063651F" w:rsidRDefault="0063651F" w:rsidP="0063651F">
      <w:pPr>
        <w:tabs>
          <w:tab w:val="right" w:pos="850"/>
          <w:tab w:val="left" w:pos="1134"/>
          <w:tab w:val="left" w:pos="1559"/>
          <w:tab w:val="left" w:pos="1984"/>
          <w:tab w:val="left" w:leader="dot" w:pos="7654"/>
          <w:tab w:val="right" w:pos="8929"/>
          <w:tab w:val="right" w:pos="9638"/>
        </w:tabs>
        <w:spacing w:before="120" w:after="120"/>
        <w:ind w:left="735"/>
      </w:pPr>
      <w:r>
        <w:tab/>
      </w:r>
      <w:r>
        <w:tab/>
        <w:t>A.</w:t>
      </w:r>
      <w:r>
        <w:tab/>
        <w:t>Global recognition of UN and non-UN pressure receptacles</w:t>
      </w:r>
      <w:r>
        <w:tab/>
      </w:r>
      <w:r>
        <w:tab/>
      </w:r>
      <w:r w:rsidR="006A14CB">
        <w:t>67</w:t>
      </w:r>
      <w:r>
        <w:tab/>
      </w:r>
      <w:r w:rsidR="006A14CB">
        <w:t>14</w:t>
      </w:r>
    </w:p>
    <w:p w14:paraId="78E53A04" w14:textId="465B8CE8"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t>B.</w:t>
      </w:r>
      <w:r>
        <w:tab/>
        <w:t>Limited quantities for division 2.2</w:t>
      </w:r>
      <w:r>
        <w:tab/>
      </w:r>
      <w:r>
        <w:tab/>
      </w:r>
      <w:r w:rsidR="002D6491">
        <w:t>68</w:t>
      </w:r>
      <w:r>
        <w:tab/>
      </w:r>
      <w:r w:rsidR="00E07E3E">
        <w:t>1</w:t>
      </w:r>
      <w:r w:rsidR="00CA18B0">
        <w:t>4</w:t>
      </w:r>
    </w:p>
    <w:p w14:paraId="0CEF9F12" w14:textId="41398C07"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lastRenderedPageBreak/>
        <w:tab/>
      </w:r>
      <w:r>
        <w:tab/>
        <w:t>C.</w:t>
      </w:r>
      <w:r>
        <w:tab/>
        <w:t>Miscellaneous</w:t>
      </w:r>
      <w:r>
        <w:tab/>
      </w:r>
      <w:r>
        <w:tab/>
      </w:r>
      <w:r w:rsidR="00E07E3E">
        <w:t>69-71</w:t>
      </w:r>
      <w:r>
        <w:tab/>
      </w:r>
      <w:r w:rsidR="00114C2B">
        <w:t>1</w:t>
      </w:r>
      <w:r w:rsidR="00384830">
        <w:t>4</w:t>
      </w:r>
    </w:p>
    <w:p w14:paraId="5FB63381" w14:textId="57BDCA06"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980" w:hanging="1980"/>
      </w:pPr>
      <w:r>
        <w:tab/>
      </w:r>
      <w:r>
        <w:tab/>
      </w:r>
      <w:r>
        <w:tab/>
        <w:t>1.</w:t>
      </w:r>
      <w:r>
        <w:tab/>
      </w:r>
      <w:r w:rsidR="00601254" w:rsidRPr="005E003D">
        <w:t xml:space="preserve">Report of the intersessional working group on the </w:t>
      </w:r>
      <w:proofErr w:type="spellStart"/>
      <w:r w:rsidR="00601254" w:rsidRPr="005E003D">
        <w:t>pV</w:t>
      </w:r>
      <w:proofErr w:type="spellEnd"/>
      <w:r w:rsidR="00601254" w:rsidRPr="005E003D">
        <w:t>-product limit for pressure</w:t>
      </w:r>
      <w:r w:rsidR="00114C2B">
        <w:br/>
      </w:r>
      <w:r w:rsidR="00601254" w:rsidRPr="005E003D">
        <w:t xml:space="preserve"> receptacles</w:t>
      </w:r>
      <w:r>
        <w:tab/>
      </w:r>
      <w:r w:rsidR="00114C2B">
        <w:tab/>
      </w:r>
      <w:r w:rsidR="007D1126">
        <w:t>69</w:t>
      </w:r>
      <w:r w:rsidR="000B6329">
        <w:t>-7</w:t>
      </w:r>
      <w:r w:rsidR="007D1126">
        <w:t>0</w:t>
      </w:r>
      <w:r w:rsidR="00114C2B">
        <w:tab/>
      </w:r>
      <w:r w:rsidR="00276E15">
        <w:t>1</w:t>
      </w:r>
      <w:r w:rsidR="00384830">
        <w:t>4</w:t>
      </w:r>
    </w:p>
    <w:p w14:paraId="74A09DB4" w14:textId="7A32E277" w:rsidR="0063651F" w:rsidRDefault="0063651F" w:rsidP="00601254">
      <w:pPr>
        <w:tabs>
          <w:tab w:val="right" w:pos="850"/>
          <w:tab w:val="left" w:pos="1134"/>
          <w:tab w:val="left" w:pos="1559"/>
          <w:tab w:val="left" w:pos="1984"/>
          <w:tab w:val="left" w:leader="dot" w:pos="7654"/>
          <w:tab w:val="right" w:pos="8929"/>
          <w:tab w:val="right" w:pos="9638"/>
        </w:tabs>
        <w:spacing w:before="120" w:after="120"/>
      </w:pPr>
      <w:r>
        <w:tab/>
      </w:r>
      <w:r>
        <w:tab/>
      </w:r>
      <w:r>
        <w:tab/>
        <w:t>2.</w:t>
      </w:r>
      <w:r>
        <w:tab/>
      </w:r>
      <w:r w:rsidR="00601254" w:rsidRPr="005E003D">
        <w:t>Updated ISO standards</w:t>
      </w:r>
      <w:r>
        <w:tab/>
      </w:r>
      <w:r>
        <w:tab/>
      </w:r>
      <w:r w:rsidR="00276E15">
        <w:t>7</w:t>
      </w:r>
      <w:r w:rsidR="007D1126">
        <w:t>1</w:t>
      </w:r>
      <w:r>
        <w:tab/>
      </w:r>
      <w:r w:rsidR="00276E15">
        <w:t>1</w:t>
      </w:r>
      <w:r w:rsidR="007A0D8A">
        <w:t>5</w:t>
      </w:r>
    </w:p>
    <w:p w14:paraId="50CF0524" w14:textId="483B74C4" w:rsidR="0063651F" w:rsidRDefault="00DE2F97" w:rsidP="00336A91">
      <w:pPr>
        <w:tabs>
          <w:tab w:val="right" w:pos="850"/>
          <w:tab w:val="left" w:pos="1134"/>
          <w:tab w:val="left" w:pos="1559"/>
          <w:tab w:val="left" w:pos="1984"/>
          <w:tab w:val="left" w:leader="dot" w:pos="7654"/>
          <w:tab w:val="right" w:pos="8929"/>
          <w:tab w:val="right" w:pos="9638"/>
        </w:tabs>
        <w:spacing w:before="120" w:after="120"/>
        <w:ind w:left="1134" w:hanging="1134"/>
      </w:pPr>
      <w:r>
        <w:tab/>
      </w:r>
      <w:r w:rsidR="0063651F">
        <w:t>VIII.</w:t>
      </w:r>
      <w:r w:rsidR="0063651F">
        <w:tab/>
      </w:r>
      <w:r w:rsidR="00601254">
        <w:t xml:space="preserve">Miscellaneous proposals for amendments to the Model Regulations on the Transport </w:t>
      </w:r>
      <w:r w:rsidR="00276E15">
        <w:br/>
      </w:r>
      <w:r w:rsidR="00601254">
        <w:t xml:space="preserve">of Dangerous </w:t>
      </w:r>
      <w:r w:rsidR="00276E15">
        <w:t xml:space="preserve"> </w:t>
      </w:r>
      <w:r w:rsidR="00601254">
        <w:t xml:space="preserve">Goods </w:t>
      </w:r>
      <w:r w:rsidR="00601254" w:rsidRPr="00634742">
        <w:t>(agenda item</w:t>
      </w:r>
      <w:r w:rsidR="00601254">
        <w:t> 6</w:t>
      </w:r>
      <w:r w:rsidR="00601254" w:rsidRPr="00634742">
        <w:t>)</w:t>
      </w:r>
      <w:r w:rsidR="0063651F">
        <w:tab/>
      </w:r>
      <w:r w:rsidR="0063651F">
        <w:tab/>
      </w:r>
      <w:r w:rsidR="00276E15">
        <w:t>72-9</w:t>
      </w:r>
      <w:r w:rsidR="001374E7">
        <w:t>1</w:t>
      </w:r>
      <w:r w:rsidR="0063651F">
        <w:tab/>
      </w:r>
      <w:r w:rsidR="00EC78E0">
        <w:t>15</w:t>
      </w:r>
    </w:p>
    <w:p w14:paraId="0BF5019C" w14:textId="77F81265" w:rsidR="0063651F" w:rsidRDefault="0063651F" w:rsidP="00D9620E">
      <w:pPr>
        <w:tabs>
          <w:tab w:val="right" w:pos="850"/>
          <w:tab w:val="left" w:pos="1134"/>
          <w:tab w:val="left" w:pos="1559"/>
          <w:tab w:val="left" w:pos="1984"/>
          <w:tab w:val="left" w:leader="dot" w:pos="7654"/>
          <w:tab w:val="right" w:pos="8929"/>
          <w:tab w:val="right" w:pos="9638"/>
        </w:tabs>
        <w:spacing w:before="120" w:after="120"/>
        <w:ind w:left="1140"/>
      </w:pPr>
      <w:r>
        <w:t>A.</w:t>
      </w:r>
      <w:r>
        <w:tab/>
        <w:t>Marking and labelling</w:t>
      </w:r>
      <w:r>
        <w:tab/>
      </w:r>
      <w:r>
        <w:tab/>
      </w:r>
      <w:r w:rsidR="00EC78E0">
        <w:t>72</w:t>
      </w:r>
      <w:r>
        <w:tab/>
      </w:r>
      <w:r w:rsidR="00EC78E0">
        <w:t>15</w:t>
      </w:r>
    </w:p>
    <w:p w14:paraId="653CA27E" w14:textId="65A7D6E8" w:rsidR="00D9620E" w:rsidRDefault="0044780E" w:rsidP="00D9620E">
      <w:pPr>
        <w:tabs>
          <w:tab w:val="right" w:pos="850"/>
          <w:tab w:val="left" w:pos="1134"/>
          <w:tab w:val="left" w:pos="1559"/>
          <w:tab w:val="left" w:pos="1984"/>
          <w:tab w:val="left" w:leader="dot" w:pos="7654"/>
          <w:tab w:val="right" w:pos="8929"/>
          <w:tab w:val="right" w:pos="9638"/>
        </w:tabs>
        <w:spacing w:before="120" w:after="120"/>
        <w:ind w:left="1140"/>
      </w:pPr>
      <w:r>
        <w:t>B.</w:t>
      </w:r>
      <w:r>
        <w:tab/>
        <w:t xml:space="preserve">Packagings, </w:t>
      </w:r>
      <w:r w:rsidRPr="00DE5F37">
        <w:t>including the use of recycled plastics material</w:t>
      </w:r>
      <w:r w:rsidR="00EC78E0">
        <w:tab/>
      </w:r>
      <w:r w:rsidR="00EC78E0">
        <w:tab/>
      </w:r>
      <w:r w:rsidR="007260D4">
        <w:t>73-75</w:t>
      </w:r>
      <w:r w:rsidR="00EC78E0">
        <w:tab/>
      </w:r>
      <w:r w:rsidR="000308CF">
        <w:t>15</w:t>
      </w:r>
    </w:p>
    <w:p w14:paraId="7766660A" w14:textId="7B02E68C" w:rsidR="0044780E" w:rsidRDefault="0044780E" w:rsidP="00D9620E">
      <w:pPr>
        <w:tabs>
          <w:tab w:val="right" w:pos="850"/>
          <w:tab w:val="left" w:pos="1134"/>
          <w:tab w:val="left" w:pos="1559"/>
          <w:tab w:val="left" w:pos="1984"/>
          <w:tab w:val="left" w:leader="dot" w:pos="7654"/>
          <w:tab w:val="right" w:pos="8929"/>
          <w:tab w:val="right" w:pos="9638"/>
        </w:tabs>
        <w:spacing w:before="120" w:after="120"/>
        <w:ind w:left="1140"/>
      </w:pPr>
      <w:r>
        <w:tab/>
        <w:t>1.</w:t>
      </w:r>
      <w:r>
        <w:tab/>
      </w:r>
      <w:r w:rsidRPr="00A03B4A">
        <w:t>Use of recycled plastics material for flexible intermediate bulk containers</w:t>
      </w:r>
      <w:r w:rsidR="000308CF">
        <w:tab/>
        <w:t>73-74</w:t>
      </w:r>
      <w:r w:rsidR="000308CF">
        <w:tab/>
        <w:t>15</w:t>
      </w:r>
    </w:p>
    <w:p w14:paraId="6F063302" w14:textId="26FC2E16" w:rsidR="0044780E" w:rsidRDefault="0044780E" w:rsidP="00D9620E">
      <w:pPr>
        <w:tabs>
          <w:tab w:val="right" w:pos="850"/>
          <w:tab w:val="left" w:pos="1134"/>
          <w:tab w:val="left" w:pos="1559"/>
          <w:tab w:val="left" w:pos="1984"/>
          <w:tab w:val="left" w:leader="dot" w:pos="7654"/>
          <w:tab w:val="right" w:pos="8929"/>
          <w:tab w:val="right" w:pos="9638"/>
        </w:tabs>
        <w:spacing w:before="120" w:after="120"/>
        <w:ind w:left="1140"/>
      </w:pPr>
      <w:r>
        <w:tab/>
        <w:t>2.</w:t>
      </w:r>
      <w:r>
        <w:tab/>
      </w:r>
      <w:r w:rsidRPr="00494A26">
        <w:t>Revision of standard ISO 535:2014</w:t>
      </w:r>
      <w:r w:rsidR="000308CF">
        <w:tab/>
      </w:r>
      <w:r w:rsidR="000308CF">
        <w:tab/>
        <w:t>75</w:t>
      </w:r>
      <w:r w:rsidR="000308CF">
        <w:tab/>
        <w:t>1</w:t>
      </w:r>
      <w:r w:rsidR="00384830">
        <w:t>5</w:t>
      </w:r>
    </w:p>
    <w:p w14:paraId="514B74E5" w14:textId="3380B6AB"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t>C.</w:t>
      </w:r>
      <w:r>
        <w:tab/>
        <w:t>Portable tanks</w:t>
      </w:r>
      <w:r>
        <w:tab/>
      </w:r>
      <w:r>
        <w:tab/>
      </w:r>
      <w:r w:rsidR="00ED364B">
        <w:t>76-82</w:t>
      </w:r>
      <w:r>
        <w:tab/>
      </w:r>
      <w:r w:rsidR="00ED364B">
        <w:t>1</w:t>
      </w:r>
      <w:r w:rsidR="00384830">
        <w:t>5</w:t>
      </w:r>
    </w:p>
    <w:p w14:paraId="56D04A02" w14:textId="6BEC8C32"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980" w:hanging="1980"/>
      </w:pPr>
      <w:r>
        <w:tab/>
      </w:r>
      <w:r>
        <w:tab/>
      </w:r>
      <w:r>
        <w:tab/>
        <w:t>1.</w:t>
      </w:r>
      <w:r>
        <w:tab/>
      </w:r>
      <w:r w:rsidR="0044780E" w:rsidRPr="00251408">
        <w:t xml:space="preserve">Modification of the definitions of "FRP tank" and "FRP shell" in 6.9.2.1 </w:t>
      </w:r>
      <w:r w:rsidR="00ED364B">
        <w:br/>
      </w:r>
      <w:r w:rsidR="0044780E" w:rsidRPr="00251408">
        <w:t>of the Model</w:t>
      </w:r>
      <w:r w:rsidR="005D5944">
        <w:t xml:space="preserve"> </w:t>
      </w:r>
      <w:r w:rsidR="0044780E" w:rsidRPr="00251408">
        <w:t>Regulations</w:t>
      </w:r>
      <w:r>
        <w:tab/>
      </w:r>
      <w:r>
        <w:tab/>
      </w:r>
      <w:r w:rsidR="00ED364B">
        <w:t>76</w:t>
      </w:r>
      <w:r>
        <w:tab/>
      </w:r>
      <w:r w:rsidR="00EC3F70">
        <w:t>1</w:t>
      </w:r>
      <w:r w:rsidR="000E77D8">
        <w:t>5</w:t>
      </w:r>
    </w:p>
    <w:p w14:paraId="0FB4203F" w14:textId="5FBC8716" w:rsidR="0063651F" w:rsidRDefault="0063651F" w:rsidP="005D5944">
      <w:pPr>
        <w:tabs>
          <w:tab w:val="right" w:pos="850"/>
          <w:tab w:val="left" w:pos="1134"/>
          <w:tab w:val="left" w:pos="1559"/>
          <w:tab w:val="left" w:pos="1984"/>
          <w:tab w:val="left" w:leader="dot" w:pos="7654"/>
          <w:tab w:val="right" w:pos="8929"/>
          <w:tab w:val="right" w:pos="9638"/>
        </w:tabs>
        <w:spacing w:before="120" w:after="120"/>
        <w:ind w:left="1980" w:hanging="1980"/>
      </w:pPr>
      <w:r>
        <w:tab/>
      </w:r>
      <w:r>
        <w:tab/>
      </w:r>
      <w:r>
        <w:tab/>
        <w:t>2.</w:t>
      </w:r>
      <w:r>
        <w:tab/>
      </w:r>
      <w:r w:rsidR="005D5944" w:rsidRPr="00BE68BE">
        <w:rPr>
          <w:lang w:val="en-US"/>
        </w:rPr>
        <w:t xml:space="preserve">Report from the informal working group on </w:t>
      </w:r>
      <w:proofErr w:type="spellStart"/>
      <w:r w:rsidR="005D5944" w:rsidRPr="00BE68BE">
        <w:rPr>
          <w:lang w:val="en-US"/>
        </w:rPr>
        <w:t>fibre</w:t>
      </w:r>
      <w:proofErr w:type="spellEnd"/>
      <w:r w:rsidR="005D5944" w:rsidRPr="00BE68BE">
        <w:rPr>
          <w:lang w:val="en-US"/>
        </w:rPr>
        <w:t xml:space="preserve"> reinforced </w:t>
      </w:r>
      <w:r w:rsidR="005D5944" w:rsidRPr="003440F0">
        <w:t>plastics</w:t>
      </w:r>
      <w:r w:rsidR="005D5944" w:rsidRPr="00BE68BE">
        <w:rPr>
          <w:lang w:val="en-US"/>
        </w:rPr>
        <w:t xml:space="preserve"> service</w:t>
      </w:r>
      <w:r w:rsidR="00EC3F70">
        <w:rPr>
          <w:lang w:val="en-US"/>
        </w:rPr>
        <w:br/>
      </w:r>
      <w:r w:rsidR="005D5944" w:rsidRPr="00BE68BE">
        <w:rPr>
          <w:lang w:val="en-US"/>
        </w:rPr>
        <w:t xml:space="preserve"> equipment for portable tanks</w:t>
      </w:r>
      <w:r>
        <w:tab/>
      </w:r>
      <w:r>
        <w:tab/>
      </w:r>
      <w:r w:rsidR="00EC3F70">
        <w:t>77-80</w:t>
      </w:r>
      <w:r>
        <w:tab/>
      </w:r>
      <w:r w:rsidR="00EC3F70">
        <w:t>16</w:t>
      </w:r>
    </w:p>
    <w:p w14:paraId="568DC84B" w14:textId="63EF5616" w:rsidR="005D5944" w:rsidRPr="00336A91" w:rsidRDefault="005D5944" w:rsidP="00336A91">
      <w:pPr>
        <w:tabs>
          <w:tab w:val="right" w:pos="850"/>
          <w:tab w:val="left" w:pos="1134"/>
          <w:tab w:val="left" w:pos="1559"/>
          <w:tab w:val="left" w:pos="1984"/>
          <w:tab w:val="left" w:leader="dot" w:pos="7654"/>
          <w:tab w:val="right" w:pos="8929"/>
          <w:tab w:val="right" w:pos="9638"/>
        </w:tabs>
        <w:spacing w:before="120" w:after="120"/>
        <w:ind w:left="1980" w:hanging="1980"/>
        <w:rPr>
          <w:lang w:val="en-US"/>
        </w:rPr>
      </w:pPr>
      <w:r w:rsidRPr="00336A91">
        <w:rPr>
          <w:lang w:val="en-US"/>
        </w:rPr>
        <w:tab/>
      </w:r>
      <w:r w:rsidRPr="00336A91">
        <w:rPr>
          <w:lang w:val="en-US"/>
        </w:rPr>
        <w:tab/>
      </w:r>
      <w:r w:rsidRPr="00336A91">
        <w:rPr>
          <w:lang w:val="en-US"/>
        </w:rPr>
        <w:tab/>
        <w:t>3.</w:t>
      </w:r>
      <w:r w:rsidRPr="00336A91">
        <w:rPr>
          <w:lang w:val="en-US"/>
        </w:rPr>
        <w:tab/>
      </w:r>
      <w:r w:rsidR="00D36958" w:rsidRPr="00336A91">
        <w:rPr>
          <w:lang w:val="en-US"/>
        </w:rPr>
        <w:t xml:space="preserve">Transport of UN 1789 in intermediate bulk containers (IBC02) and </w:t>
      </w:r>
      <w:r w:rsidR="002D58A5">
        <w:rPr>
          <w:lang w:val="en-US"/>
        </w:rPr>
        <w:br/>
      </w:r>
      <w:r w:rsidR="00D36958" w:rsidRPr="00336A91">
        <w:rPr>
          <w:lang w:val="en-US"/>
        </w:rPr>
        <w:t>portable tanks (T8)</w:t>
      </w:r>
      <w:r w:rsidR="00FB0C5E">
        <w:rPr>
          <w:lang w:val="en-US"/>
        </w:rPr>
        <w:tab/>
      </w:r>
      <w:r w:rsidR="002D58A5">
        <w:rPr>
          <w:lang w:val="en-US"/>
        </w:rPr>
        <w:tab/>
        <w:t>81-82</w:t>
      </w:r>
      <w:r w:rsidR="002D58A5">
        <w:rPr>
          <w:lang w:val="en-US"/>
        </w:rPr>
        <w:tab/>
      </w:r>
      <w:r w:rsidR="000A175A">
        <w:rPr>
          <w:lang w:val="en-US"/>
        </w:rPr>
        <w:t>16</w:t>
      </w:r>
    </w:p>
    <w:p w14:paraId="0C45CB7C" w14:textId="6CCB3E57"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t>D.</w:t>
      </w:r>
      <w:r>
        <w:tab/>
        <w:t>Other miscellaneous proposals</w:t>
      </w:r>
      <w:r>
        <w:tab/>
      </w:r>
      <w:r>
        <w:tab/>
      </w:r>
      <w:r w:rsidR="000A175A">
        <w:t>83-</w:t>
      </w:r>
      <w:r w:rsidR="00DA558C">
        <w:t>9</w:t>
      </w:r>
      <w:r w:rsidR="00714C5E">
        <w:t>1</w:t>
      </w:r>
      <w:r>
        <w:tab/>
      </w:r>
      <w:r w:rsidR="00DA558C">
        <w:t>1</w:t>
      </w:r>
      <w:r w:rsidR="000E77D8">
        <w:t>6</w:t>
      </w:r>
    </w:p>
    <w:p w14:paraId="6C9C092B" w14:textId="4C238A43"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r>
      <w:r>
        <w:tab/>
      </w:r>
      <w:r w:rsidRPr="00E22953">
        <w:t>1.</w:t>
      </w:r>
      <w:r w:rsidRPr="00E22953">
        <w:tab/>
      </w:r>
      <w:r w:rsidR="00E22953" w:rsidRPr="00336A91">
        <w:t>Amendments to the Spanish language version</w:t>
      </w:r>
      <w:r>
        <w:tab/>
      </w:r>
      <w:r>
        <w:tab/>
      </w:r>
      <w:r w:rsidR="00DA558C">
        <w:t>83</w:t>
      </w:r>
      <w:r>
        <w:tab/>
      </w:r>
      <w:r w:rsidR="00DA558C">
        <w:t>1</w:t>
      </w:r>
      <w:r w:rsidR="000E77D8">
        <w:t>6</w:t>
      </w:r>
    </w:p>
    <w:p w14:paraId="3918AE82" w14:textId="0A7C1385"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980" w:hanging="1980"/>
      </w:pPr>
      <w:r>
        <w:tab/>
      </w:r>
      <w:r>
        <w:tab/>
      </w:r>
      <w:r>
        <w:tab/>
      </w:r>
      <w:r w:rsidRPr="00B30ADA">
        <w:t>2.</w:t>
      </w:r>
      <w:r w:rsidRPr="00B30ADA">
        <w:tab/>
      </w:r>
      <w:r w:rsidR="008301FE" w:rsidRPr="00B30ADA">
        <w:t xml:space="preserve">Proposal for the maximum permitted stacking load applicable for overpack </w:t>
      </w:r>
      <w:r w:rsidR="008301FE">
        <w:br/>
      </w:r>
      <w:r w:rsidR="008301FE" w:rsidRPr="00B30ADA">
        <w:t xml:space="preserve">with </w:t>
      </w:r>
      <w:r w:rsidR="008301FE" w:rsidRPr="00BE2D11">
        <w:t>intermediate bulk containers</w:t>
      </w:r>
      <w:r>
        <w:tab/>
      </w:r>
      <w:r>
        <w:tab/>
      </w:r>
      <w:r w:rsidR="00DA558C">
        <w:t>84-85</w:t>
      </w:r>
      <w:r>
        <w:tab/>
      </w:r>
      <w:r w:rsidR="00DA558C">
        <w:t>1</w:t>
      </w:r>
      <w:r w:rsidR="000E77D8">
        <w:t>6</w:t>
      </w:r>
    </w:p>
    <w:p w14:paraId="02EB7CAF" w14:textId="0AB98179"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r>
      <w:r>
        <w:tab/>
        <w:t>3.</w:t>
      </w:r>
      <w:r>
        <w:tab/>
      </w:r>
      <w:r w:rsidR="008B2707" w:rsidRPr="005E003D">
        <w:t>Units of measurement</w:t>
      </w:r>
      <w:r>
        <w:tab/>
      </w:r>
      <w:r>
        <w:tab/>
      </w:r>
      <w:r w:rsidR="0084619A">
        <w:t>86-8</w:t>
      </w:r>
      <w:r w:rsidR="00326F24">
        <w:t>9</w:t>
      </w:r>
      <w:r>
        <w:tab/>
      </w:r>
      <w:r w:rsidR="0084619A">
        <w:t>17</w:t>
      </w:r>
    </w:p>
    <w:p w14:paraId="1F1AF5AE" w14:textId="45AA9CC0"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r>
      <w:r>
        <w:tab/>
        <w:t>4.</w:t>
      </w:r>
      <w:r>
        <w:tab/>
      </w:r>
      <w:r w:rsidR="008B2707" w:rsidRPr="005E003D">
        <w:t>Mass and weight</w:t>
      </w:r>
      <w:r>
        <w:tab/>
      </w:r>
      <w:r>
        <w:tab/>
      </w:r>
      <w:r w:rsidR="0084619A">
        <w:t>9</w:t>
      </w:r>
      <w:r w:rsidR="00326F24">
        <w:t>0</w:t>
      </w:r>
      <w:r w:rsidR="00310FEB">
        <w:t>-91</w:t>
      </w:r>
      <w:r>
        <w:tab/>
      </w:r>
      <w:r w:rsidR="0084619A">
        <w:t>17</w:t>
      </w:r>
    </w:p>
    <w:p w14:paraId="684FDF37" w14:textId="0703149F" w:rsidR="0063651F" w:rsidRDefault="0063651F" w:rsidP="00EB7F36">
      <w:pPr>
        <w:tabs>
          <w:tab w:val="right" w:pos="850"/>
          <w:tab w:val="left" w:pos="1134"/>
          <w:tab w:val="left" w:pos="1559"/>
          <w:tab w:val="left" w:pos="1984"/>
          <w:tab w:val="left" w:leader="dot" w:pos="7654"/>
          <w:tab w:val="right" w:pos="8929"/>
          <w:tab w:val="right" w:pos="9638"/>
        </w:tabs>
        <w:spacing w:before="120" w:after="120"/>
        <w:ind w:left="1134" w:hanging="1134"/>
      </w:pPr>
      <w:r>
        <w:tab/>
        <w:t>IX.</w:t>
      </w:r>
      <w:r>
        <w:tab/>
      </w:r>
      <w:r w:rsidR="00EB7F36" w:rsidRPr="00C77353">
        <w:t xml:space="preserve">Global harmonization of transport of dangerous goods regulations with the Model </w:t>
      </w:r>
      <w:r w:rsidR="00EF3B11">
        <w:br/>
      </w:r>
      <w:r w:rsidR="00EB7F36" w:rsidRPr="00C77353">
        <w:t>Regulations (agenda item 7)</w:t>
      </w:r>
      <w:r>
        <w:tab/>
      </w:r>
      <w:r>
        <w:tab/>
      </w:r>
      <w:r w:rsidR="0084619A">
        <w:t>9</w:t>
      </w:r>
      <w:r w:rsidR="001542C9">
        <w:t>2</w:t>
      </w:r>
      <w:r w:rsidR="0084619A">
        <w:t>-</w:t>
      </w:r>
      <w:r w:rsidR="00C445F6">
        <w:t>9</w:t>
      </w:r>
      <w:r w:rsidR="001542C9">
        <w:t>6</w:t>
      </w:r>
      <w:r>
        <w:tab/>
      </w:r>
      <w:r w:rsidR="00A34B3A">
        <w:t>17</w:t>
      </w:r>
    </w:p>
    <w:p w14:paraId="14577C3E" w14:textId="1C3AB9EE" w:rsidR="007D251F" w:rsidRDefault="007D251F" w:rsidP="00336A91">
      <w:pPr>
        <w:numPr>
          <w:ilvl w:val="0"/>
          <w:numId w:val="19"/>
        </w:numPr>
        <w:tabs>
          <w:tab w:val="right" w:pos="850"/>
          <w:tab w:val="left" w:pos="1134"/>
          <w:tab w:val="left" w:pos="1559"/>
          <w:tab w:val="left" w:pos="1984"/>
          <w:tab w:val="left" w:leader="dot" w:pos="7654"/>
          <w:tab w:val="right" w:pos="8929"/>
          <w:tab w:val="right" w:pos="9638"/>
        </w:tabs>
        <w:spacing w:before="120" w:after="120"/>
      </w:pPr>
      <w:r w:rsidRPr="00C77353">
        <w:t xml:space="preserve">International Maritime Organisation draft amendments to 5.5.4 of the International </w:t>
      </w:r>
      <w:r w:rsidR="00EF3B11">
        <w:br/>
      </w:r>
      <w:r w:rsidRPr="00C77353">
        <w:t>Maritime Dangerous Goods code</w:t>
      </w:r>
      <w:r>
        <w:tab/>
      </w:r>
      <w:r>
        <w:tab/>
      </w:r>
      <w:r w:rsidR="00A34B3A">
        <w:t>9</w:t>
      </w:r>
      <w:r w:rsidR="001542C9">
        <w:t>2</w:t>
      </w:r>
      <w:r w:rsidR="00A34B3A">
        <w:t>-9</w:t>
      </w:r>
      <w:r w:rsidR="001542C9">
        <w:t>3</w:t>
      </w:r>
      <w:r>
        <w:tab/>
      </w:r>
      <w:r w:rsidR="005D1618">
        <w:t>17</w:t>
      </w:r>
    </w:p>
    <w:p w14:paraId="45A01C0B" w14:textId="55058D5D" w:rsidR="007D251F" w:rsidRDefault="007D251F" w:rsidP="007D251F">
      <w:pPr>
        <w:numPr>
          <w:ilvl w:val="0"/>
          <w:numId w:val="19"/>
        </w:numPr>
        <w:tabs>
          <w:tab w:val="right" w:pos="850"/>
          <w:tab w:val="left" w:pos="1134"/>
          <w:tab w:val="left" w:pos="1559"/>
          <w:tab w:val="left" w:pos="1984"/>
          <w:tab w:val="left" w:leader="dot" w:pos="7654"/>
          <w:tab w:val="right" w:pos="8929"/>
          <w:tab w:val="right" w:pos="9638"/>
        </w:tabs>
        <w:spacing w:before="120" w:after="120"/>
      </w:pPr>
      <w:r w:rsidRPr="00C77353">
        <w:t xml:space="preserve">Amendments to the Model Regulations proposed by the Ad hoc Working Group on </w:t>
      </w:r>
      <w:r w:rsidR="00851717">
        <w:br/>
      </w:r>
      <w:r w:rsidRPr="00C77353">
        <w:t xml:space="preserve">the Harmonization of RID/ADR/ADN with the UN Recommendations on the Transport </w:t>
      </w:r>
      <w:r w:rsidR="005D1618">
        <w:br/>
      </w:r>
      <w:r w:rsidRPr="00C77353">
        <w:t>of Dangerous Goods</w:t>
      </w:r>
      <w:r w:rsidR="005D1618">
        <w:tab/>
      </w:r>
      <w:r w:rsidR="005D1618">
        <w:tab/>
      </w:r>
      <w:r w:rsidR="00DF625F">
        <w:t>9</w:t>
      </w:r>
      <w:r w:rsidR="001542C9">
        <w:t>4</w:t>
      </w:r>
      <w:r w:rsidR="00DF625F">
        <w:t>-9</w:t>
      </w:r>
      <w:r w:rsidR="001542C9">
        <w:t>5</w:t>
      </w:r>
      <w:r w:rsidR="005D1618">
        <w:tab/>
      </w:r>
      <w:r w:rsidR="00DF625F">
        <w:t>1</w:t>
      </w:r>
      <w:r w:rsidR="000E77D8">
        <w:t>7</w:t>
      </w:r>
    </w:p>
    <w:p w14:paraId="779877D8" w14:textId="6F96BF92" w:rsidR="007D251F" w:rsidRDefault="007D251F" w:rsidP="00336A91">
      <w:pPr>
        <w:numPr>
          <w:ilvl w:val="0"/>
          <w:numId w:val="19"/>
        </w:numPr>
        <w:tabs>
          <w:tab w:val="right" w:pos="850"/>
          <w:tab w:val="left" w:pos="1134"/>
          <w:tab w:val="left" w:pos="1559"/>
          <w:tab w:val="left" w:pos="1984"/>
          <w:tab w:val="left" w:leader="dot" w:pos="7654"/>
          <w:tab w:val="right" w:pos="8929"/>
          <w:tab w:val="right" w:pos="9638"/>
        </w:tabs>
        <w:spacing w:before="120" w:after="120"/>
      </w:pPr>
      <w:r w:rsidRPr="00414815">
        <w:t xml:space="preserve">Outcome of the thirty-eighth session of the Editorial and Technical Group </w:t>
      </w:r>
      <w:r w:rsidR="00977BB2">
        <w:br/>
      </w:r>
      <w:r w:rsidRPr="00414815">
        <w:t>(on the IMDG Code)</w:t>
      </w:r>
      <w:r w:rsidR="00977BB2">
        <w:tab/>
      </w:r>
      <w:r w:rsidR="00977BB2">
        <w:tab/>
        <w:t>9</w:t>
      </w:r>
      <w:r w:rsidR="00C030A5">
        <w:t>6</w:t>
      </w:r>
      <w:r w:rsidR="00977BB2">
        <w:tab/>
        <w:t>18</w:t>
      </w:r>
    </w:p>
    <w:p w14:paraId="53D8FE24" w14:textId="0D7B50CA"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t>X.</w:t>
      </w:r>
      <w:r>
        <w:tab/>
      </w:r>
      <w:r w:rsidR="007D251F" w:rsidRPr="005E003D">
        <w:t>Cooperation with the International Atomic Energy Agency (agenda item 8)</w:t>
      </w:r>
      <w:r>
        <w:tab/>
      </w:r>
      <w:r>
        <w:tab/>
      </w:r>
      <w:r w:rsidR="00977BB2">
        <w:t>9</w:t>
      </w:r>
      <w:r w:rsidR="00C030A5">
        <w:t>7</w:t>
      </w:r>
      <w:r>
        <w:tab/>
      </w:r>
      <w:r w:rsidR="00977BB2">
        <w:t>18</w:t>
      </w:r>
    </w:p>
    <w:p w14:paraId="469A7D80" w14:textId="2DEE29E4"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t>XI.</w:t>
      </w:r>
      <w:r>
        <w:tab/>
      </w:r>
      <w:r w:rsidR="003F2D50" w:rsidRPr="005E003D">
        <w:t>Guiding principles for the Model Regulations (agenda item 9)</w:t>
      </w:r>
      <w:r>
        <w:tab/>
      </w:r>
      <w:r>
        <w:tab/>
      </w:r>
      <w:r w:rsidR="00CE6D9A">
        <w:t>9</w:t>
      </w:r>
      <w:r w:rsidR="00C030A5">
        <w:t>8</w:t>
      </w:r>
      <w:r>
        <w:tab/>
      </w:r>
      <w:r w:rsidR="00CE6D9A">
        <w:t>18</w:t>
      </w:r>
    </w:p>
    <w:p w14:paraId="3A37681E" w14:textId="510CFD87"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134" w:hanging="1134"/>
      </w:pPr>
      <w:r>
        <w:tab/>
        <w:t>XII.</w:t>
      </w:r>
      <w:r>
        <w:tab/>
      </w:r>
      <w:r w:rsidR="003F2D50" w:rsidRPr="005E003D">
        <w:t xml:space="preserve">Issues relating to the Globally Harmonized System of Classification and Labelling </w:t>
      </w:r>
      <w:r w:rsidR="00CE6D9A">
        <w:br/>
      </w:r>
      <w:r w:rsidR="003F2D50" w:rsidRPr="005E003D">
        <w:t>of Chemicals (GHS) (agenda item 10)</w:t>
      </w:r>
      <w:r>
        <w:tab/>
      </w:r>
      <w:r>
        <w:tab/>
      </w:r>
      <w:r w:rsidR="00C030A5">
        <w:t>99-</w:t>
      </w:r>
      <w:r w:rsidR="00806EB1">
        <w:t>101</w:t>
      </w:r>
      <w:r>
        <w:tab/>
      </w:r>
      <w:r w:rsidR="00554C2F">
        <w:t>1</w:t>
      </w:r>
      <w:r w:rsidR="000E77D8">
        <w:t>8</w:t>
      </w:r>
    </w:p>
    <w:p w14:paraId="7AA21618" w14:textId="7A670E96"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t>A.</w:t>
      </w:r>
      <w:r>
        <w:tab/>
        <w:t>Testing of oxidizing substances</w:t>
      </w:r>
      <w:r>
        <w:tab/>
      </w:r>
      <w:r>
        <w:tab/>
      </w:r>
      <w:r w:rsidR="00554C2F">
        <w:t>9</w:t>
      </w:r>
      <w:r w:rsidR="00806EB1">
        <w:t>9</w:t>
      </w:r>
      <w:r>
        <w:tab/>
      </w:r>
      <w:r w:rsidR="002034C1">
        <w:t>1</w:t>
      </w:r>
      <w:r w:rsidR="000E77D8">
        <w:t>8</w:t>
      </w:r>
    </w:p>
    <w:p w14:paraId="373696B2" w14:textId="5EA79BEF" w:rsidR="0063651F" w:rsidRDefault="0063651F" w:rsidP="00336A91">
      <w:pPr>
        <w:tabs>
          <w:tab w:val="right" w:pos="850"/>
          <w:tab w:val="left" w:pos="1134"/>
          <w:tab w:val="left" w:pos="1559"/>
          <w:tab w:val="left" w:pos="1984"/>
          <w:tab w:val="left" w:leader="dot" w:pos="7654"/>
          <w:tab w:val="right" w:pos="8929"/>
          <w:tab w:val="right" w:pos="9638"/>
        </w:tabs>
        <w:spacing w:before="120" w:after="120"/>
        <w:ind w:left="1701" w:hanging="1701"/>
      </w:pPr>
      <w:r>
        <w:tab/>
      </w:r>
      <w:r>
        <w:tab/>
        <w:t>B.</w:t>
      </w:r>
      <w:r>
        <w:tab/>
      </w:r>
      <w:r w:rsidR="007C67DB" w:rsidRPr="005E003D">
        <w:tab/>
        <w:t xml:space="preserve">Simultaneous classification in physical hazards and </w:t>
      </w:r>
      <w:r w:rsidR="007C67DB">
        <w:t xml:space="preserve">possible combination </w:t>
      </w:r>
      <w:r w:rsidR="007C67DB" w:rsidRPr="005E003D">
        <w:t>precedence</w:t>
      </w:r>
      <w:r w:rsidR="007C67DB">
        <w:br/>
      </w:r>
      <w:r w:rsidR="007C67DB" w:rsidRPr="005E003D">
        <w:t xml:space="preserve"> of hazards</w:t>
      </w:r>
      <w:r>
        <w:tab/>
      </w:r>
      <w:r>
        <w:tab/>
      </w:r>
      <w:r w:rsidR="00806EB1">
        <w:t>100</w:t>
      </w:r>
      <w:r>
        <w:tab/>
      </w:r>
      <w:r w:rsidR="002034C1">
        <w:t>1</w:t>
      </w:r>
      <w:r w:rsidR="00997C9A">
        <w:t>8</w:t>
      </w:r>
    </w:p>
    <w:p w14:paraId="44400DCB" w14:textId="5F15FB03"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r>
      <w:r>
        <w:tab/>
        <w:t>C.</w:t>
      </w:r>
      <w:r>
        <w:tab/>
        <w:t>Miscellaneous</w:t>
      </w:r>
      <w:r>
        <w:tab/>
      </w:r>
      <w:r>
        <w:tab/>
      </w:r>
      <w:r w:rsidR="00B90CEC">
        <w:t>10</w:t>
      </w:r>
      <w:r w:rsidR="00806EB1">
        <w:t>1</w:t>
      </w:r>
      <w:r>
        <w:tab/>
      </w:r>
      <w:r w:rsidR="009F0972">
        <w:t>1</w:t>
      </w:r>
      <w:r w:rsidR="00997C9A">
        <w:t>8</w:t>
      </w:r>
    </w:p>
    <w:p w14:paraId="38F034C5" w14:textId="59915BAD"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t>XIII.</w:t>
      </w:r>
      <w:r>
        <w:tab/>
      </w:r>
      <w:r w:rsidR="007C67DB" w:rsidRPr="005E003D">
        <w:t>Unified interpretations of the Model Regulations (agenda item 11)</w:t>
      </w:r>
      <w:r>
        <w:tab/>
      </w:r>
      <w:r>
        <w:tab/>
      </w:r>
      <w:r w:rsidR="005806B8">
        <w:t>10</w:t>
      </w:r>
      <w:r w:rsidR="00806EB1">
        <w:t>2</w:t>
      </w:r>
      <w:r>
        <w:tab/>
      </w:r>
      <w:r w:rsidR="005806B8">
        <w:t>19</w:t>
      </w:r>
    </w:p>
    <w:p w14:paraId="5AF5A05A" w14:textId="102F085C"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t>XIV.</w:t>
      </w:r>
      <w:r>
        <w:tab/>
      </w:r>
      <w:r w:rsidR="007C67DB" w:rsidRPr="005E003D">
        <w:t>Implementation of the Model Regulations (agenda item 12)</w:t>
      </w:r>
      <w:r>
        <w:tab/>
      </w:r>
      <w:r>
        <w:tab/>
      </w:r>
      <w:r w:rsidR="005806B8">
        <w:t>10</w:t>
      </w:r>
      <w:r w:rsidR="002A62BB">
        <w:t>3</w:t>
      </w:r>
      <w:r>
        <w:tab/>
      </w:r>
      <w:r w:rsidR="007507B9">
        <w:t>19</w:t>
      </w:r>
    </w:p>
    <w:p w14:paraId="1C159482" w14:textId="4AF25CC7"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t>XV.</w:t>
      </w:r>
      <w:r>
        <w:tab/>
      </w:r>
      <w:r w:rsidR="007C67DB" w:rsidRPr="005E003D">
        <w:t>Dangerous goods safety training and capacity building (agenda item 13)</w:t>
      </w:r>
      <w:r>
        <w:tab/>
      </w:r>
      <w:r>
        <w:tab/>
      </w:r>
      <w:r w:rsidR="00F57A3B">
        <w:t>10</w:t>
      </w:r>
      <w:r w:rsidR="002A62BB">
        <w:t>4</w:t>
      </w:r>
      <w:r>
        <w:tab/>
      </w:r>
      <w:r w:rsidR="007507B9">
        <w:t>19</w:t>
      </w:r>
    </w:p>
    <w:p w14:paraId="02EF03B7" w14:textId="0A615289" w:rsidR="0063651F" w:rsidRDefault="0063651F" w:rsidP="0063651F">
      <w:pPr>
        <w:tabs>
          <w:tab w:val="right" w:pos="850"/>
          <w:tab w:val="left" w:pos="1134"/>
          <w:tab w:val="left" w:pos="1559"/>
          <w:tab w:val="left" w:pos="1984"/>
          <w:tab w:val="left" w:leader="dot" w:pos="7654"/>
          <w:tab w:val="right" w:pos="8929"/>
          <w:tab w:val="right" w:pos="9638"/>
        </w:tabs>
        <w:spacing w:before="120" w:after="120"/>
      </w:pPr>
      <w:r>
        <w:tab/>
        <w:t>XVI.</w:t>
      </w:r>
      <w:r>
        <w:tab/>
      </w:r>
      <w:r w:rsidR="006949D2" w:rsidRPr="005E003D">
        <w:t>United Nations 2030 Agenda for Sustainable Development (agenda item 14)</w:t>
      </w:r>
      <w:r>
        <w:tab/>
      </w:r>
      <w:r>
        <w:tab/>
      </w:r>
      <w:r w:rsidR="00F57A3B">
        <w:t>10</w:t>
      </w:r>
      <w:r w:rsidR="002A62BB">
        <w:t>5</w:t>
      </w:r>
      <w:r>
        <w:tab/>
      </w:r>
      <w:r w:rsidR="007507B9">
        <w:t>19</w:t>
      </w:r>
    </w:p>
    <w:p w14:paraId="34A6CF2C" w14:textId="47471E0E" w:rsidR="00805A8C" w:rsidRDefault="00B54B00" w:rsidP="00B54B00">
      <w:pPr>
        <w:tabs>
          <w:tab w:val="right" w:pos="850"/>
          <w:tab w:val="left" w:pos="1134"/>
          <w:tab w:val="left" w:pos="1559"/>
          <w:tab w:val="left" w:pos="1984"/>
          <w:tab w:val="left" w:leader="dot" w:pos="7654"/>
          <w:tab w:val="right" w:pos="8929"/>
          <w:tab w:val="right" w:pos="9638"/>
        </w:tabs>
        <w:spacing w:before="120" w:after="120"/>
      </w:pPr>
      <w:r>
        <w:lastRenderedPageBreak/>
        <w:tab/>
      </w:r>
      <w:r w:rsidR="0063651F">
        <w:t>XVII.</w:t>
      </w:r>
      <w:r w:rsidR="0063651F">
        <w:tab/>
      </w:r>
      <w:r w:rsidR="003F6FFA" w:rsidRPr="005E003D">
        <w:t>Opportunities to enhance operational efficiency and inclusiveness (agenda item 15)</w:t>
      </w:r>
      <w:r w:rsidR="002218F8">
        <w:tab/>
      </w:r>
      <w:r w:rsidR="00D80F7F">
        <w:t>10</w:t>
      </w:r>
      <w:r w:rsidR="002A62BB">
        <w:t>6</w:t>
      </w:r>
      <w:r w:rsidR="0063651F">
        <w:tab/>
      </w:r>
      <w:r w:rsidR="007507B9">
        <w:t>19</w:t>
      </w:r>
    </w:p>
    <w:p w14:paraId="0198CF21" w14:textId="39003183" w:rsidR="00B54B00" w:rsidRDefault="00B54B00" w:rsidP="00B54B00">
      <w:pPr>
        <w:tabs>
          <w:tab w:val="right" w:pos="850"/>
          <w:tab w:val="left" w:pos="1134"/>
          <w:tab w:val="left" w:pos="1559"/>
          <w:tab w:val="left" w:pos="1984"/>
          <w:tab w:val="left" w:leader="dot" w:pos="7654"/>
          <w:tab w:val="right" w:pos="8929"/>
          <w:tab w:val="right" w:pos="9638"/>
        </w:tabs>
        <w:spacing w:before="120" w:after="120"/>
      </w:pPr>
      <w:r>
        <w:tab/>
      </w:r>
      <w:r w:rsidR="00CF2811">
        <w:t>XVIII.</w:t>
      </w:r>
      <w:r w:rsidR="00CF2811">
        <w:tab/>
      </w:r>
      <w:r w:rsidR="00310EB9" w:rsidRPr="005E003D">
        <w:t>Other business (agenda item 16)</w:t>
      </w:r>
      <w:r w:rsidR="00310EB9">
        <w:tab/>
      </w:r>
      <w:r w:rsidR="00310EB9">
        <w:tab/>
      </w:r>
      <w:r w:rsidR="00337287">
        <w:t>10</w:t>
      </w:r>
      <w:r w:rsidR="002A62BB">
        <w:t>7</w:t>
      </w:r>
      <w:r w:rsidR="00CB03AA">
        <w:t>-11</w:t>
      </w:r>
      <w:r w:rsidR="00BC17B5">
        <w:t>6</w:t>
      </w:r>
      <w:r w:rsidR="00310EB9">
        <w:tab/>
      </w:r>
      <w:r w:rsidR="007507B9">
        <w:t>19</w:t>
      </w:r>
    </w:p>
    <w:p w14:paraId="3E0F11DE" w14:textId="10318763" w:rsidR="00310EB9" w:rsidRDefault="007B16FC" w:rsidP="007B16FC">
      <w:pPr>
        <w:numPr>
          <w:ilvl w:val="0"/>
          <w:numId w:val="20"/>
        </w:numPr>
        <w:tabs>
          <w:tab w:val="right" w:pos="850"/>
          <w:tab w:val="left" w:pos="1134"/>
          <w:tab w:val="left" w:pos="1559"/>
          <w:tab w:val="left" w:pos="1984"/>
          <w:tab w:val="left" w:leader="dot" w:pos="7654"/>
          <w:tab w:val="right" w:pos="8929"/>
          <w:tab w:val="right" w:pos="9638"/>
        </w:tabs>
        <w:spacing w:before="120" w:after="120"/>
      </w:pPr>
      <w:r w:rsidRPr="005E003D">
        <w:t xml:space="preserve">Report of the Secretary-General on the work of the Committee and its sub-committees </w:t>
      </w:r>
      <w:r w:rsidR="00337287">
        <w:br/>
      </w:r>
      <w:r w:rsidRPr="005E003D">
        <w:t>during 2021-2022 and ECOSOC Resolution 2023/5</w:t>
      </w:r>
      <w:r>
        <w:tab/>
      </w:r>
      <w:r>
        <w:tab/>
      </w:r>
      <w:r w:rsidR="00337287">
        <w:t>10</w:t>
      </w:r>
      <w:r w:rsidR="002A62BB">
        <w:t>7</w:t>
      </w:r>
      <w:r w:rsidR="00337287">
        <w:t>-10</w:t>
      </w:r>
      <w:r w:rsidR="002A62BB">
        <w:t>8</w:t>
      </w:r>
      <w:r>
        <w:tab/>
      </w:r>
      <w:r w:rsidR="009E61DA">
        <w:t>19</w:t>
      </w:r>
    </w:p>
    <w:p w14:paraId="12AF7D9E" w14:textId="7134EF0A" w:rsidR="007B16FC" w:rsidRDefault="007B16FC" w:rsidP="007B16FC">
      <w:pPr>
        <w:numPr>
          <w:ilvl w:val="0"/>
          <w:numId w:val="20"/>
        </w:numPr>
        <w:tabs>
          <w:tab w:val="right" w:pos="850"/>
          <w:tab w:val="left" w:pos="1134"/>
          <w:tab w:val="left" w:pos="1559"/>
          <w:tab w:val="left" w:pos="1984"/>
          <w:tab w:val="left" w:leader="dot" w:pos="7654"/>
          <w:tab w:val="right" w:pos="8929"/>
          <w:tab w:val="right" w:pos="9638"/>
        </w:tabs>
        <w:spacing w:before="120" w:after="120"/>
      </w:pPr>
      <w:r w:rsidRPr="005E003D">
        <w:t xml:space="preserve">Consultative relations between the United Nations and non-governmental </w:t>
      </w:r>
      <w:r w:rsidR="006A6F7D">
        <w:br/>
      </w:r>
      <w:r w:rsidRPr="005E003D">
        <w:t>organizations</w:t>
      </w:r>
      <w:r>
        <w:tab/>
      </w:r>
      <w:r>
        <w:tab/>
      </w:r>
      <w:r w:rsidR="006A6F7D">
        <w:t>10</w:t>
      </w:r>
      <w:r w:rsidR="002A62BB">
        <w:t>9</w:t>
      </w:r>
      <w:r w:rsidR="006A6F7D">
        <w:t>-1</w:t>
      </w:r>
      <w:r w:rsidR="002A62BB">
        <w:t>10</w:t>
      </w:r>
      <w:r w:rsidR="006A6F7D">
        <w:tab/>
        <w:t>20</w:t>
      </w:r>
    </w:p>
    <w:p w14:paraId="10D4E06B" w14:textId="39C21530" w:rsidR="00C52240" w:rsidRDefault="00CA2A09" w:rsidP="00C52240">
      <w:pPr>
        <w:numPr>
          <w:ilvl w:val="0"/>
          <w:numId w:val="20"/>
        </w:numPr>
        <w:tabs>
          <w:tab w:val="right" w:pos="850"/>
          <w:tab w:val="left" w:pos="1134"/>
          <w:tab w:val="left" w:pos="1559"/>
          <w:tab w:val="left" w:pos="1984"/>
          <w:tab w:val="left" w:leader="dot" w:pos="7654"/>
          <w:tab w:val="right" w:pos="8929"/>
          <w:tab w:val="right" w:pos="9638"/>
        </w:tabs>
        <w:spacing w:before="120" w:after="120"/>
      </w:pPr>
      <w:r w:rsidRPr="005E003D">
        <w:t>Any other business</w:t>
      </w:r>
      <w:r>
        <w:tab/>
      </w:r>
      <w:r>
        <w:tab/>
      </w:r>
      <w:r w:rsidR="00E33673">
        <w:t>11</w:t>
      </w:r>
      <w:r w:rsidR="002A62BB">
        <w:t>1</w:t>
      </w:r>
      <w:r w:rsidR="00E33673">
        <w:t>-</w:t>
      </w:r>
      <w:r w:rsidR="00B16D65">
        <w:t>11</w:t>
      </w:r>
      <w:r w:rsidR="001034BF">
        <w:t>5</w:t>
      </w:r>
      <w:r>
        <w:tab/>
      </w:r>
      <w:r w:rsidR="00B16D65">
        <w:t>2</w:t>
      </w:r>
      <w:r w:rsidR="007507B9">
        <w:t>0</w:t>
      </w:r>
    </w:p>
    <w:p w14:paraId="3B68CDD7" w14:textId="3A0A2446" w:rsidR="00C52240" w:rsidRDefault="00C52240" w:rsidP="00C52240">
      <w:pPr>
        <w:tabs>
          <w:tab w:val="right" w:pos="850"/>
          <w:tab w:val="left" w:pos="1134"/>
          <w:tab w:val="left" w:pos="1559"/>
          <w:tab w:val="left" w:pos="1984"/>
          <w:tab w:val="left" w:leader="dot" w:pos="7654"/>
          <w:tab w:val="right" w:pos="8929"/>
          <w:tab w:val="right" w:pos="9638"/>
        </w:tabs>
        <w:spacing w:before="120" w:after="120"/>
        <w:ind w:left="1500"/>
      </w:pPr>
      <w:r>
        <w:t>1.</w:t>
      </w:r>
      <w:r>
        <w:tab/>
      </w:r>
      <w:r w:rsidR="00DA05D0">
        <w:t>Infectious substance transport</w:t>
      </w:r>
      <w:r>
        <w:tab/>
      </w:r>
      <w:r>
        <w:tab/>
      </w:r>
      <w:r w:rsidR="00B16D65">
        <w:t>11</w:t>
      </w:r>
      <w:r w:rsidR="001034BF">
        <w:t>1</w:t>
      </w:r>
      <w:r>
        <w:tab/>
      </w:r>
      <w:r w:rsidR="00B16D65">
        <w:t>2</w:t>
      </w:r>
      <w:r w:rsidR="007507B9">
        <w:t>0</w:t>
      </w:r>
    </w:p>
    <w:p w14:paraId="1F7E800A" w14:textId="543405AB" w:rsidR="00DA05D0" w:rsidRDefault="00DA05D0" w:rsidP="00336A91">
      <w:pPr>
        <w:tabs>
          <w:tab w:val="right" w:pos="850"/>
          <w:tab w:val="left" w:pos="1134"/>
          <w:tab w:val="left" w:pos="1559"/>
          <w:tab w:val="left" w:pos="1984"/>
          <w:tab w:val="left" w:leader="dot" w:pos="7654"/>
          <w:tab w:val="right" w:pos="8929"/>
          <w:tab w:val="right" w:pos="9638"/>
        </w:tabs>
        <w:spacing w:before="120" w:after="120"/>
        <w:ind w:left="1500"/>
      </w:pPr>
      <w:r>
        <w:t>2.</w:t>
      </w:r>
      <w:r>
        <w:tab/>
        <w:t>Meeting dates for the sixty-third session</w:t>
      </w:r>
      <w:r>
        <w:tab/>
      </w:r>
      <w:r>
        <w:tab/>
      </w:r>
      <w:r w:rsidR="006B0455">
        <w:t>11</w:t>
      </w:r>
      <w:r w:rsidR="001034BF">
        <w:t>2</w:t>
      </w:r>
      <w:r w:rsidR="006B0455">
        <w:t>-11</w:t>
      </w:r>
      <w:r w:rsidR="00E32137">
        <w:t>4</w:t>
      </w:r>
      <w:r>
        <w:tab/>
      </w:r>
      <w:r w:rsidR="00461B99">
        <w:t>2</w:t>
      </w:r>
      <w:r w:rsidR="007507B9">
        <w:t>0</w:t>
      </w:r>
    </w:p>
    <w:p w14:paraId="30224F26" w14:textId="6F373F31" w:rsidR="00177B27" w:rsidRDefault="00DA05D0" w:rsidP="00DA05D0">
      <w:pPr>
        <w:numPr>
          <w:ilvl w:val="0"/>
          <w:numId w:val="20"/>
        </w:numPr>
        <w:tabs>
          <w:tab w:val="right" w:pos="850"/>
          <w:tab w:val="left" w:pos="1134"/>
          <w:tab w:val="left" w:pos="1559"/>
          <w:tab w:val="left" w:pos="1984"/>
          <w:tab w:val="left" w:leader="dot" w:pos="7654"/>
          <w:tab w:val="right" w:pos="8929"/>
          <w:tab w:val="right" w:pos="9638"/>
        </w:tabs>
        <w:spacing w:before="120" w:after="120"/>
      </w:pPr>
      <w:r>
        <w:t>Tribu</w:t>
      </w:r>
      <w:r w:rsidR="00E1797D">
        <w:t>tes</w:t>
      </w:r>
      <w:r w:rsidR="00E1797D">
        <w:tab/>
      </w:r>
      <w:r w:rsidR="00E1797D">
        <w:tab/>
      </w:r>
      <w:r w:rsidR="00461B99">
        <w:t>11</w:t>
      </w:r>
      <w:r w:rsidR="00E32137">
        <w:t>5</w:t>
      </w:r>
      <w:r w:rsidR="00461B99">
        <w:t>-11</w:t>
      </w:r>
      <w:r w:rsidR="00E32137">
        <w:t>6</w:t>
      </w:r>
      <w:r w:rsidR="00E1797D">
        <w:tab/>
      </w:r>
      <w:r w:rsidR="00461B99">
        <w:t>2</w:t>
      </w:r>
      <w:r w:rsidR="007507B9">
        <w:t>0</w:t>
      </w:r>
    </w:p>
    <w:p w14:paraId="6B477CC5" w14:textId="0E961E77" w:rsidR="00402305" w:rsidRDefault="005970BF">
      <w:pPr>
        <w:tabs>
          <w:tab w:val="right" w:pos="850"/>
          <w:tab w:val="left" w:pos="1134"/>
          <w:tab w:val="left" w:pos="1559"/>
          <w:tab w:val="left" w:pos="1984"/>
          <w:tab w:val="left" w:leader="dot" w:pos="7654"/>
          <w:tab w:val="right" w:pos="8929"/>
          <w:tab w:val="right" w:pos="9638"/>
        </w:tabs>
        <w:spacing w:before="120" w:after="120"/>
      </w:pPr>
      <w:r>
        <w:tab/>
        <w:t>IXX.</w:t>
      </w:r>
      <w:r>
        <w:tab/>
      </w:r>
      <w:r w:rsidRPr="005E003D">
        <w:t>Adoption of the report (agenda item 17)</w:t>
      </w:r>
      <w:r>
        <w:tab/>
      </w:r>
      <w:r w:rsidR="00175B5A">
        <w:tab/>
      </w:r>
      <w:r w:rsidR="00461B99">
        <w:t>11</w:t>
      </w:r>
      <w:r w:rsidR="00E32137">
        <w:t>7</w:t>
      </w:r>
      <w:r w:rsidR="00175B5A">
        <w:tab/>
      </w:r>
      <w:r w:rsidR="00461B99">
        <w:t>2</w:t>
      </w:r>
      <w:r w:rsidR="007507B9">
        <w:t>0</w:t>
      </w:r>
    </w:p>
    <w:p w14:paraId="5670F1DF" w14:textId="77777777" w:rsidR="00D935C7" w:rsidRDefault="00D935C7">
      <w:pPr>
        <w:tabs>
          <w:tab w:val="right" w:pos="850"/>
          <w:tab w:val="left" w:pos="1134"/>
          <w:tab w:val="left" w:pos="1559"/>
          <w:tab w:val="left" w:pos="1984"/>
          <w:tab w:val="left" w:leader="dot" w:pos="7654"/>
          <w:tab w:val="right" w:pos="8929"/>
          <w:tab w:val="right" w:pos="9638"/>
        </w:tabs>
        <w:spacing w:before="120" w:after="120"/>
      </w:pPr>
    </w:p>
    <w:p w14:paraId="78956FE3" w14:textId="77777777" w:rsidR="00D935C7" w:rsidRPr="00FF6872" w:rsidRDefault="00D935C7" w:rsidP="00D935C7">
      <w:pPr>
        <w:tabs>
          <w:tab w:val="right" w:pos="850"/>
          <w:tab w:val="left" w:pos="1134"/>
          <w:tab w:val="left" w:pos="1559"/>
          <w:tab w:val="left" w:pos="1984"/>
          <w:tab w:val="left" w:leader="dot" w:pos="7654"/>
          <w:tab w:val="right" w:pos="8929"/>
          <w:tab w:val="right" w:pos="9638"/>
        </w:tabs>
        <w:spacing w:before="120" w:after="120"/>
      </w:pPr>
      <w:r>
        <w:t>An</w:t>
      </w:r>
      <w:r w:rsidRPr="00FF6872">
        <w:t>nexes</w:t>
      </w:r>
    </w:p>
    <w:p w14:paraId="17F25AD1" w14:textId="0C82392B" w:rsidR="00D935C7" w:rsidRPr="000035D5" w:rsidRDefault="00D935C7" w:rsidP="00D935C7">
      <w:pPr>
        <w:pStyle w:val="SingleTxtG"/>
        <w:numPr>
          <w:ilvl w:val="0"/>
          <w:numId w:val="22"/>
        </w:numPr>
        <w:tabs>
          <w:tab w:val="clear" w:pos="2268"/>
          <w:tab w:val="clear" w:pos="2835"/>
        </w:tabs>
        <w:suppressAutoHyphens/>
        <w:kinsoku w:val="0"/>
        <w:overflowPunct w:val="0"/>
        <w:autoSpaceDE w:val="0"/>
        <w:autoSpaceDN w:val="0"/>
        <w:adjustRightInd w:val="0"/>
        <w:snapToGrid w:val="0"/>
        <w:ind w:left="1134" w:hanging="567"/>
        <w:jc w:val="left"/>
      </w:pPr>
      <w:r w:rsidRPr="009C566A">
        <w:t>Draft amendments to the twent</w:t>
      </w:r>
      <w:r>
        <w:t>y-</w:t>
      </w:r>
      <w:r w:rsidR="00834002">
        <w:t>thir</w:t>
      </w:r>
      <w:r>
        <w:t>d r</w:t>
      </w:r>
      <w:r w:rsidRPr="009C566A">
        <w:t>evised edition of Recommendations</w:t>
      </w:r>
      <w:r w:rsidR="00602743">
        <w:t xml:space="preserve"> </w:t>
      </w:r>
      <w:r w:rsidRPr="009C566A">
        <w:t>on the Transport of Dangerous Goods, Model Regulations (ST/SG/AC.10/1/Rev.2</w:t>
      </w:r>
      <w:r w:rsidR="00834002">
        <w:t>3</w:t>
      </w:r>
      <w:r w:rsidRPr="009C566A">
        <w:t>)</w:t>
      </w:r>
      <w:r w:rsidRPr="00D54AD9">
        <w:rPr>
          <w:bCs/>
          <w:vertAlign w:val="superscript"/>
        </w:rPr>
        <w:footnoteReference w:id="2"/>
      </w:r>
      <w:r>
        <w:rPr>
          <w:bCs/>
        </w:rPr>
        <w:t xml:space="preserve"> </w:t>
      </w:r>
    </w:p>
    <w:p w14:paraId="64F9E06A" w14:textId="4DA85AE6" w:rsidR="00D935C7" w:rsidRPr="00522CDD" w:rsidRDefault="00E963D5" w:rsidP="00D935C7">
      <w:pPr>
        <w:pStyle w:val="SingleTxtG"/>
        <w:numPr>
          <w:ilvl w:val="0"/>
          <w:numId w:val="22"/>
        </w:numPr>
        <w:tabs>
          <w:tab w:val="clear" w:pos="2268"/>
          <w:tab w:val="clear" w:pos="2835"/>
        </w:tabs>
        <w:suppressAutoHyphens/>
        <w:kinsoku w:val="0"/>
        <w:overflowPunct w:val="0"/>
        <w:autoSpaceDE w:val="0"/>
        <w:autoSpaceDN w:val="0"/>
        <w:adjustRightInd w:val="0"/>
        <w:snapToGrid w:val="0"/>
        <w:ind w:left="1134" w:hanging="567"/>
        <w:jc w:val="left"/>
      </w:pPr>
      <w:r w:rsidRPr="008F7B6D">
        <w:t xml:space="preserve">Draft amendments to the </w:t>
      </w:r>
      <w:r>
        <w:t xml:space="preserve">eighth </w:t>
      </w:r>
      <w:r w:rsidRPr="001C5029">
        <w:t xml:space="preserve">revised edition of the </w:t>
      </w:r>
      <w:r w:rsidRPr="008F7B6D">
        <w:t>Manual of Tests and Criteria (ST/SG/AC.10/11/Rev.</w:t>
      </w:r>
      <w:r>
        <w:t>8</w:t>
      </w:r>
      <w:r w:rsidRPr="008F7B6D">
        <w:t>)</w:t>
      </w:r>
      <w:r w:rsidR="00D935C7" w:rsidRPr="0012525A">
        <w:rPr>
          <w:vertAlign w:val="superscript"/>
        </w:rPr>
        <w:t>1</w:t>
      </w:r>
    </w:p>
    <w:p w14:paraId="4E7E8A86" w14:textId="77777777" w:rsidR="00334B37" w:rsidRDefault="00334B37" w:rsidP="00336A91">
      <w:pPr>
        <w:tabs>
          <w:tab w:val="right" w:pos="850"/>
          <w:tab w:val="left" w:pos="1134"/>
          <w:tab w:val="left" w:pos="1559"/>
          <w:tab w:val="left" w:pos="1984"/>
          <w:tab w:val="left" w:leader="dot" w:pos="7654"/>
          <w:tab w:val="right" w:pos="8929"/>
          <w:tab w:val="right" w:pos="9638"/>
        </w:tabs>
        <w:spacing w:before="120" w:after="120"/>
      </w:pPr>
    </w:p>
    <w:p w14:paraId="30A2C168" w14:textId="77777777" w:rsidR="00402305" w:rsidRDefault="004262E7" w:rsidP="00402305">
      <w:pPr>
        <w:spacing w:after="200" w:line="276" w:lineRule="auto"/>
      </w:pPr>
      <w:r>
        <w:br w:type="page"/>
      </w:r>
    </w:p>
    <w:p w14:paraId="73459E50" w14:textId="55616B18" w:rsidR="00C53778" w:rsidRDefault="00805A8C" w:rsidP="00C53778">
      <w:pPr>
        <w:pStyle w:val="HChG"/>
      </w:pPr>
      <w:r>
        <w:lastRenderedPageBreak/>
        <w:tab/>
      </w:r>
      <w:r w:rsidR="00AB001F" w:rsidRPr="00634742">
        <w:t>I.</w:t>
      </w:r>
      <w:r w:rsidR="00AB001F" w:rsidRPr="00634742">
        <w:tab/>
        <w:t>Attendance</w:t>
      </w:r>
    </w:p>
    <w:p w14:paraId="6D1E1889" w14:textId="00303B59" w:rsidR="002B40D4" w:rsidRPr="00634742" w:rsidRDefault="004262E7" w:rsidP="002B40D4">
      <w:pPr>
        <w:pStyle w:val="SingleTxtG"/>
      </w:pPr>
      <w:r>
        <w:t>1.</w:t>
      </w:r>
      <w:r>
        <w:tab/>
      </w:r>
      <w:r w:rsidR="002B40D4" w:rsidRPr="00634742">
        <w:t xml:space="preserve">The Sub-Committee of Experts on the Transport of Dangerous Goods held its </w:t>
      </w:r>
      <w:r w:rsidR="002B40D4">
        <w:t>six</w:t>
      </w:r>
      <w:r w:rsidR="002B40D4" w:rsidRPr="00634742">
        <w:t>ty-</w:t>
      </w:r>
      <w:r w:rsidR="002B40D4">
        <w:t>second session from 3 to 7 July 2023</w:t>
      </w:r>
      <w:r w:rsidR="002B40D4" w:rsidRPr="00634742">
        <w:t xml:space="preserve">, with Mr. D. Pfund (United States of America) as Chair and Mr. C. </w:t>
      </w:r>
      <w:proofErr w:type="spellStart"/>
      <w:r w:rsidR="002B40D4" w:rsidRPr="00634742">
        <w:t>Pfauvadel</w:t>
      </w:r>
      <w:proofErr w:type="spellEnd"/>
      <w:r w:rsidR="002B40D4" w:rsidRPr="00634742">
        <w:t xml:space="preserve"> (France) as Vice-Chair.</w:t>
      </w:r>
    </w:p>
    <w:p w14:paraId="36A03748" w14:textId="16E03F3C" w:rsidR="002B40D4" w:rsidRPr="008A34F8" w:rsidRDefault="002B40D4" w:rsidP="002B40D4">
      <w:pPr>
        <w:pStyle w:val="SingleTxtG"/>
      </w:pPr>
      <w:r w:rsidRPr="008A34F8">
        <w:t>2.</w:t>
      </w:r>
      <w:r w:rsidRPr="008A34F8">
        <w:tab/>
        <w:t>Experts from the following countries took part in the session: Australia, Austria, Belgium, Brazil, Canada, China, Finland, France, Germany, Italy, Japan,</w:t>
      </w:r>
      <w:r w:rsidR="0028167A">
        <w:t xml:space="preserve"> </w:t>
      </w:r>
      <w:r w:rsidRPr="008A34F8">
        <w:t>the Netherlands, Poland, Republic of Korea, Russian Federation, South Africa, Spain, Sweden, Switzerland, United Kingdom and United States of America.</w:t>
      </w:r>
    </w:p>
    <w:p w14:paraId="3B759435" w14:textId="6DDA577E" w:rsidR="002B40D4" w:rsidRPr="008A34F8" w:rsidRDefault="002B40D4" w:rsidP="002B40D4">
      <w:pPr>
        <w:pStyle w:val="SingleTxtG"/>
      </w:pPr>
      <w:r w:rsidRPr="008A34F8">
        <w:t>3.</w:t>
      </w:r>
      <w:r w:rsidRPr="008A34F8">
        <w:tab/>
        <w:t>Under rule 72 of the rules of procedure of the Economic and Social Council, observe</w:t>
      </w:r>
      <w:r w:rsidR="00CA1746">
        <w:t xml:space="preserve">rs </w:t>
      </w:r>
      <w:r w:rsidRPr="008A34F8">
        <w:t xml:space="preserve">from </w:t>
      </w:r>
      <w:r w:rsidR="00CA1746">
        <w:t xml:space="preserve"> </w:t>
      </w:r>
      <w:r w:rsidRPr="008A34F8">
        <w:t xml:space="preserve">Luxembourg </w:t>
      </w:r>
      <w:r w:rsidR="002D7463">
        <w:t>and T</w:t>
      </w:r>
      <w:r w:rsidR="003A5193">
        <w:t>ü</w:t>
      </w:r>
      <w:r w:rsidR="00E53329">
        <w:t>r</w:t>
      </w:r>
      <w:r w:rsidR="003A5193">
        <w:t>k</w:t>
      </w:r>
      <w:r w:rsidR="00BE2391">
        <w:t>i</w:t>
      </w:r>
      <w:r w:rsidR="003A5193">
        <w:t xml:space="preserve">ye </w:t>
      </w:r>
      <w:r w:rsidRPr="008A34F8">
        <w:t>also took part.</w:t>
      </w:r>
    </w:p>
    <w:p w14:paraId="28C380EF" w14:textId="3F97E060" w:rsidR="002B40D4" w:rsidRPr="008A34F8" w:rsidRDefault="002B40D4" w:rsidP="002B40D4">
      <w:pPr>
        <w:pStyle w:val="SingleTxtG"/>
      </w:pPr>
      <w:r w:rsidRPr="008A34F8">
        <w:t>4.</w:t>
      </w:r>
      <w:r w:rsidRPr="008A34F8">
        <w:tab/>
        <w:t>Representatives of the Intergovernmental Organization for International Carriage by Rail (OTIF) also attended.</w:t>
      </w:r>
    </w:p>
    <w:p w14:paraId="6F3615D5" w14:textId="642FE2DF" w:rsidR="002B40D4" w:rsidRPr="008A34F8" w:rsidRDefault="002B40D4" w:rsidP="002B40D4">
      <w:pPr>
        <w:pStyle w:val="SingleTxtG"/>
      </w:pPr>
      <w:r w:rsidRPr="008A34F8">
        <w:t>5.</w:t>
      </w:r>
      <w:r w:rsidRPr="008A34F8">
        <w:tab/>
        <w:t>Representatives of the Food and Agriculture Organization (FAO), the International Civil Aviation Organization (ICAO)</w:t>
      </w:r>
      <w:r w:rsidR="007005CB">
        <w:t xml:space="preserve">, </w:t>
      </w:r>
      <w:r w:rsidRPr="008A34F8">
        <w:t xml:space="preserve">the International Maritime Organization (IMO) </w:t>
      </w:r>
      <w:r w:rsidR="008E08C4">
        <w:t>and the World Health Organization</w:t>
      </w:r>
      <w:r w:rsidR="0067009E">
        <w:t xml:space="preserve"> (WHO)</w:t>
      </w:r>
      <w:r w:rsidRPr="008A34F8">
        <w:t xml:space="preserve"> were also present.</w:t>
      </w:r>
    </w:p>
    <w:p w14:paraId="5B07B4B0" w14:textId="45ABF781" w:rsidR="00AB001F" w:rsidRPr="00634742" w:rsidRDefault="002B40D4" w:rsidP="002B40D4">
      <w:pPr>
        <w:pStyle w:val="SingleTxtG"/>
      </w:pPr>
      <w:r w:rsidRPr="008A34F8">
        <w:t>6.</w:t>
      </w:r>
      <w:r w:rsidRPr="008A34F8">
        <w:tab/>
        <w:t xml:space="preserve">Representatives of the following non-governmental organizations took part in the discussion on items of concern to those organizations: </w:t>
      </w:r>
      <w:r w:rsidR="00006125">
        <w:t>Advanced Rechargeable</w:t>
      </w:r>
      <w:r w:rsidR="00421012">
        <w:t xml:space="preserve"> &amp; Lithium Batteries Association (RECHARGE); </w:t>
      </w:r>
      <w:r w:rsidRPr="008A34F8">
        <w:t>Austral</w:t>
      </w:r>
      <w:r w:rsidR="00115633">
        <w:t>as</w:t>
      </w:r>
      <w:r w:rsidRPr="008A34F8">
        <w:t>ian</w:t>
      </w:r>
      <w:r w:rsidRPr="00BB49BA">
        <w:t xml:space="preserve"> Explosives Industry Safety Group (AEISG); Compressed Gas Association (CGA); Council on Safe Transportation of Hazardous Articles (COSTHA); Dangerous Goods Advisory Council (DGAC); Dangerous Goods Trainers Association (DGTA); European Chemical Industry Council (Cefic); </w:t>
      </w:r>
      <w:r w:rsidR="00C553C1">
        <w:t xml:space="preserve">European </w:t>
      </w:r>
      <w:r w:rsidR="004161ED">
        <w:t xml:space="preserve">Confederation of Fuel Distributors </w:t>
      </w:r>
      <w:r w:rsidR="00C553C1">
        <w:t>(</w:t>
      </w:r>
      <w:r w:rsidR="005C424D">
        <w:t>ECF</w:t>
      </w:r>
      <w:r w:rsidR="00DA46A5">
        <w:t>D</w:t>
      </w:r>
      <w:r w:rsidR="00C553C1">
        <w:t xml:space="preserve">), </w:t>
      </w:r>
      <w:r w:rsidRPr="00BB49BA">
        <w:t xml:space="preserve">European Industrial Gases Association (EIGA); </w:t>
      </w:r>
      <w:r w:rsidRPr="00B65623">
        <w:t xml:space="preserve">Institute of Makers of Explosives (IME); </w:t>
      </w:r>
      <w:r w:rsidR="001619CC">
        <w:t xml:space="preserve">International Confederation </w:t>
      </w:r>
      <w:r w:rsidR="00182546">
        <w:t>of Intermediate Bulk Container</w:t>
      </w:r>
      <w:r w:rsidR="00801DFC">
        <w:t xml:space="preserve"> </w:t>
      </w:r>
      <w:r w:rsidR="00BC5B56">
        <w:t xml:space="preserve">Associations </w:t>
      </w:r>
      <w:r w:rsidR="00801DFC">
        <w:t>(ICIBCA)</w:t>
      </w:r>
      <w:r w:rsidR="006D3412">
        <w:t>;</w:t>
      </w:r>
      <w:r w:rsidRPr="00B65623">
        <w:t xml:space="preserve"> International Confederation of Plastics Packaging Manufacturers (ICPP); International Dangerous Goods and Containers Association (IDGCA</w:t>
      </w:r>
      <w:r w:rsidR="009B4D2B">
        <w:t>)</w:t>
      </w:r>
      <w:r w:rsidR="006D3412">
        <w:t>;</w:t>
      </w:r>
      <w:r w:rsidR="009B4D2B">
        <w:t xml:space="preserve"> </w:t>
      </w:r>
      <w:r w:rsidR="00626D66">
        <w:t xml:space="preserve">Medical </w:t>
      </w:r>
      <w:r w:rsidR="00A20FAF">
        <w:t>Device Transport Council</w:t>
      </w:r>
      <w:r w:rsidRPr="00B65623">
        <w:t xml:space="preserve"> </w:t>
      </w:r>
      <w:r w:rsidR="00457190">
        <w:t>(</w:t>
      </w:r>
      <w:r w:rsidR="00626D66">
        <w:t>MDTC</w:t>
      </w:r>
      <w:r w:rsidRPr="00B65623">
        <w:t>;</w:t>
      </w:r>
      <w:r w:rsidR="00457190">
        <w:t>)</w:t>
      </w:r>
      <w:r w:rsidRPr="00B65623">
        <w:t xml:space="preserve"> </w:t>
      </w:r>
      <w:r w:rsidR="00726882">
        <w:t>-</w:t>
      </w:r>
      <w:r w:rsidRPr="00B65623">
        <w:t>The</w:t>
      </w:r>
      <w:r w:rsidRPr="00BB49BA">
        <w:t xml:space="preserve"> Rechargeable Battery Association</w:t>
      </w:r>
      <w:r w:rsidR="00726882">
        <w:t xml:space="preserve"> (PRBA)</w:t>
      </w:r>
      <w:r w:rsidRPr="00BB49BA">
        <w:t>; Responsible Packaging Management Association of Southern Africa (RPMASA); Sporting Arms and Ammunition Manufacturers’ Institute (SAAMI)</w:t>
      </w:r>
      <w:r w:rsidR="004F0A09">
        <w:t>;</w:t>
      </w:r>
      <w:r w:rsidR="00EE6E8D">
        <w:t xml:space="preserve"> </w:t>
      </w:r>
      <w:r w:rsidRPr="00BB49BA">
        <w:t>World Coating Council (</w:t>
      </w:r>
      <w:r w:rsidR="003F0C0A">
        <w:t>WWC f</w:t>
      </w:r>
      <w:r w:rsidRPr="00BB49BA">
        <w:t>ormer IPPIC</w:t>
      </w:r>
      <w:r w:rsidR="00213D62">
        <w:t>);</w:t>
      </w:r>
      <w:r w:rsidR="0050645B">
        <w:t xml:space="preserve"> </w:t>
      </w:r>
      <w:r w:rsidR="00112F66">
        <w:t>and</w:t>
      </w:r>
      <w:r w:rsidR="0087432E">
        <w:t xml:space="preserve"> </w:t>
      </w:r>
      <w:r w:rsidRPr="00BB49BA">
        <w:t>World LPG Association (WLPGA</w:t>
      </w:r>
      <w:r w:rsidR="007639AC" w:rsidRPr="00BB49BA">
        <w:t>).</w:t>
      </w:r>
    </w:p>
    <w:p w14:paraId="237450DF" w14:textId="77777777" w:rsidR="00AB001F" w:rsidRPr="00B7238D" w:rsidRDefault="00AB001F" w:rsidP="00247A9B">
      <w:pPr>
        <w:pStyle w:val="HChG"/>
        <w:ind w:left="0" w:firstLine="0"/>
      </w:pPr>
      <w:r w:rsidRPr="00B7238D">
        <w:tab/>
      </w:r>
      <w:r>
        <w:t>I</w:t>
      </w:r>
      <w:r w:rsidRPr="00B7238D">
        <w:t>I.</w:t>
      </w:r>
      <w:r w:rsidRPr="00B7238D">
        <w:tab/>
      </w:r>
      <w:r>
        <w:t>Organizational matters</w:t>
      </w:r>
    </w:p>
    <w:p w14:paraId="404F47BE" w14:textId="547345B9" w:rsidR="00AB001F" w:rsidRDefault="00AB001F" w:rsidP="00AB001F">
      <w:pPr>
        <w:pStyle w:val="SingleTxtG"/>
        <w:ind w:left="3119" w:hanging="1985"/>
        <w:jc w:val="left"/>
      </w:pPr>
      <w:bookmarkStart w:id="0" w:name="_Hlk12873213"/>
      <w:r w:rsidRPr="005D2690">
        <w:rPr>
          <w:i/>
          <w:iCs/>
        </w:rPr>
        <w:t>Informal document:</w:t>
      </w:r>
      <w:r w:rsidRPr="00634742">
        <w:tab/>
      </w:r>
      <w:r w:rsidR="00AF015F">
        <w:tab/>
      </w:r>
      <w:r>
        <w:t>INF.12 (Accreditation, registration, working arrangements and provisional timetable)</w:t>
      </w:r>
    </w:p>
    <w:p w14:paraId="3C800E81" w14:textId="4703F206" w:rsidR="00AB001F" w:rsidRDefault="00AB001F" w:rsidP="00AB001F">
      <w:pPr>
        <w:pStyle w:val="SingleTxtG"/>
      </w:pPr>
      <w:r>
        <w:t>7.</w:t>
      </w:r>
      <w:r>
        <w:tab/>
        <w:t>As announced during the previous session of the Sub-Committee and taking into account the global recovery from impact of the COVID-19 pandemic, the United Nations Office in Geneva returned back to in-person meetings. Therefore, the sixty-second session of the Sub-Committee was held again as an in-person meeting only</w:t>
      </w:r>
      <w:r w:rsidRPr="00142E32">
        <w:rPr>
          <w:rStyle w:val="normaltextrun"/>
          <w:color w:val="000000"/>
          <w:shd w:val="clear" w:color="auto" w:fill="FFFFFF"/>
        </w:rPr>
        <w:t>.</w:t>
      </w:r>
      <w:r>
        <w:rPr>
          <w:rStyle w:val="normaltextrun"/>
          <w:color w:val="000000"/>
          <w:shd w:val="clear" w:color="auto" w:fill="FFFFFF"/>
        </w:rPr>
        <w:t xml:space="preserve"> In this respect, t</w:t>
      </w:r>
      <w:r w:rsidRPr="00FF206E">
        <w:t xml:space="preserve">he officers of the </w:t>
      </w:r>
      <w:r>
        <w:t xml:space="preserve">Sub-Committee </w:t>
      </w:r>
      <w:r w:rsidRPr="00FF206E">
        <w:t xml:space="preserve">agreed </w:t>
      </w:r>
      <w:r>
        <w:t>on the running</w:t>
      </w:r>
      <w:r w:rsidRPr="00FF206E">
        <w:t xml:space="preserve"> of the </w:t>
      </w:r>
      <w:r>
        <w:t xml:space="preserve">sixty-second </w:t>
      </w:r>
      <w:r w:rsidRPr="00FF206E">
        <w:t>session</w:t>
      </w:r>
      <w:r>
        <w:t>,</w:t>
      </w:r>
      <w:r w:rsidRPr="00FA2527">
        <w:t xml:space="preserve"> </w:t>
      </w:r>
      <w:r w:rsidRPr="00FF206E">
        <w:t>as indicated in informal document INF.</w:t>
      </w:r>
      <w:r>
        <w:t>12</w:t>
      </w:r>
      <w:r w:rsidRPr="00FF206E">
        <w:t>.</w:t>
      </w:r>
    </w:p>
    <w:p w14:paraId="603559FB" w14:textId="2F880A81" w:rsidR="00D263B2" w:rsidRDefault="00B81100" w:rsidP="00D263B2">
      <w:pPr>
        <w:pStyle w:val="SingleTxtG"/>
      </w:pPr>
      <w:r>
        <w:t>8.</w:t>
      </w:r>
      <w:r w:rsidR="00D263B2">
        <w:tab/>
        <w:t>Upon the request of the Division of Conference Management (DCM) of the United Nations Office at Geneva, the Sub-Committee was again invited to take an online survey on the quality of conference services provided at the session</w:t>
      </w:r>
      <w:r w:rsidR="00D263B2">
        <w:rPr>
          <w:rStyle w:val="FootnoteReference"/>
        </w:rPr>
        <w:footnoteReference w:id="3"/>
      </w:r>
      <w:r w:rsidR="00D263B2">
        <w:t>.</w:t>
      </w:r>
    </w:p>
    <w:p w14:paraId="7A03664B" w14:textId="7040C4B4" w:rsidR="00D263B2" w:rsidRPr="00FF206E" w:rsidRDefault="00B81100" w:rsidP="00D263B2">
      <w:pPr>
        <w:pStyle w:val="SingleTxtG"/>
        <w:rPr>
          <w:lang w:val="en-US"/>
        </w:rPr>
      </w:pPr>
      <w:r>
        <w:t>9</w:t>
      </w:r>
      <w:r w:rsidR="00C53975">
        <w:t>.</w:t>
      </w:r>
      <w:r w:rsidR="00DF6C43">
        <w:tab/>
      </w:r>
      <w:r w:rsidR="00D263B2">
        <w:t xml:space="preserve">The Sub-Committee noted with misappreciation that its meeting started with a considerable delay, due to difficulties of numerous delegates in obtaining their identification badge from UNOG Security and Safety Section. It was noted that also the informal working group </w:t>
      </w:r>
      <w:r w:rsidR="00C75D6F">
        <w:t>also</w:t>
      </w:r>
      <w:r w:rsidR="00D263B2">
        <w:t xml:space="preserve"> start</w:t>
      </w:r>
      <w:r w:rsidR="00C75D6F">
        <w:t>ed</w:t>
      </w:r>
      <w:r w:rsidR="00D263B2">
        <w:t xml:space="preserve"> with a delay due to </w:t>
      </w:r>
      <w:r w:rsidR="00DA27A0">
        <w:t xml:space="preserve">the </w:t>
      </w:r>
      <w:r w:rsidR="00366CCE">
        <w:t>un</w:t>
      </w:r>
      <w:r w:rsidR="00D263B2">
        <w:t xml:space="preserve">availability of large rooms in the Palais des Nations and the technical problems to connect remotely </w:t>
      </w:r>
      <w:r w:rsidR="00366CCE">
        <w:t xml:space="preserve">in </w:t>
      </w:r>
      <w:r w:rsidR="00D263B2">
        <w:t xml:space="preserve">the smaller rooms </w:t>
      </w:r>
      <w:r w:rsidR="00366CCE">
        <w:t xml:space="preserve">which have been </w:t>
      </w:r>
      <w:r w:rsidR="00D263B2">
        <w:t>reserved.</w:t>
      </w:r>
    </w:p>
    <w:bookmarkEnd w:id="0"/>
    <w:p w14:paraId="17B93379" w14:textId="77777777" w:rsidR="00AB001F" w:rsidRDefault="00AB001F" w:rsidP="00AB001F">
      <w:pPr>
        <w:pStyle w:val="HChG"/>
      </w:pPr>
      <w:r>
        <w:lastRenderedPageBreak/>
        <w:tab/>
        <w:t>III.</w:t>
      </w:r>
      <w:r>
        <w:tab/>
        <w:t>Adoption of the agenda (agenda item 1)</w:t>
      </w:r>
    </w:p>
    <w:p w14:paraId="36F85CCF" w14:textId="77777777" w:rsidR="00AB001F" w:rsidRPr="00634742" w:rsidRDefault="00AB001F" w:rsidP="00336A91">
      <w:pPr>
        <w:pStyle w:val="SingleTxtG"/>
        <w:tabs>
          <w:tab w:val="clear" w:pos="2268"/>
          <w:tab w:val="clear" w:pos="2835"/>
          <w:tab w:val="left" w:pos="3119"/>
        </w:tabs>
        <w:ind w:left="3119" w:hanging="1985"/>
        <w:jc w:val="left"/>
      </w:pPr>
      <w:r w:rsidRPr="00EF030F">
        <w:rPr>
          <w:i/>
          <w:iCs/>
        </w:rPr>
        <w:t>Documents:</w:t>
      </w:r>
      <w:r w:rsidRPr="00634742">
        <w:tab/>
        <w:t>ST/SG/AC.10/C.3/</w:t>
      </w:r>
      <w:r>
        <w:t>123</w:t>
      </w:r>
      <w:r w:rsidRPr="00634742">
        <w:t xml:space="preserve"> (Provisional agenda)</w:t>
      </w:r>
      <w:r w:rsidRPr="00634742">
        <w:br/>
        <w:t>ST/SG/AC.10/C.3/</w:t>
      </w:r>
      <w:r>
        <w:t>123/Add.1 (List of documents and annotations)</w:t>
      </w:r>
    </w:p>
    <w:p w14:paraId="710D3F59" w14:textId="7FC71D68" w:rsidR="00AB001F" w:rsidRDefault="00AB001F" w:rsidP="00AF015F">
      <w:pPr>
        <w:pStyle w:val="SingleTxtG"/>
        <w:tabs>
          <w:tab w:val="clear" w:pos="2835"/>
        </w:tabs>
        <w:ind w:left="3119" w:hanging="1985"/>
        <w:jc w:val="left"/>
      </w:pPr>
      <w:r w:rsidRPr="005D2690">
        <w:rPr>
          <w:i/>
          <w:iCs/>
        </w:rPr>
        <w:t>Informal documents:</w:t>
      </w:r>
      <w:r w:rsidRPr="00634742">
        <w:tab/>
        <w:t>INF.1 and INF.2 (List of documents)</w:t>
      </w:r>
      <w:r>
        <w:br/>
        <w:t xml:space="preserve">INF.40 (Reception by </w:t>
      </w:r>
      <w:r w:rsidRPr="00424AD3">
        <w:t>non</w:t>
      </w:r>
      <w:r>
        <w:t>-</w:t>
      </w:r>
      <w:r w:rsidRPr="00424AD3">
        <w:t>governmental organizations</w:t>
      </w:r>
      <w:r>
        <w:t>)</w:t>
      </w:r>
    </w:p>
    <w:p w14:paraId="2444247B" w14:textId="77317E80" w:rsidR="00AB001F" w:rsidRDefault="00C53975" w:rsidP="00AB001F">
      <w:pPr>
        <w:pStyle w:val="SingleTxtG"/>
      </w:pPr>
      <w:r>
        <w:t>10.</w:t>
      </w:r>
      <w:r w:rsidR="00AB001F" w:rsidRPr="00BF21EA">
        <w:tab/>
        <w:t>The Sub-Committee adopted the provisional agenda prepared by the secretariat after amending it to take account of informal documents INF.1 and INF</w:t>
      </w:r>
      <w:r w:rsidR="00AB001F">
        <w:t>.</w:t>
      </w:r>
      <w:r w:rsidR="00D263B2">
        <w:t>47</w:t>
      </w:r>
      <w:r w:rsidR="00AB001F" w:rsidRPr="00BF21EA">
        <w:t>.</w:t>
      </w:r>
    </w:p>
    <w:p w14:paraId="653852EE" w14:textId="40CEF501" w:rsidR="00AB001F" w:rsidRDefault="00C53975" w:rsidP="00AB001F">
      <w:pPr>
        <w:pStyle w:val="SingleTxtG"/>
      </w:pPr>
      <w:r>
        <w:t>11.</w:t>
      </w:r>
      <w:r w:rsidR="00AB001F">
        <w:tab/>
        <w:t>Upon the request by IATA and ISO</w:t>
      </w:r>
      <w:r w:rsidR="00DD55DF">
        <w:t>,</w:t>
      </w:r>
      <w:r w:rsidR="00AB001F">
        <w:t xml:space="preserve"> the </w:t>
      </w:r>
      <w:r w:rsidR="00AB001F" w:rsidRPr="00BF21EA">
        <w:t xml:space="preserve">Sub-Committee </w:t>
      </w:r>
      <w:r w:rsidR="00AB001F">
        <w:t>agreed to postpone to its next session consideration of documents ST/SG/AC.10/C.3/2023/23 and ST/SG/AC.10/C.3/2023/24 (listed under agenda item 4 (f)) as well as document ST/SG/AC.10/C.3/2023/21 (agenda item 5 (c)).</w:t>
      </w:r>
    </w:p>
    <w:p w14:paraId="3CD262E8" w14:textId="5E99EE9E" w:rsidR="00AB001F" w:rsidRDefault="00C53975" w:rsidP="00AB001F">
      <w:pPr>
        <w:pStyle w:val="SingleTxtG"/>
      </w:pPr>
      <w:r>
        <w:t>12.</w:t>
      </w:r>
      <w:r w:rsidR="00AB001F">
        <w:tab/>
        <w:t>The Sub-Committee adopted the provisional annotated agenda prepared by the secretariat including the informal documents (see informal document INF.2, as amended).</w:t>
      </w:r>
    </w:p>
    <w:p w14:paraId="6E292E14" w14:textId="77777777" w:rsidR="00AB001F" w:rsidRPr="00E864BF" w:rsidRDefault="00AB001F" w:rsidP="00AB001F">
      <w:pPr>
        <w:pStyle w:val="H1G"/>
      </w:pPr>
      <w:r>
        <w:tab/>
      </w:r>
      <w:r>
        <w:tab/>
        <w:t>S</w:t>
      </w:r>
      <w:r w:rsidRPr="00F0725A">
        <w:t>tatus of publications</w:t>
      </w:r>
    </w:p>
    <w:p w14:paraId="3CD9A044" w14:textId="526419A2" w:rsidR="00AB001F" w:rsidRDefault="00C53975" w:rsidP="00AB001F">
      <w:pPr>
        <w:pStyle w:val="SingleTxtG"/>
      </w:pPr>
      <w:r>
        <w:t>13.</w:t>
      </w:r>
      <w:r w:rsidR="00AB001F">
        <w:tab/>
      </w:r>
      <w:r w:rsidR="00AB001F" w:rsidRPr="00E864BF">
        <w:t xml:space="preserve">The Sub-Committee was informed that the English and French versions of the </w:t>
      </w:r>
      <w:r w:rsidR="00AB001F" w:rsidRPr="00701002">
        <w:t>twenty</w:t>
      </w:r>
      <w:r w:rsidR="00AB001F">
        <w:rPr>
          <w:color w:val="222222"/>
          <w:lang w:val="en"/>
        </w:rPr>
        <w:t>-third</w:t>
      </w:r>
      <w:r w:rsidR="00AB001F" w:rsidRPr="00601CF2">
        <w:rPr>
          <w:color w:val="222222"/>
          <w:lang w:val="en"/>
        </w:rPr>
        <w:t xml:space="preserve"> </w:t>
      </w:r>
      <w:r w:rsidR="00AB001F" w:rsidRPr="00601CF2">
        <w:t>revised edition</w:t>
      </w:r>
      <w:r w:rsidR="00AB001F" w:rsidRPr="00E864BF">
        <w:t xml:space="preserve"> </w:t>
      </w:r>
      <w:r w:rsidR="00AB001F">
        <w:t xml:space="preserve">of the Model Regulations, the tenth revised edition of the </w:t>
      </w:r>
      <w:r w:rsidR="00AB001F" w:rsidRPr="00601CF2">
        <w:t>Globally Harmonized System of Classification and Labelling of Chemicals (GHS</w:t>
      </w:r>
      <w:r w:rsidR="00AB001F">
        <w:t xml:space="preserve">) </w:t>
      </w:r>
      <w:r w:rsidR="00AB001F" w:rsidRPr="00E864BF">
        <w:t>had already be</w:t>
      </w:r>
      <w:r w:rsidR="00AB001F">
        <w:t>en</w:t>
      </w:r>
      <w:r w:rsidR="00AB001F" w:rsidRPr="00E864BF">
        <w:t xml:space="preserve"> published</w:t>
      </w:r>
      <w:r w:rsidR="00AB001F">
        <w:t xml:space="preserve"> and that t</w:t>
      </w:r>
      <w:r w:rsidR="00AB001F" w:rsidRPr="00E864BF">
        <w:t xml:space="preserve">he Spanish, Russian, Chinese and Arabic versions of the Model Regulations and </w:t>
      </w:r>
      <w:r w:rsidR="00AB001F">
        <w:t>the GHS were</w:t>
      </w:r>
      <w:r w:rsidR="00AB001F" w:rsidRPr="00E864BF">
        <w:t xml:space="preserve"> under preparation.</w:t>
      </w:r>
      <w:r w:rsidR="00AB001F" w:rsidRPr="002671D7">
        <w:t xml:space="preserve"> </w:t>
      </w:r>
      <w:r w:rsidR="00AB001F">
        <w:t>The p</w:t>
      </w:r>
      <w:r w:rsidR="00AB001F" w:rsidRPr="00F0725A">
        <w:t xml:space="preserve">ublication of the </w:t>
      </w:r>
      <w:r w:rsidR="00AB001F">
        <w:t>eighth</w:t>
      </w:r>
      <w:r w:rsidR="00AB001F" w:rsidRPr="00F0725A">
        <w:t xml:space="preserve"> revised edition of the Manual of Tests and Criteria is expected </w:t>
      </w:r>
      <w:r w:rsidR="00AB001F">
        <w:t xml:space="preserve">to be published </w:t>
      </w:r>
      <w:r w:rsidR="00AB001F" w:rsidRPr="00F0725A">
        <w:t>before the end of 20</w:t>
      </w:r>
      <w:r w:rsidR="00AB001F">
        <w:t>23</w:t>
      </w:r>
      <w:r w:rsidR="00AB001F" w:rsidRPr="00F0725A">
        <w:t>.</w:t>
      </w:r>
    </w:p>
    <w:p w14:paraId="03E612DE" w14:textId="65384DD1" w:rsidR="00AB001F" w:rsidRDefault="00C53975" w:rsidP="00AB001F">
      <w:pPr>
        <w:pStyle w:val="SingleTxtG"/>
      </w:pPr>
      <w:r>
        <w:t>14.</w:t>
      </w:r>
      <w:r w:rsidR="00AB001F">
        <w:tab/>
      </w:r>
      <w:r w:rsidR="00AB001F" w:rsidRPr="00E864BF">
        <w:t xml:space="preserve">The Sub-Committee </w:t>
      </w:r>
      <w:r w:rsidR="00AB001F">
        <w:t xml:space="preserve">noted that </w:t>
      </w:r>
      <w:r w:rsidR="00AB001F" w:rsidRPr="00E864BF">
        <w:t xml:space="preserve">the </w:t>
      </w:r>
      <w:r w:rsidR="00AB001F">
        <w:t xml:space="preserve">seventh version of the guiding principles had been published beginning of 2023 at the website: </w:t>
      </w:r>
      <w:hyperlink r:id="rId12" w:history="1">
        <w:r w:rsidR="00AB001F" w:rsidRPr="00D9643B">
          <w:rPr>
            <w:rStyle w:val="Hyperlink"/>
          </w:rPr>
          <w:t>https://unece.org/guiding-principles</w:t>
        </w:r>
      </w:hyperlink>
      <w:r w:rsidR="00AB001F">
        <w:t>.</w:t>
      </w:r>
    </w:p>
    <w:p w14:paraId="2C6E9109" w14:textId="77777777" w:rsidR="00AB001F" w:rsidRPr="006D7169" w:rsidRDefault="00AB001F" w:rsidP="00AB001F">
      <w:pPr>
        <w:pStyle w:val="HChG"/>
      </w:pPr>
      <w:r w:rsidRPr="006D7169">
        <w:tab/>
        <w:t>I</w:t>
      </w:r>
      <w:r>
        <w:t>V</w:t>
      </w:r>
      <w:r w:rsidRPr="006D7169">
        <w:t>.</w:t>
      </w:r>
      <w:r w:rsidRPr="006D7169">
        <w:tab/>
        <w:t>Explosives and related matters (agenda item 2)</w:t>
      </w:r>
    </w:p>
    <w:p w14:paraId="28BEDD90" w14:textId="6D187158" w:rsidR="00AB001F" w:rsidRDefault="00C53975" w:rsidP="00342757">
      <w:pPr>
        <w:pStyle w:val="SingleTxtG"/>
        <w:tabs>
          <w:tab w:val="left" w:pos="567"/>
          <w:tab w:val="left" w:pos="1134"/>
          <w:tab w:val="left" w:pos="3402"/>
          <w:tab w:val="left" w:pos="3969"/>
          <w:tab w:val="left" w:pos="4536"/>
          <w:tab w:val="left" w:pos="5103"/>
          <w:tab w:val="left" w:pos="5670"/>
          <w:tab w:val="left" w:pos="6237"/>
          <w:tab w:val="left" w:pos="6804"/>
          <w:tab w:val="left" w:pos="7730"/>
        </w:tabs>
      </w:pPr>
      <w:r>
        <w:t>15.</w:t>
      </w:r>
      <w:r w:rsidR="00AB001F">
        <w:tab/>
      </w:r>
      <w:r w:rsidR="00AB001F" w:rsidRPr="00BF21EA">
        <w:t xml:space="preserve">After preliminary consideration in plenary, </w:t>
      </w:r>
      <w:r w:rsidR="00AB001F">
        <w:t>all</w:t>
      </w:r>
      <w:r w:rsidR="00AB001F" w:rsidRPr="00BF21EA">
        <w:t xml:space="preserve"> questions relating to this agenda item were referred to the Working Group on Explosives</w:t>
      </w:r>
      <w:r w:rsidR="007D6F7F">
        <w:t xml:space="preserve"> (EWG)</w:t>
      </w:r>
      <w:r w:rsidR="00AB001F" w:rsidRPr="00BF21EA">
        <w:t xml:space="preserve">, which met from </w:t>
      </w:r>
      <w:r w:rsidR="00AB001F">
        <w:t>3</w:t>
      </w:r>
      <w:r w:rsidR="00AB001F" w:rsidRPr="00BF21EA">
        <w:t xml:space="preserve"> to </w:t>
      </w:r>
      <w:r w:rsidR="00AB001F">
        <w:t>6 July 2023</w:t>
      </w:r>
      <w:r w:rsidR="00AB001F" w:rsidRPr="00BF21EA">
        <w:t xml:space="preserve"> under the chairmanship of Mr. E. de Jong (Netherlands).</w:t>
      </w:r>
      <w:r w:rsidR="007E627A">
        <w:t xml:space="preserve"> </w:t>
      </w:r>
      <w:r w:rsidR="0023489A" w:rsidRPr="005E003D">
        <w:t xml:space="preserve">The Sub-Committee </w:t>
      </w:r>
      <w:r w:rsidR="0023489A">
        <w:t>was informed that Mr. Martyn Sime (United Kingdom) w</w:t>
      </w:r>
      <w:r w:rsidR="003C6A8A">
        <w:t>ou</w:t>
      </w:r>
      <w:r w:rsidR="0023489A">
        <w:t>l</w:t>
      </w:r>
      <w:r w:rsidR="003C6A8A">
        <w:t>d</w:t>
      </w:r>
      <w:r w:rsidR="0023489A">
        <w:t xml:space="preserve"> chair the </w:t>
      </w:r>
      <w:r w:rsidR="00FA5750">
        <w:t xml:space="preserve">future meetings of the </w:t>
      </w:r>
      <w:r w:rsidR="0023489A">
        <w:t>EWG</w:t>
      </w:r>
      <w:r w:rsidR="00FA5750">
        <w:t xml:space="preserve">, due to the retirement in near future of </w:t>
      </w:r>
      <w:r w:rsidR="00FA5750" w:rsidRPr="00BF21EA">
        <w:t>Mr. de Jong</w:t>
      </w:r>
      <w:r w:rsidR="0023489A">
        <w:t xml:space="preserve">. </w:t>
      </w:r>
    </w:p>
    <w:p w14:paraId="4B61D626" w14:textId="59C1CDD1" w:rsidR="00AF5DE1" w:rsidRDefault="00C53975" w:rsidP="008345F9">
      <w:pPr>
        <w:pStyle w:val="SingleTxtG"/>
      </w:pPr>
      <w:r>
        <w:t>16.</w:t>
      </w:r>
      <w:r w:rsidR="00AB001F">
        <w:tab/>
        <w:t xml:space="preserve">Items related to explosives in </w:t>
      </w:r>
      <w:r w:rsidR="00354E4C">
        <w:t xml:space="preserve">document ST/SG/AC.10/C.3/2023/2 (Spain) and </w:t>
      </w:r>
      <w:r w:rsidR="00AB001F">
        <w:t xml:space="preserve">informal documents INF.35 (China) and INF.39 (COSTHA) were also entrusted to the </w:t>
      </w:r>
      <w:r w:rsidR="00DD55DF">
        <w:t>EWG</w:t>
      </w:r>
      <w:r w:rsidR="00AB001F">
        <w:t xml:space="preserve"> for consideration.</w:t>
      </w:r>
    </w:p>
    <w:p w14:paraId="0CD67CC5" w14:textId="77777777" w:rsidR="00B657C9" w:rsidRPr="005E003D" w:rsidRDefault="00B657C9" w:rsidP="00B657C9">
      <w:pPr>
        <w:pStyle w:val="H1G"/>
      </w:pPr>
      <w:r w:rsidRPr="005E003D">
        <w:tab/>
      </w:r>
      <w:r w:rsidRPr="005E003D">
        <w:tab/>
        <w:t>Report of the Working Group on Explosives</w:t>
      </w:r>
    </w:p>
    <w:p w14:paraId="1B7D566E" w14:textId="099C1F0F" w:rsidR="00B657C9" w:rsidRPr="005E003D" w:rsidRDefault="00B657C9" w:rsidP="00336A91">
      <w:pPr>
        <w:pStyle w:val="SingleTxtG"/>
        <w:tabs>
          <w:tab w:val="left" w:pos="3119"/>
        </w:tabs>
        <w:spacing w:before="40"/>
        <w:ind w:right="0"/>
        <w:jc w:val="left"/>
      </w:pPr>
      <w:r w:rsidRPr="005E003D">
        <w:rPr>
          <w:i/>
        </w:rPr>
        <w:t xml:space="preserve">Informal </w:t>
      </w:r>
      <w:r w:rsidRPr="005E003D">
        <w:rPr>
          <w:i/>
          <w:iCs/>
        </w:rPr>
        <w:t>document</w:t>
      </w:r>
      <w:r w:rsidRPr="005E003D">
        <w:rPr>
          <w:i/>
        </w:rPr>
        <w:t>:</w:t>
      </w:r>
      <w:r w:rsidRPr="005E003D">
        <w:rPr>
          <w:i/>
        </w:rPr>
        <w:tab/>
      </w:r>
      <w:r w:rsidRPr="005E003D">
        <w:rPr>
          <w:i/>
        </w:rPr>
        <w:tab/>
      </w:r>
      <w:r w:rsidRPr="005E003D">
        <w:t xml:space="preserve">INF.47 (Chair of the </w:t>
      </w:r>
      <w:r w:rsidR="00645CC3">
        <w:t>EWG</w:t>
      </w:r>
      <w:r w:rsidRPr="005E003D">
        <w:t>)</w:t>
      </w:r>
    </w:p>
    <w:p w14:paraId="32696AAA" w14:textId="77F5FDB4" w:rsidR="00B657C9" w:rsidRPr="005E003D" w:rsidRDefault="007D4BD8" w:rsidP="00B657C9">
      <w:pPr>
        <w:pStyle w:val="SingleTxtG"/>
      </w:pPr>
      <w:r>
        <w:t>17.</w:t>
      </w:r>
      <w:r w:rsidR="00E2070E">
        <w:tab/>
      </w:r>
      <w:r w:rsidR="00E22ED3">
        <w:t>Having considered the report of the EWG and heard the</w:t>
      </w:r>
      <w:r>
        <w:t xml:space="preserve"> </w:t>
      </w:r>
      <w:r w:rsidR="00B657C9" w:rsidRPr="005E003D">
        <w:t>explanations provided by its Chair, the Sub-Committee noted the conclusions listed below for each subject consider</w:t>
      </w:r>
      <w:r w:rsidR="00645CC3">
        <w:t>ed</w:t>
      </w:r>
      <w:r w:rsidR="00B657C9" w:rsidRPr="005E003D">
        <w:t xml:space="preserve"> under agenda sub-items 2(a) to (h).</w:t>
      </w:r>
    </w:p>
    <w:p w14:paraId="112DD826" w14:textId="77777777" w:rsidR="00B657C9" w:rsidRPr="005E003D" w:rsidRDefault="00B657C9" w:rsidP="00B657C9">
      <w:pPr>
        <w:pStyle w:val="H1G"/>
      </w:pPr>
      <w:r w:rsidRPr="005E003D">
        <w:tab/>
        <w:t>A.</w:t>
      </w:r>
      <w:r w:rsidRPr="005E003D">
        <w:tab/>
        <w:t>Review of test series 6</w:t>
      </w:r>
    </w:p>
    <w:p w14:paraId="26C9DBDC" w14:textId="77777777" w:rsidR="00B657C9" w:rsidRPr="005E003D" w:rsidRDefault="00B657C9" w:rsidP="00336A91">
      <w:pPr>
        <w:pStyle w:val="SingleTxtG"/>
        <w:tabs>
          <w:tab w:val="clear" w:pos="2268"/>
          <w:tab w:val="clear" w:pos="2835"/>
          <w:tab w:val="left" w:pos="3119"/>
        </w:tabs>
        <w:rPr>
          <w:iCs/>
        </w:rPr>
      </w:pPr>
      <w:r w:rsidRPr="005E003D">
        <w:rPr>
          <w:i/>
        </w:rPr>
        <w:t>Document:</w:t>
      </w:r>
      <w:r w:rsidRPr="005E003D">
        <w:rPr>
          <w:i/>
        </w:rPr>
        <w:tab/>
      </w:r>
      <w:r w:rsidRPr="005E003D">
        <w:rPr>
          <w:iCs/>
        </w:rPr>
        <w:t>ST/</w:t>
      </w:r>
      <w:r w:rsidRPr="005E003D">
        <w:t>SG</w:t>
      </w:r>
      <w:r w:rsidRPr="005E003D">
        <w:rPr>
          <w:iCs/>
        </w:rPr>
        <w:t>/AC.10/C.3/2023/26 (COSTHA, SAAMI)</w:t>
      </w:r>
    </w:p>
    <w:p w14:paraId="29044749" w14:textId="77777777" w:rsidR="00B657C9" w:rsidRPr="005E003D" w:rsidRDefault="00B657C9" w:rsidP="00336A91">
      <w:pPr>
        <w:pStyle w:val="SingleTxtG"/>
        <w:tabs>
          <w:tab w:val="clear" w:pos="2835"/>
        </w:tabs>
        <w:ind w:left="3119" w:hanging="1985"/>
        <w:jc w:val="left"/>
        <w:rPr>
          <w:iCs/>
        </w:rPr>
      </w:pPr>
      <w:r w:rsidRPr="005E003D">
        <w:rPr>
          <w:i/>
        </w:rPr>
        <w:t>Informal documents:</w:t>
      </w:r>
      <w:r w:rsidRPr="005E003D">
        <w:rPr>
          <w:i/>
        </w:rPr>
        <w:tab/>
      </w:r>
      <w:r w:rsidRPr="005E003D">
        <w:t>INF.25 and INF.27 (SAAMI</w:t>
      </w:r>
      <w:r w:rsidRPr="005E003D">
        <w:rPr>
          <w:iCs/>
        </w:rPr>
        <w:t>)</w:t>
      </w:r>
      <w:r w:rsidRPr="005E003D">
        <w:rPr>
          <w:iCs/>
        </w:rPr>
        <w:br/>
        <w:t>INF.31 (COSTHA)</w:t>
      </w:r>
      <w:r w:rsidRPr="005E003D">
        <w:rPr>
          <w:iCs/>
        </w:rPr>
        <w:br/>
        <w:t>INF.32 (COSTHA, SAAMI)</w:t>
      </w:r>
    </w:p>
    <w:p w14:paraId="242F967C" w14:textId="3312D602" w:rsidR="00B657C9" w:rsidRPr="005E003D" w:rsidRDefault="00C53975" w:rsidP="00B657C9">
      <w:pPr>
        <w:pStyle w:val="SingleTxtG"/>
      </w:pPr>
      <w:bookmarkStart w:id="1" w:name="_Hlk13676805"/>
      <w:r>
        <w:t>18.</w:t>
      </w:r>
      <w:r w:rsidR="00B657C9" w:rsidRPr="005E003D">
        <w:tab/>
      </w:r>
      <w:bookmarkEnd w:id="1"/>
      <w:r w:rsidR="00B657C9" w:rsidRPr="005E003D">
        <w:t xml:space="preserve">On informal document INF.27, the EWG was undecided on whether a first aid injury would be acceptable for 1.4S. Following the presentation of informal document INF.25 the </w:t>
      </w:r>
      <w:r w:rsidR="00B657C9" w:rsidRPr="005E003D">
        <w:lastRenderedPageBreak/>
        <w:t>group had no proposal to consider. On informal document INF.31, the EWG concluded that risk is not the paramount consideration in transport regulations; however, classification does consider risk to some extent. While some authorities might view safety devices as a security risk, a systematic way of weighing those risks against societal benefits does not exist.</w:t>
      </w:r>
    </w:p>
    <w:p w14:paraId="50ACDA27" w14:textId="77777777" w:rsidR="00B657C9" w:rsidRPr="005E003D" w:rsidRDefault="00B657C9" w:rsidP="00B657C9">
      <w:pPr>
        <w:pStyle w:val="H1G"/>
      </w:pPr>
      <w:r w:rsidRPr="005E003D">
        <w:tab/>
        <w:t>B.</w:t>
      </w:r>
      <w:r w:rsidRPr="005E003D">
        <w:tab/>
        <w:t>Improvement of Test Series 8</w:t>
      </w:r>
    </w:p>
    <w:p w14:paraId="1239F279" w14:textId="3CAC7ABF" w:rsidR="00B657C9" w:rsidRPr="005E003D" w:rsidRDefault="00C53975" w:rsidP="00B657C9">
      <w:pPr>
        <w:pStyle w:val="SingleTxtG"/>
      </w:pPr>
      <w:r>
        <w:t>19.</w:t>
      </w:r>
      <w:r w:rsidR="00B657C9" w:rsidRPr="005E003D">
        <w:tab/>
        <w:t>Documents initially listed under this item were discussed under agenda sub-item 2(f) below.</w:t>
      </w:r>
    </w:p>
    <w:p w14:paraId="5417B970" w14:textId="77777777" w:rsidR="00B657C9" w:rsidRPr="005E003D" w:rsidRDefault="00B657C9" w:rsidP="00B657C9">
      <w:pPr>
        <w:pStyle w:val="H1G"/>
      </w:pPr>
      <w:bookmarkStart w:id="2" w:name="_Hlk13678994"/>
      <w:r w:rsidRPr="005E003D">
        <w:tab/>
        <w:t>C.</w:t>
      </w:r>
      <w:r w:rsidRPr="005E003D">
        <w:tab/>
        <w:t xml:space="preserve">Review </w:t>
      </w:r>
      <w:bookmarkEnd w:id="2"/>
      <w:r w:rsidRPr="005E003D">
        <w:t>of tests in parts I, II and III of the Manual of Tests and Criteria</w:t>
      </w:r>
    </w:p>
    <w:p w14:paraId="2D31E158" w14:textId="77777777" w:rsidR="00B657C9" w:rsidRPr="005E003D" w:rsidRDefault="00B657C9" w:rsidP="00336A91">
      <w:pPr>
        <w:pStyle w:val="SingleTxtG"/>
        <w:tabs>
          <w:tab w:val="clear" w:pos="2835"/>
        </w:tabs>
        <w:ind w:left="3119" w:hanging="1985"/>
        <w:jc w:val="left"/>
        <w:rPr>
          <w:iCs/>
        </w:rPr>
      </w:pPr>
      <w:bookmarkStart w:id="3" w:name="para5"/>
      <w:bookmarkEnd w:id="3"/>
      <w:r w:rsidRPr="005E003D">
        <w:rPr>
          <w:i/>
        </w:rPr>
        <w:t>Informal document:</w:t>
      </w:r>
      <w:r w:rsidRPr="005E003D">
        <w:rPr>
          <w:i/>
        </w:rPr>
        <w:tab/>
      </w:r>
      <w:r w:rsidRPr="005E003D">
        <w:t>INF.36 (United Kingdom, United States of America</w:t>
      </w:r>
      <w:r w:rsidRPr="005E003D">
        <w:rPr>
          <w:iCs/>
        </w:rPr>
        <w:t>)</w:t>
      </w:r>
    </w:p>
    <w:p w14:paraId="6D9EB6C5" w14:textId="3FEDCD19" w:rsidR="00B657C9" w:rsidRPr="005E003D" w:rsidRDefault="00C53975" w:rsidP="00B657C9">
      <w:pPr>
        <w:pStyle w:val="SingleTxtG"/>
      </w:pPr>
      <w:r>
        <w:t>20.</w:t>
      </w:r>
      <w:r w:rsidR="00B657C9" w:rsidRPr="005E003D">
        <w:tab/>
        <w:t xml:space="preserve">There was unanimous consent that this work is valuable and should be continued. Thus, Germany will finalize its review of the current quasi-static burst pressure procedure; the remaining quasi-static burst pressure tests will be performed; the laboratories that have not completed the round-robin tests will do so; and the NOURYON laboratory in the Netherlands will develop a test matrix for diluted quantities of tert-Butyl </w:t>
      </w:r>
      <w:proofErr w:type="spellStart"/>
      <w:r w:rsidR="00B657C9" w:rsidRPr="005E003D">
        <w:t>peroxybenzoate</w:t>
      </w:r>
      <w:proofErr w:type="spellEnd"/>
      <w:r w:rsidR="00B657C9" w:rsidRPr="005E003D">
        <w:t>.</w:t>
      </w:r>
    </w:p>
    <w:p w14:paraId="7CD6A08B" w14:textId="77777777" w:rsidR="00B657C9" w:rsidRPr="005E003D" w:rsidRDefault="00B657C9" w:rsidP="00B657C9">
      <w:pPr>
        <w:pStyle w:val="H1G"/>
      </w:pPr>
      <w:r w:rsidRPr="005E003D">
        <w:tab/>
        <w:t>D.</w:t>
      </w:r>
      <w:r w:rsidRPr="005E003D">
        <w:tab/>
        <w:t>“UN” standard detonators</w:t>
      </w:r>
    </w:p>
    <w:p w14:paraId="50D9F3CC" w14:textId="20E21E83" w:rsidR="00B657C9" w:rsidRPr="005E003D" w:rsidRDefault="00C53975" w:rsidP="00B657C9">
      <w:pPr>
        <w:pStyle w:val="SingleTxtG"/>
        <w:spacing w:after="0"/>
      </w:pPr>
      <w:r>
        <w:t>21.</w:t>
      </w:r>
      <w:r w:rsidR="00B657C9" w:rsidRPr="005E003D">
        <w:tab/>
        <w:t>As no document had been submitted under this agenda sub-item, no discussion took place on this subject.</w:t>
      </w:r>
    </w:p>
    <w:p w14:paraId="546ACA53" w14:textId="77777777" w:rsidR="00B657C9" w:rsidRPr="005E003D" w:rsidRDefault="00B657C9" w:rsidP="00B657C9">
      <w:pPr>
        <w:pStyle w:val="H1G"/>
      </w:pPr>
      <w:r w:rsidRPr="005E003D">
        <w:tab/>
        <w:t>E.</w:t>
      </w:r>
      <w:r w:rsidRPr="005E003D">
        <w:tab/>
        <w:t>Energetic samples</w:t>
      </w:r>
    </w:p>
    <w:p w14:paraId="1FE0BD9A" w14:textId="1DB946AF" w:rsidR="00B657C9" w:rsidRPr="005E003D" w:rsidRDefault="00C53975" w:rsidP="00B657C9">
      <w:pPr>
        <w:pStyle w:val="SingleTxtG"/>
        <w:spacing w:after="0"/>
      </w:pPr>
      <w:r>
        <w:t>22.</w:t>
      </w:r>
      <w:r w:rsidR="00B657C9" w:rsidRPr="005E003D">
        <w:tab/>
        <w:t>As no document had been submitted under this agenda sub-item, no discussion took place on this subject.</w:t>
      </w:r>
    </w:p>
    <w:p w14:paraId="0BD6828F" w14:textId="77777777" w:rsidR="00B657C9" w:rsidRPr="005E003D" w:rsidRDefault="00B657C9" w:rsidP="00B657C9">
      <w:pPr>
        <w:pStyle w:val="H1G"/>
      </w:pPr>
      <w:r w:rsidRPr="005E003D">
        <w:tab/>
        <w:t>F.</w:t>
      </w:r>
      <w:r w:rsidRPr="005E003D">
        <w:tab/>
        <w:t>Review of packaging and transport requirements for ammonium nitrate emulsions</w:t>
      </w:r>
    </w:p>
    <w:p w14:paraId="3F5B519C" w14:textId="77777777" w:rsidR="00B657C9" w:rsidRPr="005E003D" w:rsidRDefault="00B657C9" w:rsidP="00B657C9">
      <w:pPr>
        <w:pStyle w:val="SingleTxtG"/>
        <w:tabs>
          <w:tab w:val="left" w:pos="3402"/>
        </w:tabs>
        <w:rPr>
          <w:rFonts w:eastAsia="Times New Roman"/>
          <w:b/>
          <w:lang w:eastAsia="en-US"/>
        </w:rPr>
      </w:pPr>
      <w:r w:rsidRPr="005E003D">
        <w:rPr>
          <w:rFonts w:eastAsia="Times New Roman"/>
          <w:b/>
          <w:lang w:eastAsia="en-US"/>
        </w:rPr>
        <w:t>Proposal to remove requirement of test series 8(d) for assessing the suitability of ammonium nitrate emulsions for transport in portable tanks</w:t>
      </w:r>
    </w:p>
    <w:p w14:paraId="2D56A736" w14:textId="77777777" w:rsidR="00B657C9" w:rsidRPr="005E003D" w:rsidRDefault="00B657C9" w:rsidP="00336A91">
      <w:pPr>
        <w:pStyle w:val="SingleTxtG"/>
        <w:tabs>
          <w:tab w:val="clear" w:pos="2268"/>
          <w:tab w:val="clear" w:pos="2835"/>
          <w:tab w:val="left" w:pos="3402"/>
        </w:tabs>
        <w:rPr>
          <w:iCs/>
        </w:rPr>
      </w:pPr>
      <w:r w:rsidRPr="005E003D">
        <w:rPr>
          <w:i/>
        </w:rPr>
        <w:t>Document:</w:t>
      </w:r>
      <w:r w:rsidRPr="005E003D">
        <w:rPr>
          <w:i/>
        </w:rPr>
        <w:tab/>
      </w:r>
      <w:r w:rsidRPr="005E003D">
        <w:rPr>
          <w:iCs/>
        </w:rPr>
        <w:t>ST/</w:t>
      </w:r>
      <w:r w:rsidRPr="005E003D">
        <w:t>SG</w:t>
      </w:r>
      <w:r w:rsidRPr="005E003D">
        <w:rPr>
          <w:iCs/>
        </w:rPr>
        <w:t>/AC.10/C.3/2023/16 (IME)</w:t>
      </w:r>
    </w:p>
    <w:p w14:paraId="70599EC7" w14:textId="77777777" w:rsidR="00B657C9" w:rsidRPr="005E003D" w:rsidRDefault="00B657C9" w:rsidP="00AF015F">
      <w:pPr>
        <w:pStyle w:val="SingleTxtG"/>
        <w:tabs>
          <w:tab w:val="clear" w:pos="2835"/>
          <w:tab w:val="left" w:pos="3402"/>
        </w:tabs>
        <w:ind w:left="3402" w:hanging="2268"/>
        <w:jc w:val="left"/>
        <w:rPr>
          <w:iCs/>
        </w:rPr>
      </w:pPr>
      <w:r w:rsidRPr="005E003D">
        <w:rPr>
          <w:i/>
        </w:rPr>
        <w:t>Informal documents:</w:t>
      </w:r>
      <w:r w:rsidRPr="005E003D">
        <w:rPr>
          <w:i/>
        </w:rPr>
        <w:tab/>
      </w:r>
      <w:r w:rsidRPr="005E003D">
        <w:t>INF.10 (RPMASA)</w:t>
      </w:r>
      <w:r w:rsidRPr="005E003D">
        <w:rPr>
          <w:iCs/>
        </w:rPr>
        <w:br/>
        <w:t>INF.37 (IME)</w:t>
      </w:r>
    </w:p>
    <w:p w14:paraId="392D222B" w14:textId="18309747" w:rsidR="00B657C9" w:rsidRPr="005E003D" w:rsidRDefault="00E25824" w:rsidP="00B657C9">
      <w:pPr>
        <w:pStyle w:val="SingleTxtG"/>
      </w:pPr>
      <w:r>
        <w:t>23.</w:t>
      </w:r>
      <w:r w:rsidR="00B657C9" w:rsidRPr="005E003D">
        <w:tab/>
        <w:t>The EWG did not make a recommendation on the proposal and instead supported the establishment of an 8(d)-Informal Correspond</w:t>
      </w:r>
      <w:r w:rsidR="00A65205">
        <w:t>e</w:t>
      </w:r>
      <w:r w:rsidR="00B657C9" w:rsidRPr="005E003D">
        <w:t>nce Group (ICG) to continue the work. Belgium, Canada, Germany, Japan, Netherlands, Spain, Sweden, United States of America, AEISG, Cefic and RPMASA joined the 8(d)-ICG.</w:t>
      </w:r>
    </w:p>
    <w:p w14:paraId="1384986D" w14:textId="77777777" w:rsidR="00B657C9" w:rsidRPr="005E003D" w:rsidRDefault="00B657C9" w:rsidP="00B657C9">
      <w:pPr>
        <w:pStyle w:val="H1G"/>
      </w:pPr>
      <w:r w:rsidRPr="005E003D">
        <w:tab/>
        <w:t>G.</w:t>
      </w:r>
      <w:r w:rsidRPr="005E003D">
        <w:tab/>
        <w:t>Electrification and alternative fuels and how they will affect transport of explosives</w:t>
      </w:r>
    </w:p>
    <w:p w14:paraId="60D8480A" w14:textId="1B283A5D" w:rsidR="00B657C9" w:rsidRPr="005E003D" w:rsidRDefault="00E25824" w:rsidP="00B657C9">
      <w:pPr>
        <w:pStyle w:val="SingleTxtG"/>
        <w:spacing w:after="0"/>
      </w:pPr>
      <w:r>
        <w:t>24.</w:t>
      </w:r>
      <w:r w:rsidR="00B657C9" w:rsidRPr="005E003D">
        <w:tab/>
        <w:t>As no document had been submitted under this agenda sub-item, no discussion took place on this subject.</w:t>
      </w:r>
    </w:p>
    <w:p w14:paraId="64509B8C" w14:textId="77777777" w:rsidR="00B657C9" w:rsidRPr="005E003D" w:rsidRDefault="00B657C9" w:rsidP="00B657C9">
      <w:pPr>
        <w:pStyle w:val="H1G"/>
      </w:pPr>
      <w:r w:rsidRPr="005E003D">
        <w:lastRenderedPageBreak/>
        <w:tab/>
        <w:t>H.</w:t>
      </w:r>
      <w:r w:rsidRPr="005E003D">
        <w:tab/>
        <w:t>Miscellaneous</w:t>
      </w:r>
    </w:p>
    <w:p w14:paraId="036C23A1" w14:textId="075660DA" w:rsidR="00B657C9" w:rsidRPr="005E003D" w:rsidRDefault="00B657C9" w:rsidP="00B657C9">
      <w:pPr>
        <w:pStyle w:val="H1G"/>
        <w:rPr>
          <w:sz w:val="20"/>
        </w:rPr>
      </w:pPr>
      <w:r w:rsidRPr="005E003D">
        <w:rPr>
          <w:sz w:val="20"/>
        </w:rPr>
        <w:tab/>
        <w:t>1.</w:t>
      </w:r>
      <w:r w:rsidRPr="005E003D">
        <w:rPr>
          <w:sz w:val="20"/>
        </w:rPr>
        <w:tab/>
        <w:t>Amendment to section 51.4.4.2 (e) of the Manual of Tests and Criteria</w:t>
      </w:r>
    </w:p>
    <w:p w14:paraId="669F7BD4" w14:textId="77777777" w:rsidR="00B657C9" w:rsidRPr="005E003D" w:rsidRDefault="00B657C9" w:rsidP="00336A91">
      <w:pPr>
        <w:pStyle w:val="SingleTxtG"/>
        <w:tabs>
          <w:tab w:val="clear" w:pos="2268"/>
          <w:tab w:val="clear" w:pos="2835"/>
          <w:tab w:val="left" w:pos="3119"/>
        </w:tabs>
        <w:rPr>
          <w:iCs/>
        </w:rPr>
      </w:pPr>
      <w:r w:rsidRPr="005E003D">
        <w:rPr>
          <w:i/>
        </w:rPr>
        <w:t>Document:</w:t>
      </w:r>
      <w:r w:rsidRPr="005E003D">
        <w:rPr>
          <w:i/>
        </w:rPr>
        <w:tab/>
      </w:r>
      <w:r w:rsidRPr="005E003D">
        <w:rPr>
          <w:iCs/>
        </w:rPr>
        <w:t>ST/</w:t>
      </w:r>
      <w:r w:rsidRPr="005E003D">
        <w:t>SG</w:t>
      </w:r>
      <w:r w:rsidRPr="005E003D">
        <w:rPr>
          <w:iCs/>
        </w:rPr>
        <w:t>/AC.10/C.3/2023/6 (China)</w:t>
      </w:r>
    </w:p>
    <w:p w14:paraId="0F5E5188" w14:textId="35B0A23E" w:rsidR="00B657C9" w:rsidRPr="005E003D" w:rsidRDefault="00E25824" w:rsidP="00B657C9">
      <w:pPr>
        <w:pStyle w:val="SingleTxtG"/>
      </w:pPr>
      <w:r>
        <w:t>25.</w:t>
      </w:r>
      <w:r w:rsidR="00B657C9" w:rsidRPr="005E003D">
        <w:tab/>
        <w:t xml:space="preserve">Following the recommendation by the EWG, the Sub-Committee adopted the amendment in </w:t>
      </w:r>
      <w:r w:rsidR="000D5B6D">
        <w:t xml:space="preserve">document </w:t>
      </w:r>
      <w:r w:rsidR="00B657C9" w:rsidRPr="005E003D">
        <w:rPr>
          <w:iCs/>
        </w:rPr>
        <w:t>ST/</w:t>
      </w:r>
      <w:r w:rsidR="00B657C9" w:rsidRPr="005E003D">
        <w:t>SG</w:t>
      </w:r>
      <w:r w:rsidR="00B657C9" w:rsidRPr="005E003D">
        <w:rPr>
          <w:iCs/>
        </w:rPr>
        <w:t xml:space="preserve">/AC.10/C.3/2023/6 </w:t>
      </w:r>
      <w:r w:rsidR="00B657C9" w:rsidRPr="005E003D">
        <w:t>as modified and agreed to keep it in square brackets (see annex</w:t>
      </w:r>
      <w:r w:rsidR="001D3387">
        <w:t xml:space="preserve"> I</w:t>
      </w:r>
      <w:r w:rsidR="00104BC0">
        <w:t>I</w:t>
      </w:r>
      <w:r w:rsidR="00B657C9" w:rsidRPr="005E003D">
        <w:t>).</w:t>
      </w:r>
    </w:p>
    <w:p w14:paraId="306A75E5" w14:textId="275CD7C1" w:rsidR="00B657C9" w:rsidRPr="005E003D" w:rsidRDefault="00E25824" w:rsidP="00B657C9">
      <w:pPr>
        <w:pStyle w:val="SingleTxtG"/>
      </w:pPr>
      <w:r>
        <w:t>26.</w:t>
      </w:r>
      <w:r w:rsidR="00B657C9" w:rsidRPr="005E003D">
        <w:tab/>
        <w:t xml:space="preserve">Further improvements and inconsistencies were identified by the EWG during their review and it agreed that a Burn Rate-ICG will work on them. The findings and suggestions will be considered through subsequent informal </w:t>
      </w:r>
      <w:r w:rsidR="000D5B6D">
        <w:t xml:space="preserve">or official </w:t>
      </w:r>
      <w:r w:rsidR="00B657C9" w:rsidRPr="005E003D">
        <w:t>documents. China will coordinate the Burn Rate-ICG.</w:t>
      </w:r>
    </w:p>
    <w:p w14:paraId="7F39A176" w14:textId="29CA8A2B" w:rsidR="00B657C9" w:rsidRPr="005E003D" w:rsidRDefault="00B657C9" w:rsidP="00B657C9">
      <w:pPr>
        <w:pStyle w:val="H1G"/>
        <w:rPr>
          <w:rFonts w:eastAsia="Times New Roman"/>
          <w:b w:val="0"/>
          <w:sz w:val="20"/>
          <w:lang w:eastAsia="en-US"/>
        </w:rPr>
      </w:pPr>
      <w:r w:rsidRPr="005E003D">
        <w:rPr>
          <w:sz w:val="20"/>
        </w:rPr>
        <w:tab/>
        <w:t>2.</w:t>
      </w:r>
      <w:r w:rsidRPr="005E003D">
        <w:rPr>
          <w:sz w:val="20"/>
        </w:rPr>
        <w:tab/>
        <w:t>Amendment</w:t>
      </w:r>
      <w:r w:rsidRPr="005E003D">
        <w:rPr>
          <w:rFonts w:eastAsia="Times New Roman"/>
          <w:sz w:val="20"/>
          <w:lang w:eastAsia="en-US"/>
        </w:rPr>
        <w:t xml:space="preserve"> of definition "explosive or pyrotechnic effect"</w:t>
      </w:r>
    </w:p>
    <w:p w14:paraId="60F432D0" w14:textId="77777777" w:rsidR="00B657C9" w:rsidRPr="005E003D" w:rsidRDefault="00B657C9" w:rsidP="00336A91">
      <w:pPr>
        <w:pStyle w:val="SingleTxtG"/>
        <w:tabs>
          <w:tab w:val="clear" w:pos="2268"/>
          <w:tab w:val="clear" w:pos="2835"/>
          <w:tab w:val="left" w:pos="3119"/>
        </w:tabs>
        <w:rPr>
          <w:iCs/>
        </w:rPr>
      </w:pPr>
      <w:r w:rsidRPr="005E003D">
        <w:rPr>
          <w:i/>
        </w:rPr>
        <w:t>Document:</w:t>
      </w:r>
      <w:r w:rsidRPr="005E003D">
        <w:rPr>
          <w:i/>
        </w:rPr>
        <w:tab/>
      </w:r>
      <w:r w:rsidRPr="005E003D">
        <w:rPr>
          <w:iCs/>
        </w:rPr>
        <w:t>ST/</w:t>
      </w:r>
      <w:r w:rsidRPr="005E003D">
        <w:t>SG</w:t>
      </w:r>
      <w:r w:rsidRPr="005E003D">
        <w:rPr>
          <w:iCs/>
        </w:rPr>
        <w:t>/AC.10/C.3/2023/12 (Sweden)</w:t>
      </w:r>
    </w:p>
    <w:p w14:paraId="134E34A6" w14:textId="2FCDCEAC" w:rsidR="00B657C9" w:rsidRPr="005E003D" w:rsidRDefault="00E25824" w:rsidP="00B657C9">
      <w:pPr>
        <w:pStyle w:val="SingleTxtG"/>
      </w:pPr>
      <w:r>
        <w:t>27.</w:t>
      </w:r>
      <w:r w:rsidR="00B657C9" w:rsidRPr="005E003D">
        <w:tab/>
        <w:t xml:space="preserve">During the </w:t>
      </w:r>
      <w:r w:rsidR="00B657C9" w:rsidRPr="005E003D">
        <w:rPr>
          <w:iCs/>
        </w:rPr>
        <w:t>EWG</w:t>
      </w:r>
      <w:r w:rsidR="00B657C9" w:rsidRPr="005E003D">
        <w:t xml:space="preserve"> meeting, many experts supported this proposal, and some others opposed it. However, those who opposed were willing to continue the discussion at the next meeting. The EWG recommended accepting proposal 1A in square brackets and continuing the work to review the locations where the term “</w:t>
      </w:r>
      <w:r w:rsidR="00B657C9" w:rsidRPr="005E003D">
        <w:rPr>
          <w:rFonts w:eastAsia="Times New Roman"/>
          <w:lang w:eastAsia="en-US"/>
        </w:rPr>
        <w:t>explosive or pyrotechnic effect”</w:t>
      </w:r>
      <w:r w:rsidR="00B657C9" w:rsidRPr="005E003D">
        <w:t xml:space="preserve"> is used to determine if it is appropriate in those instances.</w:t>
      </w:r>
    </w:p>
    <w:p w14:paraId="3A468B0A" w14:textId="5150CEE4" w:rsidR="00B657C9" w:rsidRPr="005E003D" w:rsidRDefault="00E25824" w:rsidP="00B657C9">
      <w:pPr>
        <w:pStyle w:val="SingleTxtG"/>
      </w:pPr>
      <w:r>
        <w:t>28.</w:t>
      </w:r>
      <w:r w:rsidR="00B657C9" w:rsidRPr="005E003D">
        <w:tab/>
        <w:t xml:space="preserve">The Sub-Committee </w:t>
      </w:r>
      <w:r w:rsidR="002E254E">
        <w:t xml:space="preserve">agreed to </w:t>
      </w:r>
      <w:r w:rsidR="00B657C9" w:rsidRPr="005E003D">
        <w:t xml:space="preserve">adopt the amendment in </w:t>
      </w:r>
      <w:r w:rsidR="00D50522">
        <w:t xml:space="preserve">proposal 1A in </w:t>
      </w:r>
      <w:r w:rsidR="00B657C9" w:rsidRPr="005E003D">
        <w:t xml:space="preserve">document </w:t>
      </w:r>
      <w:r w:rsidR="00B657C9" w:rsidRPr="005E003D">
        <w:rPr>
          <w:iCs/>
        </w:rPr>
        <w:t>ST/</w:t>
      </w:r>
      <w:r w:rsidR="00B657C9" w:rsidRPr="005E003D">
        <w:t>SG</w:t>
      </w:r>
      <w:r w:rsidR="00B657C9" w:rsidRPr="005E003D">
        <w:rPr>
          <w:iCs/>
        </w:rPr>
        <w:t>/AC.10/C.3/2023/12 and to keep it in square bracket (s</w:t>
      </w:r>
      <w:r w:rsidR="00B657C9" w:rsidRPr="005E003D">
        <w:t>ee annex</w:t>
      </w:r>
      <w:r w:rsidR="00877903">
        <w:t xml:space="preserve"> I</w:t>
      </w:r>
      <w:r w:rsidR="00B657C9" w:rsidRPr="005E003D">
        <w:t>).</w:t>
      </w:r>
    </w:p>
    <w:p w14:paraId="3F50C417" w14:textId="77777777" w:rsidR="00B657C9" w:rsidRPr="005E003D" w:rsidRDefault="00B657C9" w:rsidP="00B657C9">
      <w:pPr>
        <w:pStyle w:val="H1G"/>
        <w:rPr>
          <w:rFonts w:eastAsia="Times New Roman"/>
          <w:b w:val="0"/>
          <w:sz w:val="20"/>
          <w:lang w:eastAsia="en-US"/>
        </w:rPr>
      </w:pPr>
      <w:r w:rsidRPr="005E003D">
        <w:rPr>
          <w:sz w:val="20"/>
        </w:rPr>
        <w:tab/>
        <w:t>3.</w:t>
      </w:r>
      <w:r w:rsidRPr="005E003D">
        <w:rPr>
          <w:sz w:val="20"/>
        </w:rPr>
        <w:tab/>
        <w:t>Consideration of amendments to chapter 2.17 (Desensitized explosives) of the Globally Harmonized System and section 51 of the Manual of Tests and Criteria</w:t>
      </w:r>
    </w:p>
    <w:p w14:paraId="187F8ECF" w14:textId="77777777" w:rsidR="00B657C9" w:rsidRPr="005E003D" w:rsidRDefault="00B657C9" w:rsidP="00336A91">
      <w:pPr>
        <w:pStyle w:val="SingleTxtG"/>
        <w:tabs>
          <w:tab w:val="clear" w:pos="2268"/>
          <w:tab w:val="clear" w:pos="2835"/>
          <w:tab w:val="left" w:pos="3119"/>
        </w:tabs>
        <w:rPr>
          <w:iCs/>
        </w:rPr>
      </w:pPr>
      <w:r w:rsidRPr="005E003D">
        <w:rPr>
          <w:i/>
        </w:rPr>
        <w:t>Document:</w:t>
      </w:r>
      <w:r w:rsidRPr="005E003D">
        <w:rPr>
          <w:i/>
        </w:rPr>
        <w:tab/>
      </w:r>
      <w:r w:rsidRPr="005E003D">
        <w:rPr>
          <w:iCs/>
        </w:rPr>
        <w:t>ST/</w:t>
      </w:r>
      <w:r w:rsidRPr="005E003D">
        <w:t>SG</w:t>
      </w:r>
      <w:r w:rsidRPr="005E003D">
        <w:rPr>
          <w:iCs/>
        </w:rPr>
        <w:t>/AC.10/C.3/2023/17 (AEISG)</w:t>
      </w:r>
    </w:p>
    <w:p w14:paraId="7096569D" w14:textId="77777777" w:rsidR="00B657C9" w:rsidRPr="005E003D" w:rsidRDefault="00B657C9" w:rsidP="00336A91">
      <w:pPr>
        <w:pStyle w:val="SingleTxtG"/>
        <w:tabs>
          <w:tab w:val="clear" w:pos="2835"/>
          <w:tab w:val="left" w:pos="3119"/>
        </w:tabs>
        <w:ind w:left="3119" w:hanging="1985"/>
        <w:jc w:val="left"/>
        <w:rPr>
          <w:iCs/>
        </w:rPr>
      </w:pPr>
      <w:r w:rsidRPr="005E003D">
        <w:rPr>
          <w:i/>
        </w:rPr>
        <w:t xml:space="preserve">Informal document: </w:t>
      </w:r>
      <w:r w:rsidRPr="005E003D">
        <w:rPr>
          <w:i/>
        </w:rPr>
        <w:tab/>
      </w:r>
      <w:r w:rsidRPr="005E003D">
        <w:rPr>
          <w:iCs/>
        </w:rPr>
        <w:t>INF.28 (SAAMI)</w:t>
      </w:r>
    </w:p>
    <w:p w14:paraId="5285C6CF" w14:textId="1CB11A63" w:rsidR="00B657C9" w:rsidRPr="005E003D" w:rsidRDefault="00E25824" w:rsidP="00B657C9">
      <w:pPr>
        <w:pStyle w:val="SingleTxtG"/>
      </w:pPr>
      <w:r>
        <w:t>29.</w:t>
      </w:r>
      <w:r w:rsidR="00B657C9" w:rsidRPr="005E003D">
        <w:tab/>
        <w:t xml:space="preserve">The EWG did not reach a consensus for a recommendation </w:t>
      </w:r>
      <w:r w:rsidR="000D5B6D">
        <w:t>on</w:t>
      </w:r>
      <w:r w:rsidR="000D5B6D" w:rsidRPr="005E003D">
        <w:t xml:space="preserve"> </w:t>
      </w:r>
      <w:r w:rsidR="00B657C9" w:rsidRPr="005E003D">
        <w:t xml:space="preserve">the proposal in paragraph 13 of document </w:t>
      </w:r>
      <w:r w:rsidR="00B657C9" w:rsidRPr="005E003D">
        <w:rPr>
          <w:iCs/>
        </w:rPr>
        <w:t>ST/</w:t>
      </w:r>
      <w:r w:rsidR="00B657C9" w:rsidRPr="005E003D">
        <w:t>SG</w:t>
      </w:r>
      <w:r w:rsidR="00B657C9" w:rsidRPr="005E003D">
        <w:rPr>
          <w:iCs/>
        </w:rPr>
        <w:t>/AC.10/C.3/2023/17</w:t>
      </w:r>
      <w:r w:rsidR="00B657C9" w:rsidRPr="005E003D">
        <w:t>. AEISG offered to take the comments from the EWG and revise its proposal for the next session. The EWG recommended that the proposals in paragraphs 14 and 15 be accepted.</w:t>
      </w:r>
    </w:p>
    <w:p w14:paraId="7128E41D" w14:textId="4B3327D1" w:rsidR="00B657C9" w:rsidRPr="005E003D" w:rsidRDefault="00E25824" w:rsidP="00B657C9">
      <w:pPr>
        <w:pStyle w:val="SingleTxtG"/>
      </w:pPr>
      <w:r>
        <w:t>30.</w:t>
      </w:r>
      <w:r w:rsidR="00B657C9" w:rsidRPr="005E003D">
        <w:tab/>
        <w:t xml:space="preserve">The Sub-Committee adopted the amendments proposed in paragraph 15 of document </w:t>
      </w:r>
      <w:r w:rsidR="00B657C9" w:rsidRPr="005E003D">
        <w:rPr>
          <w:iCs/>
        </w:rPr>
        <w:t>ST/</w:t>
      </w:r>
      <w:r w:rsidR="00B657C9" w:rsidRPr="005E003D">
        <w:t>SG</w:t>
      </w:r>
      <w:r w:rsidR="00B657C9" w:rsidRPr="005E003D">
        <w:rPr>
          <w:iCs/>
        </w:rPr>
        <w:t>/AC.10/C.3/2023/17 (s</w:t>
      </w:r>
      <w:r w:rsidR="00B657C9" w:rsidRPr="005E003D">
        <w:t>ee annex</w:t>
      </w:r>
      <w:r w:rsidR="00877903">
        <w:t xml:space="preserve"> I</w:t>
      </w:r>
      <w:r w:rsidR="00B657C9" w:rsidRPr="005E003D">
        <w:t>).</w:t>
      </w:r>
    </w:p>
    <w:p w14:paraId="48C42279" w14:textId="048B556C" w:rsidR="00B657C9" w:rsidRPr="005E003D" w:rsidRDefault="00B657C9" w:rsidP="00B657C9">
      <w:pPr>
        <w:pStyle w:val="H1G"/>
        <w:rPr>
          <w:rFonts w:eastAsia="Times New Roman"/>
          <w:b w:val="0"/>
          <w:sz w:val="20"/>
          <w:lang w:eastAsia="en-US"/>
        </w:rPr>
      </w:pPr>
      <w:r w:rsidRPr="005E003D">
        <w:rPr>
          <w:sz w:val="20"/>
        </w:rPr>
        <w:tab/>
        <w:t>4.</w:t>
      </w:r>
      <w:r w:rsidRPr="005E003D">
        <w:rPr>
          <w:sz w:val="20"/>
        </w:rPr>
        <w:tab/>
        <w:t xml:space="preserve">Proposal to amend the definition for </w:t>
      </w:r>
      <w:r w:rsidR="005B5C5B">
        <w:rPr>
          <w:sz w:val="20"/>
        </w:rPr>
        <w:t>c</w:t>
      </w:r>
      <w:r w:rsidRPr="005E003D">
        <w:rPr>
          <w:sz w:val="20"/>
        </w:rPr>
        <w:t>lass 1 explosives</w:t>
      </w:r>
    </w:p>
    <w:p w14:paraId="276B5234" w14:textId="77777777" w:rsidR="00B657C9" w:rsidRPr="005E003D" w:rsidRDefault="00B657C9" w:rsidP="00336A91">
      <w:pPr>
        <w:pStyle w:val="SingleTxtG"/>
        <w:tabs>
          <w:tab w:val="clear" w:pos="2268"/>
          <w:tab w:val="clear" w:pos="2835"/>
          <w:tab w:val="left" w:pos="3119"/>
        </w:tabs>
        <w:rPr>
          <w:iCs/>
        </w:rPr>
      </w:pPr>
      <w:r w:rsidRPr="005E003D">
        <w:rPr>
          <w:i/>
        </w:rPr>
        <w:t>Document:</w:t>
      </w:r>
      <w:r w:rsidRPr="005E003D">
        <w:rPr>
          <w:i/>
        </w:rPr>
        <w:tab/>
      </w:r>
      <w:r w:rsidRPr="005E003D">
        <w:rPr>
          <w:iCs/>
        </w:rPr>
        <w:t>ST/</w:t>
      </w:r>
      <w:r w:rsidRPr="005E003D">
        <w:t>SG</w:t>
      </w:r>
      <w:r w:rsidRPr="005E003D">
        <w:rPr>
          <w:iCs/>
        </w:rPr>
        <w:t>/AC.10/C.3/2023/18 (AEISG)</w:t>
      </w:r>
    </w:p>
    <w:p w14:paraId="5B3D4AFD" w14:textId="1592EEBC" w:rsidR="00B657C9" w:rsidRPr="005E003D" w:rsidRDefault="00E25824" w:rsidP="00B657C9">
      <w:pPr>
        <w:pStyle w:val="SingleTxtG"/>
      </w:pPr>
      <w:r>
        <w:t>31.</w:t>
      </w:r>
      <w:r w:rsidR="00B657C9" w:rsidRPr="005E003D">
        <w:tab/>
        <w:t xml:space="preserve">The majority of the EWG experts supported the proposal as amended. The Sub-Committee adopted the amendment with a modification </w:t>
      </w:r>
      <w:r w:rsidR="00B657C9" w:rsidRPr="005E003D">
        <w:rPr>
          <w:iCs/>
        </w:rPr>
        <w:t>(s</w:t>
      </w:r>
      <w:r w:rsidR="00B657C9" w:rsidRPr="005E003D">
        <w:t>ee annex</w:t>
      </w:r>
      <w:r w:rsidR="007C38A2">
        <w:t xml:space="preserve"> I</w:t>
      </w:r>
      <w:r w:rsidR="00B657C9" w:rsidRPr="005E003D">
        <w:t>).</w:t>
      </w:r>
    </w:p>
    <w:p w14:paraId="5972AB4B" w14:textId="77777777" w:rsidR="00B657C9" w:rsidRPr="005E003D" w:rsidRDefault="00B657C9" w:rsidP="00B657C9">
      <w:pPr>
        <w:pStyle w:val="H1G"/>
        <w:rPr>
          <w:rFonts w:eastAsia="Times New Roman"/>
          <w:b w:val="0"/>
          <w:sz w:val="20"/>
          <w:lang w:eastAsia="en-US"/>
        </w:rPr>
      </w:pPr>
      <w:r w:rsidRPr="005E003D">
        <w:rPr>
          <w:sz w:val="20"/>
        </w:rPr>
        <w:tab/>
        <w:t>5.</w:t>
      </w:r>
      <w:r w:rsidRPr="005E003D">
        <w:rPr>
          <w:sz w:val="20"/>
        </w:rPr>
        <w:tab/>
        <w:t>Proposal to extend the entry for UN 3375 to provide for all potential packing groups</w:t>
      </w:r>
    </w:p>
    <w:p w14:paraId="1F223EDB" w14:textId="77777777" w:rsidR="00B657C9" w:rsidRPr="005E003D" w:rsidRDefault="00B657C9" w:rsidP="00336A91">
      <w:pPr>
        <w:pStyle w:val="SingleTxtG"/>
        <w:tabs>
          <w:tab w:val="clear" w:pos="2268"/>
          <w:tab w:val="clear" w:pos="2835"/>
          <w:tab w:val="left" w:pos="3119"/>
        </w:tabs>
        <w:rPr>
          <w:iCs/>
        </w:rPr>
      </w:pPr>
      <w:r w:rsidRPr="005E003D">
        <w:rPr>
          <w:i/>
        </w:rPr>
        <w:t>Document:</w:t>
      </w:r>
      <w:r w:rsidRPr="005E003D">
        <w:rPr>
          <w:i/>
        </w:rPr>
        <w:tab/>
      </w:r>
      <w:r w:rsidRPr="005E003D">
        <w:rPr>
          <w:iCs/>
        </w:rPr>
        <w:t>ST/</w:t>
      </w:r>
      <w:r w:rsidRPr="005E003D">
        <w:t>SG</w:t>
      </w:r>
      <w:r w:rsidRPr="005E003D">
        <w:rPr>
          <w:iCs/>
        </w:rPr>
        <w:t>/AC.10/C.3/2023/19 (AEISG)</w:t>
      </w:r>
    </w:p>
    <w:p w14:paraId="7FD20C88" w14:textId="77777777" w:rsidR="00B657C9" w:rsidRPr="005E003D" w:rsidRDefault="00B657C9" w:rsidP="00336A91">
      <w:pPr>
        <w:pStyle w:val="SingleTxtG"/>
        <w:tabs>
          <w:tab w:val="clear" w:pos="2268"/>
          <w:tab w:val="clear" w:pos="2835"/>
          <w:tab w:val="left" w:pos="3119"/>
        </w:tabs>
        <w:rPr>
          <w:iCs/>
        </w:rPr>
      </w:pPr>
      <w:r w:rsidRPr="005E003D">
        <w:rPr>
          <w:i/>
        </w:rPr>
        <w:t xml:space="preserve">Informal document: </w:t>
      </w:r>
      <w:r w:rsidRPr="005E003D">
        <w:rPr>
          <w:i/>
        </w:rPr>
        <w:tab/>
      </w:r>
      <w:r w:rsidRPr="005E003D">
        <w:rPr>
          <w:iCs/>
        </w:rPr>
        <w:t>INF.19 (Sweden)</w:t>
      </w:r>
    </w:p>
    <w:p w14:paraId="3837A75B" w14:textId="40DD69DB" w:rsidR="00B657C9" w:rsidRPr="005E003D" w:rsidRDefault="00E25824" w:rsidP="00B657C9">
      <w:pPr>
        <w:pStyle w:val="SingleTxtG"/>
      </w:pPr>
      <w:r>
        <w:t>32.</w:t>
      </w:r>
      <w:r w:rsidR="00B657C9" w:rsidRPr="005E003D">
        <w:tab/>
        <w:t>There was insufficient support by the EWG to accept this proposal.</w:t>
      </w:r>
    </w:p>
    <w:p w14:paraId="4A1C21E7" w14:textId="77777777" w:rsidR="00B657C9" w:rsidRPr="005E003D" w:rsidRDefault="00B657C9" w:rsidP="00B657C9">
      <w:pPr>
        <w:pStyle w:val="H1G"/>
        <w:rPr>
          <w:rFonts w:eastAsia="Times New Roman"/>
          <w:b w:val="0"/>
          <w:sz w:val="20"/>
          <w:lang w:eastAsia="en-US"/>
        </w:rPr>
      </w:pPr>
      <w:r w:rsidRPr="005E003D">
        <w:rPr>
          <w:sz w:val="20"/>
        </w:rPr>
        <w:lastRenderedPageBreak/>
        <w:tab/>
        <w:t>6.</w:t>
      </w:r>
      <w:r w:rsidRPr="005E003D">
        <w:rPr>
          <w:sz w:val="20"/>
        </w:rPr>
        <w:tab/>
        <w:t>Packing instruction P130 and metal on metal contact between explosives and packaging</w:t>
      </w:r>
    </w:p>
    <w:p w14:paraId="344D7E93" w14:textId="77777777" w:rsidR="00B657C9" w:rsidRPr="005E003D" w:rsidRDefault="00B657C9" w:rsidP="00336A91">
      <w:pPr>
        <w:pStyle w:val="SingleTxtG"/>
        <w:tabs>
          <w:tab w:val="clear" w:pos="2268"/>
          <w:tab w:val="clear" w:pos="2835"/>
          <w:tab w:val="left" w:pos="3119"/>
        </w:tabs>
        <w:rPr>
          <w:iCs/>
        </w:rPr>
      </w:pPr>
      <w:r w:rsidRPr="005E003D">
        <w:rPr>
          <w:i/>
        </w:rPr>
        <w:t>Document:</w:t>
      </w:r>
      <w:r w:rsidRPr="005E003D">
        <w:rPr>
          <w:i/>
        </w:rPr>
        <w:tab/>
      </w:r>
      <w:r w:rsidRPr="005E003D">
        <w:rPr>
          <w:iCs/>
        </w:rPr>
        <w:t>ST/</w:t>
      </w:r>
      <w:r w:rsidRPr="005E003D">
        <w:t>SG</w:t>
      </w:r>
      <w:r w:rsidRPr="005E003D">
        <w:rPr>
          <w:iCs/>
        </w:rPr>
        <w:t>/AC.10/C.3/2023/25 (SAAMI)</w:t>
      </w:r>
    </w:p>
    <w:p w14:paraId="1BFD9736" w14:textId="0932BBF2" w:rsidR="00B657C9" w:rsidRPr="005E003D" w:rsidRDefault="00E25824" w:rsidP="00B657C9">
      <w:pPr>
        <w:pStyle w:val="SingleTxtG"/>
      </w:pPr>
      <w:r>
        <w:t>33.</w:t>
      </w:r>
      <w:r w:rsidR="00B657C9" w:rsidRPr="005E003D">
        <w:tab/>
        <w:t>The EWG agreed that, in general, metal-on-metal contact should be avoided but recognized situations where it is not an issue, such as in painted drums or ammo cans. The EWG supported the future submission of a document and suggested that only specific UN numbers should be included in that proposal. This could include small arms or others, if appropriate.</w:t>
      </w:r>
    </w:p>
    <w:p w14:paraId="6A9EA2DE" w14:textId="77777777" w:rsidR="00B657C9" w:rsidRPr="005E003D" w:rsidRDefault="00B657C9" w:rsidP="00B657C9">
      <w:pPr>
        <w:pStyle w:val="H1G"/>
        <w:rPr>
          <w:rFonts w:eastAsia="Times New Roman"/>
          <w:b w:val="0"/>
          <w:sz w:val="20"/>
          <w:lang w:eastAsia="en-US"/>
        </w:rPr>
      </w:pPr>
      <w:r w:rsidRPr="005E003D">
        <w:rPr>
          <w:sz w:val="20"/>
        </w:rPr>
        <w:tab/>
        <w:t>7.</w:t>
      </w:r>
      <w:r w:rsidRPr="005E003D">
        <w:rPr>
          <w:sz w:val="20"/>
        </w:rPr>
        <w:tab/>
        <w:t>Polymerizing substances and self-acceleration polymerization temperature</w:t>
      </w:r>
    </w:p>
    <w:p w14:paraId="62DB1DF3" w14:textId="2D55F497" w:rsidR="00B657C9" w:rsidRPr="0061350E" w:rsidRDefault="00B657C9" w:rsidP="00336A91">
      <w:pPr>
        <w:pStyle w:val="SingleTxtG"/>
        <w:tabs>
          <w:tab w:val="clear" w:pos="2268"/>
          <w:tab w:val="clear" w:pos="2835"/>
          <w:tab w:val="left" w:pos="3119"/>
        </w:tabs>
        <w:rPr>
          <w:iCs/>
          <w:lang w:val="fr-CH"/>
        </w:rPr>
      </w:pPr>
      <w:r w:rsidRPr="0061350E">
        <w:rPr>
          <w:i/>
          <w:lang w:val="fr-CH"/>
        </w:rPr>
        <w:t>Informal document:</w:t>
      </w:r>
      <w:r w:rsidRPr="0061350E">
        <w:rPr>
          <w:i/>
          <w:lang w:val="fr-CH"/>
        </w:rPr>
        <w:tab/>
      </w:r>
      <w:r w:rsidRPr="0061350E">
        <w:rPr>
          <w:iCs/>
          <w:lang w:val="fr-CH"/>
        </w:rPr>
        <w:t>INF</w:t>
      </w:r>
      <w:r w:rsidRPr="0061350E">
        <w:rPr>
          <w:lang w:val="fr-CH"/>
        </w:rPr>
        <w:t>.3 (</w:t>
      </w:r>
      <w:proofErr w:type="spellStart"/>
      <w:r w:rsidRPr="0061350E">
        <w:rPr>
          <w:lang w:val="fr-CH"/>
        </w:rPr>
        <w:t>Cefic</w:t>
      </w:r>
      <w:proofErr w:type="spellEnd"/>
      <w:r w:rsidR="006B0590" w:rsidRPr="0061350E">
        <w:rPr>
          <w:lang w:val="fr-CH"/>
        </w:rPr>
        <w:t>, DGAC</w:t>
      </w:r>
      <w:r w:rsidRPr="0061350E">
        <w:rPr>
          <w:iCs/>
          <w:lang w:val="fr-CH"/>
        </w:rPr>
        <w:t>)</w:t>
      </w:r>
    </w:p>
    <w:p w14:paraId="0B18E46C" w14:textId="7A60EE07" w:rsidR="00B657C9" w:rsidRPr="005E003D" w:rsidRDefault="00E25824" w:rsidP="00B657C9">
      <w:pPr>
        <w:pStyle w:val="SingleTxtG"/>
      </w:pPr>
      <w:r>
        <w:t>34.</w:t>
      </w:r>
      <w:r w:rsidR="00B657C9" w:rsidRPr="005E003D">
        <w:tab/>
        <w:t xml:space="preserve">The EWG agreed that </w:t>
      </w:r>
      <w:r w:rsidR="009F5156">
        <w:t xml:space="preserve">the communication of a numerical value of </w:t>
      </w:r>
      <w:r w:rsidR="00B657C9" w:rsidRPr="005E003D">
        <w:t>specific self-acceleration polymerization temperatures (SAPTs) do</w:t>
      </w:r>
      <w:r w:rsidR="00022E71">
        <w:t>es</w:t>
      </w:r>
      <w:r w:rsidR="00B657C9" w:rsidRPr="005E003D">
        <w:t xml:space="preserve"> not ensure the safe transport of these polymerizing substances. The EWG agreed that an ICG could work on evaluating industry best practices for ensuring that a stabilizer is present and effective to ensure safety during transport. Canada, France, Germany, Netherlands, Spain, United States of America, Cefic, COSTHA, </w:t>
      </w:r>
      <w:r w:rsidR="009F5156">
        <w:t>DGAC</w:t>
      </w:r>
      <w:r w:rsidR="009F5156" w:rsidRPr="005E003D">
        <w:t xml:space="preserve"> </w:t>
      </w:r>
      <w:r w:rsidR="00B657C9" w:rsidRPr="005E003D">
        <w:t>and SAAMI agreed to participate in the ICG.</w:t>
      </w:r>
    </w:p>
    <w:p w14:paraId="54FFC159" w14:textId="77777777" w:rsidR="00B657C9" w:rsidRPr="005E003D" w:rsidRDefault="00B657C9" w:rsidP="00B657C9">
      <w:pPr>
        <w:pStyle w:val="H1G"/>
        <w:rPr>
          <w:rFonts w:eastAsia="Times New Roman"/>
          <w:b w:val="0"/>
          <w:sz w:val="20"/>
          <w:lang w:eastAsia="en-US"/>
        </w:rPr>
      </w:pPr>
      <w:r w:rsidRPr="005E003D">
        <w:rPr>
          <w:sz w:val="20"/>
        </w:rPr>
        <w:tab/>
        <w:t>8.</w:t>
      </w:r>
      <w:r w:rsidRPr="005E003D">
        <w:rPr>
          <w:sz w:val="20"/>
        </w:rPr>
        <w:tab/>
        <w:t>Report of the intersessional correspondence group on fireworks</w:t>
      </w:r>
    </w:p>
    <w:p w14:paraId="72A9636C" w14:textId="73988ECE" w:rsidR="00B657C9" w:rsidRPr="005E003D" w:rsidRDefault="00B657C9" w:rsidP="00336A91">
      <w:pPr>
        <w:pStyle w:val="SingleTxtG"/>
        <w:tabs>
          <w:tab w:val="clear" w:pos="2268"/>
          <w:tab w:val="clear" w:pos="2835"/>
          <w:tab w:val="left" w:pos="3119"/>
        </w:tabs>
        <w:rPr>
          <w:iCs/>
        </w:rPr>
      </w:pPr>
      <w:r w:rsidRPr="005E003D">
        <w:rPr>
          <w:i/>
        </w:rPr>
        <w:t>Informal document:</w:t>
      </w:r>
      <w:r w:rsidRPr="005E003D">
        <w:rPr>
          <w:i/>
        </w:rPr>
        <w:tab/>
      </w:r>
      <w:r w:rsidRPr="005E003D">
        <w:t xml:space="preserve">INF.5 (Netherlands, Chair of the </w:t>
      </w:r>
      <w:r w:rsidR="00547C64">
        <w:t>EWG</w:t>
      </w:r>
      <w:r w:rsidRPr="005E003D">
        <w:rPr>
          <w:iCs/>
        </w:rPr>
        <w:t>)</w:t>
      </w:r>
    </w:p>
    <w:p w14:paraId="67581C3F" w14:textId="3EAB763D" w:rsidR="00B657C9" w:rsidRPr="005E003D" w:rsidRDefault="00E25824" w:rsidP="00B657C9">
      <w:pPr>
        <w:pStyle w:val="SingleTxtG"/>
      </w:pPr>
      <w:r>
        <w:t>35.</w:t>
      </w:r>
      <w:r w:rsidR="00B657C9" w:rsidRPr="005E003D">
        <w:tab/>
        <w:t>The EWG noted the progress report of the ICG on fireworks and welcomed the commitment of the ICG chair to continue his chairmanship. The ICG is expected to meet again online in the coming months.</w:t>
      </w:r>
    </w:p>
    <w:p w14:paraId="3A407A06" w14:textId="77777777" w:rsidR="00B657C9" w:rsidRPr="005E003D" w:rsidRDefault="00B657C9" w:rsidP="00B657C9">
      <w:pPr>
        <w:pStyle w:val="H1G"/>
        <w:rPr>
          <w:rFonts w:eastAsia="Times New Roman"/>
          <w:b w:val="0"/>
          <w:sz w:val="20"/>
          <w:lang w:eastAsia="en-US"/>
        </w:rPr>
      </w:pPr>
      <w:r w:rsidRPr="005E003D">
        <w:rPr>
          <w:sz w:val="20"/>
        </w:rPr>
        <w:tab/>
        <w:t>9.</w:t>
      </w:r>
      <w:r w:rsidRPr="005E003D">
        <w:rPr>
          <w:sz w:val="20"/>
        </w:rPr>
        <w:tab/>
        <w:t>Termination of certain explosive classification approvals due to Model Regulation test series 6(d) requirement</w:t>
      </w:r>
    </w:p>
    <w:p w14:paraId="5696098D" w14:textId="77777777" w:rsidR="00B657C9" w:rsidRPr="005E003D" w:rsidRDefault="00B657C9" w:rsidP="00336A91">
      <w:pPr>
        <w:pStyle w:val="SingleTxtG"/>
        <w:tabs>
          <w:tab w:val="clear" w:pos="2268"/>
          <w:tab w:val="clear" w:pos="2835"/>
          <w:tab w:val="left" w:pos="3119"/>
        </w:tabs>
        <w:rPr>
          <w:iCs/>
        </w:rPr>
      </w:pPr>
      <w:r w:rsidRPr="005E003D">
        <w:rPr>
          <w:i/>
        </w:rPr>
        <w:t>Informal document:</w:t>
      </w:r>
      <w:r w:rsidRPr="005E003D">
        <w:rPr>
          <w:i/>
        </w:rPr>
        <w:tab/>
      </w:r>
      <w:r w:rsidRPr="005E003D">
        <w:t>INF.29 (United States of America</w:t>
      </w:r>
      <w:r w:rsidRPr="005E003D">
        <w:rPr>
          <w:iCs/>
        </w:rPr>
        <w:t>)</w:t>
      </w:r>
    </w:p>
    <w:p w14:paraId="54F94A1A" w14:textId="52E3D04F" w:rsidR="00B657C9" w:rsidRPr="005E003D" w:rsidRDefault="00E25824" w:rsidP="00B657C9">
      <w:pPr>
        <w:pStyle w:val="SingleTxtG"/>
        <w:tabs>
          <w:tab w:val="left" w:pos="567"/>
          <w:tab w:val="left" w:pos="1134"/>
          <w:tab w:val="left" w:pos="3402"/>
          <w:tab w:val="left" w:pos="3969"/>
          <w:tab w:val="left" w:pos="4536"/>
          <w:tab w:val="left" w:pos="5103"/>
          <w:tab w:val="left" w:pos="5670"/>
          <w:tab w:val="left" w:pos="6237"/>
          <w:tab w:val="left" w:pos="6804"/>
          <w:tab w:val="left" w:pos="7730"/>
        </w:tabs>
      </w:pPr>
      <w:r>
        <w:t>36.</w:t>
      </w:r>
      <w:r w:rsidR="00B657C9" w:rsidRPr="005E003D">
        <w:tab/>
        <w:t>The EWG thanked the United States of America for the explanation.</w:t>
      </w:r>
    </w:p>
    <w:p w14:paraId="7A9CA627" w14:textId="77777777" w:rsidR="00B657C9" w:rsidRPr="005E003D" w:rsidRDefault="00B657C9" w:rsidP="00B657C9">
      <w:pPr>
        <w:pStyle w:val="H1G"/>
        <w:rPr>
          <w:rFonts w:eastAsia="Times New Roman"/>
          <w:b w:val="0"/>
          <w:sz w:val="20"/>
          <w:lang w:eastAsia="en-US"/>
        </w:rPr>
      </w:pPr>
      <w:r w:rsidRPr="005E003D">
        <w:rPr>
          <w:sz w:val="20"/>
        </w:rPr>
        <w:tab/>
        <w:t>10.</w:t>
      </w:r>
      <w:r w:rsidRPr="005E003D">
        <w:rPr>
          <w:sz w:val="20"/>
        </w:rPr>
        <w:tab/>
        <w:t>New special provision and special packing provision of UN 2029</w:t>
      </w:r>
    </w:p>
    <w:p w14:paraId="669F16C8" w14:textId="77777777" w:rsidR="00B657C9" w:rsidRPr="005E003D" w:rsidRDefault="00B657C9" w:rsidP="00336A91">
      <w:pPr>
        <w:pStyle w:val="SingleTxtG"/>
        <w:tabs>
          <w:tab w:val="clear" w:pos="2268"/>
          <w:tab w:val="clear" w:pos="2835"/>
          <w:tab w:val="left" w:pos="3119"/>
        </w:tabs>
        <w:rPr>
          <w:iCs/>
        </w:rPr>
      </w:pPr>
      <w:r w:rsidRPr="005E003D">
        <w:rPr>
          <w:i/>
        </w:rPr>
        <w:t>Informal document:</w:t>
      </w:r>
      <w:r w:rsidRPr="005E003D">
        <w:rPr>
          <w:i/>
        </w:rPr>
        <w:tab/>
      </w:r>
      <w:r w:rsidRPr="005E003D">
        <w:t>INF.35 (China</w:t>
      </w:r>
      <w:r w:rsidRPr="005E003D">
        <w:rPr>
          <w:iCs/>
        </w:rPr>
        <w:t>)</w:t>
      </w:r>
    </w:p>
    <w:p w14:paraId="0039F72A" w14:textId="153FC1EF" w:rsidR="00B657C9" w:rsidRPr="005E003D" w:rsidRDefault="00E25824" w:rsidP="00B657C9">
      <w:pPr>
        <w:pStyle w:val="SingleTxtG"/>
        <w:tabs>
          <w:tab w:val="left" w:pos="567"/>
          <w:tab w:val="left" w:pos="1134"/>
          <w:tab w:val="left" w:pos="3402"/>
          <w:tab w:val="left" w:pos="3969"/>
          <w:tab w:val="left" w:pos="4536"/>
          <w:tab w:val="left" w:pos="5103"/>
          <w:tab w:val="left" w:pos="5670"/>
          <w:tab w:val="left" w:pos="6237"/>
          <w:tab w:val="left" w:pos="6804"/>
          <w:tab w:val="left" w:pos="7730"/>
        </w:tabs>
      </w:pPr>
      <w:r>
        <w:t>37.</w:t>
      </w:r>
      <w:r w:rsidR="00B657C9" w:rsidRPr="005E003D">
        <w:tab/>
        <w:t xml:space="preserve">The EWG </w:t>
      </w:r>
      <w:r w:rsidR="009F5156">
        <w:t>did</w:t>
      </w:r>
      <w:r w:rsidR="009F5156" w:rsidRPr="005E003D">
        <w:t xml:space="preserve"> </w:t>
      </w:r>
      <w:r w:rsidR="00B657C9" w:rsidRPr="005E003D">
        <w:t>not support the proposal as written and agreed that it needed additional development. It was recommended that China reach out to those members who had made suggestions for improvements.</w:t>
      </w:r>
    </w:p>
    <w:p w14:paraId="4ACBA713" w14:textId="77777777" w:rsidR="00B657C9" w:rsidRPr="005E003D" w:rsidRDefault="00B657C9" w:rsidP="00B657C9">
      <w:pPr>
        <w:pStyle w:val="H1G"/>
        <w:rPr>
          <w:rFonts w:eastAsia="Times New Roman"/>
          <w:b w:val="0"/>
          <w:sz w:val="20"/>
          <w:lang w:eastAsia="en-US"/>
        </w:rPr>
      </w:pPr>
      <w:r w:rsidRPr="005E003D">
        <w:rPr>
          <w:sz w:val="20"/>
        </w:rPr>
        <w:tab/>
        <w:t>11.</w:t>
      </w:r>
      <w:r w:rsidRPr="005E003D">
        <w:rPr>
          <w:sz w:val="20"/>
        </w:rPr>
        <w:tab/>
        <w:t>Introduction of Division 1.4 Entry for 1,4-benzoquinone dioxime (QDO)</w:t>
      </w:r>
    </w:p>
    <w:p w14:paraId="01D5732D" w14:textId="77777777" w:rsidR="00B657C9" w:rsidRPr="005E003D" w:rsidRDefault="00B657C9" w:rsidP="00336A91">
      <w:pPr>
        <w:pStyle w:val="SingleTxtG"/>
        <w:tabs>
          <w:tab w:val="clear" w:pos="2268"/>
          <w:tab w:val="clear" w:pos="2835"/>
          <w:tab w:val="left" w:pos="3119"/>
        </w:tabs>
        <w:rPr>
          <w:iCs/>
        </w:rPr>
      </w:pPr>
      <w:r w:rsidRPr="005E003D">
        <w:rPr>
          <w:i/>
        </w:rPr>
        <w:t>Informal document:</w:t>
      </w:r>
      <w:r w:rsidRPr="005E003D">
        <w:rPr>
          <w:i/>
        </w:rPr>
        <w:tab/>
      </w:r>
      <w:r w:rsidRPr="00336A91">
        <w:rPr>
          <w:iCs/>
        </w:rPr>
        <w:t>INF.</w:t>
      </w:r>
      <w:r w:rsidRPr="005E003D">
        <w:t>39 (COSTHA</w:t>
      </w:r>
      <w:r w:rsidRPr="005E003D">
        <w:rPr>
          <w:iCs/>
        </w:rPr>
        <w:t>)</w:t>
      </w:r>
    </w:p>
    <w:p w14:paraId="7328B398" w14:textId="6FDBAD22" w:rsidR="00D62927" w:rsidRDefault="00E25824" w:rsidP="00B657C9">
      <w:pPr>
        <w:pStyle w:val="SingleTxtG"/>
      </w:pPr>
      <w:r>
        <w:t>38.</w:t>
      </w:r>
      <w:r w:rsidR="00B657C9" w:rsidRPr="005E003D">
        <w:tab/>
        <w:t xml:space="preserve">The EWG supported that COSTHA submit a proposal based on the input </w:t>
      </w:r>
      <w:r w:rsidR="00B90151">
        <w:t>that was</w:t>
      </w:r>
      <w:r w:rsidR="00B90151" w:rsidRPr="005E003D">
        <w:t xml:space="preserve"> </w:t>
      </w:r>
      <w:r w:rsidR="00B657C9" w:rsidRPr="005E003D">
        <w:t>received from the EWG members.</w:t>
      </w:r>
    </w:p>
    <w:p w14:paraId="164BE32D" w14:textId="77777777" w:rsidR="00EE77D3" w:rsidRDefault="00EE77D3" w:rsidP="00EE77D3">
      <w:pPr>
        <w:pStyle w:val="HChG"/>
      </w:pPr>
      <w:r w:rsidRPr="00B7238D">
        <w:lastRenderedPageBreak/>
        <w:tab/>
      </w:r>
      <w:r>
        <w:t>V</w:t>
      </w:r>
      <w:r w:rsidRPr="00050DC8">
        <w:t>.</w:t>
      </w:r>
      <w:r w:rsidRPr="00050DC8">
        <w:tab/>
        <w:t>List</w:t>
      </w:r>
      <w:r>
        <w:t>ing, classification and packing (agenda item 3)</w:t>
      </w:r>
    </w:p>
    <w:p w14:paraId="7856E05A" w14:textId="77777777" w:rsidR="00EE77D3" w:rsidRPr="00BF42B4" w:rsidRDefault="00EE77D3" w:rsidP="00EE77D3">
      <w:pPr>
        <w:pStyle w:val="H1G"/>
      </w:pPr>
      <w:r>
        <w:tab/>
        <w:t>A</w:t>
      </w:r>
      <w:r w:rsidRPr="000C4BAD">
        <w:t>.</w:t>
      </w:r>
      <w:r w:rsidRPr="000C4BAD">
        <w:tab/>
      </w:r>
      <w:r w:rsidRPr="00BE68BE">
        <w:t>Proposal to add class 8 as subsidiary hazard to UN 1040, UN 1041 and UN 3300</w:t>
      </w:r>
    </w:p>
    <w:p w14:paraId="37E9E6F0" w14:textId="77777777" w:rsidR="00EE77D3" w:rsidRPr="00782BCC" w:rsidRDefault="00EE77D3" w:rsidP="00336A91">
      <w:pPr>
        <w:pStyle w:val="SingleTxtG"/>
        <w:tabs>
          <w:tab w:val="clear" w:pos="2268"/>
          <w:tab w:val="clear" w:pos="2835"/>
          <w:tab w:val="left" w:pos="3119"/>
        </w:tabs>
      </w:pPr>
      <w:r w:rsidRPr="00782BCC">
        <w:rPr>
          <w:i/>
          <w:iCs/>
        </w:rPr>
        <w:t xml:space="preserve">Document: </w:t>
      </w:r>
      <w:r w:rsidRPr="00782BCC">
        <w:rPr>
          <w:i/>
          <w:iCs/>
        </w:rPr>
        <w:tab/>
      </w:r>
      <w:r w:rsidRPr="00782BCC">
        <w:t>ST/</w:t>
      </w:r>
      <w:r w:rsidRPr="00336A91">
        <w:rPr>
          <w:i/>
        </w:rPr>
        <w:t>SG</w:t>
      </w:r>
      <w:r w:rsidRPr="00782BCC">
        <w:t>/AC.10/C.3/20</w:t>
      </w:r>
      <w:r>
        <w:t>23</w:t>
      </w:r>
      <w:r w:rsidRPr="00782BCC">
        <w:t>/</w:t>
      </w:r>
      <w:r>
        <w:t>5</w:t>
      </w:r>
      <w:r w:rsidRPr="00782BCC">
        <w:t xml:space="preserve"> (</w:t>
      </w:r>
      <w:r>
        <w:t>Germany</w:t>
      </w:r>
      <w:r w:rsidRPr="00782BCC">
        <w:t>)</w:t>
      </w:r>
    </w:p>
    <w:p w14:paraId="234D63F9" w14:textId="12A8C6EC" w:rsidR="00EE77D3" w:rsidRDefault="00E25824" w:rsidP="00EE77D3">
      <w:pPr>
        <w:pStyle w:val="SingleTxtG"/>
      </w:pPr>
      <w:r>
        <w:t>39.</w:t>
      </w:r>
      <w:r w:rsidR="00EE77D3" w:rsidRPr="00782BCC">
        <w:tab/>
        <w:t xml:space="preserve">The Sub-Committee </w:t>
      </w:r>
      <w:r w:rsidR="00EE77D3">
        <w:t>noted divided opinions on the proposed amendments</w:t>
      </w:r>
      <w:r w:rsidR="00EE77D3" w:rsidRPr="002510B6">
        <w:t>.</w:t>
      </w:r>
      <w:r w:rsidR="00EE77D3">
        <w:t xml:space="preserve"> While </w:t>
      </w:r>
      <w:r w:rsidR="00B82505">
        <w:t xml:space="preserve">most </w:t>
      </w:r>
      <w:r w:rsidR="00EE77D3">
        <w:t>experts expressed their support to amend the classification of ethylene oxides by adding class</w:t>
      </w:r>
      <w:r w:rsidR="00B82505">
        <w:t> </w:t>
      </w:r>
      <w:r w:rsidR="00EE77D3">
        <w:t xml:space="preserve">8 as a subsidiary hazard, some others however believed that the data did not justify this addition. In the lack of problems with the current requirements, most experts agreed that there was not enough data to support the prohibition of transport of UN 1040 and UN 1041 with portable tanks and therefore did not support the deletion of portable tank instruction T50. The expert from Germany volunteered to further work on an updated proposal </w:t>
      </w:r>
      <w:r w:rsidR="00B90151">
        <w:t xml:space="preserve">for consideration at a future session </w:t>
      </w:r>
      <w:r w:rsidR="00EE77D3">
        <w:t>taking into account the comments received.</w:t>
      </w:r>
    </w:p>
    <w:p w14:paraId="6B0118AD" w14:textId="77777777" w:rsidR="00EE77D3" w:rsidRPr="00BF42B4" w:rsidRDefault="00EE77D3" w:rsidP="00EE77D3">
      <w:pPr>
        <w:pStyle w:val="H1G"/>
      </w:pPr>
      <w:r>
        <w:tab/>
        <w:t>B</w:t>
      </w:r>
      <w:r w:rsidRPr="000C4BAD">
        <w:t>.</w:t>
      </w:r>
      <w:r w:rsidRPr="000C4BAD">
        <w:tab/>
      </w:r>
      <w:r w:rsidRPr="00BE68BE">
        <w:rPr>
          <w:bCs/>
        </w:rPr>
        <w:t>Amendments on special provisions 145 and 146</w:t>
      </w:r>
    </w:p>
    <w:p w14:paraId="241CA128" w14:textId="77777777" w:rsidR="00EE77D3" w:rsidRPr="00782BCC" w:rsidRDefault="00EE77D3" w:rsidP="00336A91">
      <w:pPr>
        <w:pStyle w:val="SingleTxtG"/>
        <w:tabs>
          <w:tab w:val="clear" w:pos="2268"/>
          <w:tab w:val="clear" w:pos="2835"/>
          <w:tab w:val="left" w:pos="3119"/>
        </w:tabs>
      </w:pPr>
      <w:r w:rsidRPr="00782BCC">
        <w:rPr>
          <w:i/>
          <w:iCs/>
        </w:rPr>
        <w:t xml:space="preserve">Document: </w:t>
      </w:r>
      <w:r w:rsidRPr="00782BCC">
        <w:rPr>
          <w:i/>
          <w:iCs/>
        </w:rPr>
        <w:tab/>
      </w:r>
      <w:r w:rsidRPr="00782BCC">
        <w:t>ST/SG/</w:t>
      </w:r>
      <w:r w:rsidRPr="00336A91">
        <w:rPr>
          <w:i/>
        </w:rPr>
        <w:t>AC</w:t>
      </w:r>
      <w:r w:rsidRPr="00782BCC">
        <w:t>.10/C.3/20</w:t>
      </w:r>
      <w:r>
        <w:t>23</w:t>
      </w:r>
      <w:r w:rsidRPr="00782BCC">
        <w:t>/</w:t>
      </w:r>
      <w:r>
        <w:t>7</w:t>
      </w:r>
      <w:r w:rsidRPr="00782BCC">
        <w:t xml:space="preserve"> (</w:t>
      </w:r>
      <w:r>
        <w:t>China</w:t>
      </w:r>
      <w:r w:rsidRPr="00782BCC">
        <w:t>)</w:t>
      </w:r>
    </w:p>
    <w:p w14:paraId="795F3C31" w14:textId="5C292F18" w:rsidR="00EE77D3" w:rsidRDefault="00E25824" w:rsidP="00EE77D3">
      <w:pPr>
        <w:pStyle w:val="SingleTxtG"/>
      </w:pPr>
      <w:r>
        <w:t>40</w:t>
      </w:r>
      <w:r w:rsidR="00BC0F14">
        <w:t>.</w:t>
      </w:r>
      <w:r w:rsidR="00EE77D3" w:rsidRPr="00782BCC">
        <w:tab/>
        <w:t>The Sub-Committee confirmed that</w:t>
      </w:r>
      <w:r w:rsidR="00EE77D3">
        <w:t xml:space="preserve"> the packing group for alcoholic beverages w</w:t>
      </w:r>
      <w:r w:rsidR="00022E71">
        <w:t>as</w:t>
      </w:r>
      <w:r w:rsidR="00EE77D3">
        <w:t xml:space="preserve"> based on the alcohol content and not on the flashpoint</w:t>
      </w:r>
      <w:r w:rsidR="00EE77D3" w:rsidRPr="00782BCC">
        <w:t xml:space="preserve">. The delegations that spoke considered that the </w:t>
      </w:r>
      <w:r w:rsidR="00EE77D3">
        <w:t>proposal by China provide</w:t>
      </w:r>
      <w:r w:rsidR="00A33D65">
        <w:t>d</w:t>
      </w:r>
      <w:r w:rsidR="00EE77D3">
        <w:t xml:space="preserve"> in this respect a better clarity of special provisions 145 and 146</w:t>
      </w:r>
      <w:r w:rsidR="00EE77D3" w:rsidRPr="00782BCC">
        <w:t>. The Sub-Committee</w:t>
      </w:r>
      <w:r w:rsidR="00EE77D3">
        <w:t xml:space="preserve"> adopted the amendments in document </w:t>
      </w:r>
      <w:r w:rsidR="00EE77D3" w:rsidRPr="00782BCC">
        <w:t>ST/SG/AC.10/C.3/20</w:t>
      </w:r>
      <w:r w:rsidR="00EE77D3">
        <w:t>23</w:t>
      </w:r>
      <w:r w:rsidR="00EE77D3" w:rsidRPr="00782BCC">
        <w:t>/</w:t>
      </w:r>
      <w:r w:rsidR="00EE77D3">
        <w:t xml:space="preserve">7, as amended (see annex </w:t>
      </w:r>
      <w:r w:rsidR="00AD52BD">
        <w:t xml:space="preserve"> </w:t>
      </w:r>
      <w:r w:rsidR="006F72DA">
        <w:t>I</w:t>
      </w:r>
      <w:r w:rsidR="00EE77D3">
        <w:t>)</w:t>
      </w:r>
      <w:r w:rsidR="00EE77D3" w:rsidRPr="00782BCC">
        <w:t>.</w:t>
      </w:r>
    </w:p>
    <w:p w14:paraId="55951AA3" w14:textId="77777777" w:rsidR="00EE77D3" w:rsidRPr="00BF42B4" w:rsidRDefault="00EE77D3" w:rsidP="00EE77D3">
      <w:pPr>
        <w:pStyle w:val="H1G"/>
      </w:pPr>
      <w:r>
        <w:tab/>
        <w:t>C</w:t>
      </w:r>
      <w:r w:rsidRPr="000C4BAD">
        <w:t>.</w:t>
      </w:r>
      <w:r w:rsidRPr="000C4BAD">
        <w:tab/>
      </w:r>
      <w:r w:rsidRPr="001F270B">
        <w:rPr>
          <w:bCs/>
        </w:rPr>
        <w:t>Status of UN 1362 (CARBON, ACTIVATED) and its redefinition to provide greater clarity</w:t>
      </w:r>
    </w:p>
    <w:p w14:paraId="542BBC5A" w14:textId="77777777" w:rsidR="00EE77D3" w:rsidRPr="00782BCC" w:rsidRDefault="00EE77D3" w:rsidP="00336A91">
      <w:pPr>
        <w:pStyle w:val="SingleTxtG"/>
        <w:tabs>
          <w:tab w:val="clear" w:pos="2268"/>
          <w:tab w:val="clear" w:pos="2835"/>
          <w:tab w:val="left" w:pos="3119"/>
        </w:tabs>
      </w:pPr>
      <w:r w:rsidRPr="00782BCC">
        <w:rPr>
          <w:i/>
          <w:iCs/>
        </w:rPr>
        <w:t xml:space="preserve">Document: </w:t>
      </w:r>
      <w:r w:rsidRPr="00782BCC">
        <w:rPr>
          <w:i/>
          <w:iCs/>
        </w:rPr>
        <w:tab/>
      </w:r>
      <w:r w:rsidRPr="009E5CDD">
        <w:t>ST/SG/AC.10/C.3/2023/13 (Cefic)</w:t>
      </w:r>
    </w:p>
    <w:p w14:paraId="2CE59A12" w14:textId="05C4577D" w:rsidR="00EE77D3" w:rsidRDefault="00E25824" w:rsidP="00EE77D3">
      <w:pPr>
        <w:pStyle w:val="SingleTxtG"/>
      </w:pPr>
      <w:r>
        <w:t>41.</w:t>
      </w:r>
      <w:r w:rsidR="00EE77D3" w:rsidRPr="00782BCC">
        <w:tab/>
      </w:r>
      <w:r w:rsidR="00EE77D3">
        <w:t>Some experts who took the floor supported in principle the proposal but preferred to keep flexibility on the different possible methods of carbon activation</w:t>
      </w:r>
      <w:r w:rsidR="002050CB" w:rsidRPr="002050CB">
        <w:t xml:space="preserve"> </w:t>
      </w:r>
      <w:r w:rsidR="002050CB">
        <w:t>and to use a special provision for clarification</w:t>
      </w:r>
      <w:r w:rsidR="00EE77D3" w:rsidRPr="005561E7">
        <w:t>.</w:t>
      </w:r>
      <w:r w:rsidR="00EE77D3">
        <w:t xml:space="preserve"> It was noted that the proposed changes could hamper future technological developments. It was noted that steam activated carbon could easily be excluded from the transport provisions </w:t>
      </w:r>
      <w:r w:rsidR="00653D45">
        <w:t>on the basis of further test data being provided</w:t>
      </w:r>
      <w:r w:rsidR="00653D45" w:rsidRPr="00782BCC">
        <w:t>.</w:t>
      </w:r>
      <w:r w:rsidR="00653D45">
        <w:t xml:space="preserve"> </w:t>
      </w:r>
      <w:r w:rsidR="00A90490">
        <w:t xml:space="preserve">The representative of </w:t>
      </w:r>
      <w:r w:rsidR="00653D45">
        <w:t>Cefic indicated that they would take the comments into consideration and submit a revised proposal for the next meeting</w:t>
      </w:r>
      <w:r w:rsidR="00EE77D3" w:rsidRPr="00782BCC">
        <w:t>.</w:t>
      </w:r>
    </w:p>
    <w:p w14:paraId="7F54620D" w14:textId="77777777" w:rsidR="00EE77D3" w:rsidRPr="00BF42B4" w:rsidRDefault="00EE77D3" w:rsidP="00EE77D3">
      <w:pPr>
        <w:pStyle w:val="H1G"/>
      </w:pPr>
      <w:r>
        <w:tab/>
        <w:t>D.</w:t>
      </w:r>
      <w:r>
        <w:tab/>
      </w:r>
      <w:r w:rsidRPr="00BE68BE">
        <w:t>Future considerations for medical devices powered by lithium batteries</w:t>
      </w:r>
    </w:p>
    <w:p w14:paraId="634291CB" w14:textId="77777777" w:rsidR="00EE77D3" w:rsidRPr="00782BCC" w:rsidRDefault="00EE77D3" w:rsidP="00336A91">
      <w:pPr>
        <w:pStyle w:val="SingleTxtG"/>
        <w:tabs>
          <w:tab w:val="clear" w:pos="2268"/>
          <w:tab w:val="clear" w:pos="2835"/>
          <w:tab w:val="left" w:pos="3119"/>
        </w:tabs>
      </w:pPr>
      <w:r w:rsidRPr="00782BCC">
        <w:rPr>
          <w:i/>
          <w:iCs/>
        </w:rPr>
        <w:t xml:space="preserve">Document: </w:t>
      </w:r>
      <w:r w:rsidRPr="00782BCC">
        <w:rPr>
          <w:i/>
          <w:iCs/>
        </w:rPr>
        <w:tab/>
      </w:r>
      <w:r w:rsidRPr="00782BCC">
        <w:t>ST/SG/AC.10/C.3/20</w:t>
      </w:r>
      <w:r>
        <w:t>23</w:t>
      </w:r>
      <w:r w:rsidRPr="00782BCC">
        <w:t>/</w:t>
      </w:r>
      <w:r>
        <w:t xml:space="preserve">15 </w:t>
      </w:r>
      <w:r w:rsidRPr="00782BCC">
        <w:t>(</w:t>
      </w:r>
      <w:r>
        <w:t>MDTC</w:t>
      </w:r>
      <w:r w:rsidRPr="00782BCC">
        <w:t>)</w:t>
      </w:r>
    </w:p>
    <w:p w14:paraId="0BE0095E" w14:textId="585D120D" w:rsidR="00EE77D3" w:rsidRDefault="00E25824" w:rsidP="00EE77D3">
      <w:pPr>
        <w:pStyle w:val="SingleTxtG"/>
      </w:pPr>
      <w:r>
        <w:t>42.</w:t>
      </w:r>
      <w:r w:rsidR="00EE77D3">
        <w:tab/>
        <w:t xml:space="preserve">The document initially listed under this </w:t>
      </w:r>
      <w:r w:rsidR="00B90151">
        <w:t>sub-</w:t>
      </w:r>
      <w:r w:rsidR="00EE77D3">
        <w:t>item was discussed under agenda item 4(a) below.</w:t>
      </w:r>
    </w:p>
    <w:p w14:paraId="2CD40EDA" w14:textId="77777777" w:rsidR="00EE77D3" w:rsidRPr="00BF42B4" w:rsidRDefault="00EE77D3" w:rsidP="00EE77D3">
      <w:pPr>
        <w:pStyle w:val="H1G"/>
      </w:pPr>
      <w:r>
        <w:tab/>
        <w:t>E</w:t>
      </w:r>
      <w:r w:rsidRPr="000C4BAD">
        <w:t>.</w:t>
      </w:r>
      <w:r w:rsidRPr="000C4BAD">
        <w:tab/>
      </w:r>
      <w:r w:rsidRPr="00B32C74">
        <w:t>Amendment to 2.6.3.2 of the Model Regulations - classification of infectious substances</w:t>
      </w:r>
    </w:p>
    <w:p w14:paraId="5E4A8168" w14:textId="77777777" w:rsidR="00EE77D3" w:rsidRPr="00782BCC" w:rsidRDefault="00EE77D3" w:rsidP="00336A91">
      <w:pPr>
        <w:pStyle w:val="SingleTxtG"/>
        <w:tabs>
          <w:tab w:val="clear" w:pos="2268"/>
          <w:tab w:val="clear" w:pos="2835"/>
          <w:tab w:val="left" w:pos="3119"/>
        </w:tabs>
      </w:pPr>
      <w:r w:rsidRPr="00782BCC">
        <w:rPr>
          <w:i/>
          <w:iCs/>
        </w:rPr>
        <w:t xml:space="preserve">Document: </w:t>
      </w:r>
      <w:r w:rsidRPr="00782BCC">
        <w:rPr>
          <w:i/>
          <w:iCs/>
        </w:rPr>
        <w:tab/>
      </w:r>
      <w:r w:rsidRPr="00782BCC">
        <w:t>ST/SG/AC.10/C.3/20</w:t>
      </w:r>
      <w:r>
        <w:t>23</w:t>
      </w:r>
      <w:r w:rsidRPr="00782BCC">
        <w:t>/</w:t>
      </w:r>
      <w:r>
        <w:t xml:space="preserve">28 </w:t>
      </w:r>
      <w:r w:rsidRPr="00782BCC">
        <w:t>(</w:t>
      </w:r>
      <w:r>
        <w:t>WHO</w:t>
      </w:r>
      <w:r w:rsidRPr="00782BCC">
        <w:t>)</w:t>
      </w:r>
    </w:p>
    <w:p w14:paraId="35248F15" w14:textId="2A85FD30" w:rsidR="008345F9" w:rsidRDefault="00E25824" w:rsidP="00EE77D3">
      <w:pPr>
        <w:pStyle w:val="SingleTxtG"/>
      </w:pPr>
      <w:r>
        <w:t>43.</w:t>
      </w:r>
      <w:r w:rsidR="00EE77D3" w:rsidRPr="00782BCC">
        <w:tab/>
      </w:r>
      <w:r w:rsidR="00EE77D3">
        <w:t>The Sub-Committee welcomed the initiative by WHO to review the indicative list of category A infectious substances</w:t>
      </w:r>
      <w:r w:rsidR="00EE77D3" w:rsidRPr="00D32082">
        <w:t xml:space="preserve"> </w:t>
      </w:r>
      <w:r w:rsidR="00EE77D3">
        <w:t>in the Model Regulations taking account of the potential risks for humans and animals as well as the hazard during the transport</w:t>
      </w:r>
      <w:r w:rsidR="00EE77D3" w:rsidRPr="009D09B0">
        <w:t xml:space="preserve"> </w:t>
      </w:r>
      <w:r w:rsidR="00EE77D3">
        <w:t>of such infectious substances. The Sub-Committee agreed to coordinate on a regular basis the update of the non-exhaustive list on the basis of the concerted expertise of WHO and FAO, including the needs in the different regions</w:t>
      </w:r>
      <w:r w:rsidR="00EE77D3" w:rsidRPr="00782BCC">
        <w:t>.</w:t>
      </w:r>
      <w:r w:rsidR="00EE77D3">
        <w:t xml:space="preserve"> The representative of WHO volunteered to develop a proposal </w:t>
      </w:r>
      <w:r w:rsidR="00EE77D3">
        <w:lastRenderedPageBreak/>
        <w:t>for sustainable and flexible review procedure for consideration at the next session of the Sub-Committee.</w:t>
      </w:r>
    </w:p>
    <w:p w14:paraId="45913C29" w14:textId="77777777" w:rsidR="00932734" w:rsidRPr="00BF42B4" w:rsidRDefault="00932734" w:rsidP="00932734">
      <w:pPr>
        <w:pStyle w:val="H1G"/>
      </w:pPr>
      <w:r>
        <w:tab/>
        <w:t>F</w:t>
      </w:r>
      <w:r w:rsidRPr="000C4BAD">
        <w:t>.</w:t>
      </w:r>
      <w:r w:rsidRPr="000C4BAD">
        <w:tab/>
      </w:r>
      <w:r w:rsidRPr="00EB0F09">
        <w:t>Present and future products in the liquid petroleum gas industry - proposal for a new UN number</w:t>
      </w:r>
    </w:p>
    <w:p w14:paraId="6FBDC1AA" w14:textId="77777777" w:rsidR="00932734" w:rsidRPr="00782BCC" w:rsidRDefault="00932734" w:rsidP="00336A91">
      <w:pPr>
        <w:pStyle w:val="SingleTxtG"/>
        <w:tabs>
          <w:tab w:val="clear" w:pos="2268"/>
          <w:tab w:val="clear" w:pos="2835"/>
          <w:tab w:val="left" w:pos="3119"/>
        </w:tabs>
      </w:pPr>
      <w:r w:rsidRPr="00782BCC">
        <w:rPr>
          <w:i/>
          <w:iCs/>
        </w:rPr>
        <w:t xml:space="preserve">Document: </w:t>
      </w:r>
      <w:r w:rsidRPr="00782BCC">
        <w:rPr>
          <w:i/>
          <w:iCs/>
        </w:rPr>
        <w:tab/>
      </w:r>
      <w:r w:rsidRPr="00782BCC">
        <w:t>ST/SG/AC.10/C.3/20</w:t>
      </w:r>
      <w:r>
        <w:t>23</w:t>
      </w:r>
      <w:r w:rsidRPr="00782BCC">
        <w:t>/</w:t>
      </w:r>
      <w:r>
        <w:t xml:space="preserve">30 </w:t>
      </w:r>
      <w:r w:rsidRPr="00782BCC">
        <w:t>(</w:t>
      </w:r>
      <w:r>
        <w:t>World LPG Association</w:t>
      </w:r>
      <w:r w:rsidRPr="00782BCC">
        <w:t>)</w:t>
      </w:r>
    </w:p>
    <w:p w14:paraId="5DBB8F9E" w14:textId="7B9F693D" w:rsidR="00932734" w:rsidRDefault="00E25824" w:rsidP="00932734">
      <w:pPr>
        <w:pStyle w:val="SingleTxtG"/>
      </w:pPr>
      <w:r>
        <w:t>44.</w:t>
      </w:r>
      <w:r w:rsidR="00932734" w:rsidRPr="00782BCC">
        <w:tab/>
      </w:r>
      <w:r w:rsidR="00932734">
        <w:t xml:space="preserve">Some experts preferred to use existing UN numbers instead of a new one. Others felt that blends with higher percentage of dimethyl ether would become a trend in near future and therefore a new UN number would be justified. Some experts raised concerns on the assignment of </w:t>
      </w:r>
      <w:r w:rsidR="00B90151">
        <w:t xml:space="preserve">packing instruction </w:t>
      </w:r>
      <w:r w:rsidR="00932734">
        <w:t xml:space="preserve">P200, the authorization of bundles of cylinders and </w:t>
      </w:r>
      <w:r w:rsidR="00932734" w:rsidRPr="00D05541">
        <w:t>multiple-element gas containers</w:t>
      </w:r>
      <w:r w:rsidR="00932734">
        <w:t xml:space="preserve"> (MEGCs) and the assigned special packing provisions. The Sub-Committee welcomed the purpose of the proposal for decarbonization goals. It was agreed to further discuss this subject at the next session based on an updated and more detailed document, taking into account the comment</w:t>
      </w:r>
      <w:r w:rsidR="00B90151">
        <w:t>s</w:t>
      </w:r>
      <w:r w:rsidR="00932734">
        <w:t xml:space="preserve"> received.</w:t>
      </w:r>
    </w:p>
    <w:p w14:paraId="7F8179C9" w14:textId="77777777" w:rsidR="00932734" w:rsidRPr="00BF42B4" w:rsidRDefault="00932734" w:rsidP="00932734">
      <w:pPr>
        <w:pStyle w:val="H1G"/>
      </w:pPr>
      <w:r>
        <w:tab/>
        <w:t>G</w:t>
      </w:r>
      <w:r w:rsidRPr="000C4BAD">
        <w:t>.</w:t>
      </w:r>
      <w:r w:rsidRPr="000C4BAD">
        <w:tab/>
      </w:r>
      <w:r w:rsidRPr="00BE68BE">
        <w:t>Hermetically sealed packaging</w:t>
      </w:r>
    </w:p>
    <w:p w14:paraId="252A089C" w14:textId="77777777" w:rsidR="00932734" w:rsidRPr="00782BCC" w:rsidRDefault="00932734" w:rsidP="00336A91">
      <w:pPr>
        <w:pStyle w:val="SingleTxtG"/>
        <w:tabs>
          <w:tab w:val="clear" w:pos="2268"/>
          <w:tab w:val="clear" w:pos="2835"/>
          <w:tab w:val="left" w:pos="3119"/>
        </w:tabs>
      </w:pPr>
      <w:r>
        <w:rPr>
          <w:i/>
          <w:iCs/>
        </w:rPr>
        <w:t>Informal d</w:t>
      </w:r>
      <w:r w:rsidRPr="00782BCC">
        <w:rPr>
          <w:i/>
          <w:iCs/>
        </w:rPr>
        <w:t xml:space="preserve">ocument: </w:t>
      </w:r>
      <w:r w:rsidRPr="00782BCC">
        <w:rPr>
          <w:i/>
          <w:iCs/>
        </w:rPr>
        <w:tab/>
      </w:r>
      <w:r>
        <w:t xml:space="preserve">INF.6 </w:t>
      </w:r>
      <w:r w:rsidRPr="00782BCC">
        <w:t>(</w:t>
      </w:r>
      <w:r>
        <w:t>Netherlands</w:t>
      </w:r>
      <w:r w:rsidRPr="00782BCC">
        <w:t>)</w:t>
      </w:r>
    </w:p>
    <w:p w14:paraId="5899146C" w14:textId="46748EFB" w:rsidR="00932734" w:rsidRDefault="00E25824" w:rsidP="00932734">
      <w:pPr>
        <w:pStyle w:val="SingleTxtG"/>
      </w:pPr>
      <w:r>
        <w:t>45.</w:t>
      </w:r>
      <w:r w:rsidR="00932734" w:rsidRPr="00782BCC">
        <w:tab/>
      </w:r>
      <w:r w:rsidR="00932734">
        <w:t>The Sub-Committee agreed on the need to clarify in the Model Regulations the term “h</w:t>
      </w:r>
      <w:r w:rsidR="00932734" w:rsidRPr="00BE68BE">
        <w:t>ermetically sealed</w:t>
      </w:r>
      <w:r w:rsidR="00932734">
        <w:t>”</w:t>
      </w:r>
      <w:r w:rsidR="00932734" w:rsidRPr="00782BCC">
        <w:t>.</w:t>
      </w:r>
      <w:r w:rsidR="00932734">
        <w:t xml:space="preserve"> Most of the experts who spoke were of the opinion that it should be defined as “air or gas tight”, but in additional to such a definition, an appropriate test method could be </w:t>
      </w:r>
      <w:r w:rsidR="00B16C30">
        <w:t xml:space="preserve">considered </w:t>
      </w:r>
      <w:r w:rsidR="00932734">
        <w:t>including a pro</w:t>
      </w:r>
      <w:r w:rsidR="00C70DC8">
        <w:t>of</w:t>
      </w:r>
      <w:r w:rsidR="00932734">
        <w:t xml:space="preserve"> that the dangerous goods </w:t>
      </w:r>
      <w:r w:rsidR="00C70DC8">
        <w:t xml:space="preserve">packagings </w:t>
      </w:r>
      <w:r w:rsidR="00932734">
        <w:t>remain sealed</w:t>
      </w:r>
      <w:r w:rsidR="00283606">
        <w:t xml:space="preserve"> during transport</w:t>
      </w:r>
      <w:r w:rsidR="00932734">
        <w:t>. The expert from the Netherlands invited all experts to send him further written comments and volunteered to work on a more detailed proposal for consideration at the next session.</w:t>
      </w:r>
    </w:p>
    <w:p w14:paraId="03B16594" w14:textId="77777777" w:rsidR="00932734" w:rsidRPr="00BF42B4" w:rsidRDefault="00932734" w:rsidP="00932734">
      <w:pPr>
        <w:pStyle w:val="H1G"/>
      </w:pPr>
      <w:r>
        <w:tab/>
        <w:t>H</w:t>
      </w:r>
      <w:r w:rsidRPr="000C4BAD">
        <w:t>.</w:t>
      </w:r>
      <w:r w:rsidRPr="000C4BAD">
        <w:tab/>
      </w:r>
      <w:r>
        <w:t>Classification of UN 2372 1,2-DI-(DIMETHYLAMINO) ETHANE</w:t>
      </w:r>
    </w:p>
    <w:p w14:paraId="47929949" w14:textId="77777777" w:rsidR="00932734" w:rsidRPr="00782BCC" w:rsidRDefault="00932734" w:rsidP="00336A91">
      <w:pPr>
        <w:pStyle w:val="SingleTxtG"/>
        <w:tabs>
          <w:tab w:val="clear" w:pos="2268"/>
          <w:tab w:val="clear" w:pos="2835"/>
          <w:tab w:val="left" w:pos="3119"/>
        </w:tabs>
      </w:pPr>
      <w:r>
        <w:rPr>
          <w:i/>
          <w:iCs/>
        </w:rPr>
        <w:t>Informal d</w:t>
      </w:r>
      <w:r w:rsidRPr="00782BCC">
        <w:rPr>
          <w:i/>
          <w:iCs/>
        </w:rPr>
        <w:t xml:space="preserve">ocument: </w:t>
      </w:r>
      <w:r w:rsidRPr="00782BCC">
        <w:rPr>
          <w:i/>
          <w:iCs/>
        </w:rPr>
        <w:tab/>
      </w:r>
      <w:r>
        <w:t xml:space="preserve">INF.18 </w:t>
      </w:r>
      <w:r w:rsidRPr="00782BCC">
        <w:t>(</w:t>
      </w:r>
      <w:r>
        <w:t>Belgium</w:t>
      </w:r>
      <w:r w:rsidRPr="00782BCC">
        <w:t>)</w:t>
      </w:r>
    </w:p>
    <w:p w14:paraId="5E0F5A0A" w14:textId="2FA42322" w:rsidR="00932734" w:rsidRDefault="00E25824" w:rsidP="00932734">
      <w:pPr>
        <w:pStyle w:val="SingleTxtG"/>
      </w:pPr>
      <w:r>
        <w:t>46</w:t>
      </w:r>
      <w:r w:rsidR="00B90151">
        <w:t>.</w:t>
      </w:r>
      <w:r w:rsidR="00932734" w:rsidRPr="00782BCC">
        <w:tab/>
      </w:r>
      <w:r w:rsidR="00932734">
        <w:t>The Sub-Committee welcomed the proposal and noted some support in principle</w:t>
      </w:r>
      <w:r w:rsidR="00932734" w:rsidRPr="00782BCC">
        <w:t>.</w:t>
      </w:r>
      <w:r w:rsidR="00932734">
        <w:t xml:space="preserve"> It was agreed that further work was needed and delegates were invited to send detailed information to the expert from Belgium.</w:t>
      </w:r>
      <w:r w:rsidR="00932734" w:rsidDel="00845659">
        <w:t xml:space="preserve"> It was noted that transitional measures would need </w:t>
      </w:r>
      <w:r w:rsidR="00932734">
        <w:t>to be added. The expert from Belgium offered to work on a more detailed document for submission to the next session.</w:t>
      </w:r>
    </w:p>
    <w:p w14:paraId="0DFE0747" w14:textId="77777777" w:rsidR="00932734" w:rsidRPr="00BF42B4" w:rsidRDefault="00932734" w:rsidP="00932734">
      <w:pPr>
        <w:pStyle w:val="H1G"/>
      </w:pPr>
      <w:r>
        <w:tab/>
        <w:t>I</w:t>
      </w:r>
      <w:r w:rsidRPr="000C4BAD">
        <w:t>.</w:t>
      </w:r>
      <w:r w:rsidRPr="000C4BAD">
        <w:tab/>
      </w:r>
      <w:r w:rsidRPr="00310546">
        <w:t>Report from the correspondence group on the differentiation between UN 1950 and UN 2037</w:t>
      </w:r>
    </w:p>
    <w:p w14:paraId="6569F9DF" w14:textId="77777777" w:rsidR="00932734" w:rsidRPr="00782BCC" w:rsidRDefault="00932734" w:rsidP="00336A91">
      <w:pPr>
        <w:pStyle w:val="SingleTxtG"/>
        <w:tabs>
          <w:tab w:val="clear" w:pos="2268"/>
          <w:tab w:val="clear" w:pos="2835"/>
          <w:tab w:val="left" w:pos="3119"/>
        </w:tabs>
      </w:pPr>
      <w:r>
        <w:rPr>
          <w:i/>
          <w:iCs/>
        </w:rPr>
        <w:t>Informal d</w:t>
      </w:r>
      <w:r w:rsidRPr="00782BCC">
        <w:rPr>
          <w:i/>
          <w:iCs/>
        </w:rPr>
        <w:t xml:space="preserve">ocument: </w:t>
      </w:r>
      <w:r w:rsidRPr="00782BCC">
        <w:rPr>
          <w:i/>
          <w:iCs/>
        </w:rPr>
        <w:tab/>
      </w:r>
      <w:r>
        <w:t xml:space="preserve">INF.22 </w:t>
      </w:r>
      <w:r w:rsidRPr="00782BCC">
        <w:t>(</w:t>
      </w:r>
      <w:r>
        <w:t>Germany</w:t>
      </w:r>
      <w:r w:rsidRPr="00782BCC">
        <w:t>)</w:t>
      </w:r>
    </w:p>
    <w:p w14:paraId="2DA3BA01" w14:textId="4CEDF1F7" w:rsidR="00932734" w:rsidRDefault="00E25824" w:rsidP="00932734">
      <w:pPr>
        <w:pStyle w:val="SingleTxtG"/>
      </w:pPr>
      <w:r>
        <w:t>47</w:t>
      </w:r>
      <w:r w:rsidR="00B90151">
        <w:t>.</w:t>
      </w:r>
      <w:r w:rsidR="00932734" w:rsidRPr="00782BCC">
        <w:tab/>
      </w:r>
      <w:r w:rsidR="00932734">
        <w:t xml:space="preserve">The Sub-Committee noted the report of the correspondence group and encouraged Germany to continue working on this suitable solution for the </w:t>
      </w:r>
      <w:r w:rsidR="00932734" w:rsidRPr="00310546">
        <w:t xml:space="preserve">differentiation </w:t>
      </w:r>
      <w:r w:rsidR="00932734">
        <w:t>of</w:t>
      </w:r>
      <w:r w:rsidR="00932734" w:rsidRPr="00310546">
        <w:t xml:space="preserve"> UN 1950 and UN 2037</w:t>
      </w:r>
      <w:r w:rsidR="00932734" w:rsidRPr="00782BCC">
        <w:t>.</w:t>
      </w:r>
      <w:r w:rsidR="00932734">
        <w:t xml:space="preserve"> It was agreed to resume consideration of this subject at the next session on the basis of an official document.</w:t>
      </w:r>
    </w:p>
    <w:p w14:paraId="7D23719B" w14:textId="77777777" w:rsidR="00932734" w:rsidRPr="00BF42B4" w:rsidRDefault="00932734" w:rsidP="00932734">
      <w:pPr>
        <w:pStyle w:val="H1G"/>
      </w:pPr>
      <w:r>
        <w:tab/>
        <w:t>J</w:t>
      </w:r>
      <w:r w:rsidRPr="000C4BAD">
        <w:t>.</w:t>
      </w:r>
      <w:r w:rsidRPr="000C4BAD">
        <w:tab/>
      </w:r>
      <w:r w:rsidRPr="00F80CDB">
        <w:rPr>
          <w:rFonts w:eastAsia="MS Mincho"/>
        </w:rPr>
        <w:t xml:space="preserve">Carriage of liquid organic hydrogen carrier (LOHC) - new </w:t>
      </w:r>
      <w:r w:rsidRPr="003440F0">
        <w:t>special</w:t>
      </w:r>
      <w:r w:rsidRPr="00F80CDB">
        <w:rPr>
          <w:rFonts w:eastAsia="MS Mincho"/>
        </w:rPr>
        <w:t xml:space="preserve"> provision to UN 3082</w:t>
      </w:r>
    </w:p>
    <w:p w14:paraId="53CA3ED1" w14:textId="77777777" w:rsidR="00932734" w:rsidRPr="00782BCC" w:rsidRDefault="00932734" w:rsidP="00336A91">
      <w:pPr>
        <w:pStyle w:val="SingleTxtG"/>
        <w:tabs>
          <w:tab w:val="clear" w:pos="2268"/>
          <w:tab w:val="clear" w:pos="2835"/>
          <w:tab w:val="left" w:pos="3119"/>
        </w:tabs>
      </w:pPr>
      <w:r>
        <w:rPr>
          <w:i/>
          <w:iCs/>
        </w:rPr>
        <w:t>Informal d</w:t>
      </w:r>
      <w:r w:rsidRPr="00782BCC">
        <w:rPr>
          <w:i/>
          <w:iCs/>
        </w:rPr>
        <w:t xml:space="preserve">ocument: </w:t>
      </w:r>
      <w:r w:rsidRPr="00782BCC">
        <w:rPr>
          <w:i/>
          <w:iCs/>
        </w:rPr>
        <w:tab/>
      </w:r>
      <w:r>
        <w:t xml:space="preserve">INF.30 </w:t>
      </w:r>
      <w:r w:rsidRPr="00782BCC">
        <w:t>(</w:t>
      </w:r>
      <w:r>
        <w:t>Germany</w:t>
      </w:r>
      <w:r w:rsidRPr="00782BCC">
        <w:t>)</w:t>
      </w:r>
    </w:p>
    <w:p w14:paraId="07689856" w14:textId="43295C15" w:rsidR="008345F9" w:rsidRDefault="00E25824" w:rsidP="00932734">
      <w:pPr>
        <w:pStyle w:val="SingleTxtG"/>
      </w:pPr>
      <w:r>
        <w:t>48.</w:t>
      </w:r>
      <w:r w:rsidR="00932734" w:rsidRPr="00782BCC">
        <w:tab/>
      </w:r>
      <w:r w:rsidR="00932734">
        <w:t xml:space="preserve">The Sub-Committee welcomed the proposal by Germany and underlined the importance of safe transport of such </w:t>
      </w:r>
      <w:r w:rsidR="00932734" w:rsidRPr="007A1623">
        <w:t>liquid organic hydrogen carrier</w:t>
      </w:r>
      <w:r w:rsidR="00932734">
        <w:t>s in the context of the green energy transition</w:t>
      </w:r>
      <w:r w:rsidR="00932734" w:rsidRPr="00782BCC">
        <w:t>.</w:t>
      </w:r>
      <w:r w:rsidR="00932734">
        <w:t xml:space="preserve"> Delegates were invited to send their written comments to the expert </w:t>
      </w:r>
      <w:r w:rsidR="00932734">
        <w:lastRenderedPageBreak/>
        <w:t>from Germany, who volunteered to prepare an official document for consideration at the next session.</w:t>
      </w:r>
    </w:p>
    <w:p w14:paraId="769E0A0F" w14:textId="77777777" w:rsidR="00010743" w:rsidRPr="00BF42B4" w:rsidRDefault="00010743" w:rsidP="00010743">
      <w:pPr>
        <w:pStyle w:val="H1G"/>
      </w:pPr>
      <w:r>
        <w:tab/>
        <w:t>K</w:t>
      </w:r>
      <w:r w:rsidRPr="000C4BAD">
        <w:t>.</w:t>
      </w:r>
      <w:r w:rsidRPr="000C4BAD">
        <w:tab/>
      </w:r>
      <w:r>
        <w:t>Transport provisions for small quantities of environmentally hazardous paints and printing inks (and related materials)</w:t>
      </w:r>
    </w:p>
    <w:p w14:paraId="27F4EB18" w14:textId="77777777" w:rsidR="00010743" w:rsidRPr="00782BCC" w:rsidRDefault="00010743" w:rsidP="00336A91">
      <w:pPr>
        <w:pStyle w:val="SingleTxtG"/>
        <w:tabs>
          <w:tab w:val="clear" w:pos="2268"/>
          <w:tab w:val="clear" w:pos="2835"/>
          <w:tab w:val="left" w:pos="3119"/>
        </w:tabs>
      </w:pPr>
      <w:r>
        <w:rPr>
          <w:i/>
          <w:iCs/>
        </w:rPr>
        <w:t>Informal d</w:t>
      </w:r>
      <w:r w:rsidRPr="00782BCC">
        <w:rPr>
          <w:i/>
          <w:iCs/>
        </w:rPr>
        <w:t xml:space="preserve">ocument: </w:t>
      </w:r>
      <w:r w:rsidRPr="00782BCC">
        <w:rPr>
          <w:i/>
          <w:iCs/>
        </w:rPr>
        <w:tab/>
      </w:r>
      <w:r>
        <w:t xml:space="preserve">INF.11 </w:t>
      </w:r>
      <w:r w:rsidRPr="00782BCC">
        <w:t>(</w:t>
      </w:r>
      <w:r>
        <w:t>WCC</w:t>
      </w:r>
      <w:r w:rsidRPr="00782BCC">
        <w:t>)</w:t>
      </w:r>
    </w:p>
    <w:p w14:paraId="79EBC51E" w14:textId="41C0F080" w:rsidR="00010743" w:rsidRDefault="00E25824" w:rsidP="00010743">
      <w:pPr>
        <w:pStyle w:val="SingleTxtG"/>
      </w:pPr>
      <w:r>
        <w:t>49.</w:t>
      </w:r>
      <w:r w:rsidR="00010743" w:rsidRPr="00782BCC">
        <w:tab/>
      </w:r>
      <w:r w:rsidR="00010743">
        <w:t>The Sub-Committee agreed to have</w:t>
      </w:r>
      <w:r w:rsidR="00010743" w:rsidRPr="00667C24">
        <w:t xml:space="preserve"> a more in-depth discussion during an informal session led by </w:t>
      </w:r>
      <w:r w:rsidR="00010743">
        <w:t>WCC</w:t>
      </w:r>
      <w:r w:rsidR="00010743" w:rsidRPr="00667C24">
        <w:t xml:space="preserve"> </w:t>
      </w:r>
      <w:r w:rsidR="00010743">
        <w:t xml:space="preserve">as a follow-up </w:t>
      </w:r>
      <w:r w:rsidR="00010743" w:rsidRPr="00667C24">
        <w:t>on informal document INF.11</w:t>
      </w:r>
      <w:r w:rsidR="00010743">
        <w:t>.</w:t>
      </w:r>
      <w:r w:rsidR="00010743" w:rsidRPr="00306656">
        <w:t xml:space="preserve"> </w:t>
      </w:r>
      <w:r w:rsidR="00010743">
        <w:t xml:space="preserve">During that discussion, ways were discussed on how to go forward with the industry’s transport issues related to small packaging of </w:t>
      </w:r>
      <w:r w:rsidR="00C53072">
        <w:t>c</w:t>
      </w:r>
      <w:r w:rsidR="00010743">
        <w:t>lass 9 environmentally hazardous materials.</w:t>
      </w:r>
    </w:p>
    <w:p w14:paraId="26F2EED5" w14:textId="5AE678C4" w:rsidR="009C00FD" w:rsidRDefault="00E25824" w:rsidP="009C00FD">
      <w:pPr>
        <w:pStyle w:val="SingleTxtG"/>
      </w:pPr>
      <w:r>
        <w:t>50.</w:t>
      </w:r>
      <w:r w:rsidR="00010743" w:rsidRPr="00667C24">
        <w:tab/>
      </w:r>
      <w:r w:rsidR="00010743">
        <w:t>Finally, the representative of WCC offered to prepare an official document for the next session taking into account the valuable feedback received during the informal discussions</w:t>
      </w:r>
      <w:r w:rsidR="009C00FD">
        <w:t>.</w:t>
      </w:r>
    </w:p>
    <w:p w14:paraId="1D643B95" w14:textId="67931622" w:rsidR="002A3EFD" w:rsidRPr="005E003D" w:rsidRDefault="002A3EFD" w:rsidP="002A3EFD">
      <w:pPr>
        <w:pStyle w:val="H1G"/>
      </w:pPr>
      <w:r w:rsidRPr="005E003D">
        <w:tab/>
        <w:t>L.</w:t>
      </w:r>
      <w:r w:rsidRPr="005E003D">
        <w:tab/>
      </w:r>
      <w:r w:rsidRPr="005E003D">
        <w:rPr>
          <w:bCs/>
        </w:rPr>
        <w:t>Precedence of classes - corrections to 2.0.3.1 and 2.8.2.4 to align with 2.6.2.2.4.1</w:t>
      </w:r>
    </w:p>
    <w:p w14:paraId="294E8657" w14:textId="77777777" w:rsidR="002A3EFD" w:rsidRPr="005E003D" w:rsidRDefault="002A3EFD" w:rsidP="00336A91">
      <w:pPr>
        <w:pStyle w:val="SingleTxtG"/>
        <w:tabs>
          <w:tab w:val="clear" w:pos="2268"/>
          <w:tab w:val="clear" w:pos="2835"/>
          <w:tab w:val="left" w:pos="3119"/>
        </w:tabs>
      </w:pPr>
      <w:r w:rsidRPr="005E003D">
        <w:rPr>
          <w:i/>
          <w:iCs/>
        </w:rPr>
        <w:t xml:space="preserve">Document: </w:t>
      </w:r>
      <w:r w:rsidRPr="005E003D">
        <w:rPr>
          <w:i/>
          <w:iCs/>
        </w:rPr>
        <w:tab/>
      </w:r>
      <w:r w:rsidRPr="005E003D">
        <w:t>ST/SG/AC.10/C.3/2023/11 (Canada, Republic of Korea)</w:t>
      </w:r>
    </w:p>
    <w:p w14:paraId="44848ED2" w14:textId="77777777" w:rsidR="002A3EFD" w:rsidRPr="005E003D" w:rsidRDefault="002A3EFD" w:rsidP="00336A91">
      <w:pPr>
        <w:pStyle w:val="SingleTxtG"/>
        <w:tabs>
          <w:tab w:val="clear" w:pos="2835"/>
          <w:tab w:val="left" w:pos="3119"/>
        </w:tabs>
        <w:rPr>
          <w:iCs/>
        </w:rPr>
      </w:pPr>
      <w:r w:rsidRPr="005E003D">
        <w:rPr>
          <w:i/>
        </w:rPr>
        <w:t>Informal document:</w:t>
      </w:r>
      <w:r w:rsidRPr="005E003D">
        <w:rPr>
          <w:i/>
        </w:rPr>
        <w:tab/>
      </w:r>
      <w:r w:rsidRPr="005E003D">
        <w:t>INF.41 (Canada, Republic of Korea</w:t>
      </w:r>
      <w:r w:rsidRPr="005E003D">
        <w:rPr>
          <w:iCs/>
        </w:rPr>
        <w:t>)</w:t>
      </w:r>
    </w:p>
    <w:p w14:paraId="250FB20C" w14:textId="4B3686DE" w:rsidR="00B40248" w:rsidRDefault="00E25824" w:rsidP="002A3EFD">
      <w:pPr>
        <w:pStyle w:val="SingleTxtG"/>
      </w:pPr>
      <w:r>
        <w:t>51.</w:t>
      </w:r>
      <w:r w:rsidR="002A3EFD" w:rsidRPr="005E003D">
        <w:tab/>
        <w:t>The Sub-Committee adopted the amendments proposed in paragraphs 7 to 10 of informal document INF.41</w:t>
      </w:r>
      <w:r w:rsidR="002A3EFD" w:rsidRPr="005E003D">
        <w:rPr>
          <w:iCs/>
        </w:rPr>
        <w:t xml:space="preserve"> (s</w:t>
      </w:r>
      <w:r w:rsidR="002A3EFD" w:rsidRPr="005E003D">
        <w:t>ee annex</w:t>
      </w:r>
      <w:r w:rsidR="00055ADF">
        <w:t xml:space="preserve"> I</w:t>
      </w:r>
      <w:r w:rsidR="002A3EFD" w:rsidRPr="005E003D">
        <w:t>).</w:t>
      </w:r>
    </w:p>
    <w:p w14:paraId="4CBAFF4D" w14:textId="7A09378B" w:rsidR="00010743" w:rsidRDefault="00010743" w:rsidP="00010743">
      <w:pPr>
        <w:pStyle w:val="HChG"/>
      </w:pPr>
      <w:r w:rsidRPr="00634742">
        <w:tab/>
      </w:r>
      <w:r>
        <w:t>VI</w:t>
      </w:r>
      <w:r w:rsidRPr="00634742">
        <w:t>.</w:t>
      </w:r>
      <w:r w:rsidRPr="00634742">
        <w:tab/>
      </w:r>
      <w:r>
        <w:t>Electric storage systems</w:t>
      </w:r>
      <w:r w:rsidRPr="00634742">
        <w:t xml:space="preserve"> (agenda item</w:t>
      </w:r>
      <w:r>
        <w:t> 4</w:t>
      </w:r>
      <w:r w:rsidRPr="00634742">
        <w:t>)</w:t>
      </w:r>
    </w:p>
    <w:p w14:paraId="3CE109BC" w14:textId="77777777" w:rsidR="00010743" w:rsidRDefault="00010743" w:rsidP="00010743">
      <w:pPr>
        <w:pStyle w:val="H1G"/>
      </w:pPr>
      <w:r>
        <w:tab/>
        <w:t>A.</w:t>
      </w:r>
      <w:r>
        <w:tab/>
        <w:t>Testing of lithium batteries</w:t>
      </w:r>
    </w:p>
    <w:p w14:paraId="203F4631" w14:textId="77777777" w:rsidR="00010743" w:rsidRPr="00782BCC" w:rsidRDefault="00010743" w:rsidP="00336A91">
      <w:pPr>
        <w:pStyle w:val="SingleTxtG"/>
        <w:tabs>
          <w:tab w:val="clear" w:pos="2268"/>
          <w:tab w:val="clear" w:pos="2835"/>
          <w:tab w:val="left" w:pos="3119"/>
        </w:tabs>
      </w:pPr>
      <w:r>
        <w:rPr>
          <w:i/>
          <w:iCs/>
        </w:rPr>
        <w:t>Informal d</w:t>
      </w:r>
      <w:r w:rsidRPr="00782BCC">
        <w:rPr>
          <w:i/>
          <w:iCs/>
        </w:rPr>
        <w:t xml:space="preserve">ocument: </w:t>
      </w:r>
      <w:r w:rsidRPr="00782BCC">
        <w:rPr>
          <w:i/>
          <w:iCs/>
        </w:rPr>
        <w:tab/>
      </w:r>
      <w:r>
        <w:t xml:space="preserve">INF.23 </w:t>
      </w:r>
      <w:r w:rsidRPr="00782BCC">
        <w:t>(</w:t>
      </w:r>
      <w:r>
        <w:t>PRBA, RECHARGE</w:t>
      </w:r>
      <w:r w:rsidRPr="00782BCC">
        <w:t>)</w:t>
      </w:r>
    </w:p>
    <w:p w14:paraId="367497EC" w14:textId="1B00955F" w:rsidR="00010743" w:rsidRDefault="00E25824" w:rsidP="00010743">
      <w:pPr>
        <w:pStyle w:val="SingleTxtG"/>
      </w:pPr>
      <w:r>
        <w:t>52.</w:t>
      </w:r>
      <w:r w:rsidR="00010743" w:rsidRPr="00782BCC">
        <w:tab/>
      </w:r>
      <w:r w:rsidR="00010743">
        <w:t xml:space="preserve">The Sub-Committee noted the difficulties encountered in the testing of lithium ion batteries of a new design type with short circuit protection. Most of the experts who took the floor did not accept a general exemption for testing of such new design types. </w:t>
      </w:r>
      <w:proofErr w:type="gramStart"/>
      <w:r w:rsidR="00010743">
        <w:t>Following the discussion, it</w:t>
      </w:r>
      <w:proofErr w:type="gramEnd"/>
      <w:r w:rsidR="00010743">
        <w:t xml:space="preserve"> was agreed that a differentiation was necessary to clarify the existing provisions. The representative of RECHARGE offered to come back at the next session with a new proposal taking account of the comments received.</w:t>
      </w:r>
    </w:p>
    <w:p w14:paraId="31F51592" w14:textId="77777777" w:rsidR="00010743" w:rsidRDefault="00010743" w:rsidP="00010743">
      <w:pPr>
        <w:pStyle w:val="H1G"/>
      </w:pPr>
      <w:r>
        <w:tab/>
        <w:t>B.</w:t>
      </w:r>
      <w:r>
        <w:tab/>
        <w:t>Hazard-based system for classification of lithium batteries</w:t>
      </w:r>
    </w:p>
    <w:p w14:paraId="22495DE7" w14:textId="77777777" w:rsidR="00010743" w:rsidRPr="0061350E" w:rsidRDefault="00010743" w:rsidP="00336A91">
      <w:pPr>
        <w:pStyle w:val="SingleTxtG"/>
        <w:tabs>
          <w:tab w:val="clear" w:pos="2268"/>
          <w:tab w:val="clear" w:pos="2835"/>
          <w:tab w:val="left" w:pos="3119"/>
        </w:tabs>
        <w:rPr>
          <w:lang w:val="fr-CH"/>
        </w:rPr>
      </w:pPr>
      <w:r w:rsidRPr="0061350E">
        <w:rPr>
          <w:i/>
          <w:lang w:val="fr-CH"/>
        </w:rPr>
        <w:t>Informal</w:t>
      </w:r>
      <w:r w:rsidRPr="0061350E">
        <w:rPr>
          <w:lang w:val="fr-CH"/>
        </w:rPr>
        <w:t xml:space="preserve"> </w:t>
      </w:r>
      <w:r w:rsidRPr="0061350E">
        <w:rPr>
          <w:i/>
          <w:lang w:val="fr-CH"/>
        </w:rPr>
        <w:t>document</w:t>
      </w:r>
      <w:r w:rsidRPr="0061350E">
        <w:rPr>
          <w:lang w:val="fr-CH"/>
        </w:rPr>
        <w:t>:</w:t>
      </w:r>
      <w:r w:rsidRPr="0061350E">
        <w:rPr>
          <w:lang w:val="fr-CH"/>
        </w:rPr>
        <w:tab/>
        <w:t>INF.14 (France, RECHARGE)</w:t>
      </w:r>
    </w:p>
    <w:p w14:paraId="73A434EA" w14:textId="006F1869" w:rsidR="00010743" w:rsidRDefault="00E25824" w:rsidP="00010743">
      <w:pPr>
        <w:pStyle w:val="SingleTxtG"/>
      </w:pPr>
      <w:r>
        <w:t>53.</w:t>
      </w:r>
      <w:r w:rsidR="00010743">
        <w:tab/>
        <w:t>T</w:t>
      </w:r>
      <w:r w:rsidR="00010743" w:rsidRPr="00CB710B">
        <w:t xml:space="preserve">he Sub-Committee </w:t>
      </w:r>
      <w:r w:rsidR="00010743">
        <w:t>welcomed the w</w:t>
      </w:r>
      <w:r w:rsidR="00010743" w:rsidRPr="00594B14">
        <w:t xml:space="preserve">ork </w:t>
      </w:r>
      <w:r w:rsidR="00010743">
        <w:t xml:space="preserve">progress made by </w:t>
      </w:r>
      <w:r w:rsidR="00010743" w:rsidRPr="00594B14">
        <w:t xml:space="preserve">the </w:t>
      </w:r>
      <w:r w:rsidR="00010743">
        <w:t xml:space="preserve">recent meeting of the </w:t>
      </w:r>
      <w:r w:rsidR="00010743" w:rsidRPr="00594B14">
        <w:t>informal working group on hazard-based classification of lithium batteries and cells</w:t>
      </w:r>
      <w:r w:rsidR="00010743">
        <w:t>. The principles proposed in informal document INF.14 were agreed and it was recommended to go forward with a two-step approach:</w:t>
      </w:r>
    </w:p>
    <w:p w14:paraId="7D8EF894" w14:textId="3277C050" w:rsidR="00010743" w:rsidRDefault="00010743" w:rsidP="00010743">
      <w:pPr>
        <w:pStyle w:val="SingleTxtG"/>
        <w:ind w:left="1701"/>
      </w:pPr>
      <w:r>
        <w:t>(a)</w:t>
      </w:r>
      <w:r>
        <w:tab/>
        <w:t>finalise the hazard classification for the Model Regulations and the test protocol for the Manual of Tests and Criteria, including the drafting of amendments,</w:t>
      </w:r>
      <w:r w:rsidR="00EA61A4">
        <w:t xml:space="preserve"> and</w:t>
      </w:r>
    </w:p>
    <w:p w14:paraId="70E34477" w14:textId="41081EC7" w:rsidR="00010743" w:rsidRDefault="00010743" w:rsidP="00010743">
      <w:pPr>
        <w:pStyle w:val="SingleTxtG"/>
        <w:ind w:left="1701"/>
      </w:pPr>
      <w:r>
        <w:t>(b)</w:t>
      </w:r>
      <w:r>
        <w:tab/>
        <w:t>develop the transport conditions for each hazard category, taking into account the assessment at a reduced stat</w:t>
      </w:r>
      <w:r w:rsidR="00EB464B">
        <w:t>e</w:t>
      </w:r>
      <w:r>
        <w:t xml:space="preserve"> of charge and the conditions related to packagings.</w:t>
      </w:r>
    </w:p>
    <w:p w14:paraId="59C68F6D" w14:textId="12E20DFF" w:rsidR="00010743" w:rsidRDefault="00E25824" w:rsidP="00010743">
      <w:pPr>
        <w:pStyle w:val="SingleTxtG"/>
        <w:rPr>
          <w:lang w:val="en-US"/>
        </w:rPr>
      </w:pPr>
      <w:r>
        <w:t>54.</w:t>
      </w:r>
      <w:r w:rsidR="00010743">
        <w:tab/>
        <w:t xml:space="preserve">Finally the Sub-Committee agreed to extend in this respect the terms of reference of the informal working group (see </w:t>
      </w:r>
      <w:r w:rsidR="00E61495">
        <w:t>para. 53 (b) above</w:t>
      </w:r>
      <w:r w:rsidR="00010743">
        <w:t>). The Chair of the informal working group announced that the group would meet again after the December session of the Sub-Committee (6-8 December 2023).</w:t>
      </w:r>
    </w:p>
    <w:p w14:paraId="31792EBA" w14:textId="77777777" w:rsidR="00010743" w:rsidRDefault="00010743" w:rsidP="00010743">
      <w:pPr>
        <w:pStyle w:val="H1G"/>
      </w:pPr>
      <w:r>
        <w:lastRenderedPageBreak/>
        <w:tab/>
        <w:t>C.</w:t>
      </w:r>
      <w:r>
        <w:tab/>
        <w:t>Transport provisions</w:t>
      </w:r>
    </w:p>
    <w:p w14:paraId="11025F27" w14:textId="77777777" w:rsidR="00010743" w:rsidRPr="00D96B24" w:rsidRDefault="00010743" w:rsidP="00010743">
      <w:pPr>
        <w:pStyle w:val="H23G"/>
      </w:pPr>
      <w:r w:rsidRPr="00D96B24">
        <w:tab/>
        <w:t>1.</w:t>
      </w:r>
      <w:r w:rsidRPr="00D96B24">
        <w:tab/>
      </w:r>
      <w:r w:rsidRPr="00BE68BE">
        <w:t>Amendments to special provision 384 in the Model Regulations</w:t>
      </w:r>
    </w:p>
    <w:p w14:paraId="23091CE2" w14:textId="77777777" w:rsidR="00010743" w:rsidRPr="00D96B24" w:rsidRDefault="00010743" w:rsidP="00336A91">
      <w:pPr>
        <w:pStyle w:val="SingleTxtG"/>
        <w:tabs>
          <w:tab w:val="clear" w:pos="2268"/>
          <w:tab w:val="clear" w:pos="2835"/>
          <w:tab w:val="left" w:pos="3119"/>
        </w:tabs>
      </w:pPr>
      <w:r w:rsidRPr="00D96B24">
        <w:rPr>
          <w:i/>
          <w:iCs/>
        </w:rPr>
        <w:t>Document:</w:t>
      </w:r>
      <w:r w:rsidRPr="00D96B24">
        <w:rPr>
          <w:i/>
          <w:iCs/>
        </w:rPr>
        <w:tab/>
      </w:r>
      <w:r w:rsidRPr="00D96B24">
        <w:t>ST/SG/AC.10/C.3/20</w:t>
      </w:r>
      <w:r>
        <w:t>23</w:t>
      </w:r>
      <w:r w:rsidRPr="00D96B24">
        <w:t>/</w:t>
      </w:r>
      <w:r>
        <w:t>8</w:t>
      </w:r>
      <w:r w:rsidRPr="00D96B24">
        <w:t xml:space="preserve"> (</w:t>
      </w:r>
      <w:r>
        <w:t>China</w:t>
      </w:r>
      <w:r w:rsidRPr="00D96B24">
        <w:t>)</w:t>
      </w:r>
    </w:p>
    <w:p w14:paraId="2FA5C90B" w14:textId="1175C2E9" w:rsidR="00010743" w:rsidRDefault="00E25824" w:rsidP="00010743">
      <w:pPr>
        <w:pStyle w:val="SingleTxtG"/>
      </w:pPr>
      <w:r>
        <w:t>55.</w:t>
      </w:r>
      <w:r w:rsidR="00010743">
        <w:tab/>
        <w:t xml:space="preserve">The Sub-Committee acknowledged the purpose of the proposal by China to improve the communication of hazards. One expert did support the amendments proposed in item (a) of document </w:t>
      </w:r>
      <w:r w:rsidR="00010743" w:rsidRPr="00D96B24">
        <w:t>ST/SG/AC.10/C.3/20</w:t>
      </w:r>
      <w:r w:rsidR="00010743">
        <w:t>23</w:t>
      </w:r>
      <w:r w:rsidR="00010743" w:rsidRPr="00D96B24">
        <w:t>/</w:t>
      </w:r>
      <w:r w:rsidR="00010743">
        <w:t xml:space="preserve">8. </w:t>
      </w:r>
      <w:r w:rsidR="00BE7BEA">
        <w:t>However, m</w:t>
      </w:r>
      <w:r w:rsidR="00010743">
        <w:t>ost experts did not support</w:t>
      </w:r>
      <w:r w:rsidR="00010743" w:rsidRPr="00D96B24">
        <w:t xml:space="preserve"> </w:t>
      </w:r>
      <w:r w:rsidR="00010743">
        <w:t xml:space="preserve">the current proposal as </w:t>
      </w:r>
      <w:r w:rsidR="00C0622D">
        <w:t>written</w:t>
      </w:r>
      <w:r w:rsidR="00010743">
        <w:t xml:space="preserve">. The expert from China offered </w:t>
      </w:r>
      <w:r w:rsidR="00010743" w:rsidRPr="00DD4A52">
        <w:t>to review the labelling provisions in his proposal for further consideration at the next session.</w:t>
      </w:r>
    </w:p>
    <w:p w14:paraId="061E74A8" w14:textId="77777777" w:rsidR="00010743" w:rsidRPr="00D96B24" w:rsidRDefault="00010743" w:rsidP="00010743">
      <w:pPr>
        <w:pStyle w:val="H23G"/>
      </w:pPr>
      <w:r w:rsidRPr="00D96B24">
        <w:tab/>
      </w:r>
      <w:r>
        <w:t>2</w:t>
      </w:r>
      <w:r w:rsidRPr="00D96B24">
        <w:t>.</w:t>
      </w:r>
      <w:r w:rsidRPr="00D96B24">
        <w:tab/>
      </w:r>
      <w:r w:rsidRPr="00BE68BE">
        <w:rPr>
          <w:lang w:val="en-US"/>
        </w:rPr>
        <w:t>Proposal</w:t>
      </w:r>
      <w:r w:rsidRPr="00BE68BE">
        <w:rPr>
          <w:rFonts w:eastAsia="MS Mincho"/>
          <w:lang w:val="en-US" w:eastAsia="ja-JP"/>
        </w:rPr>
        <w:t xml:space="preserve"> for the lithium battery mark located on the same </w:t>
      </w:r>
      <w:r w:rsidRPr="00BE68BE">
        <w:rPr>
          <w:lang w:val="en-US"/>
        </w:rPr>
        <w:t>surface</w:t>
      </w:r>
      <w:r w:rsidRPr="00BE68BE">
        <w:rPr>
          <w:rFonts w:eastAsia="MS Mincho"/>
          <w:lang w:val="en-US" w:eastAsia="ja-JP"/>
        </w:rPr>
        <w:t xml:space="preserve"> of the package near the hazard labels</w:t>
      </w:r>
    </w:p>
    <w:p w14:paraId="596DF359" w14:textId="77777777" w:rsidR="00010743" w:rsidRPr="00D96B24" w:rsidRDefault="00010743" w:rsidP="00336A91">
      <w:pPr>
        <w:pStyle w:val="SingleTxtG"/>
        <w:tabs>
          <w:tab w:val="clear" w:pos="2268"/>
          <w:tab w:val="clear" w:pos="2835"/>
          <w:tab w:val="left" w:pos="3119"/>
        </w:tabs>
      </w:pPr>
      <w:r w:rsidRPr="00D96B24">
        <w:rPr>
          <w:i/>
          <w:iCs/>
        </w:rPr>
        <w:t>Document:</w:t>
      </w:r>
      <w:r w:rsidRPr="00D96B24">
        <w:rPr>
          <w:i/>
          <w:iCs/>
        </w:rPr>
        <w:tab/>
      </w:r>
      <w:r w:rsidRPr="00D96B24">
        <w:t>ST/SG/AC.10/C.3/20</w:t>
      </w:r>
      <w:r>
        <w:t>23</w:t>
      </w:r>
      <w:r w:rsidRPr="00D96B24">
        <w:t>/</w:t>
      </w:r>
      <w:r>
        <w:t>10</w:t>
      </w:r>
      <w:r w:rsidRPr="00D96B24">
        <w:t xml:space="preserve"> (</w:t>
      </w:r>
      <w:r>
        <w:t>China</w:t>
      </w:r>
      <w:r w:rsidRPr="00D96B24">
        <w:t>)</w:t>
      </w:r>
    </w:p>
    <w:p w14:paraId="6A1D7E83" w14:textId="73D9C864" w:rsidR="00010743" w:rsidRDefault="00E25824" w:rsidP="00010743">
      <w:pPr>
        <w:pStyle w:val="SingleTxtG"/>
      </w:pPr>
      <w:r>
        <w:t>56.</w:t>
      </w:r>
      <w:r w:rsidR="00010743">
        <w:tab/>
        <w:t>Some experts supported in principle the proposal, but preferred to insert the text of the note into the provisions. Others were hesitant to adopt already at this stage the text as proposed and preferred to study it in depth. The expert from China volunteered to review his proposal and to submit a new proposal for the next session.</w:t>
      </w:r>
    </w:p>
    <w:p w14:paraId="088B57FC" w14:textId="77777777" w:rsidR="00010743" w:rsidRPr="00D96B24" w:rsidRDefault="00010743" w:rsidP="00010743">
      <w:pPr>
        <w:pStyle w:val="H23G"/>
      </w:pPr>
      <w:r w:rsidRPr="00D96B24">
        <w:tab/>
      </w:r>
      <w:r>
        <w:t>3</w:t>
      </w:r>
      <w:r w:rsidRPr="00D96B24">
        <w:t>.</w:t>
      </w:r>
      <w:r w:rsidRPr="00D96B24">
        <w:tab/>
      </w:r>
      <w:r w:rsidRPr="00BE68BE">
        <w:t>Future considerations for medical devices powered by lithium batteries</w:t>
      </w:r>
    </w:p>
    <w:p w14:paraId="64BB23B4" w14:textId="77777777" w:rsidR="00010743" w:rsidRPr="00D96B24" w:rsidRDefault="00010743" w:rsidP="00336A91">
      <w:pPr>
        <w:pStyle w:val="SingleTxtG"/>
        <w:tabs>
          <w:tab w:val="clear" w:pos="2268"/>
          <w:tab w:val="clear" w:pos="2835"/>
          <w:tab w:val="left" w:pos="3119"/>
        </w:tabs>
      </w:pPr>
      <w:r w:rsidRPr="00D96B24">
        <w:rPr>
          <w:i/>
          <w:iCs/>
        </w:rPr>
        <w:t>Document:</w:t>
      </w:r>
      <w:r w:rsidRPr="00D96B24">
        <w:rPr>
          <w:i/>
          <w:iCs/>
        </w:rPr>
        <w:tab/>
      </w:r>
      <w:r w:rsidRPr="00D96B24">
        <w:t>ST/SG/AC.10/C.3/20</w:t>
      </w:r>
      <w:r>
        <w:t>23</w:t>
      </w:r>
      <w:r w:rsidRPr="00D96B24">
        <w:t>/</w:t>
      </w:r>
      <w:r>
        <w:t>15</w:t>
      </w:r>
      <w:r w:rsidRPr="00D96B24">
        <w:t xml:space="preserve"> (</w:t>
      </w:r>
      <w:r>
        <w:t>MDTC</w:t>
      </w:r>
      <w:r w:rsidRPr="00D96B24">
        <w:t>)</w:t>
      </w:r>
    </w:p>
    <w:p w14:paraId="7A55A354" w14:textId="6DED0CD6" w:rsidR="00010743" w:rsidRDefault="00E25824" w:rsidP="00010743">
      <w:pPr>
        <w:pStyle w:val="SingleTxtG"/>
      </w:pPr>
      <w:r>
        <w:t>57.</w:t>
      </w:r>
      <w:r w:rsidR="00010743">
        <w:tab/>
      </w:r>
      <w:r w:rsidR="00010743" w:rsidRPr="00CB710B">
        <w:t xml:space="preserve">The Sub-Committee </w:t>
      </w:r>
      <w:r w:rsidR="00010743">
        <w:t>noted divided opinions on the proposed amendments</w:t>
      </w:r>
      <w:r w:rsidR="00010743" w:rsidRPr="002510B6">
        <w:t>.</w:t>
      </w:r>
      <w:r w:rsidR="00010743">
        <w:t xml:space="preserve"> While some experts expressed their support in principle on the purpose of the document, others felt that instead of new UN numbers a special provision would be more appropriate. Most experts however considered the definition of “medical device” as proposed in paragraph 17 of document </w:t>
      </w:r>
      <w:r w:rsidR="00010743" w:rsidRPr="00D96B24">
        <w:t>ST/SG/AC.10/C.3/20</w:t>
      </w:r>
      <w:r w:rsidR="00010743">
        <w:t>23</w:t>
      </w:r>
      <w:r w:rsidR="00010743" w:rsidRPr="00D96B24">
        <w:t>/</w:t>
      </w:r>
      <w:r w:rsidR="00010743">
        <w:t>15</w:t>
      </w:r>
      <w:r w:rsidR="00010743" w:rsidRPr="00D96B24">
        <w:t xml:space="preserve"> </w:t>
      </w:r>
      <w:r w:rsidR="00010743">
        <w:t xml:space="preserve">by far too broad and were of the opinion that an amendment to the Model Regulations was not justified as no clear evidence </w:t>
      </w:r>
      <w:r w:rsidR="00E61495">
        <w:t xml:space="preserve">was provided </w:t>
      </w:r>
      <w:r w:rsidR="00010743">
        <w:t>for the need of differentiation for the transport of such devices.</w:t>
      </w:r>
      <w:r w:rsidR="00F9621A">
        <w:t xml:space="preserve"> It was noted that the current work on hazard-based classification of lithium batteries might provide a solution to this issue.</w:t>
      </w:r>
    </w:p>
    <w:p w14:paraId="4267BFC8" w14:textId="48AE4478" w:rsidR="00010743" w:rsidRDefault="00E25824" w:rsidP="00010743">
      <w:pPr>
        <w:pStyle w:val="SingleTxtG"/>
      </w:pPr>
      <w:r>
        <w:t>58.</w:t>
      </w:r>
      <w:r w:rsidR="00010743">
        <w:tab/>
        <w:t xml:space="preserve">It was recommended that the issue </w:t>
      </w:r>
      <w:r w:rsidR="00853EAF">
        <w:t xml:space="preserve">raised by MDTC </w:t>
      </w:r>
      <w:r w:rsidR="00010743">
        <w:t xml:space="preserve">should be addressed by the ICAO dangerous goods panel as the </w:t>
      </w:r>
      <w:r w:rsidR="00853EAF">
        <w:t xml:space="preserve">concern </w:t>
      </w:r>
      <w:r w:rsidR="00010743">
        <w:t xml:space="preserve">is mainly </w:t>
      </w:r>
      <w:r w:rsidR="00C93CA6">
        <w:t xml:space="preserve">related to </w:t>
      </w:r>
      <w:r w:rsidR="00010743">
        <w:t>air transport. The representative of ICAO reported on the outcome of discussion</w:t>
      </w:r>
      <w:r w:rsidR="00BE096F">
        <w:t>s</w:t>
      </w:r>
      <w:r w:rsidR="00010743">
        <w:t xml:space="preserve"> within the dangerous goods panel. </w:t>
      </w:r>
    </w:p>
    <w:p w14:paraId="213535A6" w14:textId="77777777" w:rsidR="00010743" w:rsidRPr="00D96B24" w:rsidRDefault="00010743" w:rsidP="00010743">
      <w:pPr>
        <w:pStyle w:val="H23G"/>
      </w:pPr>
      <w:r w:rsidRPr="00D96B24">
        <w:tab/>
      </w:r>
      <w:r>
        <w:t>4</w:t>
      </w:r>
      <w:r w:rsidRPr="00D96B24">
        <w:t>.</w:t>
      </w:r>
      <w:r w:rsidRPr="00D96B24">
        <w:tab/>
      </w:r>
      <w:r w:rsidRPr="00A41792">
        <w:t xml:space="preserve">Transport provisions for </w:t>
      </w:r>
      <w:r>
        <w:t>hybrid batteries with</w:t>
      </w:r>
      <w:r w:rsidRPr="00A41792">
        <w:t xml:space="preserve"> both lithium</w:t>
      </w:r>
      <w:r>
        <w:t xml:space="preserve"> </w:t>
      </w:r>
      <w:r w:rsidRPr="00A41792">
        <w:t>ion cells and sodium</w:t>
      </w:r>
      <w:r>
        <w:t xml:space="preserve"> </w:t>
      </w:r>
      <w:r w:rsidRPr="00A41792">
        <w:t>ion cells</w:t>
      </w:r>
    </w:p>
    <w:p w14:paraId="1157DA8E" w14:textId="77777777" w:rsidR="00010743" w:rsidRPr="00D96B24" w:rsidRDefault="00010743" w:rsidP="00336A91">
      <w:pPr>
        <w:pStyle w:val="SingleTxtG"/>
        <w:tabs>
          <w:tab w:val="clear" w:pos="2268"/>
          <w:tab w:val="clear" w:pos="2835"/>
          <w:tab w:val="left" w:pos="3119"/>
        </w:tabs>
      </w:pPr>
      <w:r w:rsidRPr="00020499">
        <w:rPr>
          <w:i/>
        </w:rPr>
        <w:t>Informal</w:t>
      </w:r>
      <w:r w:rsidRPr="00020499">
        <w:t xml:space="preserve"> </w:t>
      </w:r>
      <w:r w:rsidRPr="00020499">
        <w:rPr>
          <w:i/>
        </w:rPr>
        <w:t>document</w:t>
      </w:r>
      <w:r w:rsidRPr="00D96B24">
        <w:rPr>
          <w:i/>
          <w:iCs/>
        </w:rPr>
        <w:t>:</w:t>
      </w:r>
      <w:r>
        <w:rPr>
          <w:i/>
          <w:iCs/>
        </w:rPr>
        <w:tab/>
      </w:r>
      <w:r>
        <w:t>INF.33</w:t>
      </w:r>
      <w:r w:rsidRPr="00D96B24">
        <w:t xml:space="preserve"> (</w:t>
      </w:r>
      <w:r>
        <w:t>China</w:t>
      </w:r>
      <w:r w:rsidRPr="00D96B24">
        <w:t>)</w:t>
      </w:r>
    </w:p>
    <w:p w14:paraId="2F576E4E" w14:textId="006E9C8C" w:rsidR="008345F9" w:rsidRDefault="00E25824" w:rsidP="00010743">
      <w:pPr>
        <w:pStyle w:val="SingleTxtG"/>
      </w:pPr>
      <w:r>
        <w:t>59.</w:t>
      </w:r>
      <w:r w:rsidR="00010743">
        <w:tab/>
        <w:t xml:space="preserve">The Sub-Committee noted general support for the </w:t>
      </w:r>
      <w:r w:rsidR="00C45DCD">
        <w:t xml:space="preserve">intent </w:t>
      </w:r>
      <w:r w:rsidR="00010743">
        <w:t>and approach of the proposal. Some experts were of the opinion that further adaptations were needed in the current provisions for testing (e.g. thresholds) and also special provisions (e.g. 388). The expert from China offered to further develop his proposal and to submit a new proposal to the next session.</w:t>
      </w:r>
    </w:p>
    <w:p w14:paraId="5C10AAD8" w14:textId="77777777" w:rsidR="00266AEB" w:rsidRDefault="00266AEB" w:rsidP="00266AEB">
      <w:pPr>
        <w:pStyle w:val="H1G"/>
      </w:pPr>
      <w:r>
        <w:tab/>
        <w:t>D.</w:t>
      </w:r>
      <w:r>
        <w:tab/>
        <w:t>Damaged or defective lithium batteries</w:t>
      </w:r>
    </w:p>
    <w:p w14:paraId="06770D45" w14:textId="77777777" w:rsidR="00266AEB" w:rsidRPr="00782BCC" w:rsidRDefault="00266AEB" w:rsidP="00336A91">
      <w:pPr>
        <w:pStyle w:val="SingleTxtG"/>
        <w:tabs>
          <w:tab w:val="clear" w:pos="2268"/>
          <w:tab w:val="clear" w:pos="2835"/>
          <w:tab w:val="left" w:pos="3119"/>
        </w:tabs>
      </w:pPr>
      <w:r>
        <w:rPr>
          <w:i/>
          <w:iCs/>
        </w:rPr>
        <w:t>Informal d</w:t>
      </w:r>
      <w:r w:rsidRPr="00782BCC">
        <w:rPr>
          <w:i/>
          <w:iCs/>
        </w:rPr>
        <w:t xml:space="preserve">ocument: </w:t>
      </w:r>
      <w:r w:rsidRPr="00782BCC">
        <w:rPr>
          <w:i/>
          <w:iCs/>
        </w:rPr>
        <w:tab/>
      </w:r>
      <w:r>
        <w:t xml:space="preserve">INF.9 </w:t>
      </w:r>
      <w:r w:rsidRPr="00782BCC">
        <w:t>(</w:t>
      </w:r>
      <w:r>
        <w:t>Belgium</w:t>
      </w:r>
      <w:r w:rsidRPr="00782BCC">
        <w:t>)</w:t>
      </w:r>
    </w:p>
    <w:p w14:paraId="2044B9A7" w14:textId="5841B438" w:rsidR="00266AEB" w:rsidRDefault="00E25824" w:rsidP="00266AEB">
      <w:pPr>
        <w:pStyle w:val="SingleTxtG"/>
      </w:pPr>
      <w:r>
        <w:t>60.</w:t>
      </w:r>
      <w:r w:rsidR="00266AEB" w:rsidRPr="00782BCC">
        <w:tab/>
      </w:r>
      <w:r w:rsidR="003B7D0D" w:rsidRPr="00952B5C">
        <w:t>It was recalled that</w:t>
      </w:r>
      <w:r w:rsidR="00F53129">
        <w:t>,</w:t>
      </w:r>
      <w:r w:rsidR="003B7D0D" w:rsidRPr="00952B5C">
        <w:t xml:space="preserve"> for the transport of critically damaged cells and batteries</w:t>
      </w:r>
      <w:r w:rsidR="00F53129">
        <w:t>,</w:t>
      </w:r>
      <w:r w:rsidR="003B7D0D" w:rsidRPr="00952B5C">
        <w:t xml:space="preserve"> the initial intention of the Sub-Committee </w:t>
      </w:r>
      <w:r w:rsidR="00DA1046">
        <w:t xml:space="preserve">was </w:t>
      </w:r>
      <w:r w:rsidR="003B7D0D" w:rsidRPr="00952B5C">
        <w:t xml:space="preserve">to introduce packing and transport conditions aimed at making these cells and batteries inert and non-reactive during transport. Since the Sub-Committee could not come to a harmonized text describing the wide range of possible solutions to achieve this goal, it was decided to introduce </w:t>
      </w:r>
      <w:r w:rsidR="000B4651">
        <w:t xml:space="preserve">packing instructions </w:t>
      </w:r>
      <w:r w:rsidR="003B7D0D" w:rsidRPr="00952B5C">
        <w:t xml:space="preserve">P911/LP906 with a set of requirements </w:t>
      </w:r>
      <w:r w:rsidR="003B7D0D" w:rsidRPr="002D7FE9">
        <w:t xml:space="preserve">aimed at containing a dangerous reaction </w:t>
      </w:r>
      <w:r w:rsidR="003B7D0D">
        <w:t>during the transport</w:t>
      </w:r>
      <w:r w:rsidR="003B7D0D" w:rsidRPr="00952B5C">
        <w:t xml:space="preserve"> of critically damaged cells and batteries. In addition, it was decided to introduce the last sentence of the fifth paragraph of </w:t>
      </w:r>
      <w:r w:rsidR="007C4311">
        <w:t xml:space="preserve">special provision </w:t>
      </w:r>
      <w:r w:rsidR="003B7D0D" w:rsidRPr="00952B5C">
        <w:t xml:space="preserve">376 to allow the competent authority to approve alternative packaging methods and/or alternative transport conditions, which achieve </w:t>
      </w:r>
      <w:r w:rsidR="003B7D0D">
        <w:t xml:space="preserve">an acceptable </w:t>
      </w:r>
      <w:r w:rsidR="003B7D0D" w:rsidRPr="00952B5C">
        <w:t>level of safety.</w:t>
      </w:r>
    </w:p>
    <w:p w14:paraId="07930E3E" w14:textId="6BAB9BA9" w:rsidR="00266AEB" w:rsidRDefault="00E25824" w:rsidP="00266AEB">
      <w:pPr>
        <w:pStyle w:val="SingleTxtG"/>
      </w:pPr>
      <w:r>
        <w:lastRenderedPageBreak/>
        <w:t>61.</w:t>
      </w:r>
      <w:r w:rsidR="00266AEB">
        <w:tab/>
        <w:t>The expert from Belgium volunteered to come back at the next session with a revised proposal taking account of the comments received, including a clarification on the communication and a detailed justification.</w:t>
      </w:r>
    </w:p>
    <w:p w14:paraId="2F961A72" w14:textId="77777777" w:rsidR="00266AEB" w:rsidRDefault="00266AEB" w:rsidP="00266AEB">
      <w:pPr>
        <w:pStyle w:val="H1G"/>
      </w:pPr>
      <w:r>
        <w:tab/>
        <w:t>E.</w:t>
      </w:r>
      <w:r>
        <w:tab/>
        <w:t>Sodium ion batteries</w:t>
      </w:r>
    </w:p>
    <w:p w14:paraId="2C814A8D" w14:textId="77777777" w:rsidR="00266AEB" w:rsidRPr="00782BCC" w:rsidRDefault="00266AEB" w:rsidP="00336A91">
      <w:pPr>
        <w:pStyle w:val="SingleTxtG"/>
        <w:tabs>
          <w:tab w:val="clear" w:pos="2268"/>
          <w:tab w:val="clear" w:pos="2835"/>
          <w:tab w:val="left" w:pos="3119"/>
        </w:tabs>
      </w:pPr>
      <w:r>
        <w:rPr>
          <w:i/>
          <w:iCs/>
        </w:rPr>
        <w:t>Informal d</w:t>
      </w:r>
      <w:r w:rsidRPr="00782BCC">
        <w:rPr>
          <w:i/>
          <w:iCs/>
        </w:rPr>
        <w:t xml:space="preserve">ocument: </w:t>
      </w:r>
      <w:r w:rsidRPr="00782BCC">
        <w:rPr>
          <w:i/>
          <w:iCs/>
        </w:rPr>
        <w:tab/>
      </w:r>
      <w:r>
        <w:t xml:space="preserve">INF.24 </w:t>
      </w:r>
      <w:r w:rsidRPr="00782BCC">
        <w:t>(</w:t>
      </w:r>
      <w:r>
        <w:t>ICAO</w:t>
      </w:r>
      <w:r w:rsidRPr="00782BCC">
        <w:t>)</w:t>
      </w:r>
    </w:p>
    <w:p w14:paraId="7715D378" w14:textId="08769A5E" w:rsidR="00266AEB" w:rsidRDefault="00E25824" w:rsidP="00266AEB">
      <w:pPr>
        <w:pStyle w:val="SingleTxtG"/>
      </w:pPr>
      <w:r>
        <w:t>62.</w:t>
      </w:r>
      <w:r w:rsidR="00266AEB" w:rsidRPr="00782BCC">
        <w:tab/>
      </w:r>
      <w:r w:rsidR="00266AEB">
        <w:t>Regarding the limitation on dangerous goods contained in batteries specified in paragraph (f) of special provision 400, it was noted that existing batteries typically contain an amount of electrolyte well below the limited quantity limits, although it is expected that larger batteries may appear in the future. The representative of RECHARGE offered to provide information on typical mass of such batteries concerned and the percentage of electrolyte.</w:t>
      </w:r>
    </w:p>
    <w:p w14:paraId="1B5E910A" w14:textId="08B1D8DC" w:rsidR="00266AEB" w:rsidRDefault="00E25824" w:rsidP="00266AEB">
      <w:pPr>
        <w:pStyle w:val="SingleTxtG"/>
      </w:pPr>
      <w:r>
        <w:t>63.</w:t>
      </w:r>
      <w:r w:rsidR="00266AEB">
        <w:tab/>
        <w:t xml:space="preserve">Regarding the markings specified in paragraph (c) of special provision 400, opinions were divided on the benefits and drawbacks of including this marking on </w:t>
      </w:r>
      <w:r w:rsidR="00854521">
        <w:t xml:space="preserve">such </w:t>
      </w:r>
      <w:r w:rsidR="00266AEB">
        <w:t xml:space="preserve">packages. </w:t>
      </w:r>
    </w:p>
    <w:p w14:paraId="15EEFC96" w14:textId="29D931DC" w:rsidR="00266AEB" w:rsidRDefault="00E25824" w:rsidP="00266AEB">
      <w:pPr>
        <w:pStyle w:val="SingleTxtG"/>
      </w:pPr>
      <w:r>
        <w:t>64.</w:t>
      </w:r>
      <w:r w:rsidR="00266AEB">
        <w:tab/>
        <w:t>Most of the experts who took the floor supported the editorial amendments proposed.</w:t>
      </w:r>
    </w:p>
    <w:p w14:paraId="0C5CB2B4" w14:textId="0AA37ADD" w:rsidR="00266AEB" w:rsidRDefault="00E25824" w:rsidP="00266AEB">
      <w:pPr>
        <w:pStyle w:val="SingleTxtG"/>
      </w:pPr>
      <w:r>
        <w:t>65.</w:t>
      </w:r>
      <w:r w:rsidR="00266AEB">
        <w:tab/>
        <w:t xml:space="preserve">It was agreed </w:t>
      </w:r>
      <w:r w:rsidR="007C269F">
        <w:t>that the editorial amendments would be presented in an official document by ICAO at the next session</w:t>
      </w:r>
      <w:r w:rsidR="00266AEB">
        <w:t>.</w:t>
      </w:r>
    </w:p>
    <w:p w14:paraId="5B405D4F" w14:textId="77777777" w:rsidR="00266AEB" w:rsidRDefault="00266AEB" w:rsidP="00266AEB">
      <w:pPr>
        <w:pStyle w:val="H1G"/>
      </w:pPr>
      <w:r w:rsidRPr="003F7024">
        <w:tab/>
        <w:t>F.</w:t>
      </w:r>
      <w:r w:rsidRPr="003F7024">
        <w:tab/>
        <w:t>Miscellaneous</w:t>
      </w:r>
    </w:p>
    <w:p w14:paraId="4F488933" w14:textId="77777777" w:rsidR="00266AEB" w:rsidRPr="00020499" w:rsidRDefault="00266AEB" w:rsidP="00336A91">
      <w:pPr>
        <w:pStyle w:val="SingleTxtG"/>
        <w:tabs>
          <w:tab w:val="clear" w:pos="2268"/>
          <w:tab w:val="clear" w:pos="2835"/>
          <w:tab w:val="left" w:pos="3119"/>
        </w:tabs>
      </w:pPr>
      <w:r>
        <w:rPr>
          <w:i/>
        </w:rPr>
        <w:t>D</w:t>
      </w:r>
      <w:r w:rsidRPr="00020499">
        <w:rPr>
          <w:i/>
        </w:rPr>
        <w:t>ocument</w:t>
      </w:r>
      <w:r>
        <w:rPr>
          <w:i/>
        </w:rPr>
        <w:t>s</w:t>
      </w:r>
      <w:r w:rsidRPr="00020499">
        <w:t>:</w:t>
      </w:r>
      <w:r w:rsidRPr="00020499">
        <w:tab/>
      </w:r>
      <w:r w:rsidRPr="00BE68BE">
        <w:rPr>
          <w:lang w:val="en-US"/>
        </w:rPr>
        <w:t>ST/SG/AC.10/C.3/2023/</w:t>
      </w:r>
      <w:r>
        <w:rPr>
          <w:lang w:val="en-US"/>
        </w:rPr>
        <w:t xml:space="preserve">23 </w:t>
      </w:r>
      <w:r>
        <w:t xml:space="preserve">and </w:t>
      </w:r>
      <w:r w:rsidRPr="00BE68BE">
        <w:rPr>
          <w:lang w:val="en-US"/>
        </w:rPr>
        <w:t>ST/SG/AC.10/C.3/2023/</w:t>
      </w:r>
      <w:r>
        <w:rPr>
          <w:lang w:val="en-US"/>
        </w:rPr>
        <w:t>24</w:t>
      </w:r>
      <w:r>
        <w:t xml:space="preserve"> (IATA)</w:t>
      </w:r>
    </w:p>
    <w:p w14:paraId="2CC439C7" w14:textId="3CAD13BA" w:rsidR="00266AEB" w:rsidRDefault="00E25824" w:rsidP="00266AEB">
      <w:pPr>
        <w:pStyle w:val="SingleTxtG"/>
      </w:pPr>
      <w:r>
        <w:rPr>
          <w:lang w:val="en-US"/>
        </w:rPr>
        <w:t>66.</w:t>
      </w:r>
      <w:r w:rsidR="00266AEB">
        <w:rPr>
          <w:lang w:val="en-US"/>
        </w:rPr>
        <w:tab/>
      </w:r>
      <w:r w:rsidR="00266AEB" w:rsidRPr="00CB710B">
        <w:t xml:space="preserve">The Sub-Committee </w:t>
      </w:r>
      <w:r w:rsidR="00266AEB">
        <w:t>recalled its decision to defer consideration of the official documents listed under this item to the December 2023 session</w:t>
      </w:r>
      <w:r w:rsidR="00854521">
        <w:t xml:space="preserve"> (see para. 11 above)</w:t>
      </w:r>
      <w:r w:rsidR="00266AEB">
        <w:t>.</w:t>
      </w:r>
    </w:p>
    <w:p w14:paraId="7EE94F5F" w14:textId="77777777" w:rsidR="00266AEB" w:rsidRDefault="00266AEB" w:rsidP="00266AEB">
      <w:pPr>
        <w:pStyle w:val="HChG"/>
      </w:pPr>
      <w:r w:rsidRPr="00634742">
        <w:tab/>
      </w:r>
      <w:r>
        <w:t>VII</w:t>
      </w:r>
      <w:r w:rsidRPr="00634742">
        <w:t>.</w:t>
      </w:r>
      <w:r w:rsidRPr="00634742">
        <w:tab/>
      </w:r>
      <w:r>
        <w:t>Transport of gases</w:t>
      </w:r>
      <w:r w:rsidRPr="00634742">
        <w:t xml:space="preserve"> (agenda item</w:t>
      </w:r>
      <w:r>
        <w:t> 5</w:t>
      </w:r>
      <w:r w:rsidRPr="00634742">
        <w:t>)</w:t>
      </w:r>
    </w:p>
    <w:p w14:paraId="5796E5AC" w14:textId="77777777" w:rsidR="00266AEB" w:rsidRDefault="00266AEB" w:rsidP="00266AEB">
      <w:pPr>
        <w:pStyle w:val="H1G"/>
      </w:pPr>
      <w:r>
        <w:tab/>
        <w:t>A.</w:t>
      </w:r>
      <w:r>
        <w:tab/>
        <w:t>Global recognition of UN and non-UN pressure receptacles</w:t>
      </w:r>
    </w:p>
    <w:p w14:paraId="52F5E28E" w14:textId="56DA9D30" w:rsidR="00266AEB" w:rsidRDefault="00E25824" w:rsidP="00266AEB">
      <w:pPr>
        <w:pStyle w:val="SingleTxtG"/>
        <w:rPr>
          <w:lang w:val="en-US"/>
        </w:rPr>
      </w:pPr>
      <w:r>
        <w:rPr>
          <w:lang w:val="en-US"/>
        </w:rPr>
        <w:t>67.</w:t>
      </w:r>
      <w:r w:rsidR="00266AEB">
        <w:rPr>
          <w:lang w:val="en-US"/>
        </w:rPr>
        <w:tab/>
        <w:t>As no document had been submitted under this agenda sub-item, no discussion took place on this subject.</w:t>
      </w:r>
    </w:p>
    <w:p w14:paraId="3E015114" w14:textId="77777777" w:rsidR="00266AEB" w:rsidRDefault="00266AEB" w:rsidP="00266AEB">
      <w:pPr>
        <w:pStyle w:val="H1G"/>
      </w:pPr>
      <w:r>
        <w:tab/>
        <w:t>B.</w:t>
      </w:r>
      <w:r>
        <w:tab/>
      </w:r>
      <w:r w:rsidRPr="00E94C7B">
        <w:t>Limited quantities for division 2.2</w:t>
      </w:r>
    </w:p>
    <w:p w14:paraId="5E05162B" w14:textId="1BCD1361" w:rsidR="008345F9" w:rsidRDefault="00E25824" w:rsidP="00266AEB">
      <w:pPr>
        <w:pStyle w:val="SingleTxtG"/>
        <w:rPr>
          <w:lang w:val="en-US"/>
        </w:rPr>
      </w:pPr>
      <w:r>
        <w:rPr>
          <w:lang w:val="en-US"/>
        </w:rPr>
        <w:t>68.</w:t>
      </w:r>
      <w:r w:rsidR="00266AEB">
        <w:rPr>
          <w:lang w:val="en-US"/>
        </w:rPr>
        <w:tab/>
        <w:t>As no document had been submitted under this agenda sub-item, no discussion took place on this subject.</w:t>
      </w:r>
    </w:p>
    <w:p w14:paraId="6575A129" w14:textId="77777777" w:rsidR="00943166" w:rsidRPr="005E003D" w:rsidRDefault="00943166" w:rsidP="00943166">
      <w:pPr>
        <w:pStyle w:val="H1G"/>
      </w:pPr>
      <w:r w:rsidRPr="005E003D">
        <w:tab/>
        <w:t>C.</w:t>
      </w:r>
      <w:r w:rsidRPr="005E003D">
        <w:tab/>
        <w:t>Miscellaneous</w:t>
      </w:r>
    </w:p>
    <w:p w14:paraId="6CB47CB5" w14:textId="77777777" w:rsidR="00943166" w:rsidRPr="005E003D" w:rsidRDefault="00943166" w:rsidP="00943166">
      <w:pPr>
        <w:pStyle w:val="H23G"/>
      </w:pPr>
      <w:r w:rsidRPr="005E003D">
        <w:tab/>
        <w:t>1.</w:t>
      </w:r>
      <w:r w:rsidRPr="005E003D">
        <w:tab/>
        <w:t xml:space="preserve">Report of the intersessional working group on the </w:t>
      </w:r>
      <w:proofErr w:type="spellStart"/>
      <w:r w:rsidRPr="005E003D">
        <w:t>pV</w:t>
      </w:r>
      <w:proofErr w:type="spellEnd"/>
      <w:r w:rsidRPr="005E003D">
        <w:t>-product limit for pressure receptacles</w:t>
      </w:r>
    </w:p>
    <w:p w14:paraId="63210B49" w14:textId="77777777" w:rsidR="00943166" w:rsidRPr="005E003D" w:rsidRDefault="00943166" w:rsidP="00336A91">
      <w:pPr>
        <w:pStyle w:val="SingleTxtG"/>
        <w:tabs>
          <w:tab w:val="clear" w:pos="2268"/>
          <w:tab w:val="clear" w:pos="2835"/>
          <w:tab w:val="left" w:pos="3119"/>
        </w:tabs>
        <w:ind w:left="3119" w:hanging="1985"/>
      </w:pPr>
      <w:r w:rsidRPr="005E003D">
        <w:rPr>
          <w:i/>
          <w:iCs/>
        </w:rPr>
        <w:t>Document:</w:t>
      </w:r>
      <w:r w:rsidRPr="005E003D">
        <w:rPr>
          <w:i/>
          <w:iCs/>
        </w:rPr>
        <w:tab/>
      </w:r>
      <w:r w:rsidRPr="005E003D">
        <w:t>ST/SG/AC.10/C.3/2023/1 (Germany on behalf of the informal working group)</w:t>
      </w:r>
    </w:p>
    <w:p w14:paraId="05BAE024" w14:textId="77777777" w:rsidR="00943166" w:rsidRPr="005E003D" w:rsidRDefault="00943166" w:rsidP="00336A91">
      <w:pPr>
        <w:pStyle w:val="SingleTxtG"/>
        <w:tabs>
          <w:tab w:val="clear" w:pos="2268"/>
          <w:tab w:val="clear" w:pos="2835"/>
          <w:tab w:val="left" w:pos="3119"/>
        </w:tabs>
        <w:ind w:left="3119" w:hanging="1985"/>
        <w:rPr>
          <w:iCs/>
        </w:rPr>
      </w:pPr>
      <w:r w:rsidRPr="005E003D">
        <w:rPr>
          <w:i/>
        </w:rPr>
        <w:t>Informal document:</w:t>
      </w:r>
      <w:r w:rsidRPr="005E003D">
        <w:rPr>
          <w:i/>
        </w:rPr>
        <w:tab/>
      </w:r>
      <w:r w:rsidRPr="005E003D">
        <w:t>INF.44 (Germany</w:t>
      </w:r>
      <w:r w:rsidRPr="005E003D">
        <w:rPr>
          <w:iCs/>
        </w:rPr>
        <w:t>)</w:t>
      </w:r>
    </w:p>
    <w:p w14:paraId="6D3578C7" w14:textId="6A7DECEE" w:rsidR="00943166" w:rsidRPr="005E003D" w:rsidRDefault="00E25824" w:rsidP="00943166">
      <w:pPr>
        <w:pStyle w:val="SingleTxtG"/>
      </w:pPr>
      <w:r>
        <w:t>69.</w:t>
      </w:r>
      <w:r w:rsidR="00943166" w:rsidRPr="005E003D">
        <w:tab/>
        <w:t>The Sub-Committee welcomed the final report on the outcome of the informal working group. It adopted the proposals P.1 to P.4 in document ST/SG/AC.10/C.3/2023/1 and agreed to keep them in square brackets (see annex</w:t>
      </w:r>
      <w:r w:rsidR="003D5551">
        <w:t xml:space="preserve"> I</w:t>
      </w:r>
      <w:r w:rsidR="00943166" w:rsidRPr="005E003D">
        <w:t>).</w:t>
      </w:r>
    </w:p>
    <w:p w14:paraId="376750DF" w14:textId="1F92BBEF" w:rsidR="00943166" w:rsidRPr="005E003D" w:rsidRDefault="00E25824" w:rsidP="00943166">
      <w:pPr>
        <w:pStyle w:val="SingleTxtG"/>
      </w:pPr>
      <w:r>
        <w:t>70.</w:t>
      </w:r>
      <w:r w:rsidR="00943166" w:rsidRPr="005E003D">
        <w:tab/>
        <w:t xml:space="preserve">The Sub-Committee noted some comments on the </w:t>
      </w:r>
      <w:r w:rsidR="00943166">
        <w:t xml:space="preserve">need to clarify the </w:t>
      </w:r>
      <w:r w:rsidR="00943166" w:rsidRPr="005E003D">
        <w:t xml:space="preserve">additional amendments to 6.2.3.5 in informal document INF.44 and </w:t>
      </w:r>
      <w:r w:rsidR="00943166">
        <w:t xml:space="preserve">to add marking </w:t>
      </w:r>
      <w:r w:rsidR="00D6735E">
        <w:t>provisions</w:t>
      </w:r>
      <w:r w:rsidR="00943166">
        <w:t xml:space="preserve">. It was </w:t>
      </w:r>
      <w:r w:rsidR="00943166" w:rsidRPr="005E003D">
        <w:t xml:space="preserve">agreed to resume consideration at the December 2023 session on the basis of an </w:t>
      </w:r>
      <w:r w:rsidR="00D6735E" w:rsidRPr="005E003D">
        <w:t>official</w:t>
      </w:r>
      <w:r w:rsidR="00943166" w:rsidRPr="005E003D">
        <w:t xml:space="preserve"> document by Germany.</w:t>
      </w:r>
    </w:p>
    <w:p w14:paraId="1196481E" w14:textId="77777777" w:rsidR="00943166" w:rsidRPr="005E003D" w:rsidRDefault="00943166" w:rsidP="00943166">
      <w:pPr>
        <w:pStyle w:val="H23G"/>
      </w:pPr>
      <w:r w:rsidRPr="005E003D">
        <w:lastRenderedPageBreak/>
        <w:tab/>
        <w:t>2.</w:t>
      </w:r>
      <w:r w:rsidRPr="005E003D">
        <w:tab/>
        <w:t>Updated ISO standards</w:t>
      </w:r>
    </w:p>
    <w:p w14:paraId="4D5956DA" w14:textId="77777777" w:rsidR="00943166" w:rsidRPr="005E003D" w:rsidRDefault="00943166" w:rsidP="00336A91">
      <w:pPr>
        <w:pStyle w:val="SingleTxtG"/>
        <w:tabs>
          <w:tab w:val="clear" w:pos="2268"/>
          <w:tab w:val="clear" w:pos="2835"/>
          <w:tab w:val="left" w:pos="3119"/>
        </w:tabs>
        <w:ind w:left="3119" w:hanging="1985"/>
      </w:pPr>
      <w:r w:rsidRPr="005E003D">
        <w:rPr>
          <w:i/>
          <w:iCs/>
        </w:rPr>
        <w:t>Document:</w:t>
      </w:r>
      <w:r w:rsidRPr="005E003D">
        <w:rPr>
          <w:i/>
          <w:iCs/>
        </w:rPr>
        <w:tab/>
      </w:r>
      <w:r w:rsidRPr="005E003D">
        <w:t>ST/SG/AC.10/C.3/2023/21 (ISO)</w:t>
      </w:r>
    </w:p>
    <w:p w14:paraId="0BA024B7" w14:textId="5B409132" w:rsidR="003F0D20" w:rsidRDefault="00E25824" w:rsidP="00943166">
      <w:pPr>
        <w:pStyle w:val="SingleTxtG"/>
      </w:pPr>
      <w:r>
        <w:t>71.</w:t>
      </w:r>
      <w:r w:rsidR="00943166" w:rsidRPr="005E003D">
        <w:tab/>
        <w:t>The Sub-Committee recalled its decision to defer consideration of the official document listed under this item to the December 2023 session</w:t>
      </w:r>
      <w:r w:rsidR="00854521">
        <w:t xml:space="preserve"> (see para. 11 above)</w:t>
      </w:r>
      <w:r w:rsidR="00943166" w:rsidRPr="005E003D">
        <w:t>. The secretariat recalled that the standards listed in the document have recently been circulated by email.</w:t>
      </w:r>
    </w:p>
    <w:p w14:paraId="70866B26" w14:textId="77777777" w:rsidR="00595056" w:rsidRDefault="00595056" w:rsidP="00595056">
      <w:pPr>
        <w:pStyle w:val="HChG"/>
      </w:pPr>
      <w:r w:rsidRPr="00634742">
        <w:tab/>
      </w:r>
      <w:r>
        <w:t>VIII</w:t>
      </w:r>
      <w:r w:rsidRPr="00634742">
        <w:t>.</w:t>
      </w:r>
      <w:r w:rsidRPr="00634742">
        <w:tab/>
      </w:r>
      <w:r>
        <w:t xml:space="preserve">Miscellaneous proposals for amendments to the Model Regulations on the Transport of Dangerous Goods </w:t>
      </w:r>
      <w:r w:rsidRPr="00634742">
        <w:t>(agenda item</w:t>
      </w:r>
      <w:r>
        <w:t> 6</w:t>
      </w:r>
      <w:r w:rsidRPr="00634742">
        <w:t>)</w:t>
      </w:r>
    </w:p>
    <w:p w14:paraId="6FC99619" w14:textId="77777777" w:rsidR="00595056" w:rsidRDefault="00595056" w:rsidP="00595056">
      <w:pPr>
        <w:pStyle w:val="H1G"/>
      </w:pPr>
      <w:r>
        <w:tab/>
        <w:t>A.</w:t>
      </w:r>
      <w:r>
        <w:tab/>
      </w:r>
      <w:r w:rsidRPr="00A845A5">
        <w:t>Marking and labelling</w:t>
      </w:r>
    </w:p>
    <w:p w14:paraId="239042AE" w14:textId="77777777" w:rsidR="00595056" w:rsidRPr="00D96B24" w:rsidRDefault="00595056" w:rsidP="00336A91">
      <w:pPr>
        <w:pStyle w:val="SingleTxtG"/>
        <w:tabs>
          <w:tab w:val="clear" w:pos="2268"/>
          <w:tab w:val="clear" w:pos="2835"/>
          <w:tab w:val="left" w:pos="3119"/>
        </w:tabs>
        <w:ind w:left="3119" w:hanging="1985"/>
      </w:pPr>
      <w:r w:rsidRPr="00D96B24">
        <w:rPr>
          <w:i/>
          <w:iCs/>
        </w:rPr>
        <w:t>Document:</w:t>
      </w:r>
      <w:r w:rsidRPr="00D96B24">
        <w:rPr>
          <w:i/>
          <w:iCs/>
        </w:rPr>
        <w:tab/>
      </w:r>
      <w:r w:rsidRPr="00D96B24">
        <w:t>ST/SG/AC.10/C.3/20</w:t>
      </w:r>
      <w:r>
        <w:t>23</w:t>
      </w:r>
      <w:r w:rsidRPr="00D96B24">
        <w:t>/</w:t>
      </w:r>
      <w:r>
        <w:t>10</w:t>
      </w:r>
      <w:r w:rsidRPr="00D96B24">
        <w:t xml:space="preserve"> (</w:t>
      </w:r>
      <w:r>
        <w:t>China</w:t>
      </w:r>
      <w:r w:rsidRPr="00D96B24">
        <w:t>)</w:t>
      </w:r>
    </w:p>
    <w:p w14:paraId="705AE1F4" w14:textId="40EBA502" w:rsidR="00595056" w:rsidRDefault="00E25824" w:rsidP="00595056">
      <w:pPr>
        <w:pStyle w:val="SingleTxtG"/>
      </w:pPr>
      <w:r>
        <w:t>72.</w:t>
      </w:r>
      <w:r w:rsidR="00595056">
        <w:tab/>
        <w:t>The document initially listed under this item was discussed under agenda item 4(</w:t>
      </w:r>
      <w:r w:rsidR="00854521">
        <w:t>c</w:t>
      </w:r>
      <w:r w:rsidR="00595056">
        <w:t xml:space="preserve">) above (see para. </w:t>
      </w:r>
      <w:r w:rsidR="002F6830">
        <w:t xml:space="preserve">56 </w:t>
      </w:r>
      <w:r w:rsidR="00595056">
        <w:t>above).</w:t>
      </w:r>
    </w:p>
    <w:p w14:paraId="699B3830" w14:textId="77777777" w:rsidR="00595056" w:rsidRDefault="00595056" w:rsidP="00595056">
      <w:pPr>
        <w:pStyle w:val="H1G"/>
      </w:pPr>
      <w:r>
        <w:tab/>
        <w:t>B.</w:t>
      </w:r>
      <w:r>
        <w:tab/>
        <w:t xml:space="preserve">Packagings, </w:t>
      </w:r>
      <w:r w:rsidRPr="00DE5F37">
        <w:t>including the use of recycled plastics material</w:t>
      </w:r>
    </w:p>
    <w:p w14:paraId="02C76EAB" w14:textId="1E87F4D9" w:rsidR="00595056" w:rsidRPr="00D96B24" w:rsidRDefault="00595056" w:rsidP="00595056">
      <w:pPr>
        <w:pStyle w:val="H23G"/>
      </w:pPr>
      <w:r w:rsidRPr="00D96B24">
        <w:tab/>
      </w:r>
      <w:r w:rsidR="00E95549">
        <w:t>1.</w:t>
      </w:r>
      <w:r w:rsidRPr="00D96B24">
        <w:tab/>
      </w:r>
      <w:r w:rsidRPr="00A03B4A">
        <w:t>Use of recycled plastics material for flexible intermediate bulk containers</w:t>
      </w:r>
    </w:p>
    <w:p w14:paraId="37ED58CF" w14:textId="77777777" w:rsidR="00595056" w:rsidRPr="00D96B24" w:rsidRDefault="00595056" w:rsidP="00336A91">
      <w:pPr>
        <w:pStyle w:val="SingleTxtG"/>
        <w:tabs>
          <w:tab w:val="clear" w:pos="2268"/>
          <w:tab w:val="clear" w:pos="2835"/>
          <w:tab w:val="left" w:pos="3119"/>
        </w:tabs>
        <w:ind w:left="3119" w:hanging="1985"/>
      </w:pPr>
      <w:r w:rsidRPr="00D96B24">
        <w:rPr>
          <w:i/>
          <w:iCs/>
        </w:rPr>
        <w:t>Document:</w:t>
      </w:r>
      <w:r w:rsidRPr="00D96B24">
        <w:rPr>
          <w:i/>
          <w:iCs/>
        </w:rPr>
        <w:tab/>
      </w:r>
      <w:r w:rsidRPr="00D96B24">
        <w:t>ST/SG/AC.10/C.3/20</w:t>
      </w:r>
      <w:r>
        <w:t>23</w:t>
      </w:r>
      <w:r w:rsidRPr="00D96B24">
        <w:t>/</w:t>
      </w:r>
      <w:r>
        <w:t>27</w:t>
      </w:r>
      <w:r w:rsidRPr="00D96B24">
        <w:t xml:space="preserve"> (</w:t>
      </w:r>
      <w:r>
        <w:t>Belgium</w:t>
      </w:r>
      <w:r w:rsidRPr="00D96B24">
        <w:t>)</w:t>
      </w:r>
    </w:p>
    <w:p w14:paraId="2774CA01" w14:textId="2B2617DE" w:rsidR="00595056" w:rsidRDefault="00E25824" w:rsidP="00595056">
      <w:pPr>
        <w:pStyle w:val="SingleTxtG"/>
      </w:pPr>
      <w:r>
        <w:t>73.</w:t>
      </w:r>
      <w:r w:rsidR="00595056">
        <w:tab/>
        <w:t>Most experts who spoke supported in principle the proposal and recalled the Sub-Committee’s decision to allow an</w:t>
      </w:r>
      <w:r w:rsidR="00595056" w:rsidRPr="00241D20">
        <w:t xml:space="preserve"> increased use of recycled plastics material</w:t>
      </w:r>
      <w:r w:rsidR="00595056">
        <w:t xml:space="preserve"> through recyclable polymer and quality assurances procedures. Others were of the opinion that the proposed text was unnecessary as the provision in 6.5.5.2.8 was not referring to plastics material but materials in general (such as components and parts) and the use of recycled plastics materials was already permitted under the current wording. </w:t>
      </w:r>
    </w:p>
    <w:p w14:paraId="467659CF" w14:textId="6F6E66D4" w:rsidR="00595056" w:rsidRDefault="00E25824" w:rsidP="00595056">
      <w:pPr>
        <w:pStyle w:val="SingleTxtG"/>
      </w:pPr>
      <w:r>
        <w:t>74.</w:t>
      </w:r>
      <w:r w:rsidR="00595056">
        <w:tab/>
        <w:t>The expert from Belgium invited all delegates to send him their written comments. He offered to prepare for the next session a revised document, taking into account the feedback received.</w:t>
      </w:r>
    </w:p>
    <w:p w14:paraId="4560450C" w14:textId="77777777" w:rsidR="00595056" w:rsidRPr="00D96B24" w:rsidRDefault="00595056" w:rsidP="00595056">
      <w:pPr>
        <w:pStyle w:val="H23G"/>
      </w:pPr>
      <w:r w:rsidRPr="00D96B24">
        <w:tab/>
      </w:r>
      <w:r>
        <w:t>2.</w:t>
      </w:r>
      <w:r w:rsidRPr="00D96B24">
        <w:tab/>
      </w:r>
      <w:r w:rsidRPr="00494A26">
        <w:t>Revision of standard ISO 535:2014</w:t>
      </w:r>
    </w:p>
    <w:p w14:paraId="1945B7F3" w14:textId="77777777" w:rsidR="00595056" w:rsidRPr="00667C24" w:rsidRDefault="00595056" w:rsidP="00336A91">
      <w:pPr>
        <w:pStyle w:val="SingleTxtG"/>
        <w:tabs>
          <w:tab w:val="clear" w:pos="2268"/>
          <w:tab w:val="clear" w:pos="2835"/>
          <w:tab w:val="left" w:pos="3119"/>
        </w:tabs>
        <w:ind w:left="3119" w:hanging="1985"/>
      </w:pPr>
      <w:r w:rsidRPr="00667C24">
        <w:rPr>
          <w:i/>
        </w:rPr>
        <w:t>Informal</w:t>
      </w:r>
      <w:r w:rsidRPr="00667C24">
        <w:t xml:space="preserve"> </w:t>
      </w:r>
      <w:r w:rsidRPr="00667C24">
        <w:rPr>
          <w:i/>
        </w:rPr>
        <w:t>document</w:t>
      </w:r>
      <w:r w:rsidRPr="00667C24">
        <w:t>:</w:t>
      </w:r>
      <w:r w:rsidRPr="00667C24">
        <w:tab/>
        <w:t>INF.</w:t>
      </w:r>
      <w:r>
        <w:t>20</w:t>
      </w:r>
      <w:r w:rsidRPr="00667C24">
        <w:t xml:space="preserve"> (</w:t>
      </w:r>
      <w:r>
        <w:t>Spain</w:t>
      </w:r>
      <w:r w:rsidRPr="00667C24">
        <w:t>)</w:t>
      </w:r>
    </w:p>
    <w:p w14:paraId="22AEAFE8" w14:textId="796BC248" w:rsidR="00595056" w:rsidRDefault="00E25824" w:rsidP="00595056">
      <w:pPr>
        <w:pStyle w:val="SingleTxtG"/>
      </w:pPr>
      <w:r>
        <w:t>75.</w:t>
      </w:r>
      <w:r w:rsidR="00595056">
        <w:tab/>
        <w:t xml:space="preserve">Most experts who took the floor supported in principle the amendments proposed </w:t>
      </w:r>
      <w:r w:rsidR="002D78A0">
        <w:t xml:space="preserve">in </w:t>
      </w:r>
      <w:r w:rsidR="00595056">
        <w:t>informal</w:t>
      </w:r>
      <w:r w:rsidR="00595056" w:rsidRPr="00667C24">
        <w:t xml:space="preserve"> document INF.</w:t>
      </w:r>
      <w:r w:rsidR="00595056">
        <w:t>20. Some experts however preferred to proceed with a thorough check before adopting the amendments. The secretariat was requested to reach out to ISO for an electronic copy of standard</w:t>
      </w:r>
      <w:r w:rsidR="00595056" w:rsidRPr="00E510FE">
        <w:t xml:space="preserve"> </w:t>
      </w:r>
      <w:r w:rsidR="00595056" w:rsidRPr="00494A26">
        <w:t>ISO 535:</w:t>
      </w:r>
      <w:r w:rsidR="00595056">
        <w:t>2023 for circulation to delegates. The Sub-Committee agreed to resume discussion at the next session on the basis of an official document by Spain.</w:t>
      </w:r>
    </w:p>
    <w:p w14:paraId="229F2DD3" w14:textId="77777777" w:rsidR="00595056" w:rsidRDefault="00595056" w:rsidP="00595056">
      <w:pPr>
        <w:pStyle w:val="H1G"/>
      </w:pPr>
      <w:r>
        <w:tab/>
        <w:t>C.</w:t>
      </w:r>
      <w:r>
        <w:tab/>
        <w:t>P</w:t>
      </w:r>
      <w:r w:rsidRPr="00DE4B7F">
        <w:t>ortable tanks</w:t>
      </w:r>
    </w:p>
    <w:p w14:paraId="4FADC9A0" w14:textId="77777777" w:rsidR="00595056" w:rsidRPr="00D96B24" w:rsidRDefault="00595056" w:rsidP="00595056">
      <w:pPr>
        <w:pStyle w:val="H23G"/>
      </w:pPr>
      <w:r w:rsidRPr="00D96B24">
        <w:tab/>
      </w:r>
      <w:r>
        <w:t>1</w:t>
      </w:r>
      <w:r w:rsidRPr="00D96B24">
        <w:t>.</w:t>
      </w:r>
      <w:r w:rsidRPr="00D96B24">
        <w:tab/>
      </w:r>
      <w:r w:rsidRPr="00251408">
        <w:t>Modification of the definitions of "FRP tank" and "FRP shell" in 6.9.2.1 of the Model Regulations</w:t>
      </w:r>
    </w:p>
    <w:p w14:paraId="591CCE06" w14:textId="77777777" w:rsidR="00595056" w:rsidRDefault="00595056" w:rsidP="00336A91">
      <w:pPr>
        <w:pStyle w:val="SingleTxtG"/>
        <w:tabs>
          <w:tab w:val="clear" w:pos="2268"/>
          <w:tab w:val="clear" w:pos="2835"/>
          <w:tab w:val="left" w:pos="3119"/>
        </w:tabs>
        <w:ind w:left="3119" w:hanging="1985"/>
      </w:pPr>
      <w:r w:rsidRPr="00D96B24">
        <w:rPr>
          <w:i/>
          <w:iCs/>
        </w:rPr>
        <w:t>Document:</w:t>
      </w:r>
      <w:r w:rsidRPr="00D96B24">
        <w:rPr>
          <w:i/>
          <w:iCs/>
        </w:rPr>
        <w:tab/>
      </w:r>
      <w:r w:rsidRPr="00D96B24">
        <w:t>ST/SG/AC.10/C.3/20</w:t>
      </w:r>
      <w:r>
        <w:t>23</w:t>
      </w:r>
      <w:r w:rsidRPr="00D96B24">
        <w:t>/</w:t>
      </w:r>
      <w:r>
        <w:t>20</w:t>
      </w:r>
      <w:r w:rsidRPr="00D96B24">
        <w:t xml:space="preserve"> (</w:t>
      </w:r>
      <w:r>
        <w:rPr>
          <w:lang w:val="en-US"/>
        </w:rPr>
        <w:t>Poland</w:t>
      </w:r>
      <w:r w:rsidRPr="00D96B24">
        <w:t>)</w:t>
      </w:r>
    </w:p>
    <w:p w14:paraId="4118A049" w14:textId="36093A52" w:rsidR="00595056" w:rsidRPr="00667C24" w:rsidRDefault="00595056" w:rsidP="00336A91">
      <w:pPr>
        <w:pStyle w:val="SingleTxtG"/>
        <w:tabs>
          <w:tab w:val="clear" w:pos="2268"/>
          <w:tab w:val="clear" w:pos="2835"/>
          <w:tab w:val="left" w:pos="3119"/>
        </w:tabs>
        <w:ind w:left="3119" w:hanging="1985"/>
      </w:pPr>
      <w:r w:rsidRPr="00667C24">
        <w:rPr>
          <w:i/>
        </w:rPr>
        <w:t>Informal</w:t>
      </w:r>
      <w:r w:rsidRPr="00667C24">
        <w:t xml:space="preserve"> </w:t>
      </w:r>
      <w:r w:rsidRPr="00667C24">
        <w:rPr>
          <w:i/>
        </w:rPr>
        <w:t>document</w:t>
      </w:r>
      <w:r w:rsidRPr="00667C24">
        <w:t>:</w:t>
      </w:r>
      <w:r w:rsidRPr="00667C24">
        <w:tab/>
        <w:t>INF.</w:t>
      </w:r>
      <w:r>
        <w:t>43</w:t>
      </w:r>
      <w:r w:rsidRPr="00667C24">
        <w:t xml:space="preserve"> (</w:t>
      </w:r>
      <w:r>
        <w:rPr>
          <w:lang w:val="en-US"/>
        </w:rPr>
        <w:t>Russian Federation on behalf of the informal working group</w:t>
      </w:r>
      <w:r w:rsidRPr="00035986">
        <w:rPr>
          <w:lang w:val="en-US"/>
        </w:rPr>
        <w:t xml:space="preserve"> </w:t>
      </w:r>
      <w:r>
        <w:rPr>
          <w:lang w:val="en-US"/>
        </w:rPr>
        <w:t>on FRP service equipment</w:t>
      </w:r>
      <w:r w:rsidRPr="00667C24">
        <w:t>)</w:t>
      </w:r>
    </w:p>
    <w:p w14:paraId="68C9DDC5" w14:textId="1B0F2080" w:rsidR="00595056" w:rsidRDefault="00E25824" w:rsidP="00595056">
      <w:pPr>
        <w:pStyle w:val="SingleTxtG"/>
      </w:pPr>
      <w:r>
        <w:t>76.</w:t>
      </w:r>
      <w:r w:rsidR="00595056">
        <w:tab/>
        <w:t>The Sub-Committee adopted the amendments proposed in informal</w:t>
      </w:r>
      <w:r w:rsidR="00595056" w:rsidRPr="00667C24">
        <w:t xml:space="preserve"> document INF.</w:t>
      </w:r>
      <w:r w:rsidR="00595056">
        <w:t>43 and agreed to keep them in square brackets, subject to a final review at a future session.</w:t>
      </w:r>
      <w:r w:rsidR="00904E06">
        <w:t xml:space="preserve"> The expert from Poland indicated that he would bring a revised proposal to the next session taking into account the comments received.</w:t>
      </w:r>
    </w:p>
    <w:p w14:paraId="234DB2D3" w14:textId="77777777" w:rsidR="00595056" w:rsidRPr="00D96B24" w:rsidRDefault="00595056" w:rsidP="00595056">
      <w:pPr>
        <w:pStyle w:val="H23G"/>
      </w:pPr>
      <w:r w:rsidRPr="00D96B24">
        <w:lastRenderedPageBreak/>
        <w:tab/>
      </w:r>
      <w:r>
        <w:t>2</w:t>
      </w:r>
      <w:r w:rsidRPr="00D96B24">
        <w:t>.</w:t>
      </w:r>
      <w:r w:rsidRPr="00D96B24">
        <w:tab/>
      </w:r>
      <w:r w:rsidRPr="00BE68BE">
        <w:rPr>
          <w:lang w:val="en-US"/>
        </w:rPr>
        <w:t xml:space="preserve">Report from the informal working group on </w:t>
      </w:r>
      <w:proofErr w:type="spellStart"/>
      <w:r w:rsidRPr="00BE68BE">
        <w:rPr>
          <w:lang w:val="en-US"/>
        </w:rPr>
        <w:t>fibre</w:t>
      </w:r>
      <w:proofErr w:type="spellEnd"/>
      <w:r w:rsidRPr="00BE68BE">
        <w:rPr>
          <w:lang w:val="en-US"/>
        </w:rPr>
        <w:t xml:space="preserve"> reinforced </w:t>
      </w:r>
      <w:r w:rsidRPr="003440F0">
        <w:t>plastics</w:t>
      </w:r>
      <w:r w:rsidRPr="00BE68BE">
        <w:rPr>
          <w:lang w:val="en-US"/>
        </w:rPr>
        <w:t xml:space="preserve"> service equipment for portable tanks</w:t>
      </w:r>
    </w:p>
    <w:p w14:paraId="76D1FD79" w14:textId="2E5E97A2" w:rsidR="00595056" w:rsidRDefault="00595056" w:rsidP="00336A91">
      <w:pPr>
        <w:pStyle w:val="SingleTxtG"/>
        <w:tabs>
          <w:tab w:val="clear" w:pos="2268"/>
          <w:tab w:val="clear" w:pos="2835"/>
          <w:tab w:val="left" w:pos="3119"/>
        </w:tabs>
        <w:ind w:left="3119" w:hanging="1985"/>
      </w:pPr>
      <w:r w:rsidRPr="00D96B24">
        <w:rPr>
          <w:i/>
          <w:iCs/>
        </w:rPr>
        <w:t>Document:</w:t>
      </w:r>
      <w:r w:rsidRPr="00D96B24">
        <w:rPr>
          <w:i/>
          <w:iCs/>
        </w:rPr>
        <w:tab/>
      </w:r>
      <w:r w:rsidRPr="00D96B24">
        <w:t>ST/</w:t>
      </w:r>
      <w:r w:rsidRPr="0012525A">
        <w:rPr>
          <w:lang w:val="en-US"/>
        </w:rPr>
        <w:t>SG</w:t>
      </w:r>
      <w:r w:rsidRPr="00D96B24">
        <w:t>/AC.10/C.3/20</w:t>
      </w:r>
      <w:r>
        <w:t>23</w:t>
      </w:r>
      <w:r w:rsidRPr="00D96B24">
        <w:t>/</w:t>
      </w:r>
      <w:r>
        <w:t>22</w:t>
      </w:r>
      <w:r w:rsidRPr="00D96B24">
        <w:t xml:space="preserve"> (</w:t>
      </w:r>
      <w:r>
        <w:rPr>
          <w:lang w:val="en-US"/>
        </w:rPr>
        <w:t>Russian Federation on behalf of the informal working group</w:t>
      </w:r>
      <w:r w:rsidRPr="00035986">
        <w:rPr>
          <w:lang w:val="en-US"/>
        </w:rPr>
        <w:t xml:space="preserve"> </w:t>
      </w:r>
      <w:r>
        <w:rPr>
          <w:lang w:val="en-US"/>
        </w:rPr>
        <w:t>on FRP service equipment</w:t>
      </w:r>
      <w:r w:rsidRPr="00D96B24">
        <w:t>)</w:t>
      </w:r>
    </w:p>
    <w:p w14:paraId="70F60D54" w14:textId="7DEBE01D" w:rsidR="00595056" w:rsidRPr="00667C24" w:rsidRDefault="00595056" w:rsidP="00336A91">
      <w:pPr>
        <w:pStyle w:val="SingleTxtG"/>
        <w:tabs>
          <w:tab w:val="clear" w:pos="2268"/>
          <w:tab w:val="clear" w:pos="2835"/>
          <w:tab w:val="left" w:pos="3119"/>
        </w:tabs>
        <w:ind w:left="3119" w:hanging="1985"/>
      </w:pPr>
      <w:r w:rsidRPr="00667C24">
        <w:rPr>
          <w:i/>
        </w:rPr>
        <w:t>Informal</w:t>
      </w:r>
      <w:r w:rsidRPr="00667C24">
        <w:t xml:space="preserve"> </w:t>
      </w:r>
      <w:r w:rsidRPr="00667C24">
        <w:rPr>
          <w:i/>
        </w:rPr>
        <w:t>document</w:t>
      </w:r>
      <w:r w:rsidRPr="00667C24">
        <w:t>:</w:t>
      </w:r>
      <w:r w:rsidRPr="00667C24">
        <w:tab/>
        <w:t>INF.</w:t>
      </w:r>
      <w:r>
        <w:t>42</w:t>
      </w:r>
      <w:r w:rsidRPr="00667C24">
        <w:t xml:space="preserve"> (</w:t>
      </w:r>
      <w:r>
        <w:rPr>
          <w:lang w:val="en-US"/>
        </w:rPr>
        <w:t>Russian Federation on behalf of the informal working group</w:t>
      </w:r>
      <w:r w:rsidRPr="00035986">
        <w:rPr>
          <w:lang w:val="en-US"/>
        </w:rPr>
        <w:t xml:space="preserve"> </w:t>
      </w:r>
      <w:r>
        <w:rPr>
          <w:lang w:val="en-US"/>
        </w:rPr>
        <w:t>on FRP service equipment</w:t>
      </w:r>
      <w:r w:rsidRPr="00667C24">
        <w:t>)</w:t>
      </w:r>
    </w:p>
    <w:p w14:paraId="2A6A51D1" w14:textId="5D01B690" w:rsidR="00595056" w:rsidRDefault="00E25824" w:rsidP="00595056">
      <w:pPr>
        <w:pStyle w:val="SingleTxtG"/>
      </w:pPr>
      <w:r>
        <w:t>77.</w:t>
      </w:r>
      <w:r w:rsidR="00595056">
        <w:tab/>
        <w:t xml:space="preserve">The </w:t>
      </w:r>
      <w:r w:rsidR="00595056" w:rsidRPr="00CB710B">
        <w:t>Sub-Committee</w:t>
      </w:r>
      <w:r w:rsidR="00595056">
        <w:t xml:space="preserve"> noted the work progress of the informal working group on FRP service equipment for portable tanks made during their meeting held from 3-5 July 2023.</w:t>
      </w:r>
    </w:p>
    <w:p w14:paraId="4BD193F8" w14:textId="25C5A03C" w:rsidR="00595056" w:rsidRDefault="00E25824" w:rsidP="00595056">
      <w:pPr>
        <w:pStyle w:val="SingleTxtG"/>
      </w:pPr>
      <w:r>
        <w:t>78.</w:t>
      </w:r>
      <w:r w:rsidR="00595056">
        <w:tab/>
        <w:t>Most experts supported the proposals in informal</w:t>
      </w:r>
      <w:r w:rsidR="00595056" w:rsidRPr="00667C24">
        <w:t xml:space="preserve"> document INF.</w:t>
      </w:r>
      <w:r w:rsidR="00595056">
        <w:t>42 to amend the Model Regulations and the Manual of Tests and Criteria. Others preferred to have a final review with their national experts before adoption.</w:t>
      </w:r>
    </w:p>
    <w:p w14:paraId="42267127" w14:textId="29A0E32F" w:rsidR="00595056" w:rsidRDefault="00E25824" w:rsidP="00595056">
      <w:pPr>
        <w:pStyle w:val="SingleTxtG"/>
      </w:pPr>
      <w:r>
        <w:t>79.</w:t>
      </w:r>
      <w:r w:rsidR="00595056">
        <w:tab/>
        <w:t>To ensure a good quality of the reproduction of figures in the Model Regulations</w:t>
      </w:r>
      <w:r w:rsidR="007073EF" w:rsidRPr="007073EF">
        <w:t xml:space="preserve"> </w:t>
      </w:r>
      <w:r w:rsidR="007073EF">
        <w:t>and the Manual of Tests and Criteria</w:t>
      </w:r>
      <w:r w:rsidR="00595056">
        <w:t>, delegates were reminded to provide the secretariat with editable vector graphics.</w:t>
      </w:r>
    </w:p>
    <w:p w14:paraId="57CFB9C3" w14:textId="1C383D32" w:rsidR="00595056" w:rsidRDefault="00E25824" w:rsidP="00595056">
      <w:pPr>
        <w:pStyle w:val="SingleTxtG"/>
      </w:pPr>
      <w:r>
        <w:t>80.</w:t>
      </w:r>
      <w:r w:rsidR="00595056">
        <w:tab/>
        <w:t>The Sub-Committee agreed to resume discussion at its December 2023 session on the basis of an official document by the Russian Federation.</w:t>
      </w:r>
    </w:p>
    <w:p w14:paraId="57164A73" w14:textId="77777777" w:rsidR="00595056" w:rsidRPr="00D96B24" w:rsidRDefault="00595056" w:rsidP="00595056">
      <w:pPr>
        <w:pStyle w:val="H23G"/>
      </w:pPr>
      <w:r w:rsidRPr="00D96B24">
        <w:tab/>
      </w:r>
      <w:r>
        <w:t>3</w:t>
      </w:r>
      <w:r w:rsidRPr="00D96B24">
        <w:t>.</w:t>
      </w:r>
      <w:r w:rsidRPr="00D96B24">
        <w:tab/>
      </w:r>
      <w:r w:rsidRPr="00ED3D72">
        <w:t>Transport of UN 1789 in intermediate bulk containers (IBC02) and portable tanks (T8</w:t>
      </w:r>
      <w:r>
        <w:t>)</w:t>
      </w:r>
    </w:p>
    <w:p w14:paraId="0D330B1A" w14:textId="77777777" w:rsidR="00595056" w:rsidRDefault="00595056" w:rsidP="00336A91">
      <w:pPr>
        <w:pStyle w:val="SingleTxtG"/>
        <w:tabs>
          <w:tab w:val="clear" w:pos="2268"/>
          <w:tab w:val="clear" w:pos="2835"/>
          <w:tab w:val="left" w:pos="3119"/>
        </w:tabs>
        <w:ind w:left="3119" w:hanging="1985"/>
      </w:pPr>
      <w:r w:rsidRPr="00D96B24">
        <w:rPr>
          <w:i/>
          <w:iCs/>
        </w:rPr>
        <w:t>Document:</w:t>
      </w:r>
      <w:r w:rsidRPr="00D96B24">
        <w:rPr>
          <w:i/>
          <w:iCs/>
        </w:rPr>
        <w:tab/>
      </w:r>
      <w:r w:rsidRPr="00D96B24">
        <w:t>ST/SG/AC.10/C.3/20</w:t>
      </w:r>
      <w:r>
        <w:t>23</w:t>
      </w:r>
      <w:r w:rsidRPr="00D96B24">
        <w:t>/</w:t>
      </w:r>
      <w:r>
        <w:t>29</w:t>
      </w:r>
      <w:r w:rsidRPr="00D96B24">
        <w:t xml:space="preserve"> (</w:t>
      </w:r>
      <w:r>
        <w:t>IDGCA</w:t>
      </w:r>
      <w:r w:rsidRPr="00D96B24">
        <w:t>)</w:t>
      </w:r>
    </w:p>
    <w:p w14:paraId="7A3D9871" w14:textId="77777777" w:rsidR="00595056" w:rsidRDefault="00595056" w:rsidP="00336A91">
      <w:pPr>
        <w:pStyle w:val="SingleTxtG"/>
        <w:tabs>
          <w:tab w:val="clear" w:pos="2268"/>
          <w:tab w:val="clear" w:pos="2835"/>
          <w:tab w:val="left" w:pos="3119"/>
        </w:tabs>
        <w:ind w:left="3119" w:hanging="1985"/>
        <w:jc w:val="left"/>
      </w:pPr>
      <w:r>
        <w:rPr>
          <w:i/>
          <w:iCs/>
        </w:rPr>
        <w:t>Informal documents:</w:t>
      </w:r>
      <w:r w:rsidRPr="00961B1E">
        <w:tab/>
        <w:t>INF.</w:t>
      </w:r>
      <w:r>
        <w:t>21 (ICIBCA, ICPP</w:t>
      </w:r>
      <w:r>
        <w:rPr>
          <w:lang w:val="en-US"/>
        </w:rPr>
        <w:t>)</w:t>
      </w:r>
      <w:r>
        <w:rPr>
          <w:lang w:val="en-US"/>
        </w:rPr>
        <w:br/>
      </w:r>
      <w:r w:rsidRPr="00961B1E">
        <w:t>INF.</w:t>
      </w:r>
      <w:r>
        <w:t xml:space="preserve">38 </w:t>
      </w:r>
      <w:r w:rsidRPr="00D96B24">
        <w:t>(</w:t>
      </w:r>
      <w:r>
        <w:t>IDGCA</w:t>
      </w:r>
      <w:r w:rsidRPr="00D96B24">
        <w:t>)</w:t>
      </w:r>
    </w:p>
    <w:p w14:paraId="280E2981" w14:textId="349066B4" w:rsidR="00595056" w:rsidRDefault="00E25824" w:rsidP="00595056">
      <w:pPr>
        <w:pStyle w:val="SingleTxtG"/>
      </w:pPr>
      <w:r>
        <w:t>81.</w:t>
      </w:r>
      <w:r w:rsidR="00595056">
        <w:tab/>
        <w:t>The experts who took the floor were of the opinion that the current provisions in 4.1.4.2 allow IBCs to be equipped with bottom discharge devices for the transport of dangerous goods, which is however not the case for portable tanks. Most experts did not support the need to amend 4.1.4.2 in this respect and preferred to keep the current provisions as outlined in informal document INF.21.</w:t>
      </w:r>
    </w:p>
    <w:p w14:paraId="425AF67B" w14:textId="5CBB6409" w:rsidR="00595056" w:rsidRDefault="00E25824" w:rsidP="00595056">
      <w:pPr>
        <w:pStyle w:val="SingleTxtG"/>
      </w:pPr>
      <w:r>
        <w:t>82.</w:t>
      </w:r>
      <w:r w:rsidR="00595056">
        <w:tab/>
        <w:t>The representative of IDGCA added that the questions raised in his document were triggered by a</w:t>
      </w:r>
      <w:r w:rsidR="007073EF">
        <w:t>n</w:t>
      </w:r>
      <w:r w:rsidR="00595056">
        <w:t xml:space="preserve"> </w:t>
      </w:r>
      <w:r w:rsidR="007073EF">
        <w:t>in</w:t>
      </w:r>
      <w:r w:rsidR="00595056">
        <w:t>cident. He announced his intention to share with the Sub-Committee the outcome of the investigations, once concluded.</w:t>
      </w:r>
    </w:p>
    <w:p w14:paraId="36AEA480" w14:textId="77777777" w:rsidR="00595056" w:rsidRDefault="00595056" w:rsidP="00595056">
      <w:pPr>
        <w:pStyle w:val="H1G"/>
      </w:pPr>
      <w:r>
        <w:tab/>
        <w:t>D.</w:t>
      </w:r>
      <w:r>
        <w:tab/>
        <w:t>Other miscellaneous proposals</w:t>
      </w:r>
    </w:p>
    <w:p w14:paraId="64E997D7" w14:textId="77777777" w:rsidR="00595056" w:rsidRPr="00D96B24" w:rsidRDefault="00595056" w:rsidP="00595056">
      <w:pPr>
        <w:pStyle w:val="H23G"/>
      </w:pPr>
      <w:r w:rsidRPr="00D96B24">
        <w:tab/>
      </w:r>
      <w:r w:rsidRPr="00E22558">
        <w:t>1.</w:t>
      </w:r>
      <w:r w:rsidRPr="00E22558">
        <w:tab/>
        <w:t>Amendments to the Spanish language version</w:t>
      </w:r>
    </w:p>
    <w:p w14:paraId="70730F09" w14:textId="77777777" w:rsidR="00595056" w:rsidRDefault="00595056" w:rsidP="00336A91">
      <w:pPr>
        <w:pStyle w:val="SingleTxtG"/>
        <w:tabs>
          <w:tab w:val="clear" w:pos="2268"/>
          <w:tab w:val="clear" w:pos="2835"/>
          <w:tab w:val="left" w:pos="3119"/>
        </w:tabs>
        <w:ind w:left="3119" w:hanging="1985"/>
        <w:jc w:val="left"/>
      </w:pPr>
      <w:r w:rsidRPr="00E22558">
        <w:rPr>
          <w:i/>
          <w:iCs/>
        </w:rPr>
        <w:t>Document:</w:t>
      </w:r>
      <w:r w:rsidRPr="00E22558">
        <w:rPr>
          <w:i/>
          <w:iCs/>
        </w:rPr>
        <w:tab/>
      </w:r>
      <w:r w:rsidRPr="00E22558">
        <w:t>ST/SG/AC.10/C.3/2023/4 (Mexico, Spain)</w:t>
      </w:r>
    </w:p>
    <w:p w14:paraId="0914B6BF" w14:textId="1BF99174" w:rsidR="00595056" w:rsidRDefault="00595056" w:rsidP="00336A91">
      <w:pPr>
        <w:pStyle w:val="SingleTxtG"/>
        <w:tabs>
          <w:tab w:val="clear" w:pos="2268"/>
          <w:tab w:val="clear" w:pos="2835"/>
          <w:tab w:val="left" w:pos="3119"/>
        </w:tabs>
        <w:ind w:left="3119" w:hanging="1985"/>
        <w:jc w:val="left"/>
      </w:pPr>
      <w:r>
        <w:rPr>
          <w:i/>
          <w:iCs/>
        </w:rPr>
        <w:t>Informal document:</w:t>
      </w:r>
      <w:r w:rsidRPr="00961B1E">
        <w:tab/>
        <w:t>INF.</w:t>
      </w:r>
      <w:r w:rsidR="004450A8">
        <w:t>7</w:t>
      </w:r>
      <w:r>
        <w:t xml:space="preserve"> (Spain</w:t>
      </w:r>
      <w:r>
        <w:rPr>
          <w:lang w:val="en-US"/>
        </w:rPr>
        <w:t>)</w:t>
      </w:r>
    </w:p>
    <w:p w14:paraId="4F6478AA" w14:textId="46D1FB21" w:rsidR="008345F9" w:rsidRDefault="00E25824" w:rsidP="00595056">
      <w:pPr>
        <w:pStyle w:val="SingleTxtG"/>
      </w:pPr>
      <w:r>
        <w:t>83.</w:t>
      </w:r>
      <w:r w:rsidR="00595056">
        <w:tab/>
        <w:t xml:space="preserve">The </w:t>
      </w:r>
      <w:r w:rsidR="00595056" w:rsidRPr="00CB710B">
        <w:t xml:space="preserve">Sub-Committee adopted </w:t>
      </w:r>
      <w:r w:rsidR="00595056">
        <w:t xml:space="preserve">the amendments proposed in </w:t>
      </w:r>
      <w:r w:rsidR="00595056" w:rsidRPr="00780081">
        <w:t>document</w:t>
      </w:r>
      <w:r w:rsidR="00595056">
        <w:t xml:space="preserve"> </w:t>
      </w:r>
      <w:r w:rsidR="00595056" w:rsidRPr="00D96B24">
        <w:t>ST/SG/AC.10/C.3/20</w:t>
      </w:r>
      <w:r w:rsidR="00595056">
        <w:t>23</w:t>
      </w:r>
      <w:r w:rsidR="00595056" w:rsidRPr="00D96B24">
        <w:t>/</w:t>
      </w:r>
      <w:r w:rsidR="00595056">
        <w:t>4</w:t>
      </w:r>
      <w:r w:rsidR="00595056" w:rsidRPr="00D96B24">
        <w:t xml:space="preserve"> </w:t>
      </w:r>
      <w:r w:rsidR="00595056">
        <w:t>and in i</w:t>
      </w:r>
      <w:r w:rsidR="00595056" w:rsidRPr="00780081">
        <w:t>nformal document</w:t>
      </w:r>
      <w:r w:rsidR="00595056">
        <w:t xml:space="preserve"> </w:t>
      </w:r>
      <w:r w:rsidR="00595056" w:rsidRPr="00780081">
        <w:t>INF.</w:t>
      </w:r>
      <w:r w:rsidR="004450A8">
        <w:t>7</w:t>
      </w:r>
      <w:r w:rsidR="00595056" w:rsidRPr="00780081">
        <w:t xml:space="preserve"> </w:t>
      </w:r>
      <w:r w:rsidR="00595056">
        <w:t xml:space="preserve">to the Spanish versions of the Model Regulations and the Manual of Tests and Criteria </w:t>
      </w:r>
      <w:r w:rsidR="00595056" w:rsidRPr="005561E7">
        <w:t>(see annex</w:t>
      </w:r>
      <w:r w:rsidR="00595056">
        <w:t xml:space="preserve"> </w:t>
      </w:r>
      <w:r w:rsidR="004450A8">
        <w:t>I</w:t>
      </w:r>
      <w:r w:rsidR="00595056" w:rsidRPr="005561E7">
        <w:t>).</w:t>
      </w:r>
    </w:p>
    <w:p w14:paraId="6578D020" w14:textId="77777777" w:rsidR="00A2770C" w:rsidRPr="00C77353" w:rsidRDefault="00A2770C" w:rsidP="00A2770C">
      <w:pPr>
        <w:pStyle w:val="H23G"/>
      </w:pPr>
      <w:r w:rsidRPr="00C77353">
        <w:tab/>
        <w:t>2.</w:t>
      </w:r>
      <w:r w:rsidRPr="00C77353">
        <w:tab/>
      </w:r>
      <w:r w:rsidRPr="00B30ADA">
        <w:t xml:space="preserve">Proposal for the maximum permitted stacking load applicable for overpack with </w:t>
      </w:r>
      <w:r w:rsidRPr="006949D2">
        <w:t>intermediate bulk containers</w:t>
      </w:r>
    </w:p>
    <w:p w14:paraId="66D552E9" w14:textId="77777777" w:rsidR="00A2770C" w:rsidRPr="00C77353" w:rsidRDefault="00A2770C" w:rsidP="00336A91">
      <w:pPr>
        <w:pStyle w:val="SingleTxtG"/>
        <w:tabs>
          <w:tab w:val="clear" w:pos="2268"/>
          <w:tab w:val="clear" w:pos="2835"/>
          <w:tab w:val="left" w:pos="3119"/>
        </w:tabs>
        <w:ind w:left="3119" w:hanging="1985"/>
        <w:jc w:val="left"/>
      </w:pPr>
      <w:r w:rsidRPr="00C77353">
        <w:rPr>
          <w:i/>
          <w:iCs/>
        </w:rPr>
        <w:t>Document:</w:t>
      </w:r>
      <w:r w:rsidRPr="00C77353">
        <w:rPr>
          <w:i/>
          <w:iCs/>
        </w:rPr>
        <w:tab/>
      </w:r>
      <w:r w:rsidRPr="00C77353">
        <w:t>ST/SG/AC.10/C.3/2023/9 (China)</w:t>
      </w:r>
    </w:p>
    <w:p w14:paraId="20DAAC15" w14:textId="009BF97C" w:rsidR="00A2770C" w:rsidRPr="00C77353" w:rsidRDefault="00E25824" w:rsidP="00A2770C">
      <w:pPr>
        <w:pStyle w:val="SingleTxtG"/>
      </w:pPr>
      <w:r>
        <w:t>84.</w:t>
      </w:r>
      <w:r w:rsidR="00A2770C" w:rsidRPr="00C77353">
        <w:tab/>
        <w:t>While several experts felt that further work and discussions were needed, other experts raised caution on the stacking of overpacks and preferred to clarify the provisions to prohibit such practices for the transport or handling of dangerous goods.</w:t>
      </w:r>
    </w:p>
    <w:p w14:paraId="000869A4" w14:textId="7ABEAB03" w:rsidR="00A2770C" w:rsidRDefault="00E25824" w:rsidP="00A2770C">
      <w:pPr>
        <w:pStyle w:val="SingleTxtG"/>
      </w:pPr>
      <w:r>
        <w:t>85.</w:t>
      </w:r>
      <w:r w:rsidR="00A2770C" w:rsidRPr="00C77353">
        <w:tab/>
        <w:t>The Sub-Committee acknowledged the complexity of this subject and agreed to resume discussion at its next session on the basis of a more detailed proposal by China.</w:t>
      </w:r>
    </w:p>
    <w:p w14:paraId="3A7B3366" w14:textId="77777777" w:rsidR="00A70204" w:rsidRPr="005E003D" w:rsidRDefault="00A70204" w:rsidP="00A70204">
      <w:pPr>
        <w:pStyle w:val="H23G"/>
      </w:pPr>
      <w:r w:rsidRPr="005E003D">
        <w:lastRenderedPageBreak/>
        <w:tab/>
        <w:t>3.</w:t>
      </w:r>
      <w:r w:rsidRPr="005E003D">
        <w:tab/>
        <w:t>Units of measurement</w:t>
      </w:r>
    </w:p>
    <w:p w14:paraId="236F9404" w14:textId="77777777" w:rsidR="00A70204" w:rsidRPr="005E003D" w:rsidRDefault="00A70204" w:rsidP="00336A91">
      <w:pPr>
        <w:pStyle w:val="SingleTxtG"/>
        <w:tabs>
          <w:tab w:val="clear" w:pos="2268"/>
          <w:tab w:val="clear" w:pos="2835"/>
          <w:tab w:val="left" w:pos="3119"/>
        </w:tabs>
        <w:ind w:left="3119" w:hanging="1985"/>
        <w:jc w:val="left"/>
      </w:pPr>
      <w:r w:rsidRPr="005E003D">
        <w:rPr>
          <w:i/>
          <w:iCs/>
        </w:rPr>
        <w:t>Document:</w:t>
      </w:r>
      <w:r w:rsidRPr="005E003D">
        <w:rPr>
          <w:i/>
          <w:iCs/>
        </w:rPr>
        <w:tab/>
      </w:r>
      <w:r w:rsidRPr="005E003D">
        <w:t>ST/SG/AC.10/C.3/2023/2 (Spain)</w:t>
      </w:r>
    </w:p>
    <w:p w14:paraId="0A8E2DA1" w14:textId="268D29B5" w:rsidR="00A70204" w:rsidRDefault="00E25824" w:rsidP="00A70204">
      <w:pPr>
        <w:pStyle w:val="SingleTxtG"/>
      </w:pPr>
      <w:r>
        <w:t>86.</w:t>
      </w:r>
      <w:r w:rsidR="00A70204" w:rsidRPr="005E003D">
        <w:tab/>
        <w:t>The Sub-Committee adopted the amendments in proposals 1 and 2 of document ST/SG/AC.10/C.3/2023/2 (see annex</w:t>
      </w:r>
      <w:r w:rsidR="00E8059C">
        <w:t xml:space="preserve"> I</w:t>
      </w:r>
      <w:r w:rsidR="00A70204" w:rsidRPr="005E003D">
        <w:t>).</w:t>
      </w:r>
    </w:p>
    <w:p w14:paraId="5AA060CE" w14:textId="778323E0" w:rsidR="00ED73EF" w:rsidRPr="005E003D" w:rsidRDefault="0009134E" w:rsidP="00A70204">
      <w:pPr>
        <w:pStyle w:val="SingleTxtG"/>
      </w:pPr>
      <w:r>
        <w:t>87.</w:t>
      </w:r>
      <w:r w:rsidR="00ED73EF">
        <w:tab/>
      </w:r>
      <w:r w:rsidR="00625AD5" w:rsidRPr="005E003D">
        <w:t>Some experts were of the opinion that the amendments in proposals 4 and 5 needed some further improvements to ease the application</w:t>
      </w:r>
      <w:r w:rsidR="00625AD5">
        <w:t>.</w:t>
      </w:r>
    </w:p>
    <w:p w14:paraId="0B793A9B" w14:textId="7D043D7C" w:rsidR="00A70204" w:rsidRPr="005E003D" w:rsidRDefault="00E25824" w:rsidP="00A70204">
      <w:pPr>
        <w:pStyle w:val="SingleTxtG"/>
      </w:pPr>
      <w:r>
        <w:t>8</w:t>
      </w:r>
      <w:r w:rsidR="0009134E">
        <w:t>8</w:t>
      </w:r>
      <w:r>
        <w:t>.</w:t>
      </w:r>
      <w:r w:rsidR="00A70204" w:rsidRPr="005E003D">
        <w:tab/>
        <w:t>The opinions of the EWG were divided in proposal 6 on whether the term “net explosives mass (NEM)” should be removed from the Model Regulations. There was unanimous agreement that NEM is scientifically correct but EWG also recognized the widespread use of the term “net explosives weight”.</w:t>
      </w:r>
    </w:p>
    <w:p w14:paraId="44C9F9DD" w14:textId="681D323E" w:rsidR="00A70204" w:rsidRPr="005E003D" w:rsidRDefault="00E25824" w:rsidP="00A70204">
      <w:pPr>
        <w:pStyle w:val="SingleTxtG"/>
      </w:pPr>
      <w:r>
        <w:t>8</w:t>
      </w:r>
      <w:r w:rsidR="0009134E">
        <w:t>9</w:t>
      </w:r>
      <w:r>
        <w:t>.</w:t>
      </w:r>
      <w:r w:rsidR="00A70204" w:rsidRPr="005E003D">
        <w:tab/>
      </w:r>
      <w:r w:rsidR="00A70204">
        <w:t>The Sub-Committee agreed to resume discussion at its</w:t>
      </w:r>
      <w:r w:rsidR="00A70204" w:rsidRPr="005E003D">
        <w:t xml:space="preserve"> next session</w:t>
      </w:r>
      <w:r w:rsidR="00A70204">
        <w:t xml:space="preserve"> on the basis of a revised proposal by S</w:t>
      </w:r>
      <w:r w:rsidR="00A70204" w:rsidRPr="005E003D">
        <w:t>pain</w:t>
      </w:r>
      <w:r w:rsidR="00A70204">
        <w:t>.</w:t>
      </w:r>
    </w:p>
    <w:p w14:paraId="13837DE9" w14:textId="77777777" w:rsidR="00A70204" w:rsidRPr="005E003D" w:rsidRDefault="00A70204" w:rsidP="00A70204">
      <w:pPr>
        <w:pStyle w:val="H23G"/>
      </w:pPr>
      <w:r w:rsidRPr="005E003D">
        <w:tab/>
        <w:t>4.</w:t>
      </w:r>
      <w:r w:rsidRPr="005E003D">
        <w:tab/>
        <w:t>Mass and weight</w:t>
      </w:r>
    </w:p>
    <w:p w14:paraId="36821954" w14:textId="77777777" w:rsidR="00A70204" w:rsidRPr="005E003D" w:rsidRDefault="00A70204" w:rsidP="00336A91">
      <w:pPr>
        <w:pStyle w:val="SingleTxtG"/>
        <w:tabs>
          <w:tab w:val="clear" w:pos="2268"/>
          <w:tab w:val="clear" w:pos="2835"/>
          <w:tab w:val="left" w:pos="3119"/>
        </w:tabs>
        <w:ind w:left="3119" w:hanging="1985"/>
        <w:jc w:val="left"/>
      </w:pPr>
      <w:r w:rsidRPr="005E003D">
        <w:rPr>
          <w:i/>
          <w:iCs/>
        </w:rPr>
        <w:t>Document:</w:t>
      </w:r>
      <w:r w:rsidRPr="005E003D">
        <w:rPr>
          <w:i/>
          <w:iCs/>
        </w:rPr>
        <w:tab/>
      </w:r>
      <w:r w:rsidRPr="005E003D">
        <w:t>ST/SG/AC.10/C.3/2023/3 (Spain)</w:t>
      </w:r>
    </w:p>
    <w:p w14:paraId="38128282" w14:textId="77777777" w:rsidR="00A70204" w:rsidRPr="005E003D" w:rsidRDefault="00A70204" w:rsidP="00336A91">
      <w:pPr>
        <w:pStyle w:val="SingleTxtG"/>
        <w:tabs>
          <w:tab w:val="clear" w:pos="2268"/>
          <w:tab w:val="clear" w:pos="2835"/>
          <w:tab w:val="left" w:pos="3119"/>
        </w:tabs>
        <w:ind w:left="3119" w:hanging="1985"/>
        <w:jc w:val="left"/>
      </w:pPr>
      <w:r w:rsidRPr="005E003D">
        <w:rPr>
          <w:i/>
          <w:iCs/>
        </w:rPr>
        <w:t>Informal document:</w:t>
      </w:r>
      <w:r w:rsidRPr="005E003D">
        <w:tab/>
        <w:t>INF.8 (Spain)</w:t>
      </w:r>
    </w:p>
    <w:p w14:paraId="39258AA5" w14:textId="570C0F2E" w:rsidR="00A70204" w:rsidRPr="005E003D" w:rsidRDefault="000D1DAC" w:rsidP="00A70204">
      <w:pPr>
        <w:pStyle w:val="SingleTxtG"/>
      </w:pPr>
      <w:r>
        <w:t>90</w:t>
      </w:r>
      <w:r w:rsidR="00E25824">
        <w:t>.</w:t>
      </w:r>
      <w:r w:rsidR="00A70204" w:rsidRPr="005E003D">
        <w:tab/>
        <w:t>The Sub-Committee adopted the amendments proposed in document ST/SG/AC.10/C.3/2023/3, as amended (see annex</w:t>
      </w:r>
      <w:r w:rsidR="000C075F">
        <w:t xml:space="preserve"> I</w:t>
      </w:r>
      <w:r w:rsidR="00A70204" w:rsidRPr="005E003D">
        <w:t>).</w:t>
      </w:r>
    </w:p>
    <w:p w14:paraId="5FB31638" w14:textId="3DF18930" w:rsidR="00970A64" w:rsidRPr="00C77353" w:rsidRDefault="00E25824" w:rsidP="00A70204">
      <w:pPr>
        <w:pStyle w:val="SingleTxtG"/>
      </w:pPr>
      <w:r>
        <w:t>9</w:t>
      </w:r>
      <w:r w:rsidR="000D1DAC">
        <w:t>1</w:t>
      </w:r>
      <w:r>
        <w:t>.</w:t>
      </w:r>
      <w:r w:rsidR="00A70204" w:rsidRPr="005E003D">
        <w:tab/>
        <w:t xml:space="preserve">Following an informal meeting on </w:t>
      </w:r>
      <w:r w:rsidR="00A70204">
        <w:t>informal document INF.8, t</w:t>
      </w:r>
      <w:r w:rsidR="00A70204" w:rsidRPr="005E003D">
        <w:t xml:space="preserve">he expert from Spain </w:t>
      </w:r>
      <w:r w:rsidR="00A70204">
        <w:t>volunteered</w:t>
      </w:r>
      <w:r w:rsidR="00A70204" w:rsidRPr="005E003D">
        <w:t xml:space="preserve"> to submit an updated proposal to the next session.</w:t>
      </w:r>
    </w:p>
    <w:p w14:paraId="5DC95B0B" w14:textId="77777777" w:rsidR="00A2770C" w:rsidRPr="00C77353" w:rsidRDefault="00A2770C" w:rsidP="00A2770C">
      <w:pPr>
        <w:pStyle w:val="HChG"/>
      </w:pPr>
      <w:r w:rsidRPr="00C77353">
        <w:tab/>
        <w:t>IX.</w:t>
      </w:r>
      <w:r w:rsidRPr="00C77353">
        <w:tab/>
        <w:t>Global harmonization of transport of dangerous goods regulations with the Model Regulations (agenda item 7)</w:t>
      </w:r>
    </w:p>
    <w:p w14:paraId="10B6A41F" w14:textId="77777777" w:rsidR="00A2770C" w:rsidRPr="00C77353" w:rsidRDefault="00A2770C" w:rsidP="00A2770C">
      <w:pPr>
        <w:pStyle w:val="H1G"/>
      </w:pPr>
      <w:r w:rsidRPr="00C77353">
        <w:tab/>
        <w:t>A.</w:t>
      </w:r>
      <w:r w:rsidRPr="00C77353">
        <w:tab/>
        <w:t>International Maritime Organisation draft amendments to 5.5.4 of the International Maritime Dangerous Goods code</w:t>
      </w:r>
    </w:p>
    <w:p w14:paraId="49C2E252" w14:textId="77777777" w:rsidR="00A2770C" w:rsidRPr="00C77353" w:rsidRDefault="00A2770C" w:rsidP="00336A91">
      <w:pPr>
        <w:pStyle w:val="SingleTxtG"/>
        <w:tabs>
          <w:tab w:val="clear" w:pos="2268"/>
          <w:tab w:val="clear" w:pos="2835"/>
          <w:tab w:val="left" w:pos="3119"/>
        </w:tabs>
        <w:ind w:left="3119" w:hanging="1985"/>
        <w:jc w:val="left"/>
      </w:pPr>
      <w:r w:rsidRPr="00C77353">
        <w:rPr>
          <w:i/>
          <w:iCs/>
        </w:rPr>
        <w:t>Document:</w:t>
      </w:r>
      <w:r w:rsidRPr="00C77353">
        <w:rPr>
          <w:i/>
          <w:iCs/>
        </w:rPr>
        <w:tab/>
      </w:r>
      <w:r w:rsidRPr="00C77353">
        <w:t>ST/SG/AC.10/C.3/2023/14 (France)</w:t>
      </w:r>
    </w:p>
    <w:p w14:paraId="5471524F" w14:textId="77777777" w:rsidR="00A2770C" w:rsidRPr="00C77353" w:rsidRDefault="00A2770C" w:rsidP="00336A91">
      <w:pPr>
        <w:pStyle w:val="SingleTxtG"/>
        <w:tabs>
          <w:tab w:val="clear" w:pos="2268"/>
          <w:tab w:val="clear" w:pos="2835"/>
          <w:tab w:val="left" w:pos="3119"/>
        </w:tabs>
        <w:ind w:left="3119" w:hanging="1985"/>
        <w:jc w:val="left"/>
      </w:pPr>
      <w:r w:rsidRPr="00C77353">
        <w:rPr>
          <w:i/>
          <w:iCs/>
        </w:rPr>
        <w:t>Informal document:</w:t>
      </w:r>
      <w:r w:rsidRPr="00C77353">
        <w:rPr>
          <w:i/>
          <w:iCs/>
        </w:rPr>
        <w:tab/>
      </w:r>
      <w:r w:rsidRPr="00C77353">
        <w:t>INF.45 (France)</w:t>
      </w:r>
    </w:p>
    <w:p w14:paraId="1A6F7778" w14:textId="17ED5868" w:rsidR="00A2770C" w:rsidRDefault="00E25824" w:rsidP="00A2770C">
      <w:pPr>
        <w:pStyle w:val="SingleTxtG"/>
        <w:rPr>
          <w:rFonts w:cstheme="minorHAnsi"/>
        </w:rPr>
      </w:pPr>
      <w:r>
        <w:rPr>
          <w:rFonts w:cstheme="minorHAnsi"/>
        </w:rPr>
        <w:t>9</w:t>
      </w:r>
      <w:r w:rsidR="000D1DAC">
        <w:rPr>
          <w:rFonts w:cstheme="minorHAnsi"/>
        </w:rPr>
        <w:t>2</w:t>
      </w:r>
      <w:r>
        <w:rPr>
          <w:rFonts w:cstheme="minorHAnsi"/>
        </w:rPr>
        <w:t>.</w:t>
      </w:r>
      <w:r w:rsidR="00A2770C" w:rsidRPr="00C77353">
        <w:rPr>
          <w:rFonts w:cstheme="minorHAnsi"/>
        </w:rPr>
        <w:tab/>
        <w:t xml:space="preserve">Most experts who took the floor were of the opinion that the provisions in 5.5.4.3 and 5.5.4.4 proposed in document </w:t>
      </w:r>
      <w:r w:rsidR="00A2770C" w:rsidRPr="00C77353">
        <w:t xml:space="preserve">ST/SG/AC.10/C.3/2023/14 </w:t>
      </w:r>
      <w:r w:rsidR="00A2770C" w:rsidRPr="00C77353">
        <w:rPr>
          <w:rFonts w:cstheme="minorHAnsi"/>
        </w:rPr>
        <w:t xml:space="preserve">on data loggers, sensors and cargo tracking devices were appropriate for maritime transport but not necessarily for other transport modes. </w:t>
      </w:r>
      <w:r w:rsidR="00A2770C" w:rsidRPr="00C77353">
        <w:t xml:space="preserve">The Sub-Committee preferred to keep the provision in the Model Regulations basic and adopted the amendments to </w:t>
      </w:r>
      <w:r w:rsidR="00A2770C" w:rsidRPr="00C77353">
        <w:rPr>
          <w:rFonts w:cstheme="minorHAnsi"/>
        </w:rPr>
        <w:t>5.5.4, 5.5.4.1 and 5.5.4.2 as amended (see annex</w:t>
      </w:r>
      <w:r w:rsidR="00DA614A">
        <w:rPr>
          <w:rFonts w:cstheme="minorHAnsi"/>
        </w:rPr>
        <w:t> I</w:t>
      </w:r>
      <w:r w:rsidR="00A2770C" w:rsidRPr="00C77353">
        <w:rPr>
          <w:rFonts w:cstheme="minorHAnsi"/>
        </w:rPr>
        <w:t>).</w:t>
      </w:r>
    </w:p>
    <w:p w14:paraId="4146F71B" w14:textId="076546A8" w:rsidR="00A2770C" w:rsidRPr="00C77353" w:rsidRDefault="00E25824" w:rsidP="00A2770C">
      <w:pPr>
        <w:pStyle w:val="SingleTxtG"/>
        <w:rPr>
          <w:rFonts w:cstheme="minorHAnsi"/>
        </w:rPr>
      </w:pPr>
      <w:r>
        <w:rPr>
          <w:rFonts w:cstheme="minorHAnsi"/>
        </w:rPr>
        <w:t>9</w:t>
      </w:r>
      <w:r w:rsidR="00881EA3">
        <w:rPr>
          <w:rFonts w:cstheme="minorHAnsi"/>
        </w:rPr>
        <w:t>3</w:t>
      </w:r>
      <w:r>
        <w:rPr>
          <w:rFonts w:cstheme="minorHAnsi"/>
        </w:rPr>
        <w:t>.</w:t>
      </w:r>
      <w:r w:rsidR="00A2770C">
        <w:rPr>
          <w:rFonts w:cstheme="minorHAnsi"/>
        </w:rPr>
        <w:tab/>
        <w:t xml:space="preserve">The expert from the United States of America volunteered </w:t>
      </w:r>
      <w:r w:rsidR="00A46556">
        <w:rPr>
          <w:rFonts w:cstheme="minorHAnsi"/>
        </w:rPr>
        <w:t xml:space="preserve">to work with the IMO secretariat </w:t>
      </w:r>
      <w:r w:rsidR="00A2770C">
        <w:rPr>
          <w:rFonts w:cstheme="minorHAnsi"/>
        </w:rPr>
        <w:t xml:space="preserve">to prepare for the next session a paper with more a detailed justification for the new </w:t>
      </w:r>
      <w:r w:rsidR="00A2770C" w:rsidRPr="00C77353">
        <w:rPr>
          <w:rFonts w:cstheme="minorHAnsi"/>
        </w:rPr>
        <w:t>provisions in 5.5.4.3 and 5.5.4.4</w:t>
      </w:r>
      <w:r w:rsidR="00A2770C">
        <w:rPr>
          <w:rFonts w:cstheme="minorHAnsi"/>
        </w:rPr>
        <w:t xml:space="preserve"> of the IMDG code.</w:t>
      </w:r>
    </w:p>
    <w:p w14:paraId="5A82AFB5" w14:textId="77777777" w:rsidR="00A2770C" w:rsidRPr="00C77353" w:rsidRDefault="00A2770C" w:rsidP="00A2770C">
      <w:pPr>
        <w:pStyle w:val="H1G"/>
      </w:pPr>
      <w:r w:rsidRPr="00C77353">
        <w:tab/>
        <w:t>B.</w:t>
      </w:r>
      <w:r w:rsidRPr="00C77353">
        <w:tab/>
        <w:t>Amendments to the Model Regulations proposed by the Ad hoc Working Group on the Harmonization of RID/ADR/ADN with the UN Recommendations on the Transport of Dangerous Goods</w:t>
      </w:r>
    </w:p>
    <w:p w14:paraId="629B97FB" w14:textId="77777777" w:rsidR="00A2770C" w:rsidRPr="00C77353" w:rsidRDefault="00A2770C" w:rsidP="00336A91">
      <w:pPr>
        <w:pStyle w:val="SingleTxtG"/>
        <w:tabs>
          <w:tab w:val="clear" w:pos="2268"/>
          <w:tab w:val="clear" w:pos="2835"/>
          <w:tab w:val="left" w:pos="3119"/>
        </w:tabs>
        <w:ind w:left="3119" w:hanging="1985"/>
        <w:jc w:val="left"/>
      </w:pPr>
      <w:r w:rsidRPr="00C77353">
        <w:rPr>
          <w:i/>
          <w:iCs/>
        </w:rPr>
        <w:t>Informal document:</w:t>
      </w:r>
      <w:r w:rsidRPr="00C77353">
        <w:rPr>
          <w:i/>
          <w:iCs/>
        </w:rPr>
        <w:tab/>
      </w:r>
      <w:r w:rsidRPr="00C77353">
        <w:t>INF.13 (Secretariat)</w:t>
      </w:r>
    </w:p>
    <w:p w14:paraId="0622613D" w14:textId="638E4BD2" w:rsidR="00A2770C" w:rsidRPr="00C77353" w:rsidRDefault="00E25824" w:rsidP="00A2770C">
      <w:pPr>
        <w:pStyle w:val="SingleTxtG"/>
      </w:pPr>
      <w:r>
        <w:t>9</w:t>
      </w:r>
      <w:r w:rsidR="00881EA3">
        <w:t>4</w:t>
      </w:r>
      <w:r>
        <w:t>.</w:t>
      </w:r>
      <w:r w:rsidR="00A2770C" w:rsidRPr="00C77353">
        <w:tab/>
      </w:r>
      <w:r w:rsidR="00A2770C" w:rsidRPr="00C77353">
        <w:rPr>
          <w:rStyle w:val="ui-provider"/>
        </w:rPr>
        <w:t>The Sub-Committee considered that the amendments to 2.0.5.2, P006 and LP03 were not editorial ones since they originated from the application of existing provisions for articles containing lithium batteries to articles containing sodium ion batteries. It was recalled that the initial inten</w:t>
      </w:r>
      <w:r w:rsidR="00A2770C">
        <w:rPr>
          <w:rStyle w:val="ui-provider"/>
        </w:rPr>
        <w:t>tion</w:t>
      </w:r>
      <w:r w:rsidR="00A2770C" w:rsidRPr="00C77353">
        <w:rPr>
          <w:rStyle w:val="ui-provider"/>
        </w:rPr>
        <w:t xml:space="preserve"> was to apply the same provisions for lithium batteries and sodium ion batteries. The </w:t>
      </w:r>
      <w:r w:rsidR="00A2770C">
        <w:rPr>
          <w:rStyle w:val="ui-provider"/>
        </w:rPr>
        <w:t>S</w:t>
      </w:r>
      <w:r w:rsidR="00A2770C" w:rsidRPr="00C77353">
        <w:rPr>
          <w:rStyle w:val="ui-provider"/>
        </w:rPr>
        <w:t>ub-</w:t>
      </w:r>
      <w:r w:rsidR="00A2770C">
        <w:rPr>
          <w:rStyle w:val="ui-provider"/>
        </w:rPr>
        <w:t>C</w:t>
      </w:r>
      <w:r w:rsidR="00A2770C" w:rsidRPr="00C77353">
        <w:rPr>
          <w:rStyle w:val="ui-provider"/>
        </w:rPr>
        <w:t xml:space="preserve">ommittee invited the secretariat to submit these proposals in an official document </w:t>
      </w:r>
      <w:r w:rsidR="00A2770C">
        <w:rPr>
          <w:rStyle w:val="ui-provider"/>
        </w:rPr>
        <w:t>to</w:t>
      </w:r>
      <w:r w:rsidR="00A2770C" w:rsidRPr="00C77353">
        <w:rPr>
          <w:rStyle w:val="ui-provider"/>
        </w:rPr>
        <w:t xml:space="preserve"> the next session for confirmation. </w:t>
      </w:r>
      <w:r w:rsidR="00A2770C">
        <w:rPr>
          <w:rStyle w:val="ui-provider"/>
        </w:rPr>
        <w:t>O</w:t>
      </w:r>
      <w:r w:rsidR="00A2770C" w:rsidRPr="00C77353">
        <w:rPr>
          <w:rStyle w:val="ui-provider"/>
        </w:rPr>
        <w:t xml:space="preserve">ther </w:t>
      </w:r>
      <w:r w:rsidR="00A2770C">
        <w:rPr>
          <w:rStyle w:val="ui-provider"/>
        </w:rPr>
        <w:t xml:space="preserve">amendments </w:t>
      </w:r>
      <w:r w:rsidR="00A2770C" w:rsidRPr="00C77353">
        <w:rPr>
          <w:rStyle w:val="ui-provider"/>
        </w:rPr>
        <w:t xml:space="preserve">proposed in Part II of </w:t>
      </w:r>
      <w:r w:rsidR="00A2770C" w:rsidRPr="00C77353">
        <w:rPr>
          <w:rStyle w:val="ui-provider"/>
        </w:rPr>
        <w:lastRenderedPageBreak/>
        <w:t>informal document INF.13 were considered as editorial</w:t>
      </w:r>
      <w:r w:rsidR="00A2770C">
        <w:rPr>
          <w:rStyle w:val="ui-provider"/>
        </w:rPr>
        <w:t xml:space="preserve"> ones</w:t>
      </w:r>
      <w:r w:rsidR="00A2770C" w:rsidRPr="00C77353">
        <w:rPr>
          <w:rStyle w:val="ui-provider"/>
        </w:rPr>
        <w:t xml:space="preserve"> and </w:t>
      </w:r>
      <w:r w:rsidR="00A2770C">
        <w:rPr>
          <w:rStyle w:val="ui-provider"/>
        </w:rPr>
        <w:t xml:space="preserve">were </w:t>
      </w:r>
      <w:r w:rsidR="00A2770C" w:rsidRPr="00C77353">
        <w:rPr>
          <w:rStyle w:val="ui-provider"/>
        </w:rPr>
        <w:t xml:space="preserve">adopted by the </w:t>
      </w:r>
      <w:r w:rsidR="00A2770C">
        <w:rPr>
          <w:rStyle w:val="ui-provider"/>
        </w:rPr>
        <w:t>S</w:t>
      </w:r>
      <w:r w:rsidR="00A2770C" w:rsidRPr="00C77353">
        <w:rPr>
          <w:rStyle w:val="ui-provider"/>
        </w:rPr>
        <w:t>ub-</w:t>
      </w:r>
      <w:r w:rsidR="00A2770C">
        <w:rPr>
          <w:rStyle w:val="ui-provider"/>
        </w:rPr>
        <w:t>C</w:t>
      </w:r>
      <w:r w:rsidR="00A2770C" w:rsidRPr="00C77353">
        <w:rPr>
          <w:rStyle w:val="ui-provider"/>
        </w:rPr>
        <w:t>ommittee</w:t>
      </w:r>
      <w:r w:rsidR="00F14652">
        <w:rPr>
          <w:rStyle w:val="ui-provider"/>
        </w:rPr>
        <w:t xml:space="preserve"> (see annex I)</w:t>
      </w:r>
      <w:r w:rsidR="00A2770C" w:rsidRPr="00C77353">
        <w:rPr>
          <w:rStyle w:val="ui-provider"/>
        </w:rPr>
        <w:t>.</w:t>
      </w:r>
    </w:p>
    <w:p w14:paraId="2BACD6DD" w14:textId="64FFA07D" w:rsidR="009F0757" w:rsidRDefault="00E25824" w:rsidP="00A2770C">
      <w:pPr>
        <w:pStyle w:val="SingleTxtG"/>
        <w:rPr>
          <w:rStyle w:val="ui-provider"/>
        </w:rPr>
      </w:pPr>
      <w:r>
        <w:rPr>
          <w:rStyle w:val="ui-provider"/>
        </w:rPr>
        <w:t>9</w:t>
      </w:r>
      <w:r w:rsidR="00881EA3">
        <w:rPr>
          <w:rStyle w:val="ui-provider"/>
        </w:rPr>
        <w:t>5</w:t>
      </w:r>
      <w:r>
        <w:rPr>
          <w:rStyle w:val="ui-provider"/>
        </w:rPr>
        <w:t>.</w:t>
      </w:r>
      <w:r w:rsidR="00A2770C">
        <w:rPr>
          <w:rStyle w:val="ui-provider"/>
        </w:rPr>
        <w:tab/>
      </w:r>
      <w:r w:rsidR="00A2770C" w:rsidRPr="00C77353">
        <w:rPr>
          <w:rStyle w:val="ui-provider"/>
        </w:rPr>
        <w:t xml:space="preserve">For Part III, the </w:t>
      </w:r>
      <w:r w:rsidR="00A2770C">
        <w:rPr>
          <w:rStyle w:val="ui-provider"/>
        </w:rPr>
        <w:t>S</w:t>
      </w:r>
      <w:r w:rsidR="00A2770C" w:rsidRPr="00C77353">
        <w:rPr>
          <w:rStyle w:val="ui-provider"/>
        </w:rPr>
        <w:t>ub-</w:t>
      </w:r>
      <w:r w:rsidR="00A2770C">
        <w:rPr>
          <w:rStyle w:val="ui-provider"/>
        </w:rPr>
        <w:t>C</w:t>
      </w:r>
      <w:r w:rsidR="00A2770C" w:rsidRPr="00C77353">
        <w:rPr>
          <w:rStyle w:val="ui-provider"/>
        </w:rPr>
        <w:t xml:space="preserve">ommittee noted that the change of the name of the mark should be further discussed on the basis of an official proposal. </w:t>
      </w:r>
      <w:r w:rsidR="00A2770C">
        <w:rPr>
          <w:rStyle w:val="ui-provider"/>
        </w:rPr>
        <w:t>O</w:t>
      </w:r>
      <w:r w:rsidR="00A2770C" w:rsidRPr="00C77353">
        <w:rPr>
          <w:rStyle w:val="ui-provider"/>
        </w:rPr>
        <w:t xml:space="preserve">n the question </w:t>
      </w:r>
      <w:r w:rsidR="00A2770C">
        <w:rPr>
          <w:rStyle w:val="ui-provider"/>
        </w:rPr>
        <w:t xml:space="preserve">raised </w:t>
      </w:r>
      <w:r w:rsidR="00A2770C" w:rsidRPr="00C77353">
        <w:rPr>
          <w:rStyle w:val="ui-provider"/>
        </w:rPr>
        <w:t>in Part IV</w:t>
      </w:r>
      <w:r w:rsidR="00A2770C">
        <w:rPr>
          <w:rStyle w:val="ui-provider"/>
        </w:rPr>
        <w:t>,</w:t>
      </w:r>
      <w:r w:rsidR="00A2770C" w:rsidRPr="00C77353">
        <w:rPr>
          <w:rStyle w:val="ui-provider"/>
        </w:rPr>
        <w:t xml:space="preserve"> </w:t>
      </w:r>
      <w:r w:rsidR="00A2770C">
        <w:rPr>
          <w:rStyle w:val="ui-provider"/>
        </w:rPr>
        <w:t>i</w:t>
      </w:r>
      <w:r w:rsidR="00A2770C" w:rsidRPr="00C77353">
        <w:rPr>
          <w:rStyle w:val="ui-provider"/>
        </w:rPr>
        <w:t xml:space="preserve">nterested delegations </w:t>
      </w:r>
      <w:r w:rsidR="00A2770C">
        <w:rPr>
          <w:rStyle w:val="ui-provider"/>
        </w:rPr>
        <w:t xml:space="preserve">were </w:t>
      </w:r>
      <w:r w:rsidR="00A2770C" w:rsidRPr="00C77353">
        <w:rPr>
          <w:rStyle w:val="ui-provider"/>
        </w:rPr>
        <w:t xml:space="preserve">invited to send </w:t>
      </w:r>
      <w:r w:rsidR="00A2770C">
        <w:rPr>
          <w:rStyle w:val="ui-provider"/>
        </w:rPr>
        <w:t xml:space="preserve">to the secretariat their </w:t>
      </w:r>
      <w:r w:rsidR="00A2770C" w:rsidRPr="00C77353">
        <w:rPr>
          <w:rStyle w:val="ui-provider"/>
        </w:rPr>
        <w:t xml:space="preserve">comments </w:t>
      </w:r>
      <w:r w:rsidR="00A2770C">
        <w:rPr>
          <w:rStyle w:val="ui-provider"/>
        </w:rPr>
        <w:t>on</w:t>
      </w:r>
      <w:r w:rsidR="00A2770C" w:rsidRPr="00C77353">
        <w:rPr>
          <w:rStyle w:val="ui-provider"/>
        </w:rPr>
        <w:t xml:space="preserve"> mixed packing provisions for </w:t>
      </w:r>
      <w:r w:rsidR="00A2770C">
        <w:rPr>
          <w:rStyle w:val="ui-provider"/>
        </w:rPr>
        <w:t>UN </w:t>
      </w:r>
      <w:r w:rsidR="00A2770C" w:rsidRPr="00C77353">
        <w:rPr>
          <w:rStyle w:val="ui-provider"/>
        </w:rPr>
        <w:t>0514.</w:t>
      </w:r>
    </w:p>
    <w:p w14:paraId="22515F09" w14:textId="77777777" w:rsidR="00582DDE" w:rsidRPr="005E003D" w:rsidRDefault="00582DDE" w:rsidP="00582DDE">
      <w:pPr>
        <w:pStyle w:val="H1G"/>
      </w:pPr>
      <w:r w:rsidRPr="005E003D">
        <w:tab/>
        <w:t>C.</w:t>
      </w:r>
      <w:r w:rsidRPr="005E003D">
        <w:tab/>
      </w:r>
      <w:r w:rsidRPr="00414815">
        <w:t>Outcome of the thirty-eighth session of the Editorial and Technical Group (on the IMDG Code)</w:t>
      </w:r>
    </w:p>
    <w:p w14:paraId="26B7A853" w14:textId="77777777" w:rsidR="00582DDE" w:rsidRPr="005E003D" w:rsidRDefault="00582DDE" w:rsidP="00336A91">
      <w:pPr>
        <w:pStyle w:val="SingleTxtG"/>
        <w:tabs>
          <w:tab w:val="clear" w:pos="2268"/>
          <w:tab w:val="clear" w:pos="2835"/>
          <w:tab w:val="left" w:pos="3119"/>
        </w:tabs>
        <w:ind w:left="3119" w:hanging="1985"/>
        <w:jc w:val="left"/>
      </w:pPr>
      <w:r w:rsidRPr="005E003D">
        <w:rPr>
          <w:i/>
          <w:iCs/>
        </w:rPr>
        <w:t>Informal document:</w:t>
      </w:r>
      <w:r w:rsidRPr="005E003D">
        <w:rPr>
          <w:i/>
          <w:iCs/>
        </w:rPr>
        <w:tab/>
      </w:r>
      <w:r w:rsidRPr="005E003D">
        <w:t>INF.17 (IMO)</w:t>
      </w:r>
    </w:p>
    <w:p w14:paraId="42D0EEFA" w14:textId="0BA4A860" w:rsidR="00582DDE" w:rsidRDefault="00E25824" w:rsidP="00582DDE">
      <w:pPr>
        <w:pStyle w:val="SingleTxtG"/>
        <w:rPr>
          <w:rFonts w:cstheme="minorHAnsi"/>
        </w:rPr>
      </w:pPr>
      <w:r>
        <w:rPr>
          <w:rFonts w:cstheme="minorHAnsi"/>
        </w:rPr>
        <w:t>9</w:t>
      </w:r>
      <w:r w:rsidR="00931AB7">
        <w:rPr>
          <w:rFonts w:cstheme="minorHAnsi"/>
        </w:rPr>
        <w:t>6</w:t>
      </w:r>
      <w:r>
        <w:rPr>
          <w:rFonts w:cstheme="minorHAnsi"/>
        </w:rPr>
        <w:t>.</w:t>
      </w:r>
      <w:r w:rsidR="00582DDE" w:rsidRPr="005E003D">
        <w:rPr>
          <w:rFonts w:cstheme="minorHAnsi"/>
        </w:rPr>
        <w:tab/>
        <w:t>The expert from IMO reported on the</w:t>
      </w:r>
      <w:r w:rsidR="00582DDE">
        <w:rPr>
          <w:rFonts w:cstheme="minorHAnsi"/>
        </w:rPr>
        <w:t xml:space="preserve"> outcome of recent session of the </w:t>
      </w:r>
      <w:r w:rsidR="00582DDE" w:rsidRPr="00414815">
        <w:t>Editorial and Technical Group</w:t>
      </w:r>
      <w:r w:rsidR="00582DDE" w:rsidRPr="005E003D">
        <w:rPr>
          <w:rFonts w:cstheme="minorHAnsi"/>
        </w:rPr>
        <w:t xml:space="preserve"> </w:t>
      </w:r>
      <w:r w:rsidR="00582DDE">
        <w:rPr>
          <w:rFonts w:cstheme="minorHAnsi"/>
        </w:rPr>
        <w:t xml:space="preserve">of the </w:t>
      </w:r>
      <w:r w:rsidR="00582DDE" w:rsidRPr="005E003D">
        <w:rPr>
          <w:rFonts w:cstheme="minorHAnsi"/>
        </w:rPr>
        <w:t>IMO Sub-Committee on carriage of cargoes and containers (CCC)</w:t>
      </w:r>
      <w:r w:rsidR="00582DDE">
        <w:rPr>
          <w:rFonts w:cstheme="minorHAnsi"/>
        </w:rPr>
        <w:t>.</w:t>
      </w:r>
      <w:r w:rsidR="00582DDE" w:rsidRPr="005E003D">
        <w:rPr>
          <w:rFonts w:cstheme="minorHAnsi"/>
        </w:rPr>
        <w:t xml:space="preserve"> </w:t>
      </w:r>
      <w:r w:rsidR="00582DDE">
        <w:rPr>
          <w:rFonts w:cstheme="minorHAnsi"/>
        </w:rPr>
        <w:t xml:space="preserve">The Sub-Committee noted </w:t>
      </w:r>
      <w:r w:rsidR="00582DDE" w:rsidRPr="005E003D">
        <w:rPr>
          <w:rFonts w:cstheme="minorHAnsi"/>
        </w:rPr>
        <w:t xml:space="preserve">that </w:t>
      </w:r>
      <w:r w:rsidR="00582DDE">
        <w:rPr>
          <w:rFonts w:cstheme="minorHAnsi"/>
        </w:rPr>
        <w:t xml:space="preserve">some of the clarifications </w:t>
      </w:r>
      <w:r w:rsidR="00F14652">
        <w:rPr>
          <w:rFonts w:cstheme="minorHAnsi"/>
        </w:rPr>
        <w:t xml:space="preserve">in </w:t>
      </w:r>
      <w:r w:rsidR="00F14652" w:rsidRPr="00C77353">
        <w:rPr>
          <w:rStyle w:val="ui-provider"/>
        </w:rPr>
        <w:t>informal document INF.1</w:t>
      </w:r>
      <w:r w:rsidR="00F14652">
        <w:rPr>
          <w:rStyle w:val="ui-provider"/>
        </w:rPr>
        <w:t>7</w:t>
      </w:r>
      <w:r w:rsidR="00F14652" w:rsidRPr="00C77353">
        <w:rPr>
          <w:rStyle w:val="ui-provider"/>
        </w:rPr>
        <w:t xml:space="preserve"> </w:t>
      </w:r>
      <w:r w:rsidR="00582DDE">
        <w:rPr>
          <w:rFonts w:cstheme="minorHAnsi"/>
        </w:rPr>
        <w:t>c</w:t>
      </w:r>
      <w:r w:rsidR="00582DDE" w:rsidRPr="005E003D">
        <w:rPr>
          <w:rFonts w:cstheme="minorHAnsi"/>
        </w:rPr>
        <w:t>ould have consequences in multimodal transport and thus</w:t>
      </w:r>
      <w:r w:rsidR="00582DDE">
        <w:rPr>
          <w:rFonts w:cstheme="minorHAnsi"/>
        </w:rPr>
        <w:t xml:space="preserve"> result in a number of future amendments to</w:t>
      </w:r>
      <w:r w:rsidR="00582DDE" w:rsidRPr="005E003D">
        <w:rPr>
          <w:rFonts w:cstheme="minorHAnsi"/>
        </w:rPr>
        <w:t xml:space="preserve"> the Model Regulations.</w:t>
      </w:r>
    </w:p>
    <w:p w14:paraId="488DE173" w14:textId="77777777" w:rsidR="00710426" w:rsidRPr="005E003D" w:rsidRDefault="00710426" w:rsidP="00710426">
      <w:pPr>
        <w:pStyle w:val="HChG"/>
      </w:pPr>
      <w:r w:rsidRPr="005E003D">
        <w:tab/>
        <w:t>X.</w:t>
      </w:r>
      <w:r w:rsidRPr="005E003D">
        <w:tab/>
        <w:t>Cooperation with the International Atomic Energy Agency (agenda item 8)</w:t>
      </w:r>
    </w:p>
    <w:p w14:paraId="060ECEA6" w14:textId="03CA884A" w:rsidR="00710426" w:rsidRPr="005E003D" w:rsidRDefault="00E25824" w:rsidP="00710426">
      <w:pPr>
        <w:pStyle w:val="SingleTxtG"/>
      </w:pPr>
      <w:r>
        <w:t>9</w:t>
      </w:r>
      <w:r w:rsidR="00B744D0">
        <w:t>7</w:t>
      </w:r>
      <w:r>
        <w:t>.</w:t>
      </w:r>
      <w:r w:rsidR="00710426" w:rsidRPr="005E003D">
        <w:tab/>
        <w:t>As no document had been submitted under this agenda item, no discussion took place on this subject.</w:t>
      </w:r>
    </w:p>
    <w:p w14:paraId="011A6FEE" w14:textId="77777777" w:rsidR="00710426" w:rsidRPr="005E003D" w:rsidRDefault="00710426" w:rsidP="00710426">
      <w:pPr>
        <w:pStyle w:val="HChG"/>
      </w:pPr>
      <w:r w:rsidRPr="005E003D">
        <w:tab/>
        <w:t>XI.</w:t>
      </w:r>
      <w:r w:rsidRPr="005E003D">
        <w:tab/>
        <w:t>Guiding principles for the Model Regulations (agenda item 9)</w:t>
      </w:r>
    </w:p>
    <w:p w14:paraId="6E44A4B9" w14:textId="7075E421" w:rsidR="00710426" w:rsidRPr="005E003D" w:rsidRDefault="00E25824" w:rsidP="00710426">
      <w:pPr>
        <w:pStyle w:val="SingleTxtG"/>
      </w:pPr>
      <w:r>
        <w:t>9</w:t>
      </w:r>
      <w:r w:rsidR="00B744D0">
        <w:t>8</w:t>
      </w:r>
      <w:r>
        <w:t>.</w:t>
      </w:r>
      <w:r w:rsidR="00710426" w:rsidRPr="005E003D">
        <w:tab/>
        <w:t>As no document had been submitted under this agenda item, no discussion took place on this subject.</w:t>
      </w:r>
    </w:p>
    <w:p w14:paraId="5A702DF0" w14:textId="77777777" w:rsidR="00710426" w:rsidRPr="005E003D" w:rsidRDefault="00710426" w:rsidP="00710426">
      <w:pPr>
        <w:pStyle w:val="HChG"/>
      </w:pPr>
      <w:r w:rsidRPr="005E003D">
        <w:tab/>
        <w:t>XII.</w:t>
      </w:r>
      <w:r w:rsidRPr="005E003D">
        <w:tab/>
        <w:t>Issues relating to the Globally Harmonized System of Classification and Labelling of Chemicals (GHS) (agenda item 10)</w:t>
      </w:r>
    </w:p>
    <w:p w14:paraId="1C9F48C0" w14:textId="77777777" w:rsidR="00710426" w:rsidRPr="005E003D" w:rsidRDefault="00710426" w:rsidP="00710426">
      <w:pPr>
        <w:pStyle w:val="H1G"/>
      </w:pPr>
      <w:r w:rsidRPr="005E003D">
        <w:tab/>
        <w:t>A.</w:t>
      </w:r>
      <w:r w:rsidRPr="005E003D">
        <w:tab/>
        <w:t>Testing of oxidizing substances</w:t>
      </w:r>
    </w:p>
    <w:p w14:paraId="25B6AB31" w14:textId="0B15E6D0" w:rsidR="00710426" w:rsidRPr="005E003D" w:rsidRDefault="00E25824" w:rsidP="00710426">
      <w:pPr>
        <w:pStyle w:val="SingleTxtG"/>
      </w:pPr>
      <w:r>
        <w:t>9</w:t>
      </w:r>
      <w:r w:rsidR="00B744D0">
        <w:t>9</w:t>
      </w:r>
      <w:r>
        <w:t>.</w:t>
      </w:r>
      <w:r w:rsidR="00710426" w:rsidRPr="005E003D">
        <w:tab/>
        <w:t>As no document had been submitted under this agenda sub-item, no discussion took place on this subject.</w:t>
      </w:r>
    </w:p>
    <w:p w14:paraId="6BD24E8A" w14:textId="77777777" w:rsidR="00710426" w:rsidRPr="005E003D" w:rsidRDefault="00710426" w:rsidP="00710426">
      <w:pPr>
        <w:pStyle w:val="H1G"/>
      </w:pPr>
      <w:r w:rsidRPr="005E003D">
        <w:tab/>
        <w:t>B.</w:t>
      </w:r>
      <w:r w:rsidRPr="005E003D">
        <w:tab/>
      </w:r>
      <w:r w:rsidRPr="005E003D">
        <w:tab/>
        <w:t xml:space="preserve">Simultaneous classification in physical hazards and </w:t>
      </w:r>
      <w:r>
        <w:t xml:space="preserve">possible combination </w:t>
      </w:r>
      <w:r w:rsidRPr="005E003D">
        <w:t>precedence of hazards</w:t>
      </w:r>
    </w:p>
    <w:p w14:paraId="1F70C5C0" w14:textId="2EBD8F7B" w:rsidR="00710426" w:rsidRPr="005E003D" w:rsidRDefault="00710426" w:rsidP="00336A91">
      <w:pPr>
        <w:pStyle w:val="SingleTxtG"/>
        <w:tabs>
          <w:tab w:val="clear" w:pos="2268"/>
          <w:tab w:val="clear" w:pos="2835"/>
          <w:tab w:val="left" w:pos="3119"/>
        </w:tabs>
        <w:jc w:val="left"/>
      </w:pPr>
      <w:r w:rsidRPr="005E003D">
        <w:rPr>
          <w:i/>
          <w:iCs/>
        </w:rPr>
        <w:t>Informal document:</w:t>
      </w:r>
      <w:r w:rsidRPr="005E003D">
        <w:tab/>
        <w:t>INF.26 (Germany)</w:t>
      </w:r>
    </w:p>
    <w:p w14:paraId="445F22E1" w14:textId="1DBB5461" w:rsidR="00710426" w:rsidRPr="005E003D" w:rsidRDefault="0021708D" w:rsidP="00710426">
      <w:pPr>
        <w:pStyle w:val="SingleTxtG"/>
      </w:pPr>
      <w:r>
        <w:t>100</w:t>
      </w:r>
      <w:r w:rsidR="00E25824">
        <w:t>.</w:t>
      </w:r>
      <w:r w:rsidR="00710426" w:rsidRPr="005E003D">
        <w:tab/>
        <w:t xml:space="preserve">The Sub-Committee noted the status report of the informal working group </w:t>
      </w:r>
      <w:r w:rsidR="00710426" w:rsidRPr="005F0739">
        <w:t>on combinations of physical hazards</w:t>
      </w:r>
      <w:r w:rsidR="00710426" w:rsidRPr="005E003D">
        <w:t>.</w:t>
      </w:r>
    </w:p>
    <w:p w14:paraId="10C9DA32" w14:textId="77777777" w:rsidR="00710426" w:rsidRPr="005E003D" w:rsidRDefault="00710426" w:rsidP="00710426">
      <w:pPr>
        <w:pStyle w:val="H1G"/>
      </w:pPr>
      <w:r w:rsidRPr="005E003D">
        <w:tab/>
        <w:t>C.</w:t>
      </w:r>
      <w:r w:rsidRPr="005E003D">
        <w:tab/>
      </w:r>
      <w:r w:rsidRPr="005E003D">
        <w:tab/>
        <w:t>Miscellaneous</w:t>
      </w:r>
    </w:p>
    <w:p w14:paraId="07993C95" w14:textId="36A0D971" w:rsidR="00523074" w:rsidRPr="005E003D" w:rsidRDefault="00523074" w:rsidP="00523074">
      <w:pPr>
        <w:pStyle w:val="H23G"/>
      </w:pPr>
      <w:r>
        <w:tab/>
      </w:r>
      <w:r w:rsidRPr="005249BE">
        <w:tab/>
      </w:r>
      <w:r w:rsidRPr="00336A91">
        <w:t>Aerosols – Alignment of special provision 63 with special provision 362</w:t>
      </w:r>
    </w:p>
    <w:p w14:paraId="1CB5D87A" w14:textId="77777777" w:rsidR="00523074" w:rsidRPr="005E003D" w:rsidRDefault="00523074" w:rsidP="00336A91">
      <w:pPr>
        <w:pStyle w:val="SingleTxtG"/>
        <w:tabs>
          <w:tab w:val="clear" w:pos="2268"/>
          <w:tab w:val="clear" w:pos="2835"/>
          <w:tab w:val="left" w:pos="3119"/>
        </w:tabs>
        <w:ind w:left="3119" w:hanging="1985"/>
        <w:jc w:val="left"/>
      </w:pPr>
      <w:r w:rsidRPr="005E003D">
        <w:rPr>
          <w:i/>
          <w:iCs/>
        </w:rPr>
        <w:t>Informal document:</w:t>
      </w:r>
      <w:r w:rsidRPr="005E003D">
        <w:rPr>
          <w:i/>
          <w:iCs/>
        </w:rPr>
        <w:tab/>
      </w:r>
      <w:r w:rsidRPr="005E003D">
        <w:t>INF.4 (F</w:t>
      </w:r>
      <w:r>
        <w:t>EA</w:t>
      </w:r>
      <w:r w:rsidRPr="005E003D">
        <w:t>)</w:t>
      </w:r>
    </w:p>
    <w:p w14:paraId="073E8A94" w14:textId="6AA07779" w:rsidR="00523074" w:rsidRPr="005E003D" w:rsidRDefault="00557FEB" w:rsidP="00523074">
      <w:pPr>
        <w:pStyle w:val="SingleTxtG"/>
      </w:pPr>
      <w:r>
        <w:t>10</w:t>
      </w:r>
      <w:r w:rsidR="0021708D">
        <w:t>1</w:t>
      </w:r>
      <w:r>
        <w:t>.</w:t>
      </w:r>
      <w:r w:rsidR="00523074" w:rsidRPr="005E003D">
        <w:tab/>
      </w:r>
      <w:r w:rsidR="00523074">
        <w:t>In the absence of a representative of FEA, t</w:t>
      </w:r>
      <w:r w:rsidR="00523074" w:rsidRPr="005E003D">
        <w:t xml:space="preserve">he Sub-Committee </w:t>
      </w:r>
      <w:r w:rsidR="00523074">
        <w:t>did not consider the</w:t>
      </w:r>
      <w:r w:rsidR="00523074" w:rsidRPr="005E003D">
        <w:t xml:space="preserve"> document</w:t>
      </w:r>
      <w:r w:rsidR="00523074">
        <w:t>.</w:t>
      </w:r>
    </w:p>
    <w:p w14:paraId="07FDC674" w14:textId="77777777" w:rsidR="00710426" w:rsidRPr="005E003D" w:rsidRDefault="00710426" w:rsidP="00710426">
      <w:pPr>
        <w:pStyle w:val="HChG"/>
      </w:pPr>
      <w:r w:rsidRPr="005E003D">
        <w:lastRenderedPageBreak/>
        <w:tab/>
        <w:t>XIII.</w:t>
      </w:r>
      <w:r w:rsidRPr="005E003D">
        <w:tab/>
        <w:t>Unified interpretations of the Model Regulations (agenda item 11)</w:t>
      </w:r>
    </w:p>
    <w:p w14:paraId="6CA9CD01" w14:textId="77777777" w:rsidR="00C1296B" w:rsidRPr="005E003D" w:rsidRDefault="00C1296B" w:rsidP="00336A91">
      <w:pPr>
        <w:pStyle w:val="SingleTxtG"/>
        <w:tabs>
          <w:tab w:val="clear" w:pos="2268"/>
          <w:tab w:val="clear" w:pos="2835"/>
          <w:tab w:val="left" w:pos="3119"/>
        </w:tabs>
        <w:ind w:left="3119" w:hanging="1985"/>
        <w:jc w:val="left"/>
      </w:pPr>
      <w:r w:rsidRPr="005E003D">
        <w:rPr>
          <w:i/>
          <w:iCs/>
        </w:rPr>
        <w:t>Informal document:</w:t>
      </w:r>
      <w:r w:rsidRPr="005E003D">
        <w:rPr>
          <w:i/>
          <w:iCs/>
        </w:rPr>
        <w:tab/>
      </w:r>
      <w:r w:rsidRPr="005E003D">
        <w:t>INF.34 (China)</w:t>
      </w:r>
    </w:p>
    <w:p w14:paraId="492A9526" w14:textId="6DC9EA34" w:rsidR="00C1296B" w:rsidRPr="005E003D" w:rsidRDefault="00E25824" w:rsidP="00C1296B">
      <w:pPr>
        <w:pStyle w:val="SingleTxtG"/>
      </w:pPr>
      <w:r>
        <w:t>10</w:t>
      </w:r>
      <w:r w:rsidR="005B5296">
        <w:t>2</w:t>
      </w:r>
      <w:r>
        <w:t>.</w:t>
      </w:r>
      <w:r w:rsidR="00C1296B" w:rsidRPr="005E003D">
        <w:tab/>
      </w:r>
      <w:r w:rsidR="00EC3286" w:rsidRPr="005E003D">
        <w:t xml:space="preserve">The Sub-Committee agreed </w:t>
      </w:r>
      <w:r w:rsidR="00EC3286">
        <w:t>in principle with the intent of this document</w:t>
      </w:r>
      <w:r w:rsidR="00EC3286" w:rsidRPr="005E003D">
        <w:t xml:space="preserve">. </w:t>
      </w:r>
      <w:r w:rsidR="00EC3286">
        <w:t>The expert from China invited all delegates to send him their written comments and announced that following the outcome of the discussions at the fort</w:t>
      </w:r>
      <w:r w:rsidR="003352BE">
        <w:t>y</w:t>
      </w:r>
      <w:r w:rsidR="00EC3286">
        <w:t>-</w:t>
      </w:r>
      <w:proofErr w:type="gramStart"/>
      <w:r w:rsidR="00EC3286">
        <w:t>forth</w:t>
      </w:r>
      <w:proofErr w:type="gramEnd"/>
      <w:r w:rsidR="00EC3286">
        <w:t xml:space="preserve"> session of the GHS, China may consider submitting a revised proposal as an official document to the next session</w:t>
      </w:r>
      <w:r w:rsidR="00C1296B">
        <w:t>.</w:t>
      </w:r>
    </w:p>
    <w:p w14:paraId="47371ABA" w14:textId="77777777" w:rsidR="00710426" w:rsidRPr="005E003D" w:rsidRDefault="00710426" w:rsidP="00710426">
      <w:pPr>
        <w:pStyle w:val="HChG"/>
      </w:pPr>
      <w:r w:rsidRPr="005E003D">
        <w:tab/>
        <w:t>XIV.</w:t>
      </w:r>
      <w:r w:rsidRPr="005E003D">
        <w:tab/>
        <w:t>Implementation of the Model Regulations (agenda item 12)</w:t>
      </w:r>
    </w:p>
    <w:p w14:paraId="280925DE" w14:textId="6EA81213" w:rsidR="00710426" w:rsidRPr="005E003D" w:rsidRDefault="003F5921" w:rsidP="00710426">
      <w:pPr>
        <w:pStyle w:val="SingleTxtG"/>
      </w:pPr>
      <w:r>
        <w:t>10</w:t>
      </w:r>
      <w:r w:rsidR="005B5296">
        <w:t>3</w:t>
      </w:r>
      <w:r w:rsidR="00710426" w:rsidRPr="005E003D">
        <w:t>.</w:t>
      </w:r>
      <w:r w:rsidR="00710426" w:rsidRPr="005E003D">
        <w:tab/>
        <w:t>As no document had been submitted under this agenda item, no discussion took place on this subject.</w:t>
      </w:r>
    </w:p>
    <w:p w14:paraId="01FE7664" w14:textId="77777777" w:rsidR="00710426" w:rsidRPr="005E003D" w:rsidRDefault="00710426" w:rsidP="00710426">
      <w:pPr>
        <w:pStyle w:val="HChG"/>
      </w:pPr>
      <w:r w:rsidRPr="005E003D">
        <w:tab/>
        <w:t>XV.</w:t>
      </w:r>
      <w:r w:rsidRPr="005E003D">
        <w:tab/>
        <w:t>Dangerous goods safety training and capacity building (agenda item 13)</w:t>
      </w:r>
    </w:p>
    <w:p w14:paraId="1A108B69" w14:textId="40CA6547" w:rsidR="00710426" w:rsidRPr="005E003D" w:rsidRDefault="00CC4AC2" w:rsidP="00710426">
      <w:pPr>
        <w:pStyle w:val="SingleTxtG"/>
      </w:pPr>
      <w:r>
        <w:t>10</w:t>
      </w:r>
      <w:r w:rsidR="005B5296">
        <w:t>4</w:t>
      </w:r>
      <w:r w:rsidR="00710426" w:rsidRPr="005E003D">
        <w:t>.</w:t>
      </w:r>
      <w:r w:rsidR="00710426" w:rsidRPr="005E003D">
        <w:tab/>
        <w:t>As no document had been submitted under this agenda item, no discussion took place on this subject.</w:t>
      </w:r>
    </w:p>
    <w:p w14:paraId="07C0EDA7" w14:textId="77777777" w:rsidR="00710426" w:rsidRPr="005E003D" w:rsidRDefault="00710426" w:rsidP="00710426">
      <w:pPr>
        <w:pStyle w:val="HChG"/>
      </w:pPr>
      <w:r w:rsidRPr="005E003D">
        <w:tab/>
        <w:t>XVI.</w:t>
      </w:r>
      <w:r w:rsidRPr="005E003D">
        <w:tab/>
        <w:t>United Nations 2030 Agenda for Sustainable Development (agenda item 14)</w:t>
      </w:r>
    </w:p>
    <w:p w14:paraId="0F69D41F" w14:textId="2F9C30BB" w:rsidR="00710426" w:rsidRPr="005E003D" w:rsidRDefault="003F5921" w:rsidP="00710426">
      <w:pPr>
        <w:pStyle w:val="SingleTxtG"/>
      </w:pPr>
      <w:r>
        <w:t>10</w:t>
      </w:r>
      <w:r w:rsidR="00D034BC">
        <w:t>5</w:t>
      </w:r>
      <w:r w:rsidR="00710426" w:rsidRPr="005E003D">
        <w:t>.</w:t>
      </w:r>
      <w:r w:rsidR="00710426" w:rsidRPr="005E003D">
        <w:tab/>
        <w:t>As no document had been submitted under this agenda item, no discussion took place on this subject.</w:t>
      </w:r>
    </w:p>
    <w:p w14:paraId="69FB626E" w14:textId="77777777" w:rsidR="00710426" w:rsidRPr="005E003D" w:rsidRDefault="00710426" w:rsidP="00710426">
      <w:pPr>
        <w:pStyle w:val="HChG"/>
      </w:pPr>
      <w:r w:rsidRPr="005E003D">
        <w:tab/>
        <w:t>XVII.</w:t>
      </w:r>
      <w:r w:rsidRPr="005E003D">
        <w:tab/>
        <w:t>Opportunities to enhance operational efficiency and inclusiveness (agenda item 15)</w:t>
      </w:r>
    </w:p>
    <w:p w14:paraId="6BFC0680" w14:textId="16064AE8" w:rsidR="00710426" w:rsidRPr="005E003D" w:rsidRDefault="003F5921" w:rsidP="00710426">
      <w:pPr>
        <w:pStyle w:val="SingleTxtG"/>
      </w:pPr>
      <w:r>
        <w:t>10</w:t>
      </w:r>
      <w:r w:rsidR="00D034BC">
        <w:t>6</w:t>
      </w:r>
      <w:r w:rsidR="00710426" w:rsidRPr="005E003D">
        <w:t>.</w:t>
      </w:r>
      <w:r w:rsidR="00710426" w:rsidRPr="005E003D">
        <w:tab/>
        <w:t>As no document had been submitted under this agenda item, no discussion took place on this subject.</w:t>
      </w:r>
    </w:p>
    <w:p w14:paraId="3E9255F6" w14:textId="77777777" w:rsidR="00710426" w:rsidRPr="005E003D" w:rsidRDefault="00710426" w:rsidP="00710426">
      <w:pPr>
        <w:pStyle w:val="HChG"/>
      </w:pPr>
      <w:r w:rsidRPr="005E003D">
        <w:tab/>
        <w:t>XVIII.</w:t>
      </w:r>
      <w:r w:rsidRPr="005E003D">
        <w:tab/>
        <w:t>Other business (agenda item 16)</w:t>
      </w:r>
    </w:p>
    <w:p w14:paraId="0EF882C8" w14:textId="77777777" w:rsidR="00710426" w:rsidRPr="005E003D" w:rsidRDefault="00710426" w:rsidP="00710426">
      <w:pPr>
        <w:pStyle w:val="H1G"/>
      </w:pPr>
      <w:r w:rsidRPr="005E003D">
        <w:tab/>
        <w:t>A.</w:t>
      </w:r>
      <w:r w:rsidRPr="005E003D">
        <w:tab/>
        <w:t>Report of the Secretary-General on the work of the Committee and its sub-committees during 2021-2022 and ECOSOC Resolution 2023/5</w:t>
      </w:r>
    </w:p>
    <w:p w14:paraId="6EBDDFE9" w14:textId="77777777" w:rsidR="00710426" w:rsidRPr="005E003D" w:rsidRDefault="00710426" w:rsidP="00336A91">
      <w:pPr>
        <w:pStyle w:val="SingleTxtG"/>
        <w:tabs>
          <w:tab w:val="clear" w:pos="2268"/>
          <w:tab w:val="clear" w:pos="2835"/>
          <w:tab w:val="left" w:pos="3119"/>
        </w:tabs>
        <w:ind w:left="3119" w:hanging="1985"/>
        <w:jc w:val="left"/>
      </w:pPr>
      <w:r w:rsidRPr="005E003D">
        <w:rPr>
          <w:i/>
          <w:iCs/>
        </w:rPr>
        <w:t xml:space="preserve">Informal documents: </w:t>
      </w:r>
      <w:r w:rsidRPr="005E003D">
        <w:rPr>
          <w:i/>
          <w:iCs/>
        </w:rPr>
        <w:tab/>
      </w:r>
      <w:r w:rsidRPr="005E003D">
        <w:t>INF.16 and Add.1 (Secretariat)</w:t>
      </w:r>
    </w:p>
    <w:p w14:paraId="0543E2C3" w14:textId="2C877A71" w:rsidR="00710426" w:rsidRDefault="003F5921" w:rsidP="00710426">
      <w:pPr>
        <w:pStyle w:val="SingleTxtG"/>
      </w:pPr>
      <w:r>
        <w:t>10</w:t>
      </w:r>
      <w:r w:rsidR="00D034BC">
        <w:t>7</w:t>
      </w:r>
      <w:r w:rsidR="00710426" w:rsidRPr="005E003D">
        <w:t>.</w:t>
      </w:r>
      <w:r w:rsidR="00710426" w:rsidRPr="005E003D">
        <w:tab/>
        <w:t>A member of the secretariat informed the Sub-Committee that on 7 June 2023, the Economic and Social Council had considered the report of the Secretary-General on the work of the Committee and its sub-committees during 2021-2022 (document E/2023/56) and had adopted without change the resolution prepared by the Committee at its eleventh session (ST/SG/AC.10/50, annex IV)</w:t>
      </w:r>
      <w:r w:rsidR="00710426">
        <w:t xml:space="preserve">, as </w:t>
      </w:r>
      <w:r w:rsidR="00A0547A">
        <w:t>reproduced</w:t>
      </w:r>
      <w:r w:rsidR="00710426">
        <w:t xml:space="preserve"> in informal document INF.16/Add.1</w:t>
      </w:r>
      <w:r w:rsidR="00710426" w:rsidRPr="005E003D">
        <w:t>.</w:t>
      </w:r>
    </w:p>
    <w:p w14:paraId="185F02B9" w14:textId="64711D49" w:rsidR="00710426" w:rsidRPr="005E003D" w:rsidRDefault="00893C97" w:rsidP="00710426">
      <w:pPr>
        <w:pStyle w:val="SingleTxtG"/>
      </w:pPr>
      <w:r>
        <w:t>10</w:t>
      </w:r>
      <w:r w:rsidR="00D034BC">
        <w:t>8</w:t>
      </w:r>
      <w:r w:rsidR="00710426">
        <w:t>.</w:t>
      </w:r>
      <w:r w:rsidR="00710426">
        <w:tab/>
        <w:t xml:space="preserve">The programme of work of the Committee included its </w:t>
      </w:r>
      <w:r w:rsidR="00710426" w:rsidRPr="00BE0F4D">
        <w:t xml:space="preserve">calendar of meetings </w:t>
      </w:r>
      <w:r w:rsidR="00710426">
        <w:t xml:space="preserve">and that of its sub-committees </w:t>
      </w:r>
      <w:r w:rsidR="00710426" w:rsidRPr="00BE0F4D">
        <w:t>for 202</w:t>
      </w:r>
      <w:r w:rsidR="00710426">
        <w:t>3</w:t>
      </w:r>
      <w:r w:rsidR="00710426" w:rsidRPr="00BE0F4D">
        <w:t>-202</w:t>
      </w:r>
      <w:r w:rsidR="00710426">
        <w:t>4</w:t>
      </w:r>
      <w:r w:rsidR="00710426" w:rsidRPr="00BE0F4D">
        <w:t xml:space="preserve"> </w:t>
      </w:r>
      <w:r w:rsidR="00710426">
        <w:t xml:space="preserve">as specified in paragraph 50 of the report of the Secretary-General on the work of the Committee, contained in </w:t>
      </w:r>
      <w:r w:rsidR="00710426" w:rsidRPr="00AD1FBF">
        <w:t>E/202</w:t>
      </w:r>
      <w:r w:rsidR="00710426">
        <w:t>3</w:t>
      </w:r>
      <w:r w:rsidR="00710426" w:rsidRPr="00AD1FBF">
        <w:t>/</w:t>
      </w:r>
      <w:r w:rsidR="00710426">
        <w:t>56.</w:t>
      </w:r>
      <w:r w:rsidR="00710426">
        <w:rPr>
          <w:rStyle w:val="FootnoteReference"/>
        </w:rPr>
        <w:footnoteReference w:id="4"/>
      </w:r>
    </w:p>
    <w:p w14:paraId="0FF8294F" w14:textId="77777777" w:rsidR="00710426" w:rsidRPr="005E003D" w:rsidRDefault="00710426" w:rsidP="00710426">
      <w:pPr>
        <w:pStyle w:val="H1G"/>
      </w:pPr>
      <w:r w:rsidRPr="005E003D">
        <w:lastRenderedPageBreak/>
        <w:tab/>
        <w:t>B.</w:t>
      </w:r>
      <w:r w:rsidRPr="005E003D">
        <w:tab/>
        <w:t>Consultative relations between the United Nations and non-governmental organizations</w:t>
      </w:r>
    </w:p>
    <w:p w14:paraId="3E5574B8" w14:textId="77777777" w:rsidR="00710426" w:rsidRPr="005E003D" w:rsidRDefault="00710426" w:rsidP="00336A91">
      <w:pPr>
        <w:pStyle w:val="SingleTxtG"/>
        <w:tabs>
          <w:tab w:val="clear" w:pos="2268"/>
          <w:tab w:val="clear" w:pos="2835"/>
          <w:tab w:val="left" w:pos="3119"/>
        </w:tabs>
        <w:ind w:left="3119" w:hanging="1985"/>
        <w:jc w:val="left"/>
      </w:pPr>
      <w:r w:rsidRPr="005E003D">
        <w:rPr>
          <w:i/>
          <w:iCs/>
        </w:rPr>
        <w:t xml:space="preserve">Informal document: </w:t>
      </w:r>
      <w:r w:rsidRPr="005E003D">
        <w:rPr>
          <w:i/>
          <w:iCs/>
        </w:rPr>
        <w:tab/>
      </w:r>
      <w:r w:rsidRPr="005E003D">
        <w:t>INF.1</w:t>
      </w:r>
      <w:r>
        <w:t>5</w:t>
      </w:r>
      <w:r w:rsidRPr="005E003D">
        <w:t xml:space="preserve"> (Secretariat)</w:t>
      </w:r>
    </w:p>
    <w:p w14:paraId="6F6B9972" w14:textId="627D6A5C" w:rsidR="00710426" w:rsidRPr="005E003D" w:rsidRDefault="00893C97" w:rsidP="00710426">
      <w:pPr>
        <w:pStyle w:val="SingleTxtG"/>
      </w:pPr>
      <w:r>
        <w:t>1</w:t>
      </w:r>
      <w:r w:rsidR="0019624B">
        <w:t>0</w:t>
      </w:r>
      <w:r w:rsidR="00D034BC">
        <w:t>9</w:t>
      </w:r>
      <w:r w:rsidR="00710426">
        <w:t>.</w:t>
      </w:r>
      <w:r w:rsidR="00710426">
        <w:tab/>
      </w:r>
      <w:r w:rsidR="00710426" w:rsidRPr="005E003D">
        <w:t xml:space="preserve">The secretariat emphasized the importance of keeping this information up to date and invited delegations to check whether the name and contact details of the person listed as </w:t>
      </w:r>
      <w:r w:rsidR="00710426">
        <w:t>h</w:t>
      </w:r>
      <w:r w:rsidR="00710426" w:rsidRPr="005E003D">
        <w:t>ead of delegation for their government or organisation was accurate. Changes should be notified to the secretariat as soon as possible, through official channels (</w:t>
      </w:r>
      <w:proofErr w:type="spellStart"/>
      <w:r w:rsidR="00710426" w:rsidRPr="005E003D">
        <w:t>i.e</w:t>
      </w:r>
      <w:proofErr w:type="spellEnd"/>
      <w:r w:rsidR="00710426" w:rsidRPr="005E003D">
        <w:t>: through the Permanent Mission or Ministry of Foreign Affairs in the case of Governments and through an official letter or email in the case of NGOs).</w:t>
      </w:r>
    </w:p>
    <w:p w14:paraId="0DEAAC1E" w14:textId="6CDAE88A" w:rsidR="00710426" w:rsidRPr="005E003D" w:rsidRDefault="00893C97" w:rsidP="00710426">
      <w:pPr>
        <w:pStyle w:val="SingleTxtG"/>
      </w:pPr>
      <w:r>
        <w:t>1</w:t>
      </w:r>
      <w:r w:rsidR="005B5296">
        <w:t>1</w:t>
      </w:r>
      <w:r w:rsidR="0019624B">
        <w:t>0</w:t>
      </w:r>
      <w:r w:rsidR="00710426" w:rsidRPr="005E003D">
        <w:t>.</w:t>
      </w:r>
      <w:r w:rsidR="00710426" w:rsidRPr="005E003D">
        <w:tab/>
        <w:t>The secretariat pointed out that for some countries, the information on the expert accredited to represent the government was missing, incomplete or outdated. It was also recalled that only NGOs in consultative status with ECOSOC or with the Committee or its sub-committees concerned with matters falling within the competence of the Committee or its sub-committees, are entitled to participate in the sessions. NGOs which are in consultative status with the Committee and its subcommittees (but not with ECOSOC) are invited to submit information about any changes in name to the secretariat.</w:t>
      </w:r>
      <w:r w:rsidR="00710426">
        <w:t xml:space="preserve"> More detailed information and links may be consulted in informal document INF.15.</w:t>
      </w:r>
    </w:p>
    <w:p w14:paraId="7ED9BE8E" w14:textId="77777777" w:rsidR="00710426" w:rsidRPr="005E003D" w:rsidRDefault="00710426" w:rsidP="00710426">
      <w:pPr>
        <w:pStyle w:val="H1G"/>
      </w:pPr>
      <w:r w:rsidRPr="005E003D">
        <w:tab/>
      </w:r>
      <w:r>
        <w:t>C</w:t>
      </w:r>
      <w:r w:rsidRPr="005E003D">
        <w:t>.</w:t>
      </w:r>
      <w:r w:rsidRPr="005E003D">
        <w:tab/>
        <w:t>Any other business</w:t>
      </w:r>
    </w:p>
    <w:p w14:paraId="5E0E9EA9" w14:textId="733B6CC7" w:rsidR="00B42F9F" w:rsidRPr="00336A91" w:rsidRDefault="00B42F9F" w:rsidP="00336A91">
      <w:pPr>
        <w:pStyle w:val="H23G"/>
      </w:pPr>
      <w:r>
        <w:tab/>
        <w:t>1.</w:t>
      </w:r>
      <w:r>
        <w:tab/>
        <w:t xml:space="preserve">Infectious </w:t>
      </w:r>
      <w:r w:rsidR="0046723F">
        <w:t>s</w:t>
      </w:r>
      <w:r>
        <w:t xml:space="preserve">ubstance </w:t>
      </w:r>
      <w:r w:rsidR="0046723F">
        <w:t>t</w:t>
      </w:r>
      <w:r>
        <w:t>ransport</w:t>
      </w:r>
    </w:p>
    <w:p w14:paraId="02704E9E" w14:textId="36EA8575" w:rsidR="00710426" w:rsidRPr="005E003D" w:rsidRDefault="00710426" w:rsidP="00336A91">
      <w:pPr>
        <w:pStyle w:val="SingleTxtG"/>
        <w:tabs>
          <w:tab w:val="clear" w:pos="2268"/>
          <w:tab w:val="clear" w:pos="2835"/>
          <w:tab w:val="left" w:pos="3119"/>
        </w:tabs>
        <w:ind w:left="3119" w:hanging="1985"/>
        <w:jc w:val="left"/>
      </w:pPr>
      <w:r w:rsidRPr="005E003D">
        <w:rPr>
          <w:i/>
          <w:iCs/>
        </w:rPr>
        <w:t>Informal document:</w:t>
      </w:r>
      <w:r w:rsidRPr="005E003D">
        <w:rPr>
          <w:i/>
          <w:iCs/>
        </w:rPr>
        <w:tab/>
      </w:r>
      <w:r w:rsidRPr="005E003D">
        <w:t>INF.</w:t>
      </w:r>
      <w:r>
        <w:t>46</w:t>
      </w:r>
      <w:r w:rsidRPr="005E003D">
        <w:t xml:space="preserve"> (</w:t>
      </w:r>
      <w:r>
        <w:t>COSTHA, DGTA, FAO</w:t>
      </w:r>
      <w:r w:rsidRPr="005E003D">
        <w:t>)</w:t>
      </w:r>
    </w:p>
    <w:p w14:paraId="2984AEC9" w14:textId="2517EAA6" w:rsidR="00710426" w:rsidRDefault="00893C97" w:rsidP="00710426">
      <w:pPr>
        <w:pStyle w:val="SingleTxtG"/>
      </w:pPr>
      <w:r>
        <w:t>1</w:t>
      </w:r>
      <w:r w:rsidR="005B5296">
        <w:t>1</w:t>
      </w:r>
      <w:r w:rsidR="0019624B">
        <w:t>1</w:t>
      </w:r>
      <w:r w:rsidR="00710426" w:rsidRPr="005E003D">
        <w:t>.</w:t>
      </w:r>
      <w:r w:rsidR="00710426" w:rsidRPr="005E003D">
        <w:tab/>
        <w:t>The Sub-Committee noted the</w:t>
      </w:r>
      <w:r w:rsidR="00710426">
        <w:t xml:space="preserve"> request in informal document INF.46 to organize in conjunction with the forthcoming sessions of the TDG and GHS sub-committees informal meetings on infectious substance transport. </w:t>
      </w:r>
      <w:r w:rsidR="00710426" w:rsidRPr="005E003D">
        <w:t xml:space="preserve">The Sub-Committee </w:t>
      </w:r>
      <w:r w:rsidR="00710426">
        <w:t>endorsed that request and invited the organizers to arrange already in advance some virtual preparation meetings.</w:t>
      </w:r>
    </w:p>
    <w:p w14:paraId="689221A7" w14:textId="53FD6CC4" w:rsidR="00C94E18" w:rsidRDefault="0046723F" w:rsidP="00336A91">
      <w:pPr>
        <w:pStyle w:val="H23G"/>
        <w:ind w:hanging="567"/>
      </w:pPr>
      <w:r>
        <w:tab/>
        <w:t>2.</w:t>
      </w:r>
      <w:r w:rsidR="00C94E18">
        <w:tab/>
        <w:t>Meeting dates for the sixty-third session</w:t>
      </w:r>
    </w:p>
    <w:p w14:paraId="371B4948" w14:textId="05463E8F" w:rsidR="00C94E18" w:rsidRDefault="006A4B54" w:rsidP="00E87371">
      <w:pPr>
        <w:pStyle w:val="SingleTxtG"/>
      </w:pPr>
      <w:r>
        <w:t>11</w:t>
      </w:r>
      <w:r w:rsidR="0019624B">
        <w:t>2</w:t>
      </w:r>
      <w:r>
        <w:t>.</w:t>
      </w:r>
      <w:r>
        <w:tab/>
      </w:r>
      <w:r w:rsidR="00C94E18">
        <w:t>The Sub-Committee noted the meeting dates and document submission deadlines for its sixty-third session as follows:</w:t>
      </w:r>
    </w:p>
    <w:p w14:paraId="2CD72639" w14:textId="48BA9941" w:rsidR="00C94E18" w:rsidRDefault="0022423B" w:rsidP="00C94E18">
      <w:pPr>
        <w:pStyle w:val="SingleTxtG"/>
      </w:pPr>
      <w:r>
        <w:t>11</w:t>
      </w:r>
      <w:r w:rsidR="0010493D">
        <w:t>3</w:t>
      </w:r>
      <w:r>
        <w:t>.</w:t>
      </w:r>
      <w:r w:rsidR="00C94E18">
        <w:tab/>
        <w:t xml:space="preserve">Meeting dates: </w:t>
      </w:r>
      <w:r w:rsidR="00C05F4C">
        <w:t>f</w:t>
      </w:r>
      <w:r w:rsidR="00C94E18">
        <w:t>rom 27 November to 6 December 2023;</w:t>
      </w:r>
    </w:p>
    <w:p w14:paraId="66A1A389" w14:textId="4FFDBDC7" w:rsidR="00C94E18" w:rsidRPr="005E003D" w:rsidRDefault="0022423B" w:rsidP="00E9034B">
      <w:pPr>
        <w:pStyle w:val="SingleTxtG"/>
      </w:pPr>
      <w:r>
        <w:t>11</w:t>
      </w:r>
      <w:r w:rsidR="0010493D">
        <w:t>4</w:t>
      </w:r>
      <w:r>
        <w:t>.</w:t>
      </w:r>
      <w:r w:rsidR="00C94E18">
        <w:tab/>
        <w:t>Deadline for submission of official documents: 1 September 2023.</w:t>
      </w:r>
    </w:p>
    <w:p w14:paraId="62320F04" w14:textId="77777777" w:rsidR="00710426" w:rsidRPr="005E003D" w:rsidRDefault="00710426" w:rsidP="00710426">
      <w:pPr>
        <w:pStyle w:val="H1G"/>
      </w:pPr>
      <w:r w:rsidRPr="005E003D">
        <w:tab/>
      </w:r>
      <w:r>
        <w:t>D</w:t>
      </w:r>
      <w:r w:rsidRPr="005E003D">
        <w:t>.</w:t>
      </w:r>
      <w:r w:rsidRPr="005E003D">
        <w:tab/>
        <w:t>Tributes</w:t>
      </w:r>
    </w:p>
    <w:p w14:paraId="3576ED90" w14:textId="6C76698C" w:rsidR="00710426" w:rsidRDefault="00893C97" w:rsidP="00710426">
      <w:pPr>
        <w:pStyle w:val="SingleTxtG"/>
      </w:pPr>
      <w:r>
        <w:t>11</w:t>
      </w:r>
      <w:r w:rsidR="0010493D">
        <w:t>5</w:t>
      </w:r>
      <w:r w:rsidR="00710426" w:rsidRPr="005E003D">
        <w:t>.</w:t>
      </w:r>
      <w:r w:rsidR="00710426" w:rsidRPr="005E003D">
        <w:tab/>
        <w:t xml:space="preserve">Learning that Mr. Ed de Jong (Netherlands) would retire soon and will no longer attend the sessions, the Sub-Committee expressed its deep appreciation for the excellent contributions </w:t>
      </w:r>
      <w:r w:rsidR="008329D1">
        <w:t xml:space="preserve">since 1993 </w:t>
      </w:r>
      <w:r w:rsidR="00710426" w:rsidRPr="005E003D">
        <w:t xml:space="preserve">to the work of </w:t>
      </w:r>
      <w:r w:rsidR="00710426">
        <w:t>both</w:t>
      </w:r>
      <w:r w:rsidR="00710426" w:rsidRPr="005E003D">
        <w:t xml:space="preserve"> </w:t>
      </w:r>
      <w:r w:rsidR="00710426">
        <w:t>s</w:t>
      </w:r>
      <w:r w:rsidR="00710426" w:rsidRPr="005E003D">
        <w:t>ub-</w:t>
      </w:r>
      <w:r w:rsidR="00710426">
        <w:t>c</w:t>
      </w:r>
      <w:r w:rsidR="00710426" w:rsidRPr="005E003D">
        <w:t>ommittee</w:t>
      </w:r>
      <w:r w:rsidR="00710426">
        <w:t>s</w:t>
      </w:r>
      <w:r w:rsidR="00710426" w:rsidRPr="005E003D">
        <w:t xml:space="preserve"> and wished him a long and happy retirement. The Chair thanked him for his substantive contributions over </w:t>
      </w:r>
      <w:r w:rsidR="001D00A7">
        <w:t>the last fifteen</w:t>
      </w:r>
      <w:r w:rsidR="00710426" w:rsidRPr="005E003D">
        <w:t xml:space="preserve"> years as chair of the informal working group on explosives.</w:t>
      </w:r>
    </w:p>
    <w:p w14:paraId="62CBA7B3" w14:textId="7CA5F4FC" w:rsidR="00627E1E" w:rsidRPr="005E003D" w:rsidRDefault="00893C97" w:rsidP="00710426">
      <w:pPr>
        <w:pStyle w:val="SingleTxtG"/>
      </w:pPr>
      <w:r>
        <w:t>11</w:t>
      </w:r>
      <w:r w:rsidR="0010493D">
        <w:t>6</w:t>
      </w:r>
      <w:r w:rsidR="00627E1E">
        <w:t>.</w:t>
      </w:r>
      <w:r w:rsidR="00627E1E">
        <w:tab/>
        <w:t xml:space="preserve">The </w:t>
      </w:r>
      <w:r w:rsidR="00CD2331">
        <w:t>Sub-</w:t>
      </w:r>
      <w:r w:rsidR="00627E1E">
        <w:t>Committee noted that M</w:t>
      </w:r>
      <w:r w:rsidR="006C5C99">
        <w:t>r</w:t>
      </w:r>
      <w:r w:rsidR="00627E1E">
        <w:t xml:space="preserve">s. Laurence Berthet, who had provided with great devotion secretariat services since 2007 has retired in May 2023 and </w:t>
      </w:r>
      <w:r w:rsidR="0010493D">
        <w:t xml:space="preserve">would </w:t>
      </w:r>
      <w:r w:rsidR="00627E1E">
        <w:t xml:space="preserve">no longer attend the future sessions. The </w:t>
      </w:r>
      <w:r w:rsidR="00F069B1">
        <w:t>Sub-</w:t>
      </w:r>
      <w:r w:rsidR="00627E1E">
        <w:t>Committee acknowledge</w:t>
      </w:r>
      <w:r w:rsidR="00F069B1">
        <w:t>d</w:t>
      </w:r>
      <w:r w:rsidR="00627E1E">
        <w:t xml:space="preserve"> </w:t>
      </w:r>
      <w:r w:rsidR="002603B4">
        <w:t xml:space="preserve">her </w:t>
      </w:r>
      <w:r w:rsidR="00627E1E">
        <w:t xml:space="preserve">support and dedication during all the years </w:t>
      </w:r>
      <w:r w:rsidR="004D4538">
        <w:t xml:space="preserve">of service </w:t>
      </w:r>
      <w:r w:rsidR="00627E1E">
        <w:t xml:space="preserve">and wished </w:t>
      </w:r>
      <w:r w:rsidR="002603B4">
        <w:t>her</w:t>
      </w:r>
      <w:r w:rsidR="00627E1E">
        <w:t xml:space="preserve"> a long and happy retirement.</w:t>
      </w:r>
    </w:p>
    <w:p w14:paraId="2E847060" w14:textId="77777777" w:rsidR="00710426" w:rsidRPr="005E003D" w:rsidRDefault="00710426" w:rsidP="00710426">
      <w:pPr>
        <w:pStyle w:val="HChG"/>
      </w:pPr>
      <w:r w:rsidRPr="005E003D">
        <w:tab/>
      </w:r>
      <w:r>
        <w:t>I</w:t>
      </w:r>
      <w:r w:rsidRPr="005E003D">
        <w:t>XX.</w:t>
      </w:r>
      <w:r w:rsidRPr="005E003D">
        <w:tab/>
      </w:r>
      <w:r w:rsidRPr="005E003D">
        <w:tab/>
        <w:t>Adoption of the report (agenda item 17)</w:t>
      </w:r>
    </w:p>
    <w:p w14:paraId="1D31293F" w14:textId="05B46176" w:rsidR="001239DB" w:rsidRDefault="003E7871" w:rsidP="00710426">
      <w:pPr>
        <w:pStyle w:val="SingleTxtG"/>
      </w:pPr>
      <w:r>
        <w:t>11</w:t>
      </w:r>
      <w:r w:rsidR="007476BF">
        <w:t>7</w:t>
      </w:r>
      <w:r w:rsidR="00710426" w:rsidRPr="005E003D">
        <w:t>.</w:t>
      </w:r>
      <w:r w:rsidR="00710426" w:rsidRPr="005E003D">
        <w:tab/>
        <w:t>In accordance with established practice, the Sub-Committee adopted the report on its sixty-second session and its annexes</w:t>
      </w:r>
      <w:r w:rsidR="00710426" w:rsidRPr="005E003D" w:rsidDel="00056031">
        <w:t xml:space="preserve"> </w:t>
      </w:r>
      <w:r w:rsidR="00710426" w:rsidRPr="005E003D">
        <w:t>on the basis of a draft prepared by the secretariat.</w:t>
      </w:r>
    </w:p>
    <w:p w14:paraId="5866DCD7" w14:textId="30ED75D7" w:rsidR="00A33709" w:rsidRPr="00197B32" w:rsidRDefault="00197B32" w:rsidP="00197B32">
      <w:pPr>
        <w:spacing w:before="240"/>
        <w:jc w:val="center"/>
        <w:rPr>
          <w:u w:val="single"/>
        </w:rPr>
      </w:pPr>
      <w:r>
        <w:rPr>
          <w:u w:val="single"/>
        </w:rPr>
        <w:tab/>
      </w:r>
      <w:r>
        <w:rPr>
          <w:u w:val="single"/>
        </w:rPr>
        <w:tab/>
      </w:r>
      <w:r>
        <w:rPr>
          <w:u w:val="single"/>
        </w:rPr>
        <w:tab/>
      </w:r>
    </w:p>
    <w:sectPr w:rsidR="00A33709" w:rsidRPr="00197B32" w:rsidSect="00362536">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93AD" w14:textId="77777777" w:rsidR="00C15534" w:rsidRPr="00C47B2E" w:rsidRDefault="00C15534" w:rsidP="00C47B2E">
      <w:pPr>
        <w:pStyle w:val="Footer"/>
      </w:pPr>
    </w:p>
  </w:endnote>
  <w:endnote w:type="continuationSeparator" w:id="0">
    <w:p w14:paraId="4CEDCE07" w14:textId="77777777" w:rsidR="00C15534" w:rsidRPr="00C47B2E" w:rsidRDefault="00C15534" w:rsidP="00C47B2E">
      <w:pPr>
        <w:pStyle w:val="Footer"/>
      </w:pPr>
    </w:p>
  </w:endnote>
  <w:endnote w:type="continuationNotice" w:id="1">
    <w:p w14:paraId="2A85DCDA" w14:textId="77777777" w:rsidR="00C15534" w:rsidRPr="00C47B2E" w:rsidRDefault="00C1553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A39B" w14:textId="57150873" w:rsidR="00D94B05" w:rsidRPr="00362536" w:rsidRDefault="00362536" w:rsidP="00362536">
    <w:pPr>
      <w:pStyle w:val="Footer"/>
      <w:tabs>
        <w:tab w:val="right" w:pos="9598"/>
        <w:tab w:val="right" w:pos="9638"/>
      </w:tabs>
      <w:rPr>
        <w:sz w:val="18"/>
      </w:rPr>
    </w:pPr>
    <w:r w:rsidRPr="00362536">
      <w:rPr>
        <w:b/>
        <w:sz w:val="18"/>
      </w:rPr>
      <w:fldChar w:fldCharType="begin"/>
    </w:r>
    <w:r w:rsidRPr="00362536">
      <w:rPr>
        <w:b/>
        <w:sz w:val="18"/>
      </w:rPr>
      <w:instrText xml:space="preserve"> PAGE  \* MERGEFORMAT </w:instrText>
    </w:r>
    <w:r w:rsidRPr="00362536">
      <w:rPr>
        <w:b/>
        <w:sz w:val="18"/>
      </w:rPr>
      <w:fldChar w:fldCharType="separate"/>
    </w:r>
    <w:r w:rsidRPr="00362536">
      <w:rPr>
        <w:b/>
        <w:noProof/>
        <w:sz w:val="18"/>
      </w:rPr>
      <w:t>2</w:t>
    </w:r>
    <w:r w:rsidRPr="003625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0D31" w14:textId="2B50ACC6" w:rsidR="00D94B05" w:rsidRPr="00336A91" w:rsidRDefault="00362536" w:rsidP="00336A91">
    <w:pPr>
      <w:pStyle w:val="Footer"/>
      <w:tabs>
        <w:tab w:val="right" w:pos="9598"/>
        <w:tab w:val="right" w:pos="9638"/>
      </w:tabs>
      <w:rPr>
        <w:b/>
        <w:bCs/>
        <w:sz w:val="18"/>
      </w:rPr>
    </w:pPr>
    <w:r w:rsidRPr="00336A91">
      <w:rPr>
        <w:b/>
        <w:bCs/>
        <w:sz w:val="18"/>
      </w:rPr>
      <w:tab/>
    </w:r>
    <w:r w:rsidRPr="00336A91">
      <w:rPr>
        <w:b/>
        <w:bCs/>
        <w:sz w:val="18"/>
      </w:rPr>
      <w:fldChar w:fldCharType="begin"/>
    </w:r>
    <w:r w:rsidRPr="00336A91">
      <w:rPr>
        <w:b/>
        <w:bCs/>
        <w:sz w:val="18"/>
      </w:rPr>
      <w:instrText xml:space="preserve"> PAGE  \* MERGEFORMAT </w:instrText>
    </w:r>
    <w:r w:rsidRPr="00336A91">
      <w:rPr>
        <w:b/>
        <w:bCs/>
        <w:sz w:val="18"/>
      </w:rPr>
      <w:fldChar w:fldCharType="separate"/>
    </w:r>
    <w:r w:rsidRPr="00336A91">
      <w:rPr>
        <w:b/>
        <w:bCs/>
        <w:noProof/>
        <w:sz w:val="18"/>
      </w:rPr>
      <w:t>3</w:t>
    </w:r>
    <w:r w:rsidRPr="00336A9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76F4" w14:textId="6B05518D" w:rsidR="00D94B05" w:rsidRDefault="00CF25EB" w:rsidP="00CF25EB">
    <w:pPr>
      <w:pStyle w:val="Footer"/>
      <w:rPr>
        <w:rFonts w:asciiTheme="majorBidi" w:hAnsiTheme="majorBidi" w:cstheme="majorBidi"/>
        <w:sz w:val="20"/>
      </w:rPr>
    </w:pPr>
    <w:r w:rsidRPr="00CF25EB">
      <w:rPr>
        <w:rFonts w:asciiTheme="majorBidi" w:hAnsiTheme="majorBidi" w:cstheme="majorBidi"/>
        <w:noProof/>
        <w:sz w:val="20"/>
        <w:lang w:val="en-US"/>
      </w:rPr>
      <w:drawing>
        <wp:anchor distT="0" distB="0" distL="114300" distR="114300" simplePos="0" relativeHeight="251660288" behindDoc="0" locked="1" layoutInCell="1" allowOverlap="1" wp14:anchorId="7BBDAD37" wp14:editId="36AB223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CD0173" w14:textId="0290E4A5" w:rsidR="00CF25EB" w:rsidRPr="00CF25EB" w:rsidRDefault="00CF25EB" w:rsidP="00CF25EB">
    <w:pPr>
      <w:pStyle w:val="Footer"/>
      <w:ind w:right="1134"/>
      <w:rPr>
        <w:rFonts w:asciiTheme="majorBidi" w:hAnsiTheme="majorBidi" w:cstheme="majorBidi"/>
        <w:sz w:val="20"/>
      </w:rPr>
    </w:pPr>
    <w:r>
      <w:rPr>
        <w:rFonts w:asciiTheme="majorBidi" w:hAnsiTheme="majorBidi" w:cstheme="majorBidi"/>
        <w:sz w:val="20"/>
      </w:rPr>
      <w:t>GE.23-14338(E)</w:t>
    </w:r>
    <w:r>
      <w:rPr>
        <w:rFonts w:asciiTheme="majorBidi" w:hAnsiTheme="majorBidi" w:cstheme="majorBidi"/>
        <w:noProof/>
        <w:sz w:val="20"/>
      </w:rPr>
      <w:drawing>
        <wp:anchor distT="0" distB="0" distL="114300" distR="114300" simplePos="0" relativeHeight="251661312" behindDoc="0" locked="0" layoutInCell="1" allowOverlap="1" wp14:anchorId="7F080ED9" wp14:editId="78A3B2F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961C" w14:textId="77777777" w:rsidR="00C15534" w:rsidRPr="00C47B2E" w:rsidRDefault="00C15534" w:rsidP="00C47B2E">
      <w:pPr>
        <w:tabs>
          <w:tab w:val="right" w:pos="2155"/>
        </w:tabs>
        <w:spacing w:after="80" w:line="240" w:lineRule="auto"/>
        <w:ind w:left="680"/>
      </w:pPr>
      <w:r>
        <w:rPr>
          <w:u w:val="single"/>
        </w:rPr>
        <w:tab/>
      </w:r>
    </w:p>
  </w:footnote>
  <w:footnote w:type="continuationSeparator" w:id="0">
    <w:p w14:paraId="004CD68F" w14:textId="77777777" w:rsidR="00C15534" w:rsidRPr="00C47B2E" w:rsidRDefault="00C15534" w:rsidP="005E716E">
      <w:pPr>
        <w:tabs>
          <w:tab w:val="right" w:pos="2155"/>
        </w:tabs>
        <w:spacing w:after="80" w:line="240" w:lineRule="auto"/>
        <w:ind w:left="680"/>
      </w:pPr>
      <w:r>
        <w:rPr>
          <w:u w:val="single"/>
        </w:rPr>
        <w:tab/>
      </w:r>
    </w:p>
  </w:footnote>
  <w:footnote w:type="continuationNotice" w:id="1">
    <w:p w14:paraId="2944F88E" w14:textId="77777777" w:rsidR="00C15534" w:rsidRPr="00C47B2E" w:rsidRDefault="00C15534" w:rsidP="00C47B2E">
      <w:pPr>
        <w:pStyle w:val="Footer"/>
      </w:pPr>
    </w:p>
  </w:footnote>
  <w:footnote w:id="2">
    <w:p w14:paraId="61231C58" w14:textId="1CA52CB7" w:rsidR="00D935C7" w:rsidRPr="0061350E" w:rsidRDefault="00D935C7" w:rsidP="00D935C7">
      <w:pPr>
        <w:pStyle w:val="FootnoteText"/>
      </w:pPr>
      <w:r>
        <w:tab/>
      </w:r>
      <w:r>
        <w:rPr>
          <w:rStyle w:val="FootnoteReference"/>
        </w:rPr>
        <w:footnoteRef/>
      </w:r>
      <w:r>
        <w:t xml:space="preserve"> </w:t>
      </w:r>
      <w:r>
        <w:tab/>
        <w:t>For practical reasons, this annex has been published as an addendum with the symbol ST/SG/AC.10/C.3/12</w:t>
      </w:r>
      <w:r w:rsidR="00E60C3E">
        <w:t>4</w:t>
      </w:r>
      <w:r>
        <w:t>/Add.1.</w:t>
      </w:r>
    </w:p>
  </w:footnote>
  <w:footnote w:id="3">
    <w:p w14:paraId="4FF21957" w14:textId="5DDBD707" w:rsidR="00D263B2" w:rsidRPr="0061350E" w:rsidRDefault="00D263B2" w:rsidP="00D263B2">
      <w:pPr>
        <w:pStyle w:val="FootnoteText"/>
      </w:pPr>
      <w:r>
        <w:tab/>
      </w:r>
      <w:r>
        <w:rPr>
          <w:rStyle w:val="FootnoteReference"/>
        </w:rPr>
        <w:footnoteRef/>
      </w:r>
      <w:r>
        <w:t xml:space="preserve"> </w:t>
      </w:r>
      <w:r w:rsidRPr="0061350E">
        <w:tab/>
      </w:r>
      <w:r w:rsidR="00DB60BD">
        <w:t xml:space="preserve">Survey </w:t>
      </w:r>
      <w:r w:rsidRPr="00DB60BD">
        <w:rPr>
          <w:szCs w:val="18"/>
          <w:lang w:val="en-US"/>
        </w:rPr>
        <w:t xml:space="preserve">at: </w:t>
      </w:r>
      <w:hyperlink r:id="rId1" w:history="1">
        <w:r w:rsidRPr="00DB60BD">
          <w:rPr>
            <w:rStyle w:val="Hyperlink"/>
            <w:szCs w:val="18"/>
            <w:lang w:val="en-US"/>
          </w:rPr>
          <w:t>http://conf.unog.ch/dcmsurvey</w:t>
        </w:r>
      </w:hyperlink>
    </w:p>
  </w:footnote>
  <w:footnote w:id="4">
    <w:p w14:paraId="5925B6BB" w14:textId="77777777" w:rsidR="00710426" w:rsidRPr="0061350E" w:rsidRDefault="00710426" w:rsidP="00710426">
      <w:pPr>
        <w:pStyle w:val="FootnoteText"/>
      </w:pPr>
      <w:r>
        <w:tab/>
      </w:r>
      <w:r>
        <w:rPr>
          <w:rStyle w:val="FootnoteReference"/>
        </w:rPr>
        <w:footnoteRef/>
      </w:r>
      <w:r>
        <w:t xml:space="preserve"> </w:t>
      </w:r>
      <w:r w:rsidRPr="0061350E">
        <w:tab/>
        <w:t>https://documents-dds-ny.un.org/doc/UNDOC/GEN/N23/087/79/PDF/N2308779.pdf?OpenElement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F598" w14:textId="4CEAB91C" w:rsidR="00362536" w:rsidRPr="00362536" w:rsidRDefault="00AF015F" w:rsidP="0061350E">
    <w:pPr>
      <w:pStyle w:val="Header"/>
    </w:pPr>
    <w:r>
      <w:t>ST/SG/AC.10/C.3/124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7343" w14:textId="5222B157" w:rsidR="00D94B05" w:rsidRPr="00362536" w:rsidRDefault="00AF015F" w:rsidP="00362536">
    <w:pPr>
      <w:pStyle w:val="Header"/>
      <w:jc w:val="right"/>
    </w:pPr>
    <w:r>
      <w:t>ST/SG/AC.10/C.3/124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70610D"/>
    <w:multiLevelType w:val="hybridMultilevel"/>
    <w:tmpl w:val="F2309BAC"/>
    <w:lvl w:ilvl="0" w:tplc="8D6E4394">
      <w:start w:val="3"/>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A43C2E"/>
    <w:multiLevelType w:val="hybridMultilevel"/>
    <w:tmpl w:val="608687CA"/>
    <w:lvl w:ilvl="0" w:tplc="EE0E15DE">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B5278"/>
    <w:multiLevelType w:val="hybridMultilevel"/>
    <w:tmpl w:val="CCAEDFB2"/>
    <w:lvl w:ilvl="0" w:tplc="E578A8C2">
      <w:start w:val="1"/>
      <w:numFmt w:val="upperLetter"/>
      <w:lvlText w:val="%1."/>
      <w:lvlJc w:val="left"/>
      <w:pPr>
        <w:ind w:left="1560" w:hanging="4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10" w15:restartNumberingAfterBreak="0">
    <w:nsid w:val="418A7AE5"/>
    <w:multiLevelType w:val="hybridMultilevel"/>
    <w:tmpl w:val="8D7440B6"/>
    <w:lvl w:ilvl="0" w:tplc="A0624064">
      <w:start w:val="1"/>
      <w:numFmt w:val="decimal"/>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1" w15:restartNumberingAfterBreak="0">
    <w:nsid w:val="45854350"/>
    <w:multiLevelType w:val="hybridMultilevel"/>
    <w:tmpl w:val="0F9AF16E"/>
    <w:lvl w:ilvl="0" w:tplc="4F5C0CD8">
      <w:start w:val="1"/>
      <w:numFmt w:val="upperLetter"/>
      <w:lvlText w:val="%1."/>
      <w:lvlJc w:val="left"/>
      <w:pPr>
        <w:ind w:left="1500" w:hanging="36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12" w15:restartNumberingAfterBreak="0">
    <w:nsid w:val="46BC5003"/>
    <w:multiLevelType w:val="hybridMultilevel"/>
    <w:tmpl w:val="439AC32A"/>
    <w:lvl w:ilvl="0" w:tplc="DCBCD0E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4D090C46"/>
    <w:multiLevelType w:val="hybridMultilevel"/>
    <w:tmpl w:val="C34E094C"/>
    <w:lvl w:ilvl="0" w:tplc="D1449976">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D5720"/>
    <w:multiLevelType w:val="hybridMultilevel"/>
    <w:tmpl w:val="0076EF02"/>
    <w:lvl w:ilvl="0" w:tplc="2B40AC1A">
      <w:start w:val="1"/>
      <w:numFmt w:val="decimal"/>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70158412">
    <w:abstractNumId w:val="8"/>
  </w:num>
  <w:num w:numId="2" w16cid:durableId="1328440183">
    <w:abstractNumId w:val="6"/>
  </w:num>
  <w:num w:numId="3" w16cid:durableId="1525442794">
    <w:abstractNumId w:val="0"/>
  </w:num>
  <w:num w:numId="4" w16cid:durableId="598374218">
    <w:abstractNumId w:val="14"/>
  </w:num>
  <w:num w:numId="5" w16cid:durableId="240600296">
    <w:abstractNumId w:val="16"/>
  </w:num>
  <w:num w:numId="6" w16cid:durableId="1720785307">
    <w:abstractNumId w:val="18"/>
  </w:num>
  <w:num w:numId="7" w16cid:durableId="1033579572">
    <w:abstractNumId w:val="4"/>
  </w:num>
  <w:num w:numId="8" w16cid:durableId="229269991">
    <w:abstractNumId w:val="1"/>
  </w:num>
  <w:num w:numId="9" w16cid:durableId="1751347882">
    <w:abstractNumId w:val="17"/>
  </w:num>
  <w:num w:numId="10" w16cid:durableId="863985632">
    <w:abstractNumId w:val="1"/>
  </w:num>
  <w:num w:numId="11" w16cid:durableId="1032153278">
    <w:abstractNumId w:val="17"/>
  </w:num>
  <w:num w:numId="12" w16cid:durableId="451942761">
    <w:abstractNumId w:val="2"/>
  </w:num>
  <w:num w:numId="13" w16cid:durableId="1203397490">
    <w:abstractNumId w:val="2"/>
  </w:num>
  <w:num w:numId="14" w16cid:durableId="2134782648">
    <w:abstractNumId w:val="12"/>
  </w:num>
  <w:num w:numId="15" w16cid:durableId="1072921802">
    <w:abstractNumId w:val="3"/>
  </w:num>
  <w:num w:numId="16" w16cid:durableId="24990896">
    <w:abstractNumId w:val="5"/>
  </w:num>
  <w:num w:numId="17" w16cid:durableId="850488650">
    <w:abstractNumId w:val="13"/>
  </w:num>
  <w:num w:numId="18" w16cid:durableId="486628053">
    <w:abstractNumId w:val="15"/>
  </w:num>
  <w:num w:numId="19" w16cid:durableId="1762336615">
    <w:abstractNumId w:val="9"/>
  </w:num>
  <w:num w:numId="20" w16cid:durableId="1130899429">
    <w:abstractNumId w:val="11"/>
  </w:num>
  <w:num w:numId="21" w16cid:durableId="922958297">
    <w:abstractNumId w:val="10"/>
  </w:num>
  <w:num w:numId="22" w16cid:durableId="18954325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36"/>
    <w:rsid w:val="00006125"/>
    <w:rsid w:val="00010743"/>
    <w:rsid w:val="00010C99"/>
    <w:rsid w:val="000126BD"/>
    <w:rsid w:val="00022E71"/>
    <w:rsid w:val="000272EE"/>
    <w:rsid w:val="000308CF"/>
    <w:rsid w:val="00030A7F"/>
    <w:rsid w:val="00046E92"/>
    <w:rsid w:val="00055ADF"/>
    <w:rsid w:val="00063C90"/>
    <w:rsid w:val="00070000"/>
    <w:rsid w:val="00087734"/>
    <w:rsid w:val="0009134E"/>
    <w:rsid w:val="000A175A"/>
    <w:rsid w:val="000A6A1F"/>
    <w:rsid w:val="000A7761"/>
    <w:rsid w:val="000B1C46"/>
    <w:rsid w:val="000B1F77"/>
    <w:rsid w:val="000B4651"/>
    <w:rsid w:val="000B6329"/>
    <w:rsid w:val="000C075F"/>
    <w:rsid w:val="000C6A57"/>
    <w:rsid w:val="000D0159"/>
    <w:rsid w:val="000D08E3"/>
    <w:rsid w:val="000D1DAC"/>
    <w:rsid w:val="000D5B6D"/>
    <w:rsid w:val="000E77D8"/>
    <w:rsid w:val="000F29D8"/>
    <w:rsid w:val="00101B98"/>
    <w:rsid w:val="001034BF"/>
    <w:rsid w:val="0010493D"/>
    <w:rsid w:val="00104BC0"/>
    <w:rsid w:val="0010513B"/>
    <w:rsid w:val="0011231E"/>
    <w:rsid w:val="00112F66"/>
    <w:rsid w:val="00114BE9"/>
    <w:rsid w:val="00114C2B"/>
    <w:rsid w:val="00115633"/>
    <w:rsid w:val="00116209"/>
    <w:rsid w:val="001239DB"/>
    <w:rsid w:val="001374E7"/>
    <w:rsid w:val="001514D1"/>
    <w:rsid w:val="001542C9"/>
    <w:rsid w:val="001614C0"/>
    <w:rsid w:val="001619CC"/>
    <w:rsid w:val="00163068"/>
    <w:rsid w:val="00165031"/>
    <w:rsid w:val="00171CE8"/>
    <w:rsid w:val="00175B5A"/>
    <w:rsid w:val="00176A5F"/>
    <w:rsid w:val="001776E9"/>
    <w:rsid w:val="00177B27"/>
    <w:rsid w:val="00177EEB"/>
    <w:rsid w:val="00182546"/>
    <w:rsid w:val="00185788"/>
    <w:rsid w:val="00185BA8"/>
    <w:rsid w:val="0019624B"/>
    <w:rsid w:val="00197B32"/>
    <w:rsid w:val="001A60DD"/>
    <w:rsid w:val="001A6C08"/>
    <w:rsid w:val="001B75B1"/>
    <w:rsid w:val="001C34E4"/>
    <w:rsid w:val="001D00A7"/>
    <w:rsid w:val="001D3387"/>
    <w:rsid w:val="002034C1"/>
    <w:rsid w:val="002050CB"/>
    <w:rsid w:val="00206218"/>
    <w:rsid w:val="00213D62"/>
    <w:rsid w:val="0021708D"/>
    <w:rsid w:val="002218F8"/>
    <w:rsid w:val="0022423B"/>
    <w:rsid w:val="0023489A"/>
    <w:rsid w:val="00237051"/>
    <w:rsid w:val="00241729"/>
    <w:rsid w:val="00242920"/>
    <w:rsid w:val="00246CA7"/>
    <w:rsid w:val="00247A9B"/>
    <w:rsid w:val="00247E2C"/>
    <w:rsid w:val="002603B4"/>
    <w:rsid w:val="002604FB"/>
    <w:rsid w:val="00266AEB"/>
    <w:rsid w:val="00271A96"/>
    <w:rsid w:val="00276E15"/>
    <w:rsid w:val="0028167A"/>
    <w:rsid w:val="00283606"/>
    <w:rsid w:val="002A32CB"/>
    <w:rsid w:val="002A3EFD"/>
    <w:rsid w:val="002A62BB"/>
    <w:rsid w:val="002B40D4"/>
    <w:rsid w:val="002C4AF1"/>
    <w:rsid w:val="002D0AFB"/>
    <w:rsid w:val="002D3EAE"/>
    <w:rsid w:val="002D58A5"/>
    <w:rsid w:val="002D5B2C"/>
    <w:rsid w:val="002D6491"/>
    <w:rsid w:val="002D6C53"/>
    <w:rsid w:val="002D7463"/>
    <w:rsid w:val="002D78A0"/>
    <w:rsid w:val="002D7BCC"/>
    <w:rsid w:val="002E254E"/>
    <w:rsid w:val="002E2DF4"/>
    <w:rsid w:val="002F5595"/>
    <w:rsid w:val="002F6830"/>
    <w:rsid w:val="00310EB9"/>
    <w:rsid w:val="00310FEB"/>
    <w:rsid w:val="00314123"/>
    <w:rsid w:val="00323A33"/>
    <w:rsid w:val="00326F24"/>
    <w:rsid w:val="00334B37"/>
    <w:rsid w:val="00334F6A"/>
    <w:rsid w:val="003352BE"/>
    <w:rsid w:val="00335F3D"/>
    <w:rsid w:val="00336A91"/>
    <w:rsid w:val="00337287"/>
    <w:rsid w:val="0033766E"/>
    <w:rsid w:val="00342757"/>
    <w:rsid w:val="00342AC8"/>
    <w:rsid w:val="00343302"/>
    <w:rsid w:val="00350796"/>
    <w:rsid w:val="00354E4C"/>
    <w:rsid w:val="00354EED"/>
    <w:rsid w:val="0036224A"/>
    <w:rsid w:val="00362536"/>
    <w:rsid w:val="00366CCE"/>
    <w:rsid w:val="00371FC2"/>
    <w:rsid w:val="00373D1C"/>
    <w:rsid w:val="00376FCD"/>
    <w:rsid w:val="00384830"/>
    <w:rsid w:val="00384DF3"/>
    <w:rsid w:val="00391C78"/>
    <w:rsid w:val="003979DE"/>
    <w:rsid w:val="003A5193"/>
    <w:rsid w:val="003B4550"/>
    <w:rsid w:val="003B7D0D"/>
    <w:rsid w:val="003C6A8A"/>
    <w:rsid w:val="003D2A18"/>
    <w:rsid w:val="003D3119"/>
    <w:rsid w:val="003D5551"/>
    <w:rsid w:val="003E3699"/>
    <w:rsid w:val="003E7871"/>
    <w:rsid w:val="003F0C0A"/>
    <w:rsid w:val="003F0D20"/>
    <w:rsid w:val="003F2D50"/>
    <w:rsid w:val="003F5921"/>
    <w:rsid w:val="003F6FFA"/>
    <w:rsid w:val="0040079B"/>
    <w:rsid w:val="00402305"/>
    <w:rsid w:val="00402CCB"/>
    <w:rsid w:val="00413386"/>
    <w:rsid w:val="004161ED"/>
    <w:rsid w:val="00421012"/>
    <w:rsid w:val="004262E7"/>
    <w:rsid w:val="004450A8"/>
    <w:rsid w:val="0044780E"/>
    <w:rsid w:val="004504C7"/>
    <w:rsid w:val="00457190"/>
    <w:rsid w:val="00461253"/>
    <w:rsid w:val="00461B99"/>
    <w:rsid w:val="0046597C"/>
    <w:rsid w:val="0046723F"/>
    <w:rsid w:val="00484D2F"/>
    <w:rsid w:val="004858F5"/>
    <w:rsid w:val="004A2814"/>
    <w:rsid w:val="004B4E02"/>
    <w:rsid w:val="004C0622"/>
    <w:rsid w:val="004D4538"/>
    <w:rsid w:val="004E21CC"/>
    <w:rsid w:val="004E7ED8"/>
    <w:rsid w:val="004F0A09"/>
    <w:rsid w:val="004F73D0"/>
    <w:rsid w:val="00501E23"/>
    <w:rsid w:val="005026FA"/>
    <w:rsid w:val="005042C2"/>
    <w:rsid w:val="0050645B"/>
    <w:rsid w:val="0052289C"/>
    <w:rsid w:val="00523074"/>
    <w:rsid w:val="005249BE"/>
    <w:rsid w:val="00527980"/>
    <w:rsid w:val="00534DFA"/>
    <w:rsid w:val="0054762B"/>
    <w:rsid w:val="005476FA"/>
    <w:rsid w:val="00547C64"/>
    <w:rsid w:val="0055372C"/>
    <w:rsid w:val="00554C2F"/>
    <w:rsid w:val="0055521F"/>
    <w:rsid w:val="00557FEB"/>
    <w:rsid w:val="005806B8"/>
    <w:rsid w:val="00582DDE"/>
    <w:rsid w:val="00585C32"/>
    <w:rsid w:val="00595056"/>
    <w:rsid w:val="005970BF"/>
    <w:rsid w:val="005B3149"/>
    <w:rsid w:val="005B5296"/>
    <w:rsid w:val="005B5BA9"/>
    <w:rsid w:val="005B5C5B"/>
    <w:rsid w:val="005C424D"/>
    <w:rsid w:val="005D1618"/>
    <w:rsid w:val="005D4DAB"/>
    <w:rsid w:val="005D50FF"/>
    <w:rsid w:val="005D5944"/>
    <w:rsid w:val="005E716E"/>
    <w:rsid w:val="006007F9"/>
    <w:rsid w:val="00601254"/>
    <w:rsid w:val="00602743"/>
    <w:rsid w:val="00610485"/>
    <w:rsid w:val="0061350E"/>
    <w:rsid w:val="00617010"/>
    <w:rsid w:val="006170C6"/>
    <w:rsid w:val="006175C5"/>
    <w:rsid w:val="00625AD5"/>
    <w:rsid w:val="0062604A"/>
    <w:rsid w:val="00626D66"/>
    <w:rsid w:val="00627E1E"/>
    <w:rsid w:val="0063651F"/>
    <w:rsid w:val="00637655"/>
    <w:rsid w:val="00645CC3"/>
    <w:rsid w:val="006476E1"/>
    <w:rsid w:val="00653D45"/>
    <w:rsid w:val="006601BE"/>
    <w:rsid w:val="006604DF"/>
    <w:rsid w:val="0067009E"/>
    <w:rsid w:val="00671529"/>
    <w:rsid w:val="00681430"/>
    <w:rsid w:val="0068198C"/>
    <w:rsid w:val="00694786"/>
    <w:rsid w:val="006949D2"/>
    <w:rsid w:val="006A14CB"/>
    <w:rsid w:val="006A4B54"/>
    <w:rsid w:val="006A6F7D"/>
    <w:rsid w:val="006B0455"/>
    <w:rsid w:val="006B0590"/>
    <w:rsid w:val="006B3BB9"/>
    <w:rsid w:val="006C5C99"/>
    <w:rsid w:val="006D2D39"/>
    <w:rsid w:val="006D3412"/>
    <w:rsid w:val="006D3C80"/>
    <w:rsid w:val="006D7A77"/>
    <w:rsid w:val="006E1EBC"/>
    <w:rsid w:val="006F1EF5"/>
    <w:rsid w:val="006F72DA"/>
    <w:rsid w:val="007005CB"/>
    <w:rsid w:val="0070489D"/>
    <w:rsid w:val="00704F53"/>
    <w:rsid w:val="007064F5"/>
    <w:rsid w:val="00706CB6"/>
    <w:rsid w:val="007073EF"/>
    <w:rsid w:val="00710426"/>
    <w:rsid w:val="00710B00"/>
    <w:rsid w:val="007126EB"/>
    <w:rsid w:val="00714C5E"/>
    <w:rsid w:val="007200A1"/>
    <w:rsid w:val="007260D4"/>
    <w:rsid w:val="00726882"/>
    <w:rsid w:val="007268F9"/>
    <w:rsid w:val="00731994"/>
    <w:rsid w:val="007400B9"/>
    <w:rsid w:val="00742177"/>
    <w:rsid w:val="007476BF"/>
    <w:rsid w:val="00750282"/>
    <w:rsid w:val="007507B9"/>
    <w:rsid w:val="007639AC"/>
    <w:rsid w:val="00764440"/>
    <w:rsid w:val="0077101B"/>
    <w:rsid w:val="007748FF"/>
    <w:rsid w:val="0078120A"/>
    <w:rsid w:val="00793D59"/>
    <w:rsid w:val="007A0D8A"/>
    <w:rsid w:val="007A7ED4"/>
    <w:rsid w:val="007B16FC"/>
    <w:rsid w:val="007B1DF3"/>
    <w:rsid w:val="007B1F93"/>
    <w:rsid w:val="007C269F"/>
    <w:rsid w:val="007C38A2"/>
    <w:rsid w:val="007C4311"/>
    <w:rsid w:val="007C52B0"/>
    <w:rsid w:val="007C6033"/>
    <w:rsid w:val="007C67DB"/>
    <w:rsid w:val="007D1126"/>
    <w:rsid w:val="007D251F"/>
    <w:rsid w:val="007D3260"/>
    <w:rsid w:val="007D4BD8"/>
    <w:rsid w:val="007D517E"/>
    <w:rsid w:val="007D6F7F"/>
    <w:rsid w:val="007E23DF"/>
    <w:rsid w:val="007E627A"/>
    <w:rsid w:val="007E71A9"/>
    <w:rsid w:val="007F07E6"/>
    <w:rsid w:val="007F6A85"/>
    <w:rsid w:val="00801DFC"/>
    <w:rsid w:val="0080413D"/>
    <w:rsid w:val="00805A8C"/>
    <w:rsid w:val="00806EB1"/>
    <w:rsid w:val="00812D18"/>
    <w:rsid w:val="008147C8"/>
    <w:rsid w:val="0081753A"/>
    <w:rsid w:val="00820917"/>
    <w:rsid w:val="008301FE"/>
    <w:rsid w:val="0083294A"/>
    <w:rsid w:val="008329D1"/>
    <w:rsid w:val="00834002"/>
    <w:rsid w:val="008345F9"/>
    <w:rsid w:val="0084461E"/>
    <w:rsid w:val="0084619A"/>
    <w:rsid w:val="00846683"/>
    <w:rsid w:val="00851717"/>
    <w:rsid w:val="00853EAF"/>
    <w:rsid w:val="00854521"/>
    <w:rsid w:val="0085791A"/>
    <w:rsid w:val="00857D23"/>
    <w:rsid w:val="00862E42"/>
    <w:rsid w:val="00871619"/>
    <w:rsid w:val="0087432E"/>
    <w:rsid w:val="00874C95"/>
    <w:rsid w:val="00876965"/>
    <w:rsid w:val="00877903"/>
    <w:rsid w:val="00881EA3"/>
    <w:rsid w:val="00891F50"/>
    <w:rsid w:val="0089397F"/>
    <w:rsid w:val="00893C97"/>
    <w:rsid w:val="008A455E"/>
    <w:rsid w:val="008B2707"/>
    <w:rsid w:val="008D3301"/>
    <w:rsid w:val="008E08C4"/>
    <w:rsid w:val="008E2B01"/>
    <w:rsid w:val="008F66E3"/>
    <w:rsid w:val="00900027"/>
    <w:rsid w:val="00904E06"/>
    <w:rsid w:val="009078D5"/>
    <w:rsid w:val="00907BB2"/>
    <w:rsid w:val="00913D5D"/>
    <w:rsid w:val="00917872"/>
    <w:rsid w:val="00931AB7"/>
    <w:rsid w:val="00932734"/>
    <w:rsid w:val="00933567"/>
    <w:rsid w:val="009411B4"/>
    <w:rsid w:val="00943166"/>
    <w:rsid w:val="00946F1D"/>
    <w:rsid w:val="00951BC9"/>
    <w:rsid w:val="0096298D"/>
    <w:rsid w:val="00970A64"/>
    <w:rsid w:val="00977BB2"/>
    <w:rsid w:val="00984372"/>
    <w:rsid w:val="00984445"/>
    <w:rsid w:val="00984F66"/>
    <w:rsid w:val="0098551B"/>
    <w:rsid w:val="009958A0"/>
    <w:rsid w:val="00997C9A"/>
    <w:rsid w:val="009A04C3"/>
    <w:rsid w:val="009A25BF"/>
    <w:rsid w:val="009B4D2B"/>
    <w:rsid w:val="009C00FD"/>
    <w:rsid w:val="009C154C"/>
    <w:rsid w:val="009C34E6"/>
    <w:rsid w:val="009D0139"/>
    <w:rsid w:val="009D6FAD"/>
    <w:rsid w:val="009D717D"/>
    <w:rsid w:val="009E2E45"/>
    <w:rsid w:val="009E5CDD"/>
    <w:rsid w:val="009E61DA"/>
    <w:rsid w:val="009F0757"/>
    <w:rsid w:val="009F0972"/>
    <w:rsid w:val="009F3BFB"/>
    <w:rsid w:val="009F5156"/>
    <w:rsid w:val="009F5CDC"/>
    <w:rsid w:val="00A0547A"/>
    <w:rsid w:val="00A05CF4"/>
    <w:rsid w:val="00A072D7"/>
    <w:rsid w:val="00A20FAF"/>
    <w:rsid w:val="00A22D38"/>
    <w:rsid w:val="00A2592A"/>
    <w:rsid w:val="00A2770C"/>
    <w:rsid w:val="00A33709"/>
    <w:rsid w:val="00A33D65"/>
    <w:rsid w:val="00A34B3A"/>
    <w:rsid w:val="00A410E2"/>
    <w:rsid w:val="00A42D78"/>
    <w:rsid w:val="00A46556"/>
    <w:rsid w:val="00A57A23"/>
    <w:rsid w:val="00A6432F"/>
    <w:rsid w:val="00A65205"/>
    <w:rsid w:val="00A67A00"/>
    <w:rsid w:val="00A70204"/>
    <w:rsid w:val="00A775CF"/>
    <w:rsid w:val="00A87A21"/>
    <w:rsid w:val="00A90490"/>
    <w:rsid w:val="00A9454C"/>
    <w:rsid w:val="00AA420A"/>
    <w:rsid w:val="00AA55D9"/>
    <w:rsid w:val="00AB001F"/>
    <w:rsid w:val="00AB1A4F"/>
    <w:rsid w:val="00AD1A9C"/>
    <w:rsid w:val="00AD52BD"/>
    <w:rsid w:val="00AD6002"/>
    <w:rsid w:val="00AD7774"/>
    <w:rsid w:val="00AE46EE"/>
    <w:rsid w:val="00AF015F"/>
    <w:rsid w:val="00AF325A"/>
    <w:rsid w:val="00AF3954"/>
    <w:rsid w:val="00AF57E3"/>
    <w:rsid w:val="00AF5DA7"/>
    <w:rsid w:val="00AF5DE1"/>
    <w:rsid w:val="00B06045"/>
    <w:rsid w:val="00B16C30"/>
    <w:rsid w:val="00B16D65"/>
    <w:rsid w:val="00B16F70"/>
    <w:rsid w:val="00B206DD"/>
    <w:rsid w:val="00B2170D"/>
    <w:rsid w:val="00B25A2D"/>
    <w:rsid w:val="00B27437"/>
    <w:rsid w:val="00B30ADA"/>
    <w:rsid w:val="00B314D1"/>
    <w:rsid w:val="00B40248"/>
    <w:rsid w:val="00B42F9F"/>
    <w:rsid w:val="00B4459E"/>
    <w:rsid w:val="00B52DA2"/>
    <w:rsid w:val="00B52EF4"/>
    <w:rsid w:val="00B53EA2"/>
    <w:rsid w:val="00B5409E"/>
    <w:rsid w:val="00B54B00"/>
    <w:rsid w:val="00B56B2E"/>
    <w:rsid w:val="00B657C9"/>
    <w:rsid w:val="00B736F6"/>
    <w:rsid w:val="00B73B4D"/>
    <w:rsid w:val="00B744D0"/>
    <w:rsid w:val="00B777AD"/>
    <w:rsid w:val="00B81100"/>
    <w:rsid w:val="00B82505"/>
    <w:rsid w:val="00B82867"/>
    <w:rsid w:val="00B90151"/>
    <w:rsid w:val="00B909CA"/>
    <w:rsid w:val="00B90CEC"/>
    <w:rsid w:val="00BA4929"/>
    <w:rsid w:val="00BC0F14"/>
    <w:rsid w:val="00BC17B5"/>
    <w:rsid w:val="00BC5B56"/>
    <w:rsid w:val="00BC7438"/>
    <w:rsid w:val="00BD090A"/>
    <w:rsid w:val="00BD1290"/>
    <w:rsid w:val="00BE096F"/>
    <w:rsid w:val="00BE2391"/>
    <w:rsid w:val="00BE4C35"/>
    <w:rsid w:val="00BE57BC"/>
    <w:rsid w:val="00BE5918"/>
    <w:rsid w:val="00BE7BEA"/>
    <w:rsid w:val="00BF6CF4"/>
    <w:rsid w:val="00C03015"/>
    <w:rsid w:val="00C030A5"/>
    <w:rsid w:val="00C0358D"/>
    <w:rsid w:val="00C05F4C"/>
    <w:rsid w:val="00C0622D"/>
    <w:rsid w:val="00C1296B"/>
    <w:rsid w:val="00C15534"/>
    <w:rsid w:val="00C31D3F"/>
    <w:rsid w:val="00C33915"/>
    <w:rsid w:val="00C35A27"/>
    <w:rsid w:val="00C41A5F"/>
    <w:rsid w:val="00C445F6"/>
    <w:rsid w:val="00C45DCD"/>
    <w:rsid w:val="00C473D2"/>
    <w:rsid w:val="00C47B2E"/>
    <w:rsid w:val="00C52240"/>
    <w:rsid w:val="00C53072"/>
    <w:rsid w:val="00C53778"/>
    <w:rsid w:val="00C53975"/>
    <w:rsid w:val="00C553C1"/>
    <w:rsid w:val="00C646B6"/>
    <w:rsid w:val="00C65F03"/>
    <w:rsid w:val="00C70DC8"/>
    <w:rsid w:val="00C75D6F"/>
    <w:rsid w:val="00C8378D"/>
    <w:rsid w:val="00C84C66"/>
    <w:rsid w:val="00C93CA6"/>
    <w:rsid w:val="00C94E18"/>
    <w:rsid w:val="00CA0A1E"/>
    <w:rsid w:val="00CA1746"/>
    <w:rsid w:val="00CA18B0"/>
    <w:rsid w:val="00CA2A09"/>
    <w:rsid w:val="00CA37AF"/>
    <w:rsid w:val="00CA3A92"/>
    <w:rsid w:val="00CA4F79"/>
    <w:rsid w:val="00CB03AA"/>
    <w:rsid w:val="00CB6620"/>
    <w:rsid w:val="00CC4AC2"/>
    <w:rsid w:val="00CD2331"/>
    <w:rsid w:val="00CD57E8"/>
    <w:rsid w:val="00CD61F7"/>
    <w:rsid w:val="00CE14F0"/>
    <w:rsid w:val="00CE6D9A"/>
    <w:rsid w:val="00CF25EB"/>
    <w:rsid w:val="00CF2811"/>
    <w:rsid w:val="00D02446"/>
    <w:rsid w:val="00D034BC"/>
    <w:rsid w:val="00D03BEB"/>
    <w:rsid w:val="00D0599B"/>
    <w:rsid w:val="00D11019"/>
    <w:rsid w:val="00D25AEB"/>
    <w:rsid w:val="00D263B2"/>
    <w:rsid w:val="00D36958"/>
    <w:rsid w:val="00D36F27"/>
    <w:rsid w:val="00D45007"/>
    <w:rsid w:val="00D50522"/>
    <w:rsid w:val="00D54B9E"/>
    <w:rsid w:val="00D62927"/>
    <w:rsid w:val="00D63CD2"/>
    <w:rsid w:val="00D6735E"/>
    <w:rsid w:val="00D719E5"/>
    <w:rsid w:val="00D77053"/>
    <w:rsid w:val="00D80F7F"/>
    <w:rsid w:val="00D87DC2"/>
    <w:rsid w:val="00D935C7"/>
    <w:rsid w:val="00D93887"/>
    <w:rsid w:val="00D94B05"/>
    <w:rsid w:val="00D9620E"/>
    <w:rsid w:val="00DA05D0"/>
    <w:rsid w:val="00DA1046"/>
    <w:rsid w:val="00DA146D"/>
    <w:rsid w:val="00DA27A0"/>
    <w:rsid w:val="00DA2B58"/>
    <w:rsid w:val="00DA46A5"/>
    <w:rsid w:val="00DA558C"/>
    <w:rsid w:val="00DA614A"/>
    <w:rsid w:val="00DA6CD1"/>
    <w:rsid w:val="00DB60BD"/>
    <w:rsid w:val="00DC0F10"/>
    <w:rsid w:val="00DC33E0"/>
    <w:rsid w:val="00DC6667"/>
    <w:rsid w:val="00DC71ED"/>
    <w:rsid w:val="00DC7379"/>
    <w:rsid w:val="00DD55DF"/>
    <w:rsid w:val="00DD7B44"/>
    <w:rsid w:val="00DE2F97"/>
    <w:rsid w:val="00DE5A84"/>
    <w:rsid w:val="00DF625F"/>
    <w:rsid w:val="00DF6C43"/>
    <w:rsid w:val="00E02C2B"/>
    <w:rsid w:val="00E07E3E"/>
    <w:rsid w:val="00E14A8C"/>
    <w:rsid w:val="00E1797D"/>
    <w:rsid w:val="00E2070E"/>
    <w:rsid w:val="00E2184D"/>
    <w:rsid w:val="00E21C27"/>
    <w:rsid w:val="00E22558"/>
    <w:rsid w:val="00E22953"/>
    <w:rsid w:val="00E22ED3"/>
    <w:rsid w:val="00E25824"/>
    <w:rsid w:val="00E269CD"/>
    <w:rsid w:val="00E26BCF"/>
    <w:rsid w:val="00E30E1F"/>
    <w:rsid w:val="00E32137"/>
    <w:rsid w:val="00E33673"/>
    <w:rsid w:val="00E337B3"/>
    <w:rsid w:val="00E33CAA"/>
    <w:rsid w:val="00E35A75"/>
    <w:rsid w:val="00E36909"/>
    <w:rsid w:val="00E52109"/>
    <w:rsid w:val="00E53329"/>
    <w:rsid w:val="00E60C3E"/>
    <w:rsid w:val="00E61495"/>
    <w:rsid w:val="00E64368"/>
    <w:rsid w:val="00E66627"/>
    <w:rsid w:val="00E7354B"/>
    <w:rsid w:val="00E75317"/>
    <w:rsid w:val="00E75568"/>
    <w:rsid w:val="00E75F36"/>
    <w:rsid w:val="00E8059C"/>
    <w:rsid w:val="00E87371"/>
    <w:rsid w:val="00E87CD7"/>
    <w:rsid w:val="00E9034B"/>
    <w:rsid w:val="00E90CC2"/>
    <w:rsid w:val="00E95549"/>
    <w:rsid w:val="00E963D5"/>
    <w:rsid w:val="00E973BA"/>
    <w:rsid w:val="00EA61A4"/>
    <w:rsid w:val="00EA7416"/>
    <w:rsid w:val="00EB464B"/>
    <w:rsid w:val="00EB7F36"/>
    <w:rsid w:val="00EC0CE6"/>
    <w:rsid w:val="00EC23B5"/>
    <w:rsid w:val="00EC3286"/>
    <w:rsid w:val="00EC3F70"/>
    <w:rsid w:val="00EC64B5"/>
    <w:rsid w:val="00EC78E0"/>
    <w:rsid w:val="00EC7C1D"/>
    <w:rsid w:val="00ED364B"/>
    <w:rsid w:val="00ED6C48"/>
    <w:rsid w:val="00ED7396"/>
    <w:rsid w:val="00ED73EF"/>
    <w:rsid w:val="00EE3045"/>
    <w:rsid w:val="00EE6E8D"/>
    <w:rsid w:val="00EE77D3"/>
    <w:rsid w:val="00EF20B2"/>
    <w:rsid w:val="00EF3B11"/>
    <w:rsid w:val="00F05A01"/>
    <w:rsid w:val="00F069B1"/>
    <w:rsid w:val="00F118CD"/>
    <w:rsid w:val="00F14652"/>
    <w:rsid w:val="00F205B9"/>
    <w:rsid w:val="00F269C5"/>
    <w:rsid w:val="00F475DA"/>
    <w:rsid w:val="00F53129"/>
    <w:rsid w:val="00F57A3B"/>
    <w:rsid w:val="00F65F5D"/>
    <w:rsid w:val="00F661AE"/>
    <w:rsid w:val="00F86A3A"/>
    <w:rsid w:val="00F9621A"/>
    <w:rsid w:val="00FA42DA"/>
    <w:rsid w:val="00FA5750"/>
    <w:rsid w:val="00FB0C5E"/>
    <w:rsid w:val="00FB11D8"/>
    <w:rsid w:val="00FB1317"/>
    <w:rsid w:val="00FB193C"/>
    <w:rsid w:val="00FC2E12"/>
    <w:rsid w:val="00FC457B"/>
    <w:rsid w:val="00FC4ECB"/>
    <w:rsid w:val="00FC6CB1"/>
    <w:rsid w:val="00FE2AC5"/>
    <w:rsid w:val="00FF2F2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64A21"/>
  <w15:docId w15:val="{52166DED-A17B-409D-8273-5DD5E33B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AB001F"/>
    <w:rPr>
      <w:b/>
      <w:sz w:val="28"/>
    </w:rPr>
  </w:style>
  <w:style w:type="character" w:customStyle="1" w:styleId="SingleTxtGChar">
    <w:name w:val="_ Single Txt_G Char"/>
    <w:link w:val="SingleTxtG"/>
    <w:qFormat/>
    <w:locked/>
    <w:rsid w:val="00AB001F"/>
  </w:style>
  <w:style w:type="character" w:customStyle="1" w:styleId="H1GChar">
    <w:name w:val="_ H_1_G Char"/>
    <w:link w:val="H1G"/>
    <w:qFormat/>
    <w:rsid w:val="00AB001F"/>
    <w:rPr>
      <w:b/>
      <w:sz w:val="24"/>
    </w:rPr>
  </w:style>
  <w:style w:type="character" w:customStyle="1" w:styleId="normaltextrun">
    <w:name w:val="normaltextrun"/>
    <w:basedOn w:val="DefaultParagraphFont"/>
    <w:rsid w:val="00AB001F"/>
  </w:style>
  <w:style w:type="character" w:styleId="CommentReference">
    <w:name w:val="annotation reference"/>
    <w:basedOn w:val="DefaultParagraphFont"/>
    <w:uiPriority w:val="99"/>
    <w:semiHidden/>
    <w:unhideWhenUsed/>
    <w:rsid w:val="00805A8C"/>
    <w:rPr>
      <w:sz w:val="16"/>
      <w:szCs w:val="16"/>
    </w:rPr>
  </w:style>
  <w:style w:type="paragraph" w:styleId="CommentText">
    <w:name w:val="annotation text"/>
    <w:basedOn w:val="Normal"/>
    <w:link w:val="CommentTextChar"/>
    <w:uiPriority w:val="99"/>
    <w:semiHidden/>
    <w:unhideWhenUsed/>
    <w:rsid w:val="00805A8C"/>
    <w:pPr>
      <w:spacing w:line="240" w:lineRule="auto"/>
    </w:pPr>
  </w:style>
  <w:style w:type="character" w:customStyle="1" w:styleId="CommentTextChar">
    <w:name w:val="Comment Text Char"/>
    <w:basedOn w:val="DefaultParagraphFont"/>
    <w:link w:val="CommentText"/>
    <w:uiPriority w:val="99"/>
    <w:semiHidden/>
    <w:rsid w:val="00805A8C"/>
  </w:style>
  <w:style w:type="paragraph" w:styleId="CommentSubject">
    <w:name w:val="annotation subject"/>
    <w:basedOn w:val="CommentText"/>
    <w:next w:val="CommentText"/>
    <w:link w:val="CommentSubjectChar"/>
    <w:uiPriority w:val="99"/>
    <w:semiHidden/>
    <w:unhideWhenUsed/>
    <w:rsid w:val="00805A8C"/>
    <w:rPr>
      <w:b/>
      <w:bCs/>
    </w:rPr>
  </w:style>
  <w:style w:type="character" w:customStyle="1" w:styleId="CommentSubjectChar">
    <w:name w:val="Comment Subject Char"/>
    <w:basedOn w:val="CommentTextChar"/>
    <w:link w:val="CommentSubject"/>
    <w:uiPriority w:val="99"/>
    <w:semiHidden/>
    <w:rsid w:val="00805A8C"/>
    <w:rPr>
      <w:b/>
      <w:bCs/>
    </w:rPr>
  </w:style>
  <w:style w:type="character" w:customStyle="1" w:styleId="H23GChar">
    <w:name w:val="_ H_2/3_G Char"/>
    <w:link w:val="H23G"/>
    <w:rsid w:val="00010743"/>
    <w:rPr>
      <w:b/>
    </w:rPr>
  </w:style>
  <w:style w:type="character" w:customStyle="1" w:styleId="ui-provider">
    <w:name w:val="ui-provider"/>
    <w:basedOn w:val="DefaultParagraphFont"/>
    <w:rsid w:val="00A2770C"/>
  </w:style>
  <w:style w:type="paragraph" w:styleId="Revision">
    <w:name w:val="Revision"/>
    <w:hidden/>
    <w:uiPriority w:val="99"/>
    <w:semiHidden/>
    <w:rsid w:val="00D263B2"/>
    <w:pPr>
      <w:spacing w:line="240" w:lineRule="auto"/>
    </w:pPr>
  </w:style>
  <w:style w:type="paragraph" w:styleId="ListParagraph">
    <w:name w:val="List Paragraph"/>
    <w:basedOn w:val="Normal"/>
    <w:uiPriority w:val="34"/>
    <w:qFormat/>
    <w:rsid w:val="0063651F"/>
    <w:pPr>
      <w:suppressAutoHyphens/>
      <w:ind w:left="720"/>
      <w:contextualSpacing/>
    </w:pPr>
    <w:rPr>
      <w:rFonts w:eastAsia="Times New Roman"/>
      <w:lang w:eastAsia="en-US"/>
    </w:rPr>
  </w:style>
  <w:style w:type="character" w:styleId="UnresolvedMention">
    <w:name w:val="Unresolved Mention"/>
    <w:basedOn w:val="DefaultParagraphFont"/>
    <w:uiPriority w:val="99"/>
    <w:semiHidden/>
    <w:unhideWhenUsed/>
    <w:rsid w:val="0017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guiding-principl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f.unog.ch/dcmsurv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DA99308B-9ED3-4B74-A65E-100915D1918E}"/>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20</Pages>
  <Words>7653</Words>
  <Characters>42713</Characters>
  <Application>Microsoft Office Word</Application>
  <DocSecurity>0</DocSecurity>
  <Lines>800</Lines>
  <Paragraphs>394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ST/SG/AC.10/C.3/124</vt:lpstr>
      <vt:lpstr/>
    </vt:vector>
  </TitlesOfParts>
  <Company/>
  <LinksUpToDate>false</LinksUpToDate>
  <CharactersWithSpaces>50364</CharactersWithSpaces>
  <SharedDoc>false</SharedDoc>
  <HLinks>
    <vt:vector size="12" baseType="variant">
      <vt:variant>
        <vt:i4>5701714</vt:i4>
      </vt:variant>
      <vt:variant>
        <vt:i4>0</vt:i4>
      </vt:variant>
      <vt:variant>
        <vt:i4>0</vt:i4>
      </vt:variant>
      <vt:variant>
        <vt:i4>5</vt:i4>
      </vt:variant>
      <vt:variant>
        <vt:lpwstr>https://unece.org/guiding-principles</vt:lpwstr>
      </vt:variant>
      <vt:variant>
        <vt:lpwstr/>
      </vt:variant>
      <vt:variant>
        <vt:i4>4849750</vt:i4>
      </vt:variant>
      <vt:variant>
        <vt:i4>0</vt:i4>
      </vt:variant>
      <vt:variant>
        <vt:i4>0</vt:i4>
      </vt:variant>
      <vt:variant>
        <vt:i4>5</vt:i4>
      </vt:variant>
      <vt:variant>
        <vt:lpwstr>http://conf.unog.ch/dcmsurvey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ST/SG/AC.10/C.3/124</dc:title>
  <dc:subject>2314338</dc:subject>
  <dc:creator>Alicia DORCA-GARCIA</dc:creator>
  <cp:keywords/>
  <dc:description/>
  <cp:lastModifiedBy>Ma. Cristina Brigoli</cp:lastModifiedBy>
  <cp:revision>2</cp:revision>
  <cp:lastPrinted>2023-07-21T15:16:00Z</cp:lastPrinted>
  <dcterms:created xsi:type="dcterms:W3CDTF">2023-07-21T15:21:00Z</dcterms:created>
  <dcterms:modified xsi:type="dcterms:W3CDTF">2023-07-21T15:21:00Z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