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3DB5" w14:textId="54872584" w:rsidR="00062404" w:rsidRPr="00405728" w:rsidRDefault="00062404" w:rsidP="007A19E1">
      <w:pPr>
        <w:spacing w:line="240" w:lineRule="auto"/>
        <w:jc w:val="right"/>
        <w:rPr>
          <w:b/>
          <w:sz w:val="12"/>
          <w:szCs w:val="12"/>
        </w:rPr>
      </w:pPr>
      <w:r w:rsidRPr="00405728">
        <w:rPr>
          <w:b/>
          <w:sz w:val="24"/>
          <w:szCs w:val="24"/>
        </w:rPr>
        <w:t>Corrigendum</w:t>
      </w:r>
      <w:r w:rsidRPr="00405728">
        <w:rPr>
          <w:b/>
          <w:sz w:val="24"/>
          <w:szCs w:val="24"/>
        </w:rPr>
        <w:br/>
      </w:r>
      <w:r w:rsidRPr="00405728">
        <w:rPr>
          <w:b/>
          <w:sz w:val="24"/>
          <w:szCs w:val="24"/>
        </w:rPr>
        <w:br/>
        <w:t xml:space="preserve">Ref. Sales No.: </w:t>
      </w:r>
      <w:r w:rsidR="00F2619B" w:rsidRPr="00405728">
        <w:rPr>
          <w:b/>
          <w:sz w:val="24"/>
          <w:szCs w:val="24"/>
        </w:rPr>
        <w:t>E.</w:t>
      </w:r>
      <w:r w:rsidR="009F3DE9" w:rsidRPr="00405728">
        <w:rPr>
          <w:b/>
          <w:sz w:val="24"/>
          <w:szCs w:val="24"/>
        </w:rPr>
        <w:t>21</w:t>
      </w:r>
      <w:r w:rsidRPr="00405728">
        <w:rPr>
          <w:b/>
          <w:sz w:val="24"/>
          <w:szCs w:val="24"/>
        </w:rPr>
        <w:t>.VIII.</w:t>
      </w:r>
      <w:r w:rsidR="009F3DE9" w:rsidRPr="00405728">
        <w:rPr>
          <w:b/>
          <w:sz w:val="24"/>
          <w:szCs w:val="24"/>
        </w:rPr>
        <w:t>3</w:t>
      </w:r>
      <w:r w:rsidRPr="00405728">
        <w:rPr>
          <w:b/>
          <w:sz w:val="24"/>
          <w:szCs w:val="24"/>
        </w:rPr>
        <w:br/>
        <w:t>(ST/SG/AC.10/1/Rev.</w:t>
      </w:r>
      <w:r w:rsidR="007A19E1" w:rsidRPr="00405728">
        <w:rPr>
          <w:b/>
          <w:sz w:val="24"/>
          <w:szCs w:val="24"/>
        </w:rPr>
        <w:t>2</w:t>
      </w:r>
      <w:r w:rsidR="009F3DE9" w:rsidRPr="00405728">
        <w:rPr>
          <w:b/>
          <w:sz w:val="24"/>
          <w:szCs w:val="24"/>
        </w:rPr>
        <w:t>2</w:t>
      </w:r>
      <w:r w:rsidRPr="00405728">
        <w:rPr>
          <w:b/>
          <w:sz w:val="24"/>
          <w:szCs w:val="24"/>
        </w:rPr>
        <w:t>, Vol. I and II)</w:t>
      </w:r>
      <w:r w:rsidRPr="00405728">
        <w:rPr>
          <w:b/>
          <w:sz w:val="24"/>
          <w:szCs w:val="24"/>
        </w:rPr>
        <w:br/>
      </w:r>
      <w:r w:rsidRPr="00405728">
        <w:rPr>
          <w:b/>
          <w:sz w:val="24"/>
          <w:szCs w:val="24"/>
        </w:rPr>
        <w:br/>
      </w:r>
      <w:r w:rsidR="00BE4374">
        <w:rPr>
          <w:b/>
          <w:sz w:val="24"/>
          <w:szCs w:val="24"/>
        </w:rPr>
        <w:t>March</w:t>
      </w:r>
      <w:r w:rsidRPr="00405728">
        <w:rPr>
          <w:b/>
          <w:sz w:val="24"/>
          <w:szCs w:val="24"/>
        </w:rPr>
        <w:t xml:space="preserve"> 20</w:t>
      </w:r>
      <w:r w:rsidR="006C78DF" w:rsidRPr="00405728">
        <w:rPr>
          <w:b/>
          <w:sz w:val="24"/>
          <w:szCs w:val="24"/>
        </w:rPr>
        <w:t>2</w:t>
      </w:r>
      <w:r w:rsidR="00BE4374">
        <w:rPr>
          <w:b/>
          <w:sz w:val="24"/>
          <w:szCs w:val="24"/>
        </w:rPr>
        <w:t>3</w:t>
      </w:r>
      <w:r w:rsidRPr="00405728">
        <w:rPr>
          <w:b/>
          <w:sz w:val="24"/>
          <w:szCs w:val="24"/>
        </w:rPr>
        <w:br/>
        <w:t>New York and Geneva</w:t>
      </w:r>
      <w:r w:rsidRPr="00405728">
        <w:rPr>
          <w:b/>
          <w:sz w:val="24"/>
          <w:szCs w:val="24"/>
        </w:rPr>
        <w:br/>
      </w:r>
    </w:p>
    <w:p w14:paraId="647E0897" w14:textId="77777777" w:rsidR="00062404" w:rsidRPr="00405728" w:rsidRDefault="00062404" w:rsidP="00062404">
      <w:pPr>
        <w:pBdr>
          <w:top w:val="single" w:sz="18" w:space="1" w:color="auto"/>
        </w:pBdr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pacing w:line="240" w:lineRule="auto"/>
        <w:jc w:val="both"/>
        <w:rPr>
          <w:b/>
          <w:sz w:val="12"/>
          <w:szCs w:val="12"/>
        </w:rPr>
      </w:pPr>
    </w:p>
    <w:p w14:paraId="521C7FC4" w14:textId="16E6497B" w:rsidR="00062404" w:rsidRPr="00405728" w:rsidRDefault="00062404" w:rsidP="00062404">
      <w:pPr>
        <w:rPr>
          <w:b/>
          <w:sz w:val="24"/>
          <w:szCs w:val="24"/>
        </w:rPr>
      </w:pPr>
      <w:r w:rsidRPr="00405728">
        <w:rPr>
          <w:b/>
          <w:sz w:val="24"/>
          <w:szCs w:val="24"/>
        </w:rPr>
        <w:t>Recommendations on the Transport of Dangerous Goods</w:t>
      </w:r>
      <w:r w:rsidRPr="00405728">
        <w:rPr>
          <w:b/>
          <w:sz w:val="24"/>
          <w:szCs w:val="24"/>
        </w:rPr>
        <w:br/>
        <w:t xml:space="preserve">Model Regulations </w:t>
      </w:r>
      <w:r w:rsidRPr="00405728">
        <w:rPr>
          <w:b/>
          <w:sz w:val="24"/>
          <w:szCs w:val="24"/>
        </w:rPr>
        <w:br/>
        <w:t>(</w:t>
      </w:r>
      <w:r w:rsidR="002126D8" w:rsidRPr="00405728">
        <w:rPr>
          <w:b/>
          <w:sz w:val="24"/>
          <w:szCs w:val="24"/>
        </w:rPr>
        <w:t>Twent</w:t>
      </w:r>
      <w:r w:rsidR="001C74BB" w:rsidRPr="00405728">
        <w:rPr>
          <w:b/>
          <w:sz w:val="24"/>
          <w:szCs w:val="24"/>
        </w:rPr>
        <w:t>y-</w:t>
      </w:r>
      <w:r w:rsidR="009F3DE9" w:rsidRPr="00405728">
        <w:rPr>
          <w:b/>
          <w:sz w:val="24"/>
          <w:szCs w:val="24"/>
        </w:rPr>
        <w:t>second</w:t>
      </w:r>
      <w:r w:rsidRPr="00405728">
        <w:rPr>
          <w:b/>
          <w:sz w:val="24"/>
          <w:szCs w:val="24"/>
        </w:rPr>
        <w:t xml:space="preserve"> revised edition)</w:t>
      </w:r>
    </w:p>
    <w:p w14:paraId="2A5E6629" w14:textId="77777777" w:rsidR="00062404" w:rsidRPr="00405728" w:rsidRDefault="00062404" w:rsidP="00062404">
      <w:pPr>
        <w:pStyle w:val="HChG"/>
      </w:pPr>
      <w:r w:rsidRPr="00405728">
        <w:tab/>
      </w:r>
      <w:r w:rsidRPr="00405728">
        <w:tab/>
        <w:t>Corrigendum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0" w:type="dxa"/>
          <w:bottom w:w="57" w:type="dxa"/>
          <w:right w:w="60" w:type="dxa"/>
        </w:tblCellMar>
        <w:tblLook w:val="0000" w:firstRow="0" w:lastRow="0" w:firstColumn="0" w:lastColumn="0" w:noHBand="0" w:noVBand="0"/>
      </w:tblPr>
      <w:tblGrid>
        <w:gridCol w:w="7371"/>
      </w:tblGrid>
      <w:tr w:rsidR="00062404" w:rsidRPr="00405728" w14:paraId="4E35C7C0" w14:textId="77777777" w:rsidTr="00992AD1">
        <w:trPr>
          <w:trHeight w:val="402"/>
        </w:trPr>
        <w:tc>
          <w:tcPr>
            <w:tcW w:w="7371" w:type="dxa"/>
          </w:tcPr>
          <w:p w14:paraId="28781D41" w14:textId="77777777" w:rsidR="00737205" w:rsidRPr="00405728" w:rsidRDefault="00FD5F4D" w:rsidP="00992AD1">
            <w:pPr>
              <w:spacing w:after="40"/>
              <w:rPr>
                <w:i/>
                <w:iCs/>
              </w:rPr>
            </w:pPr>
            <w:r w:rsidRPr="00405728">
              <w:rPr>
                <w:b/>
                <w:bCs/>
                <w:i/>
                <w:iCs/>
              </w:rPr>
              <w:t>NOTE</w:t>
            </w:r>
            <w:r w:rsidRPr="00405728">
              <w:rPr>
                <w:i/>
                <w:iCs/>
              </w:rPr>
              <w:t>: Corrigenda to the</w:t>
            </w:r>
            <w:r w:rsidR="00202DFA" w:rsidRPr="00405728">
              <w:rPr>
                <w:i/>
                <w:iCs/>
              </w:rPr>
              <w:t xml:space="preserve"> twenty-</w:t>
            </w:r>
            <w:r w:rsidR="00C01FEE" w:rsidRPr="00405728">
              <w:rPr>
                <w:i/>
                <w:iCs/>
              </w:rPr>
              <w:t>second</w:t>
            </w:r>
            <w:r w:rsidR="00202DFA" w:rsidRPr="00405728">
              <w:rPr>
                <w:i/>
                <w:iCs/>
              </w:rPr>
              <w:t xml:space="preserve"> revised edition of the</w:t>
            </w:r>
            <w:r w:rsidRPr="00405728">
              <w:rPr>
                <w:i/>
                <w:iCs/>
                <w:color w:val="FF0000"/>
              </w:rPr>
              <w:t xml:space="preserve"> </w:t>
            </w:r>
            <w:r w:rsidRPr="00405728">
              <w:rPr>
                <w:i/>
                <w:iCs/>
              </w:rPr>
              <w:t xml:space="preserve">Recommendations on the Transport of Dangerous Goods are also made available on the website of the United Nations Economic Commission for Europe at the following address: </w:t>
            </w:r>
          </w:p>
          <w:p w14:paraId="0281F237" w14:textId="4A227F3D" w:rsidR="00FD5F4D" w:rsidRPr="00405728" w:rsidRDefault="00737205" w:rsidP="00737205">
            <w:pPr>
              <w:spacing w:after="40"/>
              <w:jc w:val="center"/>
              <w:rPr>
                <w:i/>
                <w:iCs/>
              </w:rPr>
            </w:pPr>
            <w:r w:rsidRPr="00405728">
              <w:t>https://unece.org/transport/dangerous-goods/un-model-regulations-rev-22</w:t>
            </w:r>
          </w:p>
        </w:tc>
      </w:tr>
    </w:tbl>
    <w:p w14:paraId="003CEB32" w14:textId="487AB8F5" w:rsidR="00062404" w:rsidRPr="00405728" w:rsidRDefault="00062404" w:rsidP="00946BFE">
      <w:pPr>
        <w:pStyle w:val="H1G"/>
      </w:pPr>
      <w:r w:rsidRPr="00405728">
        <w:tab/>
      </w:r>
      <w:r w:rsidRPr="00405728">
        <w:tab/>
        <w:t>Volume I</w:t>
      </w:r>
    </w:p>
    <w:p w14:paraId="419DC4DD" w14:textId="475166DE" w:rsidR="003C3420" w:rsidRPr="001C5029" w:rsidRDefault="003C3420" w:rsidP="003C3420">
      <w:pPr>
        <w:pStyle w:val="H23G"/>
      </w:pPr>
      <w:r w:rsidRPr="001C5029">
        <w:tab/>
      </w:r>
      <w:r w:rsidR="00C03DB3">
        <w:t>1.</w:t>
      </w:r>
      <w:r w:rsidRPr="001C5029">
        <w:tab/>
        <w:t>Chapter 3.2, dangerous goods list, for UN 0511</w:t>
      </w:r>
    </w:p>
    <w:p w14:paraId="5C963CD5" w14:textId="77777777" w:rsidR="003C3420" w:rsidRPr="001C5029" w:rsidRDefault="003C3420" w:rsidP="003C3420">
      <w:pPr>
        <w:pStyle w:val="SingleTxtG"/>
      </w:pPr>
      <w:r w:rsidRPr="001C5029">
        <w:t>Not applicable to English.</w:t>
      </w:r>
    </w:p>
    <w:p w14:paraId="01870F9F" w14:textId="3FBD5349" w:rsidR="003C3420" w:rsidRPr="001C5029" w:rsidRDefault="003C3420" w:rsidP="003C3420">
      <w:pPr>
        <w:pStyle w:val="H23G"/>
      </w:pPr>
      <w:r w:rsidRPr="001C5029">
        <w:tab/>
      </w:r>
      <w:r w:rsidR="00C03DB3">
        <w:t>2.</w:t>
      </w:r>
      <w:r w:rsidRPr="001C5029">
        <w:tab/>
        <w:t>Chapter 3.2, dangerous goods list, for UN 0512</w:t>
      </w:r>
    </w:p>
    <w:p w14:paraId="356EF571" w14:textId="77777777" w:rsidR="003C3420" w:rsidRPr="001C5029" w:rsidRDefault="003C3420" w:rsidP="003C3420">
      <w:pPr>
        <w:pStyle w:val="SingleTxtG"/>
      </w:pPr>
      <w:r w:rsidRPr="001C5029">
        <w:t>Not applicable to English.</w:t>
      </w:r>
    </w:p>
    <w:p w14:paraId="0B9EA23C" w14:textId="0DD18056" w:rsidR="003C3420" w:rsidRPr="001C5029" w:rsidRDefault="003C3420" w:rsidP="003C3420">
      <w:pPr>
        <w:pStyle w:val="H23G"/>
      </w:pPr>
      <w:r w:rsidRPr="001C5029">
        <w:tab/>
      </w:r>
      <w:r w:rsidR="00C03DB3">
        <w:t>3.</w:t>
      </w:r>
      <w:r w:rsidRPr="001C5029">
        <w:tab/>
        <w:t>Chapter 3.2, dangerous goods list, for UN 0513</w:t>
      </w:r>
    </w:p>
    <w:p w14:paraId="5FC2862D" w14:textId="77777777" w:rsidR="003C3420" w:rsidRPr="001C5029" w:rsidRDefault="003C3420" w:rsidP="003C3420">
      <w:pPr>
        <w:pStyle w:val="SingleTxtG"/>
      </w:pPr>
      <w:r w:rsidRPr="001C5029">
        <w:t>Not applicable to English.</w:t>
      </w:r>
    </w:p>
    <w:p w14:paraId="22EC7446" w14:textId="231755D3" w:rsidR="003C3420" w:rsidRPr="001C5029" w:rsidRDefault="003C3420" w:rsidP="003C3420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 w:rsidRPr="001C5029">
        <w:rPr>
          <w:b/>
        </w:rPr>
        <w:tab/>
      </w:r>
      <w:r w:rsidR="00C03DB3">
        <w:rPr>
          <w:b/>
        </w:rPr>
        <w:t>4.</w:t>
      </w:r>
      <w:r w:rsidRPr="001C5029">
        <w:rPr>
          <w:b/>
        </w:rPr>
        <w:tab/>
        <w:t>Alphabetical index, for “DETONATORS, ELECTRONIC programmable for blasting”</w:t>
      </w:r>
    </w:p>
    <w:p w14:paraId="6435562D" w14:textId="77777777" w:rsidR="003C3420" w:rsidRPr="001C5029" w:rsidRDefault="003C3420" w:rsidP="003C3420">
      <w:pPr>
        <w:pStyle w:val="SingleTxtG"/>
      </w:pPr>
      <w:r w:rsidRPr="001C5029">
        <w:t>Not applicable to English.</w:t>
      </w:r>
    </w:p>
    <w:p w14:paraId="7E5F5CCF" w14:textId="77777777" w:rsidR="00C61B57" w:rsidRPr="00405728" w:rsidRDefault="00C61B57" w:rsidP="00C61B57">
      <w:pPr>
        <w:pStyle w:val="H1G"/>
      </w:pPr>
      <w:r w:rsidRPr="00405728">
        <w:tab/>
      </w:r>
      <w:r w:rsidRPr="00405728">
        <w:tab/>
        <w:t>Volume II</w:t>
      </w:r>
    </w:p>
    <w:p w14:paraId="33D9336C" w14:textId="270A4A93" w:rsidR="00853A91" w:rsidRPr="00156C91" w:rsidRDefault="00853A91" w:rsidP="00853A91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val="en-US"/>
        </w:rPr>
      </w:pPr>
      <w:r w:rsidRPr="00156C91">
        <w:rPr>
          <w:b/>
          <w:lang w:val="en-US"/>
        </w:rPr>
        <w:tab/>
      </w:r>
      <w:r w:rsidR="00C03DB3" w:rsidRPr="00156C91">
        <w:rPr>
          <w:b/>
          <w:lang w:val="en-US"/>
        </w:rPr>
        <w:t>5.</w:t>
      </w:r>
      <w:r w:rsidRPr="00156C91">
        <w:rPr>
          <w:b/>
          <w:lang w:val="en-US"/>
        </w:rPr>
        <w:tab/>
      </w:r>
      <w:r w:rsidRPr="003F229E">
        <w:rPr>
          <w:b/>
        </w:rPr>
        <w:t xml:space="preserve">Chapter 4.1, 4.1.4.1, </w:t>
      </w:r>
      <w:r w:rsidRPr="00156C91">
        <w:rPr>
          <w:b/>
          <w:lang w:val="en-US"/>
        </w:rPr>
        <w:t>P003, PP90</w:t>
      </w:r>
    </w:p>
    <w:p w14:paraId="2CCDF61B" w14:textId="77777777" w:rsidR="00853A91" w:rsidRPr="00405728" w:rsidRDefault="00853A91" w:rsidP="00853A91">
      <w:pPr>
        <w:pStyle w:val="SingleTxtG"/>
      </w:pPr>
      <w:r w:rsidRPr="00405728">
        <w:t>Not applicable to English.</w:t>
      </w:r>
    </w:p>
    <w:p w14:paraId="4C3A00C9" w14:textId="47308298" w:rsidR="00CC614F" w:rsidRPr="00405728" w:rsidRDefault="00CC614F" w:rsidP="00CC614F">
      <w:pPr>
        <w:pStyle w:val="H23G"/>
      </w:pPr>
      <w:r>
        <w:lastRenderedPageBreak/>
        <w:tab/>
      </w:r>
      <w:r w:rsidR="00C03DB3">
        <w:t>6.</w:t>
      </w:r>
      <w:r>
        <w:tab/>
      </w:r>
      <w:r w:rsidRPr="00405728">
        <w:t>Chapter 4.1, 4.1.4.1, P200 (4), last line</w:t>
      </w:r>
    </w:p>
    <w:p w14:paraId="683CFF3A" w14:textId="77777777" w:rsidR="00CC614F" w:rsidRPr="00405728" w:rsidRDefault="00CC614F" w:rsidP="00CC614F">
      <w:pPr>
        <w:pStyle w:val="SingleTxtG"/>
        <w:keepNext/>
      </w:pPr>
      <w:r w:rsidRPr="00405728">
        <w:t>For ISO 24431:2006 read ISO 24431:2016</w:t>
      </w:r>
    </w:p>
    <w:p w14:paraId="08F9856A" w14:textId="772E2BEB" w:rsidR="004213A8" w:rsidRPr="001C5029" w:rsidRDefault="004213A8" w:rsidP="004213A8">
      <w:pPr>
        <w:pStyle w:val="H23G"/>
        <w:rPr>
          <w:lang w:val="en-US"/>
        </w:rPr>
      </w:pPr>
      <w:r w:rsidRPr="001C5029">
        <w:rPr>
          <w:lang w:val="en-US"/>
        </w:rPr>
        <w:tab/>
      </w:r>
      <w:r w:rsidR="00C03DB3">
        <w:rPr>
          <w:lang w:val="en-US"/>
        </w:rPr>
        <w:t>7.</w:t>
      </w:r>
      <w:r w:rsidRPr="001C5029">
        <w:rPr>
          <w:lang w:val="en-US"/>
        </w:rPr>
        <w:tab/>
        <w:t xml:space="preserve">Chapter 4.1, 4.1.4.1, P200, table 2, UN 1001, second row, column </w:t>
      </w:r>
      <w:r w:rsidRPr="001C5029">
        <w:t>“Special packing provisions”</w:t>
      </w:r>
    </w:p>
    <w:p w14:paraId="677FDCA4" w14:textId="77777777" w:rsidR="004213A8" w:rsidRPr="001C5029" w:rsidRDefault="004213A8" w:rsidP="004213A8">
      <w:pPr>
        <w:pStyle w:val="SingleTxtG"/>
        <w:rPr>
          <w:lang w:val="en-US"/>
        </w:rPr>
      </w:pPr>
      <w:r w:rsidRPr="001C5029">
        <w:rPr>
          <w:i/>
          <w:iCs/>
          <w:lang w:val="en-US"/>
        </w:rPr>
        <w:t xml:space="preserve">Insert </w:t>
      </w:r>
      <w:r w:rsidRPr="001C5029">
        <w:rPr>
          <w:rFonts w:asciiTheme="majorBidi" w:hAnsiTheme="majorBidi" w:cstheme="majorBidi"/>
        </w:rPr>
        <w:t>c, p</w:t>
      </w:r>
    </w:p>
    <w:p w14:paraId="3EE58C6C" w14:textId="604B8888" w:rsidR="00260C00" w:rsidRPr="00405728" w:rsidRDefault="00260C00" w:rsidP="00260C00">
      <w:pPr>
        <w:pStyle w:val="H23G"/>
      </w:pPr>
      <w:r w:rsidRPr="00405728">
        <w:tab/>
      </w:r>
      <w:r w:rsidR="00C03DB3">
        <w:t>8.</w:t>
      </w:r>
      <w:r w:rsidRPr="00405728">
        <w:tab/>
        <w:t>Chapter 4.1, 4.1.4.1, P200, table 2, UN 1008, second row, column “Special packing provisions”</w:t>
      </w:r>
    </w:p>
    <w:p w14:paraId="0748E0BB" w14:textId="77777777" w:rsidR="00260C00" w:rsidRPr="00405728" w:rsidRDefault="00260C00" w:rsidP="00260C00">
      <w:pPr>
        <w:pStyle w:val="SingleTxtG"/>
      </w:pPr>
      <w:r w:rsidRPr="00405728">
        <w:rPr>
          <w:i/>
          <w:iCs/>
        </w:rPr>
        <w:t xml:space="preserve">Insert </w:t>
      </w:r>
      <w:r w:rsidRPr="00405728">
        <w:rPr>
          <w:rFonts w:asciiTheme="majorBidi" w:hAnsiTheme="majorBidi" w:cstheme="majorBidi"/>
        </w:rPr>
        <w:t>a</w:t>
      </w:r>
    </w:p>
    <w:p w14:paraId="2B687223" w14:textId="3E71F919" w:rsidR="00260C00" w:rsidRPr="00405728" w:rsidRDefault="00260C00" w:rsidP="00260C00">
      <w:pPr>
        <w:pStyle w:val="H23G"/>
      </w:pPr>
      <w:r w:rsidRPr="00405728">
        <w:tab/>
      </w:r>
      <w:r w:rsidR="00C03DB3">
        <w:t>9.</w:t>
      </w:r>
      <w:r w:rsidRPr="00405728">
        <w:tab/>
        <w:t>Chapter 4.1, 4.1.4.1, P200, table 2, UN 1859, second row, column “Special packing provisions”</w:t>
      </w:r>
    </w:p>
    <w:p w14:paraId="60EF6136" w14:textId="77777777" w:rsidR="00260C00" w:rsidRPr="00405728" w:rsidRDefault="00260C00" w:rsidP="00260C00">
      <w:pPr>
        <w:pStyle w:val="SingleTxtG"/>
      </w:pPr>
      <w:r w:rsidRPr="00405728">
        <w:rPr>
          <w:i/>
          <w:iCs/>
        </w:rPr>
        <w:t xml:space="preserve">Insert </w:t>
      </w:r>
      <w:r w:rsidRPr="00405728">
        <w:rPr>
          <w:rFonts w:asciiTheme="majorBidi" w:hAnsiTheme="majorBidi" w:cstheme="majorBidi"/>
        </w:rPr>
        <w:t>a</w:t>
      </w:r>
    </w:p>
    <w:p w14:paraId="42D0D305" w14:textId="5A3E46B9" w:rsidR="00260C00" w:rsidRPr="00405728" w:rsidRDefault="00260C00" w:rsidP="00260C00">
      <w:pPr>
        <w:pStyle w:val="H23G"/>
      </w:pPr>
      <w:r w:rsidRPr="00405728">
        <w:tab/>
      </w:r>
      <w:r w:rsidR="00C03DB3">
        <w:t>10.</w:t>
      </w:r>
      <w:r w:rsidRPr="00405728">
        <w:tab/>
        <w:t>Chapter 4.1, 4.1.4.1, P200, table 2, UN 2189, second row, column “Special packing provisions”</w:t>
      </w:r>
    </w:p>
    <w:p w14:paraId="603C4E24" w14:textId="77777777" w:rsidR="00260C00" w:rsidRPr="00405728" w:rsidRDefault="00260C00" w:rsidP="00260C00">
      <w:pPr>
        <w:pStyle w:val="SingleTxtG"/>
      </w:pPr>
      <w:r w:rsidRPr="00405728">
        <w:rPr>
          <w:i/>
          <w:iCs/>
        </w:rPr>
        <w:t xml:space="preserve">Insert </w:t>
      </w:r>
      <w:r w:rsidRPr="00405728">
        <w:rPr>
          <w:rFonts w:asciiTheme="majorBidi" w:hAnsiTheme="majorBidi" w:cstheme="majorBidi"/>
        </w:rPr>
        <w:t>a</w:t>
      </w:r>
    </w:p>
    <w:p w14:paraId="2FD9721A" w14:textId="1097F3D9" w:rsidR="00EE30CF" w:rsidRPr="001C5029" w:rsidRDefault="00EE30CF" w:rsidP="00EE30CF">
      <w:pPr>
        <w:pStyle w:val="H23G"/>
        <w:rPr>
          <w:lang w:val="en-US"/>
        </w:rPr>
      </w:pPr>
      <w:r w:rsidRPr="001C5029">
        <w:rPr>
          <w:lang w:val="en-US"/>
        </w:rPr>
        <w:tab/>
      </w:r>
      <w:r w:rsidR="00C03DB3">
        <w:rPr>
          <w:lang w:val="en-US"/>
        </w:rPr>
        <w:t>11.</w:t>
      </w:r>
      <w:r w:rsidRPr="001C5029">
        <w:rPr>
          <w:lang w:val="en-US"/>
        </w:rPr>
        <w:tab/>
        <w:t xml:space="preserve">Chapter 4.1, 4.1.4.1, P200, table 2, UN 3374, second row, column </w:t>
      </w:r>
      <w:r w:rsidRPr="001C5029">
        <w:t>“Special packing provisions”</w:t>
      </w:r>
    </w:p>
    <w:p w14:paraId="43FB2B62" w14:textId="77777777" w:rsidR="00EE30CF" w:rsidRPr="001C5029" w:rsidRDefault="00EE30CF" w:rsidP="00EE30CF">
      <w:pPr>
        <w:pStyle w:val="SingleTxtG"/>
        <w:rPr>
          <w:lang w:val="en-US"/>
        </w:rPr>
      </w:pPr>
      <w:r w:rsidRPr="001C5029">
        <w:rPr>
          <w:i/>
          <w:iCs/>
          <w:lang w:val="en-US"/>
        </w:rPr>
        <w:t xml:space="preserve">Insert </w:t>
      </w:r>
      <w:r w:rsidRPr="001C5029">
        <w:rPr>
          <w:rFonts w:asciiTheme="majorBidi" w:hAnsiTheme="majorBidi" w:cstheme="majorBidi"/>
        </w:rPr>
        <w:t>c, p</w:t>
      </w:r>
    </w:p>
    <w:p w14:paraId="238A2BAF" w14:textId="10F2E60D" w:rsidR="00CC614F" w:rsidRPr="00405728" w:rsidRDefault="00CC614F" w:rsidP="00CC614F">
      <w:pPr>
        <w:pStyle w:val="H23G"/>
      </w:pPr>
      <w:r>
        <w:tab/>
      </w:r>
      <w:r w:rsidR="00C03DB3">
        <w:t>12.</w:t>
      </w:r>
      <w:r>
        <w:tab/>
      </w:r>
      <w:r w:rsidRPr="00405728">
        <w:t>Chapter 5.2, 5.2.2.2.2, row for Label model No. 2.1, column “Figure in bottom corner (and figure colour)”</w:t>
      </w:r>
    </w:p>
    <w:p w14:paraId="06BA986B" w14:textId="77777777" w:rsidR="00CC614F" w:rsidRPr="00405728" w:rsidRDefault="00CC614F" w:rsidP="00CC614F">
      <w:pPr>
        <w:pStyle w:val="SingleTxtG"/>
        <w:keepNext/>
      </w:pPr>
      <w:r w:rsidRPr="00405728">
        <w:t>For the existing text substitute</w:t>
      </w:r>
    </w:p>
    <w:p w14:paraId="3F75EB0E" w14:textId="77777777" w:rsidR="00CC614F" w:rsidRPr="00405728" w:rsidRDefault="00CC614F" w:rsidP="00CC614F">
      <w:pPr>
        <w:pStyle w:val="SingleTxtG"/>
        <w:keepNext/>
      </w:pPr>
      <w:r w:rsidRPr="00405728">
        <w:t>2</w:t>
      </w:r>
    </w:p>
    <w:p w14:paraId="29C75C0B" w14:textId="77777777" w:rsidR="00CC614F" w:rsidRPr="00405728" w:rsidRDefault="00CC614F" w:rsidP="00CC614F">
      <w:pPr>
        <w:pStyle w:val="SingleTxtG"/>
        <w:keepNext/>
      </w:pPr>
      <w:r w:rsidRPr="00405728">
        <w:t>(</w:t>
      </w:r>
      <w:proofErr w:type="gramStart"/>
      <w:r w:rsidRPr="00405728">
        <w:t>black</w:t>
      </w:r>
      <w:proofErr w:type="gramEnd"/>
      <w:r w:rsidRPr="00405728">
        <w:t xml:space="preserve"> or white)</w:t>
      </w:r>
    </w:p>
    <w:p w14:paraId="6022D14F" w14:textId="77777777" w:rsidR="00CC614F" w:rsidRPr="00405728" w:rsidRDefault="00CC614F" w:rsidP="00CC614F">
      <w:pPr>
        <w:pStyle w:val="SingleTxtG"/>
        <w:keepNext/>
      </w:pPr>
      <w:r w:rsidRPr="00405728">
        <w:t>(</w:t>
      </w:r>
      <w:proofErr w:type="gramStart"/>
      <w:r w:rsidRPr="00405728">
        <w:t>except</w:t>
      </w:r>
      <w:proofErr w:type="gramEnd"/>
      <w:r w:rsidRPr="00405728">
        <w:t xml:space="preserve"> as provided for in 5.2.2.2.1.6 (d))</w:t>
      </w:r>
    </w:p>
    <w:p w14:paraId="42B69B14" w14:textId="2BC44BD5" w:rsidR="0070647F" w:rsidRDefault="0070647F" w:rsidP="00260C00">
      <w:pPr>
        <w:pStyle w:val="H23G"/>
      </w:pPr>
      <w:r>
        <w:tab/>
      </w:r>
      <w:r w:rsidR="00C03DB3">
        <w:t>13.</w:t>
      </w:r>
      <w:r>
        <w:tab/>
        <w:t xml:space="preserve">Chapter </w:t>
      </w:r>
      <w:r w:rsidRPr="00974BED">
        <w:t>5.4,</w:t>
      </w:r>
      <w:r w:rsidRPr="003F229E">
        <w:t xml:space="preserve"> 5.4.1.4.3 f)</w:t>
      </w:r>
    </w:p>
    <w:p w14:paraId="3A693806" w14:textId="77777777" w:rsidR="0070647F" w:rsidRPr="00405728" w:rsidRDefault="0070647F" w:rsidP="0070647F">
      <w:pPr>
        <w:pStyle w:val="SingleTxtG"/>
      </w:pPr>
      <w:r w:rsidRPr="00405728">
        <w:t>Not applicable to English.</w:t>
      </w:r>
    </w:p>
    <w:p w14:paraId="6FB9CD19" w14:textId="5B70AF2A" w:rsidR="00260C00" w:rsidRPr="00405728" w:rsidRDefault="00260C00" w:rsidP="00260C00">
      <w:pPr>
        <w:pStyle w:val="H23G"/>
      </w:pPr>
      <w:r w:rsidRPr="00405728">
        <w:tab/>
      </w:r>
      <w:r w:rsidR="00C03DB3">
        <w:t>14.</w:t>
      </w:r>
      <w:r w:rsidRPr="00405728">
        <w:tab/>
        <w:t>Chapter 5.4, 5.4.1.5.12, heading</w:t>
      </w:r>
    </w:p>
    <w:p w14:paraId="45FE2361" w14:textId="77777777" w:rsidR="00260C00" w:rsidRPr="00405728" w:rsidRDefault="00260C00" w:rsidP="00260C00">
      <w:pPr>
        <w:pStyle w:val="SingleTxtG"/>
      </w:pPr>
      <w:r w:rsidRPr="00405728">
        <w:rPr>
          <w:i/>
          <w:iCs/>
        </w:rPr>
        <w:t>For</w:t>
      </w:r>
      <w:r w:rsidRPr="00405728">
        <w:t xml:space="preserve"> entries </w:t>
      </w:r>
      <w:r w:rsidRPr="00405728">
        <w:rPr>
          <w:i/>
          <w:iCs/>
        </w:rPr>
        <w:t>read</w:t>
      </w:r>
      <w:r w:rsidRPr="00405728">
        <w:t xml:space="preserve"> information</w:t>
      </w:r>
    </w:p>
    <w:p w14:paraId="36B63BB2" w14:textId="235AD8BF" w:rsidR="00260C00" w:rsidRPr="00405728" w:rsidRDefault="00260C00" w:rsidP="00260C00">
      <w:pPr>
        <w:pStyle w:val="H23G"/>
      </w:pPr>
      <w:r w:rsidRPr="00405728">
        <w:tab/>
      </w:r>
      <w:r w:rsidR="00C03DB3">
        <w:t>15.</w:t>
      </w:r>
      <w:r w:rsidRPr="00405728">
        <w:tab/>
        <w:t>Chapter 5.4, 5.4.1.5.12, paragraph following the heading</w:t>
      </w:r>
    </w:p>
    <w:p w14:paraId="081CF475" w14:textId="77777777" w:rsidR="00260C00" w:rsidRPr="00405728" w:rsidRDefault="00260C00" w:rsidP="00260C00">
      <w:pPr>
        <w:pStyle w:val="SingleTxtG"/>
      </w:pPr>
      <w:r w:rsidRPr="00405728">
        <w:t>Not applicable to English.</w:t>
      </w:r>
    </w:p>
    <w:p w14:paraId="3E36C1B1" w14:textId="18DDFEF5" w:rsidR="00260C00" w:rsidRPr="00405728" w:rsidRDefault="00260C00" w:rsidP="00260C00">
      <w:pPr>
        <w:pStyle w:val="H23G"/>
      </w:pPr>
      <w:r w:rsidRPr="00405728">
        <w:tab/>
      </w:r>
      <w:r w:rsidR="00C03DB3">
        <w:t>16.</w:t>
      </w:r>
      <w:r w:rsidRPr="00405728">
        <w:tab/>
        <w:t>Chapter 6.2, 6.2.1.5.2 (d) and (e)</w:t>
      </w:r>
    </w:p>
    <w:p w14:paraId="55B16C48" w14:textId="77777777" w:rsidR="00260C00" w:rsidRPr="00405728" w:rsidRDefault="00260C00" w:rsidP="00260C00">
      <w:pPr>
        <w:pStyle w:val="SingleTxtG"/>
      </w:pPr>
      <w:r w:rsidRPr="00405728">
        <w:rPr>
          <w:i/>
          <w:iCs/>
        </w:rPr>
        <w:t>For</w:t>
      </w:r>
      <w:r w:rsidRPr="00405728">
        <w:t xml:space="preserve"> code </w:t>
      </w:r>
      <w:r w:rsidRPr="00405728">
        <w:rPr>
          <w:i/>
          <w:iCs/>
        </w:rPr>
        <w:t>read</w:t>
      </w:r>
      <w:r w:rsidRPr="00405728">
        <w:t xml:space="preserve"> technical code</w:t>
      </w:r>
    </w:p>
    <w:p w14:paraId="4D8C50BD" w14:textId="6F5DFA35" w:rsidR="00260C00" w:rsidRPr="00405728" w:rsidRDefault="00260C00" w:rsidP="00260C00">
      <w:pPr>
        <w:pStyle w:val="H23G"/>
      </w:pPr>
      <w:r w:rsidRPr="00405728">
        <w:tab/>
      </w:r>
      <w:r w:rsidR="00C03DB3">
        <w:t>17.</w:t>
      </w:r>
      <w:r w:rsidRPr="00405728">
        <w:tab/>
        <w:t>Chapter 6.2, 6.2.2.5.1, second sentence</w:t>
      </w:r>
    </w:p>
    <w:p w14:paraId="1B024FAF" w14:textId="77777777" w:rsidR="00260C00" w:rsidRPr="00405728" w:rsidRDefault="00260C00" w:rsidP="00260C00">
      <w:pPr>
        <w:pStyle w:val="SingleTxtG"/>
      </w:pPr>
      <w:r w:rsidRPr="00405728">
        <w:rPr>
          <w:i/>
          <w:iCs/>
        </w:rPr>
        <w:t>For</w:t>
      </w:r>
      <w:r w:rsidRPr="00405728">
        <w:t xml:space="preserve"> 6.2.1.4.3 </w:t>
      </w:r>
      <w:r w:rsidRPr="00405728">
        <w:rPr>
          <w:i/>
          <w:iCs/>
        </w:rPr>
        <w:t>read</w:t>
      </w:r>
      <w:r w:rsidRPr="00405728">
        <w:t xml:space="preserve"> 6.2.1.4.4</w:t>
      </w:r>
    </w:p>
    <w:p w14:paraId="1B2A7163" w14:textId="535717F0" w:rsidR="00260C00" w:rsidRPr="00405728" w:rsidRDefault="00260C00" w:rsidP="00260C00">
      <w:pPr>
        <w:pStyle w:val="H23G"/>
      </w:pPr>
      <w:r w:rsidRPr="00405728">
        <w:lastRenderedPageBreak/>
        <w:tab/>
      </w:r>
      <w:r w:rsidR="00C03DB3">
        <w:t>18.</w:t>
      </w:r>
      <w:r w:rsidRPr="00405728">
        <w:tab/>
        <w:t>Chapter 6.2, 6.2.2.7.2, note after (e), first sentence</w:t>
      </w:r>
    </w:p>
    <w:p w14:paraId="464C9E02" w14:textId="77777777" w:rsidR="00260C00" w:rsidRPr="00405728" w:rsidRDefault="00260C00" w:rsidP="00260C00">
      <w:pPr>
        <w:pStyle w:val="SingleTxtG"/>
      </w:pPr>
      <w:r w:rsidRPr="00405728">
        <w:rPr>
          <w:i/>
          <w:iCs/>
        </w:rPr>
        <w:t>For</w:t>
      </w:r>
      <w:r w:rsidRPr="00405728">
        <w:t xml:space="preserve"> 6.2.1.4.3 (b) </w:t>
      </w:r>
      <w:r w:rsidRPr="00405728">
        <w:rPr>
          <w:i/>
          <w:iCs/>
        </w:rPr>
        <w:t>read</w:t>
      </w:r>
      <w:r w:rsidRPr="00405728">
        <w:t xml:space="preserve"> 6.2.1.4.4 (b)</w:t>
      </w:r>
    </w:p>
    <w:p w14:paraId="32013CD8" w14:textId="368B4688" w:rsidR="007D38B1" w:rsidRPr="00405728" w:rsidRDefault="007D38B1" w:rsidP="007D38B1">
      <w:pPr>
        <w:pStyle w:val="H23G"/>
      </w:pPr>
      <w:r w:rsidRPr="00405728">
        <w:tab/>
      </w:r>
      <w:r w:rsidR="00C03DB3">
        <w:t>19.</w:t>
      </w:r>
      <w:r w:rsidRPr="00405728">
        <w:tab/>
        <w:t>Chapter 6.</w:t>
      </w:r>
      <w:r>
        <w:t>4</w:t>
      </w:r>
      <w:r w:rsidRPr="00405728">
        <w:t xml:space="preserve">, </w:t>
      </w:r>
      <w:r w:rsidR="00947EDE" w:rsidRPr="002D4F5E">
        <w:t>6.4.15.5</w:t>
      </w:r>
      <w:r w:rsidRPr="00405728">
        <w:t xml:space="preserve"> (a), at the end</w:t>
      </w:r>
    </w:p>
    <w:p w14:paraId="7487F76B" w14:textId="42AA5E8E" w:rsidR="007D38B1" w:rsidRPr="00405728" w:rsidRDefault="00947EDE" w:rsidP="007D38B1">
      <w:pPr>
        <w:pStyle w:val="SingleTxtG"/>
      </w:pPr>
      <w:r>
        <w:rPr>
          <w:i/>
          <w:iCs/>
        </w:rPr>
        <w:t>Delete</w:t>
      </w:r>
      <w:r w:rsidR="007D38B1" w:rsidRPr="00405728">
        <w:t xml:space="preserve"> </w:t>
      </w:r>
      <w:r>
        <w:t>and</w:t>
      </w:r>
    </w:p>
    <w:p w14:paraId="7D1F4F50" w14:textId="1AAE913E" w:rsidR="00C1228C" w:rsidRPr="001C5029" w:rsidRDefault="00C1228C" w:rsidP="00C1228C">
      <w:pPr>
        <w:pStyle w:val="H23G"/>
        <w:rPr>
          <w:lang w:val="en-US"/>
        </w:rPr>
      </w:pPr>
      <w:r w:rsidRPr="001C5029">
        <w:rPr>
          <w:lang w:val="en-US"/>
        </w:rPr>
        <w:tab/>
      </w:r>
      <w:r w:rsidR="00C03DB3">
        <w:rPr>
          <w:lang w:val="en-US"/>
        </w:rPr>
        <w:t>20.</w:t>
      </w:r>
      <w:r w:rsidRPr="001C5029">
        <w:rPr>
          <w:lang w:val="en-US"/>
        </w:rPr>
        <w:tab/>
        <w:t xml:space="preserve">Chapter </w:t>
      </w:r>
      <w:r>
        <w:rPr>
          <w:lang w:val="en-US"/>
        </w:rPr>
        <w:t>6.4, 6.4.23.2 (c)</w:t>
      </w:r>
    </w:p>
    <w:p w14:paraId="3532BAFB" w14:textId="77777777" w:rsidR="00C1228C" w:rsidRPr="001C5029" w:rsidRDefault="00C1228C" w:rsidP="00C1228C">
      <w:pPr>
        <w:pStyle w:val="SingleTxtG"/>
        <w:rPr>
          <w:lang w:val="en-US"/>
        </w:rPr>
      </w:pPr>
      <w:r>
        <w:rPr>
          <w:i/>
          <w:iCs/>
          <w:lang w:val="en-US"/>
        </w:rPr>
        <w:t>For</w:t>
      </w:r>
      <w:r w:rsidRPr="001C5029">
        <w:rPr>
          <w:i/>
          <w:iCs/>
          <w:lang w:val="en-US"/>
        </w:rPr>
        <w:t xml:space="preserve"> </w:t>
      </w:r>
      <w:r>
        <w:rPr>
          <w:rFonts w:asciiTheme="majorBidi" w:hAnsiTheme="majorBidi" w:cstheme="majorBidi"/>
        </w:rPr>
        <w:t xml:space="preserve">(iii) </w:t>
      </w:r>
      <w:r w:rsidRPr="007A5C1D">
        <w:rPr>
          <w:rFonts w:asciiTheme="majorBidi" w:hAnsiTheme="majorBidi" w:cstheme="majorBidi"/>
          <w:i/>
          <w:iCs/>
        </w:rPr>
        <w:t>read</w:t>
      </w:r>
      <w:r>
        <w:rPr>
          <w:rFonts w:asciiTheme="majorBidi" w:hAnsiTheme="majorBidi" w:cstheme="majorBidi"/>
        </w:rPr>
        <w:t xml:space="preserve"> (v)</w:t>
      </w:r>
    </w:p>
    <w:p w14:paraId="244BB75D" w14:textId="19B91AE4" w:rsidR="00BF3CAB" w:rsidRPr="00405728" w:rsidRDefault="00BF3CAB" w:rsidP="00BF3CAB">
      <w:pPr>
        <w:pStyle w:val="H23G"/>
      </w:pPr>
      <w:r>
        <w:tab/>
      </w:r>
      <w:r w:rsidR="00C03DB3">
        <w:t>21.</w:t>
      </w:r>
      <w:r>
        <w:tab/>
      </w:r>
      <w:r w:rsidRPr="00405728">
        <w:t>Chapter 6.5, 6.5.2.2.1, under the table</w:t>
      </w:r>
    </w:p>
    <w:p w14:paraId="07C62BE7" w14:textId="77777777" w:rsidR="00BF3CAB" w:rsidRPr="00405728" w:rsidRDefault="00BF3CAB" w:rsidP="00BF3CAB">
      <w:pPr>
        <w:pStyle w:val="SingleTxtG"/>
        <w:keepNext/>
      </w:pPr>
      <w:r w:rsidRPr="00405728">
        <w:t>Delete table note b</w:t>
      </w:r>
    </w:p>
    <w:p w14:paraId="081EDF8F" w14:textId="42FD6562" w:rsidR="00260C00" w:rsidRPr="00405728" w:rsidRDefault="00260C00" w:rsidP="00260C00">
      <w:pPr>
        <w:pStyle w:val="H23G"/>
      </w:pPr>
      <w:r w:rsidRPr="00405728">
        <w:tab/>
      </w:r>
      <w:r w:rsidR="00C03DB3">
        <w:t>22.</w:t>
      </w:r>
      <w:r w:rsidRPr="00405728">
        <w:tab/>
        <w:t>Chapter 6.5, 6.5.5.1.6 (a), at the end</w:t>
      </w:r>
    </w:p>
    <w:p w14:paraId="2373184A" w14:textId="77777777" w:rsidR="00260C00" w:rsidRPr="00405728" w:rsidRDefault="00260C00" w:rsidP="00260C00">
      <w:pPr>
        <w:pStyle w:val="SingleTxtG"/>
      </w:pPr>
      <w:r w:rsidRPr="00405728">
        <w:rPr>
          <w:i/>
          <w:iCs/>
        </w:rPr>
        <w:t>Insert</w:t>
      </w:r>
      <w:r w:rsidRPr="00405728">
        <w:t xml:space="preserve"> C = capacity in </w:t>
      </w:r>
      <w:proofErr w:type="gramStart"/>
      <w:r w:rsidRPr="00405728">
        <w:t>litres;</w:t>
      </w:r>
      <w:proofErr w:type="gramEnd"/>
    </w:p>
    <w:p w14:paraId="32E49D2B" w14:textId="53329D38" w:rsidR="00260C00" w:rsidRPr="00405728" w:rsidRDefault="00260C00" w:rsidP="00260C00">
      <w:pPr>
        <w:pStyle w:val="H23G"/>
      </w:pPr>
      <w:r w:rsidRPr="00405728">
        <w:tab/>
      </w:r>
      <w:r w:rsidR="00C03DB3">
        <w:t>23.</w:t>
      </w:r>
      <w:r w:rsidRPr="00405728">
        <w:tab/>
        <w:t>Chapter 6.9, 6.9.2.2.2.3 (f)</w:t>
      </w:r>
    </w:p>
    <w:p w14:paraId="076E58E2" w14:textId="77777777" w:rsidR="00260C00" w:rsidRPr="00405728" w:rsidRDefault="00260C00" w:rsidP="00260C00">
      <w:pPr>
        <w:pStyle w:val="SingleTxtG"/>
      </w:pPr>
      <w:r w:rsidRPr="00405728">
        <w:rPr>
          <w:i/>
          <w:iCs/>
        </w:rPr>
        <w:t>For</w:t>
      </w:r>
      <w:r w:rsidRPr="00405728">
        <w:t xml:space="preserve"> parallel-shell specimen </w:t>
      </w:r>
      <w:r w:rsidRPr="00405728">
        <w:rPr>
          <w:i/>
          <w:iCs/>
        </w:rPr>
        <w:t>read</w:t>
      </w:r>
      <w:r w:rsidRPr="00405728">
        <w:t xml:space="preserve"> parallel shell-sample</w:t>
      </w:r>
    </w:p>
    <w:p w14:paraId="5C146312" w14:textId="08ED31C5" w:rsidR="00260C00" w:rsidRPr="00405728" w:rsidRDefault="00260C00" w:rsidP="00260C00">
      <w:pPr>
        <w:pStyle w:val="H23G"/>
      </w:pPr>
      <w:r w:rsidRPr="00405728">
        <w:tab/>
      </w:r>
      <w:r w:rsidR="00C03DB3">
        <w:t>24.</w:t>
      </w:r>
      <w:r w:rsidRPr="00405728">
        <w:tab/>
        <w:t>Chapter 6.9, 6.9.2.3.4, penultimate paragraph, first sentence</w:t>
      </w:r>
    </w:p>
    <w:p w14:paraId="15298DDF" w14:textId="57B25822" w:rsidR="00260C00" w:rsidRDefault="00260C00" w:rsidP="00260C00">
      <w:pPr>
        <w:pStyle w:val="SingleTxtG"/>
        <w:keepNext/>
      </w:pPr>
      <w:r w:rsidRPr="00405728">
        <w:rPr>
          <w:i/>
          <w:iCs/>
        </w:rPr>
        <w:t>For</w:t>
      </w:r>
      <w:r w:rsidRPr="00405728">
        <w:t xml:space="preserve"> the plies in the shell </w:t>
      </w:r>
      <w:r w:rsidRPr="00405728">
        <w:rPr>
          <w:i/>
          <w:iCs/>
        </w:rPr>
        <w:t>read</w:t>
      </w:r>
      <w:r w:rsidRPr="00405728">
        <w:t xml:space="preserve"> the stresses in the plies in the shell</w:t>
      </w:r>
    </w:p>
    <w:p w14:paraId="43DAC905" w14:textId="3B5EA7F2" w:rsidR="004155E5" w:rsidRPr="004155E5" w:rsidRDefault="004155E5" w:rsidP="004155E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155E5" w:rsidRPr="004155E5" w:rsidSect="0049406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C5A4" w14:textId="77777777" w:rsidR="00C4056C" w:rsidRDefault="00C4056C" w:rsidP="007A19E1">
      <w:pPr>
        <w:spacing w:line="240" w:lineRule="auto"/>
      </w:pPr>
      <w:r>
        <w:separator/>
      </w:r>
    </w:p>
  </w:endnote>
  <w:endnote w:type="continuationSeparator" w:id="0">
    <w:p w14:paraId="5CA5D90A" w14:textId="77777777" w:rsidR="00C4056C" w:rsidRDefault="00C4056C" w:rsidP="007A19E1">
      <w:pPr>
        <w:spacing w:line="240" w:lineRule="auto"/>
      </w:pPr>
      <w:r>
        <w:continuationSeparator/>
      </w:r>
    </w:p>
  </w:endnote>
  <w:endnote w:type="continuationNotice" w:id="1">
    <w:p w14:paraId="2B52F774" w14:textId="77777777" w:rsidR="00C4056C" w:rsidRDefault="00C405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523104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5780DA75" w14:textId="14A82BC4" w:rsidR="0049406E" w:rsidRPr="0049406E" w:rsidRDefault="0049406E" w:rsidP="0049406E">
        <w:pPr>
          <w:pStyle w:val="Footer"/>
          <w:rPr>
            <w:b/>
            <w:bCs/>
            <w:noProof/>
          </w:rPr>
        </w:pPr>
        <w:r w:rsidRPr="0049406E">
          <w:rPr>
            <w:b/>
            <w:bCs/>
            <w:noProof/>
          </w:rPr>
          <w:fldChar w:fldCharType="begin"/>
        </w:r>
        <w:r w:rsidRPr="0049406E">
          <w:rPr>
            <w:b/>
            <w:bCs/>
            <w:noProof/>
          </w:rPr>
          <w:instrText xml:space="preserve"> PAGE   \* MERGEFORMAT </w:instrText>
        </w:r>
        <w:r w:rsidRPr="0049406E">
          <w:rPr>
            <w:b/>
            <w:bCs/>
            <w:noProof/>
          </w:rPr>
          <w:fldChar w:fldCharType="separate"/>
        </w:r>
        <w:r w:rsidRPr="0049406E">
          <w:rPr>
            <w:b/>
            <w:bCs/>
            <w:noProof/>
          </w:rPr>
          <w:t>2</w:t>
        </w:r>
        <w:r w:rsidRPr="0049406E"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1260563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C57C3" w14:textId="551ADC6B" w:rsidR="006E4ABC" w:rsidRPr="008870F4" w:rsidRDefault="006E4ABC" w:rsidP="008870F4">
        <w:pPr>
          <w:pStyle w:val="Footer"/>
          <w:jc w:val="right"/>
          <w:rPr>
            <w:b/>
            <w:bCs/>
          </w:rPr>
        </w:pPr>
        <w:r w:rsidRPr="00BE3334">
          <w:rPr>
            <w:b/>
            <w:bCs/>
          </w:rPr>
          <w:fldChar w:fldCharType="begin"/>
        </w:r>
        <w:r w:rsidRPr="00BE3334">
          <w:rPr>
            <w:b/>
            <w:bCs/>
          </w:rPr>
          <w:instrText xml:space="preserve"> PAGE   \* MERGEFORMAT </w:instrText>
        </w:r>
        <w:r w:rsidRPr="00BE3334">
          <w:rPr>
            <w:b/>
            <w:bCs/>
          </w:rPr>
          <w:fldChar w:fldCharType="separate"/>
        </w:r>
        <w:r w:rsidRPr="00BE3334">
          <w:rPr>
            <w:b/>
            <w:bCs/>
            <w:noProof/>
          </w:rPr>
          <w:t>2</w:t>
        </w:r>
        <w:r w:rsidRPr="00BE3334">
          <w:rPr>
            <w:b/>
            <w:bCs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6F07" w14:textId="41313B2C" w:rsidR="0040334F" w:rsidRDefault="008262CF" w:rsidP="007A50FC">
    <w:pPr>
      <w:pBdr>
        <w:top w:val="single" w:sz="18" w:space="0" w:color="auto"/>
      </w:pBdr>
      <w:tabs>
        <w:tab w:val="center" w:pos="4153"/>
        <w:tab w:val="right" w:pos="8306"/>
      </w:tabs>
      <w:spacing w:after="240"/>
      <w:jc w:val="right"/>
      <w:rPr>
        <w:b/>
        <w:bCs/>
        <w:sz w:val="24"/>
        <w:szCs w:val="24"/>
        <w:lang w:val="en-US"/>
      </w:rPr>
    </w:pPr>
    <w:r w:rsidRPr="00C97CDF">
      <w:rPr>
        <w:b/>
        <w:bCs/>
        <w:sz w:val="24"/>
        <w:szCs w:val="24"/>
      </w:rPr>
      <w:t>ST/SG/AC.10/1/Rev.</w:t>
    </w:r>
    <w:r>
      <w:rPr>
        <w:b/>
        <w:bCs/>
        <w:sz w:val="24"/>
        <w:szCs w:val="24"/>
      </w:rPr>
      <w:t>2</w:t>
    </w:r>
    <w:r w:rsidR="00B819F8">
      <w:rPr>
        <w:b/>
        <w:bCs/>
        <w:sz w:val="24"/>
        <w:szCs w:val="24"/>
      </w:rPr>
      <w:t>2</w:t>
    </w:r>
    <w:r w:rsidRPr="00C97CDF">
      <w:rPr>
        <w:b/>
        <w:bCs/>
        <w:sz w:val="24"/>
        <w:szCs w:val="24"/>
      </w:rPr>
      <w:t>/Corr.</w:t>
    </w:r>
    <w:r w:rsidR="00C04A60">
      <w:rPr>
        <w:b/>
        <w:bCs/>
        <w:sz w:val="24"/>
        <w:szCs w:val="24"/>
      </w:rPr>
      <w:t>2</w:t>
    </w:r>
    <w:r w:rsidRPr="00C97CDF">
      <w:rPr>
        <w:b/>
        <w:bCs/>
        <w:sz w:val="24"/>
        <w:szCs w:val="24"/>
      </w:rPr>
      <w:br/>
    </w:r>
    <w:r w:rsidRPr="00C97CDF">
      <w:rPr>
        <w:b/>
        <w:bCs/>
        <w:sz w:val="24"/>
        <w:szCs w:val="24"/>
        <w:lang w:val="en-US"/>
      </w:rPr>
      <w:t>English</w:t>
    </w:r>
    <w:r w:rsidRPr="00C97CDF">
      <w:rPr>
        <w:b/>
        <w:bCs/>
        <w:sz w:val="24"/>
        <w:szCs w:val="24"/>
        <w:lang w:val="en-US"/>
      </w:rPr>
      <w:br/>
      <w:t>Original: English</w:t>
    </w:r>
    <w:r>
      <w:rPr>
        <w:b/>
        <w:bCs/>
        <w:sz w:val="24"/>
        <w:szCs w:val="24"/>
        <w:lang w:val="en-US"/>
      </w:rPr>
      <w:t xml:space="preserve"> and French</w:t>
    </w:r>
  </w:p>
  <w:p w14:paraId="73CC26F5" w14:textId="1A6BCA57" w:rsidR="00156C91" w:rsidRDefault="00156C91" w:rsidP="00156C91">
    <w:pPr>
      <w:pStyle w:val="Footer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482FC0A" wp14:editId="4780C433">
          <wp:simplePos x="0" y="0"/>
          <wp:positionH relativeFrom="margin">
            <wp:posOffset>5615940</wp:posOffset>
          </wp:positionH>
          <wp:positionV relativeFrom="margin">
            <wp:posOffset>8267700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A051B3E" wp14:editId="7BFE361A">
          <wp:simplePos x="0" y="0"/>
          <wp:positionH relativeFrom="column">
            <wp:posOffset>4558030</wp:posOffset>
          </wp:positionH>
          <wp:positionV relativeFrom="page">
            <wp:posOffset>9749155</wp:posOffset>
          </wp:positionV>
          <wp:extent cx="932180" cy="22987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FF8102" w14:textId="4416908D" w:rsidR="00156C91" w:rsidRPr="00242269" w:rsidRDefault="00156C91" w:rsidP="00156C91">
    <w:pPr>
      <w:pStyle w:val="Footer"/>
      <w:ind w:right="1134"/>
      <w:rPr>
        <w:sz w:val="20"/>
      </w:rPr>
    </w:pPr>
    <w:r>
      <w:rPr>
        <w:sz w:val="20"/>
      </w:rPr>
      <w:t>GE.23-05157(E)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89B7" w14:textId="77777777" w:rsidR="00C4056C" w:rsidRDefault="00C4056C" w:rsidP="007A19E1">
      <w:pPr>
        <w:spacing w:line="240" w:lineRule="auto"/>
      </w:pPr>
      <w:r>
        <w:separator/>
      </w:r>
    </w:p>
  </w:footnote>
  <w:footnote w:type="continuationSeparator" w:id="0">
    <w:p w14:paraId="3E94759F" w14:textId="77777777" w:rsidR="00C4056C" w:rsidRDefault="00C4056C" w:rsidP="007A19E1">
      <w:pPr>
        <w:spacing w:line="240" w:lineRule="auto"/>
      </w:pPr>
      <w:r>
        <w:continuationSeparator/>
      </w:r>
    </w:p>
  </w:footnote>
  <w:footnote w:type="continuationNotice" w:id="1">
    <w:p w14:paraId="6E7AB99E" w14:textId="77777777" w:rsidR="00C4056C" w:rsidRDefault="00C4056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F9CD" w14:textId="0B4FCC9F" w:rsidR="0049406E" w:rsidRDefault="0049406E" w:rsidP="0049406E">
    <w:pPr>
      <w:pStyle w:val="Header"/>
    </w:pPr>
    <w:r>
      <w:t>ST/SG/AC.10/1/Rev.22/Corr.</w:t>
    </w:r>
    <w:r w:rsidR="00361196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FD19" w14:textId="637FC321" w:rsidR="00BC4585" w:rsidRDefault="00BC4585" w:rsidP="00BC4585">
    <w:pPr>
      <w:pStyle w:val="Header"/>
      <w:jc w:val="right"/>
    </w:pPr>
    <w:r>
      <w:t>ST/SG/AC.10/1/Rev.2</w:t>
    </w:r>
    <w:r w:rsidR="00065B35">
      <w:t>2</w:t>
    </w:r>
    <w:r>
      <w:t>/Corr.</w:t>
    </w:r>
    <w:r w:rsidR="00361196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4947499">
    <w:abstractNumId w:val="1"/>
  </w:num>
  <w:num w:numId="2" w16cid:durableId="1346204436">
    <w:abstractNumId w:val="2"/>
  </w:num>
  <w:num w:numId="3" w16cid:durableId="1053383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04"/>
    <w:rsid w:val="00003433"/>
    <w:rsid w:val="00006F1A"/>
    <w:rsid w:val="000079D9"/>
    <w:rsid w:val="00010753"/>
    <w:rsid w:val="000123F2"/>
    <w:rsid w:val="00026035"/>
    <w:rsid w:val="00036F91"/>
    <w:rsid w:val="000379DB"/>
    <w:rsid w:val="00037D33"/>
    <w:rsid w:val="00044E1D"/>
    <w:rsid w:val="0005680C"/>
    <w:rsid w:val="00062404"/>
    <w:rsid w:val="00065B35"/>
    <w:rsid w:val="00071E87"/>
    <w:rsid w:val="000734EC"/>
    <w:rsid w:val="00083A90"/>
    <w:rsid w:val="000A560C"/>
    <w:rsid w:val="000B1D0C"/>
    <w:rsid w:val="000B33A1"/>
    <w:rsid w:val="000B7B2C"/>
    <w:rsid w:val="000B7C15"/>
    <w:rsid w:val="000C56DC"/>
    <w:rsid w:val="000C7C56"/>
    <w:rsid w:val="000D59BC"/>
    <w:rsid w:val="000E1771"/>
    <w:rsid w:val="000E6DBF"/>
    <w:rsid w:val="00102FE9"/>
    <w:rsid w:val="001055A4"/>
    <w:rsid w:val="001074D9"/>
    <w:rsid w:val="00122FDC"/>
    <w:rsid w:val="001276DC"/>
    <w:rsid w:val="00137198"/>
    <w:rsid w:val="0014532E"/>
    <w:rsid w:val="00154E22"/>
    <w:rsid w:val="00156C91"/>
    <w:rsid w:val="0015758B"/>
    <w:rsid w:val="00164F66"/>
    <w:rsid w:val="001742A3"/>
    <w:rsid w:val="00186D17"/>
    <w:rsid w:val="0019595B"/>
    <w:rsid w:val="001A287F"/>
    <w:rsid w:val="001B2865"/>
    <w:rsid w:val="001B2ED6"/>
    <w:rsid w:val="001B6A23"/>
    <w:rsid w:val="001B6C2D"/>
    <w:rsid w:val="001C0724"/>
    <w:rsid w:val="001C74BB"/>
    <w:rsid w:val="001D2831"/>
    <w:rsid w:val="001E0DF3"/>
    <w:rsid w:val="001E2FFB"/>
    <w:rsid w:val="001E3426"/>
    <w:rsid w:val="001F3F1A"/>
    <w:rsid w:val="001F59D3"/>
    <w:rsid w:val="00202DFA"/>
    <w:rsid w:val="002049F7"/>
    <w:rsid w:val="002126D8"/>
    <w:rsid w:val="00214B85"/>
    <w:rsid w:val="002159D6"/>
    <w:rsid w:val="00222018"/>
    <w:rsid w:val="0022279A"/>
    <w:rsid w:val="00241137"/>
    <w:rsid w:val="002440AE"/>
    <w:rsid w:val="00246E73"/>
    <w:rsid w:val="00250D79"/>
    <w:rsid w:val="00251764"/>
    <w:rsid w:val="00257405"/>
    <w:rsid w:val="00260C00"/>
    <w:rsid w:val="002630CD"/>
    <w:rsid w:val="0026679D"/>
    <w:rsid w:val="00272F40"/>
    <w:rsid w:val="002A69D6"/>
    <w:rsid w:val="002A7A21"/>
    <w:rsid w:val="002C2383"/>
    <w:rsid w:val="002C2A78"/>
    <w:rsid w:val="002D2723"/>
    <w:rsid w:val="002D4CB0"/>
    <w:rsid w:val="002D5A0D"/>
    <w:rsid w:val="002F2B83"/>
    <w:rsid w:val="002F37E7"/>
    <w:rsid w:val="00300C3F"/>
    <w:rsid w:val="0031374A"/>
    <w:rsid w:val="00316450"/>
    <w:rsid w:val="00321C68"/>
    <w:rsid w:val="00324F52"/>
    <w:rsid w:val="00327E5A"/>
    <w:rsid w:val="003301B9"/>
    <w:rsid w:val="00337692"/>
    <w:rsid w:val="00361196"/>
    <w:rsid w:val="00375EFC"/>
    <w:rsid w:val="003832E7"/>
    <w:rsid w:val="003A0DEF"/>
    <w:rsid w:val="003A1C28"/>
    <w:rsid w:val="003A4F14"/>
    <w:rsid w:val="003A4F63"/>
    <w:rsid w:val="003B0440"/>
    <w:rsid w:val="003C10B9"/>
    <w:rsid w:val="003C3184"/>
    <w:rsid w:val="003C3420"/>
    <w:rsid w:val="003C3F5D"/>
    <w:rsid w:val="003C5D69"/>
    <w:rsid w:val="003D32BE"/>
    <w:rsid w:val="003D7D72"/>
    <w:rsid w:val="003F229E"/>
    <w:rsid w:val="0040334F"/>
    <w:rsid w:val="00405728"/>
    <w:rsid w:val="004155E5"/>
    <w:rsid w:val="00417EEA"/>
    <w:rsid w:val="004213A8"/>
    <w:rsid w:val="0042155C"/>
    <w:rsid w:val="00436F63"/>
    <w:rsid w:val="00447192"/>
    <w:rsid w:val="0045222C"/>
    <w:rsid w:val="00453B5C"/>
    <w:rsid w:val="00454460"/>
    <w:rsid w:val="0047493E"/>
    <w:rsid w:val="0047787C"/>
    <w:rsid w:val="00477A20"/>
    <w:rsid w:val="00483023"/>
    <w:rsid w:val="00484747"/>
    <w:rsid w:val="004873EE"/>
    <w:rsid w:val="00491293"/>
    <w:rsid w:val="00491722"/>
    <w:rsid w:val="00493E50"/>
    <w:rsid w:val="0049406E"/>
    <w:rsid w:val="004B4E15"/>
    <w:rsid w:val="004B5A77"/>
    <w:rsid w:val="004C3222"/>
    <w:rsid w:val="004C7E71"/>
    <w:rsid w:val="004D5E75"/>
    <w:rsid w:val="004D7E1A"/>
    <w:rsid w:val="004E7F39"/>
    <w:rsid w:val="004F10CF"/>
    <w:rsid w:val="004F3DF5"/>
    <w:rsid w:val="004F58AE"/>
    <w:rsid w:val="00510F18"/>
    <w:rsid w:val="00516264"/>
    <w:rsid w:val="00520BF9"/>
    <w:rsid w:val="00531A97"/>
    <w:rsid w:val="00534FBC"/>
    <w:rsid w:val="00540FFA"/>
    <w:rsid w:val="00541392"/>
    <w:rsid w:val="005505D3"/>
    <w:rsid w:val="00566E7B"/>
    <w:rsid w:val="00570DBB"/>
    <w:rsid w:val="00575CFA"/>
    <w:rsid w:val="0058359B"/>
    <w:rsid w:val="005837D7"/>
    <w:rsid w:val="005861C8"/>
    <w:rsid w:val="00586485"/>
    <w:rsid w:val="00590343"/>
    <w:rsid w:val="0059301E"/>
    <w:rsid w:val="00596E61"/>
    <w:rsid w:val="005A21D4"/>
    <w:rsid w:val="005A5BC6"/>
    <w:rsid w:val="005B3D40"/>
    <w:rsid w:val="005C0A3A"/>
    <w:rsid w:val="005C21FD"/>
    <w:rsid w:val="005C693A"/>
    <w:rsid w:val="005F0FCA"/>
    <w:rsid w:val="005F1074"/>
    <w:rsid w:val="005F2BE3"/>
    <w:rsid w:val="005F7983"/>
    <w:rsid w:val="00602F94"/>
    <w:rsid w:val="006159BC"/>
    <w:rsid w:val="00627980"/>
    <w:rsid w:val="006627F3"/>
    <w:rsid w:val="0067245D"/>
    <w:rsid w:val="0067469F"/>
    <w:rsid w:val="00676A54"/>
    <w:rsid w:val="006801D3"/>
    <w:rsid w:val="00685580"/>
    <w:rsid w:val="00696472"/>
    <w:rsid w:val="006A5115"/>
    <w:rsid w:val="006A7F31"/>
    <w:rsid w:val="006B2262"/>
    <w:rsid w:val="006B64AA"/>
    <w:rsid w:val="006C25EA"/>
    <w:rsid w:val="006C348E"/>
    <w:rsid w:val="006C78DF"/>
    <w:rsid w:val="006D044C"/>
    <w:rsid w:val="006E22FB"/>
    <w:rsid w:val="006E33AF"/>
    <w:rsid w:val="006E34AE"/>
    <w:rsid w:val="006E4ABC"/>
    <w:rsid w:val="006E6241"/>
    <w:rsid w:val="006F7486"/>
    <w:rsid w:val="007012CA"/>
    <w:rsid w:val="00703013"/>
    <w:rsid w:val="00705955"/>
    <w:rsid w:val="0070647F"/>
    <w:rsid w:val="0071156B"/>
    <w:rsid w:val="007275BB"/>
    <w:rsid w:val="00727CD9"/>
    <w:rsid w:val="00727CDC"/>
    <w:rsid w:val="00737205"/>
    <w:rsid w:val="0074156B"/>
    <w:rsid w:val="00742736"/>
    <w:rsid w:val="0074490F"/>
    <w:rsid w:val="00753DC2"/>
    <w:rsid w:val="00761FD1"/>
    <w:rsid w:val="00766CFC"/>
    <w:rsid w:val="00767DD7"/>
    <w:rsid w:val="00774CD3"/>
    <w:rsid w:val="0078626F"/>
    <w:rsid w:val="00787594"/>
    <w:rsid w:val="007915E9"/>
    <w:rsid w:val="007A091F"/>
    <w:rsid w:val="007A113A"/>
    <w:rsid w:val="007A19E1"/>
    <w:rsid w:val="007A50FC"/>
    <w:rsid w:val="007A6BE6"/>
    <w:rsid w:val="007A73A8"/>
    <w:rsid w:val="007B4A83"/>
    <w:rsid w:val="007C5F5F"/>
    <w:rsid w:val="007D38B1"/>
    <w:rsid w:val="007E68AD"/>
    <w:rsid w:val="00805F19"/>
    <w:rsid w:val="0080692C"/>
    <w:rsid w:val="00815EE3"/>
    <w:rsid w:val="00816CA5"/>
    <w:rsid w:val="008201CF"/>
    <w:rsid w:val="00825B38"/>
    <w:rsid w:val="008262CF"/>
    <w:rsid w:val="00837834"/>
    <w:rsid w:val="00847351"/>
    <w:rsid w:val="00853A91"/>
    <w:rsid w:val="00856301"/>
    <w:rsid w:val="00861602"/>
    <w:rsid w:val="00872D88"/>
    <w:rsid w:val="00872FCD"/>
    <w:rsid w:val="008850C2"/>
    <w:rsid w:val="008870F4"/>
    <w:rsid w:val="00890C06"/>
    <w:rsid w:val="008911F8"/>
    <w:rsid w:val="008948C5"/>
    <w:rsid w:val="008C4C5A"/>
    <w:rsid w:val="008D1C09"/>
    <w:rsid w:val="008D2C31"/>
    <w:rsid w:val="008D35FF"/>
    <w:rsid w:val="008D5271"/>
    <w:rsid w:val="008E07DA"/>
    <w:rsid w:val="0090293D"/>
    <w:rsid w:val="00905854"/>
    <w:rsid w:val="00905DCD"/>
    <w:rsid w:val="009108AA"/>
    <w:rsid w:val="00927503"/>
    <w:rsid w:val="00930F93"/>
    <w:rsid w:val="00931E96"/>
    <w:rsid w:val="009346DE"/>
    <w:rsid w:val="00946BFE"/>
    <w:rsid w:val="00947EDE"/>
    <w:rsid w:val="009577E0"/>
    <w:rsid w:val="00971167"/>
    <w:rsid w:val="00971889"/>
    <w:rsid w:val="00974BED"/>
    <w:rsid w:val="00974E94"/>
    <w:rsid w:val="0098759E"/>
    <w:rsid w:val="00992AD1"/>
    <w:rsid w:val="009A6EA2"/>
    <w:rsid w:val="009B03E3"/>
    <w:rsid w:val="009E54B9"/>
    <w:rsid w:val="009E5EAF"/>
    <w:rsid w:val="009F3DE9"/>
    <w:rsid w:val="009F64B2"/>
    <w:rsid w:val="00A054D9"/>
    <w:rsid w:val="00A251AE"/>
    <w:rsid w:val="00A52AA4"/>
    <w:rsid w:val="00A53EFC"/>
    <w:rsid w:val="00A65F7E"/>
    <w:rsid w:val="00A67AA5"/>
    <w:rsid w:val="00A70B8C"/>
    <w:rsid w:val="00AA275F"/>
    <w:rsid w:val="00AA2E73"/>
    <w:rsid w:val="00AA4A85"/>
    <w:rsid w:val="00AA63A7"/>
    <w:rsid w:val="00AB43A3"/>
    <w:rsid w:val="00AB5F31"/>
    <w:rsid w:val="00AC0204"/>
    <w:rsid w:val="00AC11BC"/>
    <w:rsid w:val="00AF0D2C"/>
    <w:rsid w:val="00AF160B"/>
    <w:rsid w:val="00AF6340"/>
    <w:rsid w:val="00B03021"/>
    <w:rsid w:val="00B10600"/>
    <w:rsid w:val="00B15F11"/>
    <w:rsid w:val="00B20F8F"/>
    <w:rsid w:val="00B21B6F"/>
    <w:rsid w:val="00B47B01"/>
    <w:rsid w:val="00B504BC"/>
    <w:rsid w:val="00B55AA6"/>
    <w:rsid w:val="00B61A77"/>
    <w:rsid w:val="00B61C04"/>
    <w:rsid w:val="00B63DE8"/>
    <w:rsid w:val="00B7596B"/>
    <w:rsid w:val="00B7795D"/>
    <w:rsid w:val="00B819F8"/>
    <w:rsid w:val="00BA5A6F"/>
    <w:rsid w:val="00BC4585"/>
    <w:rsid w:val="00BC4C7C"/>
    <w:rsid w:val="00BC6C38"/>
    <w:rsid w:val="00BE3334"/>
    <w:rsid w:val="00BE3393"/>
    <w:rsid w:val="00BE4106"/>
    <w:rsid w:val="00BE4374"/>
    <w:rsid w:val="00BF03E3"/>
    <w:rsid w:val="00BF3CAB"/>
    <w:rsid w:val="00BF6023"/>
    <w:rsid w:val="00BF64E8"/>
    <w:rsid w:val="00C01FEE"/>
    <w:rsid w:val="00C021A7"/>
    <w:rsid w:val="00C02EBE"/>
    <w:rsid w:val="00C03DB3"/>
    <w:rsid w:val="00C04A60"/>
    <w:rsid w:val="00C06D67"/>
    <w:rsid w:val="00C12179"/>
    <w:rsid w:val="00C1228C"/>
    <w:rsid w:val="00C330B4"/>
    <w:rsid w:val="00C36BA0"/>
    <w:rsid w:val="00C4056C"/>
    <w:rsid w:val="00C61B57"/>
    <w:rsid w:val="00C63D12"/>
    <w:rsid w:val="00C65283"/>
    <w:rsid w:val="00C654EA"/>
    <w:rsid w:val="00C77E22"/>
    <w:rsid w:val="00C84268"/>
    <w:rsid w:val="00CA2A87"/>
    <w:rsid w:val="00CA315A"/>
    <w:rsid w:val="00CA3FD5"/>
    <w:rsid w:val="00CA4325"/>
    <w:rsid w:val="00CA74FC"/>
    <w:rsid w:val="00CB06A0"/>
    <w:rsid w:val="00CB3127"/>
    <w:rsid w:val="00CB4ADC"/>
    <w:rsid w:val="00CB79DE"/>
    <w:rsid w:val="00CC3593"/>
    <w:rsid w:val="00CC499E"/>
    <w:rsid w:val="00CC614F"/>
    <w:rsid w:val="00CF4388"/>
    <w:rsid w:val="00D10CC9"/>
    <w:rsid w:val="00D16932"/>
    <w:rsid w:val="00D16CE7"/>
    <w:rsid w:val="00D34579"/>
    <w:rsid w:val="00D41782"/>
    <w:rsid w:val="00D55F53"/>
    <w:rsid w:val="00D5645B"/>
    <w:rsid w:val="00D6160F"/>
    <w:rsid w:val="00D62263"/>
    <w:rsid w:val="00D670C1"/>
    <w:rsid w:val="00D76930"/>
    <w:rsid w:val="00D81925"/>
    <w:rsid w:val="00D906F9"/>
    <w:rsid w:val="00DB2C6E"/>
    <w:rsid w:val="00DB4A5F"/>
    <w:rsid w:val="00DB6493"/>
    <w:rsid w:val="00DB74B4"/>
    <w:rsid w:val="00DC3458"/>
    <w:rsid w:val="00DD396E"/>
    <w:rsid w:val="00DD5B9B"/>
    <w:rsid w:val="00DE2662"/>
    <w:rsid w:val="00DE691E"/>
    <w:rsid w:val="00DF19E3"/>
    <w:rsid w:val="00E02A9C"/>
    <w:rsid w:val="00E106BA"/>
    <w:rsid w:val="00E114CB"/>
    <w:rsid w:val="00E11A87"/>
    <w:rsid w:val="00E11C2B"/>
    <w:rsid w:val="00E148F7"/>
    <w:rsid w:val="00E15B4E"/>
    <w:rsid w:val="00E171C1"/>
    <w:rsid w:val="00E5012F"/>
    <w:rsid w:val="00E61B09"/>
    <w:rsid w:val="00E64953"/>
    <w:rsid w:val="00E73562"/>
    <w:rsid w:val="00E85F5A"/>
    <w:rsid w:val="00E96C01"/>
    <w:rsid w:val="00EA0BA7"/>
    <w:rsid w:val="00EA7993"/>
    <w:rsid w:val="00EB1946"/>
    <w:rsid w:val="00EB4394"/>
    <w:rsid w:val="00EB5EBA"/>
    <w:rsid w:val="00EC5945"/>
    <w:rsid w:val="00ED10FE"/>
    <w:rsid w:val="00EE20C9"/>
    <w:rsid w:val="00EE30CF"/>
    <w:rsid w:val="00F05FD4"/>
    <w:rsid w:val="00F1518F"/>
    <w:rsid w:val="00F2288D"/>
    <w:rsid w:val="00F2619B"/>
    <w:rsid w:val="00F32A7D"/>
    <w:rsid w:val="00F32BEC"/>
    <w:rsid w:val="00F337D3"/>
    <w:rsid w:val="00F37B48"/>
    <w:rsid w:val="00F41BB3"/>
    <w:rsid w:val="00F60491"/>
    <w:rsid w:val="00F70E1C"/>
    <w:rsid w:val="00F735AC"/>
    <w:rsid w:val="00F73917"/>
    <w:rsid w:val="00FC789B"/>
    <w:rsid w:val="00FD4321"/>
    <w:rsid w:val="00FD5F4D"/>
    <w:rsid w:val="00F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9A863"/>
  <w15:docId w15:val="{D73AE548-5792-4AC4-9DC1-FAD73F24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404"/>
    <w:pPr>
      <w:suppressAutoHyphens/>
      <w:spacing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6627F3"/>
    <w:pPr>
      <w:spacing w:after="120"/>
      <w:ind w:left="1134" w:right="1134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qFormat/>
    <w:rsid w:val="006627F3"/>
  </w:style>
  <w:style w:type="character" w:customStyle="1" w:styleId="H23GChar">
    <w:name w:val="_ H_2/3_G Char"/>
    <w:link w:val="H23G"/>
    <w:rsid w:val="0006240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9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454460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454460"/>
  </w:style>
  <w:style w:type="character" w:customStyle="1" w:styleId="CommentTextChar">
    <w:name w:val="Comment Text Char"/>
    <w:basedOn w:val="DefaultParagraphFont"/>
    <w:link w:val="CommentText"/>
    <w:uiPriority w:val="99"/>
    <w:rsid w:val="00454460"/>
  </w:style>
  <w:style w:type="character" w:customStyle="1" w:styleId="SingleTxtGZchnZchn">
    <w:name w:val="_ Single Txt_G Zchn Zchn"/>
    <w:rsid w:val="004544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0C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0CF"/>
    <w:rPr>
      <w:b/>
      <w:bCs/>
    </w:rPr>
  </w:style>
  <w:style w:type="character" w:styleId="Hyperlink">
    <w:name w:val="Hyperlink"/>
    <w:basedOn w:val="DefaultParagraphFont"/>
    <w:uiPriority w:val="99"/>
    <w:unhideWhenUsed/>
    <w:rsid w:val="00FD5F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F4D"/>
    <w:rPr>
      <w:color w:val="605E5C"/>
      <w:shd w:val="clear" w:color="auto" w:fill="E1DFDD"/>
    </w:rPr>
  </w:style>
  <w:style w:type="paragraph" w:customStyle="1" w:styleId="Default">
    <w:name w:val="Default"/>
    <w:rsid w:val="002440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A6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71377-8E68-4C63-8B04-329638B9AE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6BE45E-6E98-4576-B9AD-ED8A1905CF3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845B5FA0-4D8A-4FDC-B5FE-85CC5B02F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168CD7-89CE-4880-859C-49ACE77309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WP.15 Report reading</dc:creator>
  <cp:keywords/>
  <cp:lastModifiedBy>Don Canete Martin</cp:lastModifiedBy>
  <cp:revision>2</cp:revision>
  <cp:lastPrinted>2019-02-26T00:18:00Z</cp:lastPrinted>
  <dcterms:created xsi:type="dcterms:W3CDTF">2023-03-21T14:08:00Z</dcterms:created>
  <dcterms:modified xsi:type="dcterms:W3CDTF">2023-03-21T14:08:00Z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4419000</vt:r8>
  </property>
  <property fmtid="{D5CDD505-2E9C-101B-9397-08002B2CF9AE}" pid="4" name="Office_x0020_of_x0020_Origin">
    <vt:lpwstr/>
  </property>
  <property fmtid="{D5CDD505-2E9C-101B-9397-08002B2CF9AE}" pid="5" name="MediaServiceImageTags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