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CD6C16F" w14:textId="77777777" w:rsidTr="6BB870D1">
        <w:trPr>
          <w:cantSplit/>
          <w:trHeight w:hRule="exact" w:val="851"/>
        </w:trPr>
        <w:tc>
          <w:tcPr>
            <w:tcW w:w="1276" w:type="dxa"/>
            <w:tcBorders>
              <w:bottom w:val="single" w:sz="4" w:space="0" w:color="auto"/>
            </w:tcBorders>
            <w:vAlign w:val="bottom"/>
          </w:tcPr>
          <w:p w14:paraId="3DE8A57C" w14:textId="77777777" w:rsidR="009E6CB7" w:rsidRDefault="009E6CB7" w:rsidP="00B20551">
            <w:pPr>
              <w:spacing w:after="80"/>
            </w:pPr>
          </w:p>
        </w:tc>
        <w:tc>
          <w:tcPr>
            <w:tcW w:w="2268" w:type="dxa"/>
            <w:tcBorders>
              <w:bottom w:val="single" w:sz="4" w:space="0" w:color="auto"/>
            </w:tcBorders>
            <w:vAlign w:val="bottom"/>
          </w:tcPr>
          <w:p w14:paraId="2121696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9D5742E" w14:textId="773AEBB8" w:rsidR="009E6CB7" w:rsidRPr="00D47EEA" w:rsidRDefault="00C02976" w:rsidP="00C02976">
            <w:pPr>
              <w:jc w:val="right"/>
            </w:pPr>
            <w:r w:rsidRPr="00C02976">
              <w:rPr>
                <w:sz w:val="40"/>
              </w:rPr>
              <w:t>ECE</w:t>
            </w:r>
            <w:r>
              <w:t>/TRANS/202</w:t>
            </w:r>
            <w:r w:rsidR="00960121">
              <w:t>4</w:t>
            </w:r>
            <w:r>
              <w:t>/</w:t>
            </w:r>
            <w:r w:rsidR="00C942DD">
              <w:t>4</w:t>
            </w:r>
          </w:p>
        </w:tc>
      </w:tr>
      <w:tr w:rsidR="009E6CB7" w14:paraId="0F5625B8" w14:textId="77777777" w:rsidTr="6BB870D1">
        <w:trPr>
          <w:cantSplit/>
          <w:trHeight w:hRule="exact" w:val="2835"/>
        </w:trPr>
        <w:tc>
          <w:tcPr>
            <w:tcW w:w="1276" w:type="dxa"/>
            <w:tcBorders>
              <w:top w:val="single" w:sz="4" w:space="0" w:color="auto"/>
              <w:bottom w:val="single" w:sz="12" w:space="0" w:color="auto"/>
            </w:tcBorders>
          </w:tcPr>
          <w:p w14:paraId="45C7860E" w14:textId="77777777" w:rsidR="009E6CB7" w:rsidRDefault="00686A48" w:rsidP="00B20551">
            <w:pPr>
              <w:spacing w:before="120"/>
            </w:pPr>
            <w:r>
              <w:rPr>
                <w:noProof/>
                <w:lang w:val="fr-CH" w:eastAsia="fr-CH"/>
              </w:rPr>
              <w:drawing>
                <wp:inline distT="0" distB="0" distL="0" distR="0" wp14:anchorId="634F29DD" wp14:editId="6F05F76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6EB2E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B20CE23" w14:textId="77777777" w:rsidR="009E6CB7" w:rsidRDefault="00C02976" w:rsidP="00C02976">
            <w:pPr>
              <w:spacing w:before="240" w:line="240" w:lineRule="exact"/>
            </w:pPr>
            <w:r>
              <w:t>Distr.: General</w:t>
            </w:r>
          </w:p>
          <w:p w14:paraId="1B69B993" w14:textId="758C45C1" w:rsidR="00C02976" w:rsidRDefault="00E27022" w:rsidP="00C02976">
            <w:pPr>
              <w:spacing w:line="240" w:lineRule="exact"/>
            </w:pPr>
            <w:r>
              <w:t>11</w:t>
            </w:r>
            <w:r w:rsidR="007317B7">
              <w:t xml:space="preserve"> </w:t>
            </w:r>
            <w:r w:rsidR="009F4054" w:rsidRPr="00652810">
              <w:t>December</w:t>
            </w:r>
            <w:r w:rsidR="00C02976" w:rsidRPr="00652810">
              <w:t xml:space="preserve"> 202</w:t>
            </w:r>
            <w:r w:rsidR="00960121" w:rsidRPr="00652810">
              <w:t>3</w:t>
            </w:r>
          </w:p>
          <w:p w14:paraId="384A448F" w14:textId="77777777" w:rsidR="00C02976" w:rsidRDefault="00C02976" w:rsidP="00C02976">
            <w:pPr>
              <w:spacing w:line="240" w:lineRule="exact"/>
            </w:pPr>
          </w:p>
          <w:p w14:paraId="3BD256BB" w14:textId="1434F26D" w:rsidR="00C02976" w:rsidRDefault="00C02976" w:rsidP="00C02976">
            <w:pPr>
              <w:spacing w:line="240" w:lineRule="exact"/>
            </w:pPr>
            <w:r>
              <w:t>Original: English</w:t>
            </w:r>
          </w:p>
        </w:tc>
      </w:tr>
    </w:tbl>
    <w:p w14:paraId="76F1B8E4" w14:textId="77777777" w:rsidR="00943748" w:rsidRPr="007D68EB" w:rsidRDefault="00943748" w:rsidP="00943748">
      <w:pPr>
        <w:spacing w:before="120"/>
        <w:rPr>
          <w:b/>
          <w:bCs/>
          <w:sz w:val="28"/>
          <w:szCs w:val="28"/>
        </w:rPr>
      </w:pPr>
      <w:r w:rsidRPr="007D68EB">
        <w:rPr>
          <w:b/>
          <w:bCs/>
          <w:sz w:val="28"/>
          <w:szCs w:val="28"/>
        </w:rPr>
        <w:t>Economic Commission for Europe</w:t>
      </w:r>
    </w:p>
    <w:p w14:paraId="324EF3BF" w14:textId="77777777" w:rsidR="00943748" w:rsidRPr="007D68EB" w:rsidRDefault="00943748" w:rsidP="00943748">
      <w:pPr>
        <w:spacing w:before="120"/>
        <w:rPr>
          <w:sz w:val="28"/>
          <w:szCs w:val="28"/>
        </w:rPr>
      </w:pPr>
      <w:r w:rsidRPr="007D68EB">
        <w:rPr>
          <w:sz w:val="28"/>
          <w:szCs w:val="28"/>
        </w:rPr>
        <w:t>Inland Transport Committee</w:t>
      </w:r>
    </w:p>
    <w:p w14:paraId="19E9B60A" w14:textId="7A23E558" w:rsidR="00943748" w:rsidRDefault="008312DD" w:rsidP="00943748">
      <w:pPr>
        <w:spacing w:before="120"/>
        <w:rPr>
          <w:b/>
          <w:bCs/>
          <w:lang w:val="en-US"/>
        </w:rPr>
      </w:pPr>
      <w:r w:rsidRPr="00FF02F5">
        <w:rPr>
          <w:b/>
          <w:bCs/>
        </w:rPr>
        <w:t>Eighty-</w:t>
      </w:r>
      <w:r w:rsidR="00960121">
        <w:rPr>
          <w:b/>
          <w:bCs/>
        </w:rPr>
        <w:t>sixth</w:t>
      </w:r>
      <w:r w:rsidR="00943748">
        <w:rPr>
          <w:b/>
          <w:bCs/>
          <w:lang w:val="en-US"/>
        </w:rPr>
        <w:t xml:space="preserve"> </w:t>
      </w:r>
      <w:r w:rsidR="00943748" w:rsidRPr="007D68EB">
        <w:rPr>
          <w:b/>
          <w:bCs/>
          <w:lang w:val="en-US"/>
        </w:rPr>
        <w:t>session</w:t>
      </w:r>
    </w:p>
    <w:p w14:paraId="35F95455" w14:textId="7C4F7AF8" w:rsidR="00943748" w:rsidRDefault="00943748" w:rsidP="00943748">
      <w:r w:rsidRPr="007D68EB">
        <w:t>Geneva</w:t>
      </w:r>
      <w:r>
        <w:t xml:space="preserve">, </w:t>
      </w:r>
      <w:r w:rsidR="008312DD">
        <w:t>2</w:t>
      </w:r>
      <w:r w:rsidR="00960121">
        <w:t>0</w:t>
      </w:r>
      <w:r w:rsidR="008312DD">
        <w:t>-2</w:t>
      </w:r>
      <w:r w:rsidR="00960121">
        <w:t>3</w:t>
      </w:r>
      <w:r w:rsidR="008312DD">
        <w:t xml:space="preserve"> February 202</w:t>
      </w:r>
      <w:r w:rsidR="00960121">
        <w:t>4</w:t>
      </w:r>
    </w:p>
    <w:p w14:paraId="4E5AA5F2" w14:textId="011FE689" w:rsidR="001C6663" w:rsidRDefault="00943748" w:rsidP="00C02976">
      <w:r w:rsidRPr="004C2966">
        <w:t xml:space="preserve">Item </w:t>
      </w:r>
      <w:r w:rsidR="008320EA">
        <w:t>4</w:t>
      </w:r>
      <w:r>
        <w:t xml:space="preserve"> </w:t>
      </w:r>
      <w:r w:rsidRPr="004C2966">
        <w:t>of the provisional agenda</w:t>
      </w:r>
    </w:p>
    <w:p w14:paraId="6D40518D" w14:textId="5D435A99" w:rsidR="004D7D88" w:rsidRPr="00C206D6" w:rsidRDefault="00B149E7" w:rsidP="3E917719">
      <w:pPr>
        <w:rPr>
          <w:b/>
          <w:bCs/>
        </w:rPr>
      </w:pPr>
      <w:r>
        <w:rPr>
          <w:b/>
          <w:bCs/>
        </w:rPr>
        <w:t xml:space="preserve">Meeting on the </w:t>
      </w:r>
      <w:r w:rsidR="00122041">
        <w:rPr>
          <w:b/>
          <w:bCs/>
        </w:rPr>
        <w:t xml:space="preserve">adoption </w:t>
      </w:r>
      <w:r>
        <w:rPr>
          <w:b/>
          <w:bCs/>
        </w:rPr>
        <w:t>of the</w:t>
      </w:r>
      <w:r w:rsidR="00034BC1">
        <w:rPr>
          <w:b/>
          <w:bCs/>
        </w:rPr>
        <w:br/>
      </w:r>
      <w:r w:rsidR="00A63D76">
        <w:rPr>
          <w:b/>
          <w:bCs/>
        </w:rPr>
        <w:t xml:space="preserve">Inland Transport </w:t>
      </w:r>
      <w:r w:rsidR="00047F44">
        <w:rPr>
          <w:b/>
          <w:bCs/>
        </w:rPr>
        <w:t>Committee Strategy for</w:t>
      </w:r>
      <w:r w:rsidR="00D200B8">
        <w:rPr>
          <w:b/>
          <w:bCs/>
        </w:rPr>
        <w:t xml:space="preserve"> </w:t>
      </w:r>
      <w:r w:rsidR="00047F44">
        <w:rPr>
          <w:b/>
          <w:bCs/>
        </w:rPr>
        <w:t>Reducing</w:t>
      </w:r>
      <w:r w:rsidR="00D200B8">
        <w:rPr>
          <w:b/>
          <w:bCs/>
        </w:rPr>
        <w:br/>
      </w:r>
      <w:r w:rsidR="00047F44">
        <w:rPr>
          <w:b/>
          <w:bCs/>
        </w:rPr>
        <w:t>Greenhouse Gas Emissions</w:t>
      </w:r>
      <w:r w:rsidR="005B6626">
        <w:rPr>
          <w:b/>
          <w:bCs/>
        </w:rPr>
        <w:t xml:space="preserve"> from Inland</w:t>
      </w:r>
      <w:r w:rsidR="00D200B8">
        <w:rPr>
          <w:b/>
          <w:bCs/>
        </w:rPr>
        <w:t xml:space="preserve"> </w:t>
      </w:r>
      <w:r w:rsidR="00873E81">
        <w:rPr>
          <w:b/>
          <w:bCs/>
        </w:rPr>
        <w:t>Transport</w:t>
      </w:r>
      <w:r w:rsidR="00AA4CDF">
        <w:rPr>
          <w:b/>
          <w:bCs/>
        </w:rPr>
        <w:br/>
      </w:r>
      <w:r w:rsidR="00BB297E">
        <w:rPr>
          <w:b/>
          <w:bCs/>
        </w:rPr>
        <w:t>for</w:t>
      </w:r>
      <w:r w:rsidR="00AA4CDF">
        <w:rPr>
          <w:b/>
          <w:bCs/>
        </w:rPr>
        <w:t xml:space="preserve"> </w:t>
      </w:r>
      <w:r w:rsidR="00BB297E">
        <w:rPr>
          <w:b/>
          <w:bCs/>
        </w:rPr>
        <w:t>Government Delegates only with the</w:t>
      </w:r>
      <w:r w:rsidR="00AA4CDF">
        <w:rPr>
          <w:b/>
          <w:bCs/>
        </w:rPr>
        <w:t xml:space="preserve"> </w:t>
      </w:r>
      <w:r w:rsidR="00BB297E">
        <w:rPr>
          <w:b/>
          <w:bCs/>
        </w:rPr>
        <w:t>Participation</w:t>
      </w:r>
      <w:r w:rsidR="00AA4CDF">
        <w:rPr>
          <w:b/>
          <w:bCs/>
        </w:rPr>
        <w:br/>
      </w:r>
      <w:r w:rsidR="00E476E8">
        <w:rPr>
          <w:b/>
          <w:bCs/>
        </w:rPr>
        <w:t>of the Chairs of the Committee’s Subsidiary Bodies</w:t>
      </w:r>
    </w:p>
    <w:p w14:paraId="406889DC" w14:textId="3EAD3475" w:rsidR="001A561E" w:rsidRDefault="00DB311C" w:rsidP="14D4434D">
      <w:pPr>
        <w:pStyle w:val="HChG"/>
        <w:ind w:firstLine="0"/>
      </w:pPr>
      <w:bookmarkStart w:id="0" w:name="_Hlk152579306"/>
      <w:r>
        <w:t>In-depth Report on Inland Transport and Climate Change</w:t>
      </w:r>
      <w:r w:rsidR="4560D099">
        <w:t xml:space="preserve">, </w:t>
      </w:r>
      <w:r w:rsidR="00F55632">
        <w:t>P</w:t>
      </w:r>
      <w:r w:rsidR="4560D099">
        <w:t>art 1</w:t>
      </w:r>
      <w:r>
        <w:t>: Getting towards net zero – Status, Projections and Greenhouse Gas Emissions Trends</w:t>
      </w:r>
    </w:p>
    <w:p w14:paraId="4029E091" w14:textId="712538AE" w:rsidR="008D3411" w:rsidRDefault="008D3411" w:rsidP="008D3411">
      <w:pPr>
        <w:pStyle w:val="H1G"/>
      </w:pPr>
      <w:r>
        <w:tab/>
      </w:r>
      <w:r>
        <w:tab/>
        <w:t>Note by the secretariat</w:t>
      </w:r>
      <w:r w:rsidR="00BF3BAC" w:rsidRPr="00BF3BAC">
        <w:rPr>
          <w:rStyle w:val="FootnoteReference"/>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488"/>
      </w:tblGrid>
      <w:tr w:rsidR="00304F59" w14:paraId="38FAF9C5" w14:textId="77777777">
        <w:trPr>
          <w:jc w:val="center"/>
        </w:trPr>
        <w:tc>
          <w:tcPr>
            <w:tcW w:w="9637" w:type="dxa"/>
            <w:shd w:val="clear" w:color="auto" w:fill="auto"/>
          </w:tcPr>
          <w:p w14:paraId="7A7D6E3C" w14:textId="77777777" w:rsidR="00304F59" w:rsidRPr="00C6263E" w:rsidRDefault="00304F59">
            <w:pPr>
              <w:spacing w:before="240" w:after="120"/>
              <w:ind w:left="255"/>
              <w:rPr>
                <w:i/>
                <w:sz w:val="24"/>
              </w:rPr>
            </w:pPr>
            <w:r w:rsidRPr="00C6263E">
              <w:rPr>
                <w:i/>
                <w:sz w:val="24"/>
              </w:rPr>
              <w:t>Summary</w:t>
            </w:r>
          </w:p>
        </w:tc>
      </w:tr>
      <w:tr w:rsidR="00304F59" w14:paraId="102FFA75" w14:textId="77777777">
        <w:trPr>
          <w:jc w:val="center"/>
        </w:trPr>
        <w:tc>
          <w:tcPr>
            <w:tcW w:w="9637" w:type="dxa"/>
            <w:shd w:val="clear" w:color="auto" w:fill="auto"/>
          </w:tcPr>
          <w:p w14:paraId="17F04493" w14:textId="04703F6E" w:rsidR="00304F59" w:rsidRDefault="000150AC">
            <w:pPr>
              <w:pStyle w:val="SingleTxtG"/>
            </w:pPr>
            <w:r>
              <w:tab/>
            </w:r>
            <w:r>
              <w:tab/>
            </w:r>
            <w:r w:rsidR="000060B4" w:rsidRPr="00F55632">
              <w:t>T</w:t>
            </w:r>
            <w:r w:rsidR="00BE5D03" w:rsidRPr="00F55632">
              <w:t>w</w:t>
            </w:r>
            <w:r w:rsidR="000060B4" w:rsidRPr="00F55632">
              <w:t>o in-depth reports</w:t>
            </w:r>
            <w:r w:rsidR="00BA69D8" w:rsidRPr="00F55632">
              <w:t xml:space="preserve"> h</w:t>
            </w:r>
            <w:r w:rsidR="00BE5D03" w:rsidRPr="00F55632">
              <w:t>a</w:t>
            </w:r>
            <w:r w:rsidR="00BA69D8" w:rsidRPr="00F55632">
              <w:t>ve</w:t>
            </w:r>
            <w:r w:rsidR="00BA69D8">
              <w:t xml:space="preserve"> been prep</w:t>
            </w:r>
            <w:r w:rsidR="00BE5D03">
              <w:t>a</w:t>
            </w:r>
            <w:r w:rsidR="00BA69D8">
              <w:t xml:space="preserve">red </w:t>
            </w:r>
            <w:r w:rsidR="00BE5D03">
              <w:t>by</w:t>
            </w:r>
            <w:r w:rsidR="00BA69D8">
              <w:t xml:space="preserve"> </w:t>
            </w:r>
            <w:r w:rsidR="003A1E21">
              <w:t>the secretariat with the support of an external cons</w:t>
            </w:r>
            <w:r w:rsidR="00CF7C82">
              <w:t xml:space="preserve">ultant (Nikola Medimorec) </w:t>
            </w:r>
            <w:r w:rsidR="00F57B1D">
              <w:t xml:space="preserve">as </w:t>
            </w:r>
            <w:r w:rsidR="00AA01A0">
              <w:t>background material to the draft Inland Transport Committee strategy to reduce Green</w:t>
            </w:r>
            <w:r w:rsidR="00A12390">
              <w:t>house gas (GHG) emissions from in land transport</w:t>
            </w:r>
            <w:r w:rsidR="00690882">
              <w:t>.</w:t>
            </w:r>
          </w:p>
          <w:p w14:paraId="423D674E" w14:textId="281384CE" w:rsidR="00690882" w:rsidRDefault="000150AC">
            <w:pPr>
              <w:pStyle w:val="SingleTxtG"/>
            </w:pPr>
            <w:r>
              <w:tab/>
            </w:r>
            <w:r>
              <w:tab/>
            </w:r>
            <w:r w:rsidR="00690882">
              <w:t xml:space="preserve">This </w:t>
            </w:r>
            <w:r w:rsidR="00F55101">
              <w:t xml:space="preserve">first in-depth report </w:t>
            </w:r>
            <w:r w:rsidR="007114B5">
              <w:t>looks</w:t>
            </w:r>
            <w:r w:rsidR="00592081">
              <w:t>,</w:t>
            </w:r>
            <w:r w:rsidR="007114B5">
              <w:t xml:space="preserve"> </w:t>
            </w:r>
            <w:r w:rsidR="00592081">
              <w:t>in the first part,</w:t>
            </w:r>
            <w:r w:rsidR="007114B5">
              <w:t xml:space="preserve"> at the </w:t>
            </w:r>
            <w:r w:rsidR="00DA5EC9">
              <w:t xml:space="preserve">past and present </w:t>
            </w:r>
            <w:r w:rsidR="00FA5204">
              <w:t>contribution of inland transport to GHG emissions, globally and regionally</w:t>
            </w:r>
            <w:r w:rsidR="007E52CA">
              <w:t xml:space="preserve"> </w:t>
            </w:r>
            <w:r w:rsidR="0022393A">
              <w:t xml:space="preserve">in overall GHG emission from the transport sector, and </w:t>
            </w:r>
            <w:r w:rsidR="00672044">
              <w:t>the impact that the COVID pandemic has had on the GHG emiss</w:t>
            </w:r>
            <w:r w:rsidR="00592081">
              <w:t>i</w:t>
            </w:r>
            <w:r w:rsidR="00672044">
              <w:t>ons.</w:t>
            </w:r>
          </w:p>
          <w:p w14:paraId="1A85E6EB" w14:textId="51D78943" w:rsidR="00D77CA4" w:rsidRDefault="000150AC">
            <w:pPr>
              <w:pStyle w:val="SingleTxtG"/>
            </w:pPr>
            <w:r>
              <w:tab/>
            </w:r>
            <w:r>
              <w:tab/>
            </w:r>
            <w:r w:rsidR="00592081">
              <w:t xml:space="preserve">In a second part, it analyses </w:t>
            </w:r>
            <w:r w:rsidR="00817E05">
              <w:t xml:space="preserve">some of most </w:t>
            </w:r>
            <w:r w:rsidR="005D716F">
              <w:t xml:space="preserve">prominent </w:t>
            </w:r>
            <w:r w:rsidR="00592081">
              <w:t xml:space="preserve">forward looking </w:t>
            </w:r>
            <w:r w:rsidR="00AE5D20">
              <w:t xml:space="preserve">GHG emissions </w:t>
            </w:r>
            <w:r w:rsidR="00592081">
              <w:t>projections</w:t>
            </w:r>
            <w:r w:rsidR="00AE5D20">
              <w:t xml:space="preserve"> for the transport sector, </w:t>
            </w:r>
            <w:r w:rsidR="00107593">
              <w:t xml:space="preserve">and some possible pathways to </w:t>
            </w:r>
            <w:r w:rsidR="00825897">
              <w:t xml:space="preserve">achieve the goals of the Paris Agreement. </w:t>
            </w:r>
          </w:p>
          <w:p w14:paraId="0F4CCBB8" w14:textId="72F50BDC" w:rsidR="00304F59" w:rsidRDefault="000150AC">
            <w:pPr>
              <w:pStyle w:val="SingleTxtG"/>
            </w:pPr>
            <w:r>
              <w:tab/>
            </w:r>
            <w:r>
              <w:tab/>
            </w:r>
            <w:r w:rsidR="00327398">
              <w:t>In its final part, this in</w:t>
            </w:r>
            <w:r w:rsidR="00531054">
              <w:t xml:space="preserve">-depth report </w:t>
            </w:r>
            <w:r w:rsidR="00445A9E">
              <w:t>takes stock of</w:t>
            </w:r>
            <w:r w:rsidR="00086DD3">
              <w:t xml:space="preserve"> </w:t>
            </w:r>
            <w:r w:rsidR="00497EEC">
              <w:t>high profile</w:t>
            </w:r>
            <w:r w:rsidR="00D419F4">
              <w:t xml:space="preserve"> activities that have recently emerged</w:t>
            </w:r>
            <w:r w:rsidR="006327FA">
              <w:t xml:space="preserve"> </w:t>
            </w:r>
            <w:r w:rsidR="00EB346B">
              <w:t xml:space="preserve">at the </w:t>
            </w:r>
            <w:r w:rsidR="00086DD3">
              <w:t>international</w:t>
            </w:r>
            <w:r w:rsidR="00EB346B">
              <w:t xml:space="preserve"> level</w:t>
            </w:r>
            <w:r w:rsidR="00235691">
              <w:t xml:space="preserve">, </w:t>
            </w:r>
            <w:r w:rsidR="003F6BE1">
              <w:t xml:space="preserve">highlighting the </w:t>
            </w:r>
            <w:r w:rsidR="00695CDA">
              <w:t xml:space="preserve">potential role of </w:t>
            </w:r>
            <w:r w:rsidR="00235691">
              <w:t xml:space="preserve">partnerships, </w:t>
            </w:r>
            <w:r w:rsidR="008D1DF7">
              <w:t xml:space="preserve">international </w:t>
            </w:r>
            <w:r w:rsidR="00F55B32">
              <w:t>financi</w:t>
            </w:r>
            <w:r w:rsidR="008D1DF7">
              <w:t>al</w:t>
            </w:r>
            <w:r w:rsidR="00F55B32">
              <w:t xml:space="preserve"> in</w:t>
            </w:r>
            <w:r w:rsidR="008D1DF7">
              <w:t>s</w:t>
            </w:r>
            <w:r w:rsidR="00F55B32">
              <w:t>titutions</w:t>
            </w:r>
            <w:r w:rsidR="00092DCC">
              <w:t xml:space="preserve"> and </w:t>
            </w:r>
            <w:r w:rsidR="002D4048">
              <w:t xml:space="preserve">the </w:t>
            </w:r>
            <w:r w:rsidR="00092DCC">
              <w:t xml:space="preserve">private sector </w:t>
            </w:r>
            <w:r w:rsidR="003A6FB8">
              <w:t xml:space="preserve">could play to </w:t>
            </w:r>
            <w:r w:rsidR="004C5828">
              <w:t>help support the decarbonization of the inland transport sector.</w:t>
            </w:r>
          </w:p>
        </w:tc>
      </w:tr>
      <w:tr w:rsidR="00304F59" w14:paraId="1BC24A1D" w14:textId="77777777">
        <w:trPr>
          <w:jc w:val="center"/>
        </w:trPr>
        <w:tc>
          <w:tcPr>
            <w:tcW w:w="9637" w:type="dxa"/>
            <w:shd w:val="clear" w:color="auto" w:fill="auto"/>
          </w:tcPr>
          <w:p w14:paraId="1BA81F37" w14:textId="77777777" w:rsidR="00304F59" w:rsidRDefault="00304F59"/>
        </w:tc>
      </w:tr>
      <w:bookmarkEnd w:id="0"/>
    </w:tbl>
    <w:p w14:paraId="048AEDB8" w14:textId="77777777" w:rsidR="00C206D6" w:rsidRDefault="00C206D6" w:rsidP="00BF5682">
      <w:pPr>
        <w:spacing w:before="240"/>
        <w:jc w:val="center"/>
        <w:rPr>
          <w:u w:val="single"/>
        </w:rPr>
      </w:pPr>
    </w:p>
    <w:p w14:paraId="270C92CE" w14:textId="4C5BCF44" w:rsidR="000B344A" w:rsidRDefault="000B344A">
      <w:pPr>
        <w:suppressAutoHyphens w:val="0"/>
        <w:spacing w:line="240" w:lineRule="auto"/>
        <w:rPr>
          <w:u w:val="single"/>
        </w:rPr>
      </w:pPr>
      <w:r>
        <w:rPr>
          <w:u w:val="single"/>
        </w:rPr>
        <w:br w:type="page"/>
      </w:r>
    </w:p>
    <w:p w14:paraId="5A9CB5FA" w14:textId="1F8B42E7" w:rsidR="00421726" w:rsidRDefault="00652810" w:rsidP="00652810">
      <w:pPr>
        <w:pStyle w:val="HChG"/>
      </w:pPr>
      <w:bookmarkStart w:id="1" w:name="_1fob9te" w:colFirst="0" w:colLast="0"/>
      <w:bookmarkEnd w:id="1"/>
      <w:r>
        <w:lastRenderedPageBreak/>
        <w:tab/>
        <w:t>I.</w:t>
      </w:r>
      <w:r>
        <w:tab/>
      </w:r>
      <w:r w:rsidR="00421726">
        <w:t xml:space="preserve">Inland </w:t>
      </w:r>
      <w:r w:rsidR="00F05DE7">
        <w:t>T</w:t>
      </w:r>
      <w:r w:rsidR="00421726">
        <w:t xml:space="preserve">ransport’s </w:t>
      </w:r>
      <w:r w:rsidR="00F05DE7">
        <w:t>C</w:t>
      </w:r>
      <w:r w:rsidR="00421726">
        <w:t xml:space="preserve">ontribution to </w:t>
      </w:r>
      <w:r w:rsidR="00F05DE7">
        <w:t>C</w:t>
      </w:r>
      <w:r w:rsidR="00421726">
        <w:t xml:space="preserve">limate </w:t>
      </w:r>
      <w:r w:rsidR="00F05DE7">
        <w:t>C</w:t>
      </w:r>
      <w:r w:rsidR="00421726">
        <w:t>hange</w:t>
      </w:r>
    </w:p>
    <w:p w14:paraId="48FE25D1" w14:textId="30BCB484" w:rsidR="00421726" w:rsidRDefault="00652810" w:rsidP="00F338E9">
      <w:pPr>
        <w:pStyle w:val="H1G"/>
      </w:pPr>
      <w:bookmarkStart w:id="2" w:name="_3znysh7" w:colFirst="0" w:colLast="0"/>
      <w:bookmarkStart w:id="3" w:name="_Hlk152583383"/>
      <w:bookmarkEnd w:id="2"/>
      <w:r>
        <w:tab/>
        <w:t>A.</w:t>
      </w:r>
      <w:r>
        <w:tab/>
      </w:r>
      <w:r>
        <w:tab/>
      </w:r>
      <w:r w:rsidR="00421726">
        <w:t xml:space="preserve">Current </w:t>
      </w:r>
      <w:r w:rsidR="00F05DE7">
        <w:t>G</w:t>
      </w:r>
      <w:r w:rsidR="00421726">
        <w:t xml:space="preserve">lobal </w:t>
      </w:r>
      <w:r w:rsidR="00F05DE7">
        <w:t>S</w:t>
      </w:r>
      <w:r w:rsidR="00421726">
        <w:t xml:space="preserve">ituation of </w:t>
      </w:r>
      <w:r w:rsidR="00F05DE7">
        <w:t>T</w:t>
      </w:r>
      <w:r w:rsidR="00421726">
        <w:t>ransport-based G</w:t>
      </w:r>
      <w:r w:rsidR="00F05DE7">
        <w:t>reenhouse Gas E</w:t>
      </w:r>
      <w:r w:rsidR="00421726">
        <w:t>missions</w:t>
      </w:r>
      <w:bookmarkEnd w:id="3"/>
    </w:p>
    <w:p w14:paraId="326AE272" w14:textId="36EE0FD3" w:rsidR="00421726" w:rsidRDefault="00783FCF" w:rsidP="000E6C04">
      <w:pPr>
        <w:pStyle w:val="SingleTxtG"/>
      </w:pPr>
      <w:r>
        <w:t>1.</w:t>
      </w:r>
      <w:r>
        <w:tab/>
      </w:r>
      <w:r w:rsidR="00421726">
        <w:t xml:space="preserve">The world has exceeded 1.2°C of global warming since the start of the industrial era, with each decade registering higher temperatures </w:t>
      </w:r>
      <w:r w:rsidR="00421726" w:rsidRPr="00652810">
        <w:t>than</w:t>
      </w:r>
      <w:r w:rsidR="00421726">
        <w:t xml:space="preserve"> </w:t>
      </w:r>
      <w:r w:rsidR="00421726" w:rsidRPr="00652810">
        <w:t>the</w:t>
      </w:r>
      <w:r w:rsidR="00421726">
        <w:t xml:space="preserve"> preceding one.</w:t>
      </w:r>
      <w:r w:rsidR="00421726">
        <w:rPr>
          <w:vertAlign w:val="superscript"/>
        </w:rPr>
        <w:footnoteReference w:id="3"/>
      </w:r>
      <w:r w:rsidR="00421726">
        <w:t xml:space="preserve"> So far, in every year of the 21st century, the global average temperature has been at least 0.5°C above the average of 1951-1980, with 2016 and 2020 surpassing 1.0°C above the average.</w:t>
      </w:r>
      <w:r w:rsidR="00421726">
        <w:rPr>
          <w:vertAlign w:val="superscript"/>
        </w:rPr>
        <w:footnoteReference w:id="4"/>
      </w:r>
    </w:p>
    <w:p w14:paraId="3F773907" w14:textId="7F739120" w:rsidR="009C4D1B" w:rsidRPr="006A27EA" w:rsidRDefault="00986AF7" w:rsidP="00652810">
      <w:pPr>
        <w:pStyle w:val="SingleTxtG"/>
        <w:ind w:right="993"/>
      </w:pPr>
      <w:r>
        <w:t>2.</w:t>
      </w:r>
      <w:r w:rsidR="009C4D1B">
        <w:tab/>
      </w:r>
      <w:r w:rsidR="00421726">
        <w:t>Global fossil CO</w:t>
      </w:r>
      <w:r w:rsidR="00421726" w:rsidRPr="00986AF7">
        <w:rPr>
          <w:vertAlign w:val="subscript"/>
        </w:rPr>
        <w:t>2</w:t>
      </w:r>
      <w:r w:rsidR="00421726">
        <w:t xml:space="preserve"> emissions exceeded 37.4 gigatonnes in 2019, dropped by 2 gigatonnes to reach 35.5 gigatonnes in 2020</w:t>
      </w:r>
      <w:r w:rsidR="00287033">
        <w:t xml:space="preserve"> and</w:t>
      </w:r>
      <w:r w:rsidR="00421726">
        <w:t xml:space="preserve"> rebounded to 37.6 gigatonnes in 2021 and recorded a new all-time high with 38.1 gigatonnes in 2022.</w:t>
      </w:r>
      <w:r w:rsidR="00421726">
        <w:rPr>
          <w:vertAlign w:val="superscript"/>
        </w:rPr>
        <w:footnoteReference w:id="5"/>
      </w:r>
      <w:r w:rsidR="00421726">
        <w:t xml:space="preserve"> The transport sector was the second largest emitting sector after the power industry </w:t>
      </w:r>
      <w:r w:rsidR="002D2D5B">
        <w:t xml:space="preserve">(power industry </w:t>
      </w:r>
      <w:r w:rsidR="00421726">
        <w:t>excluding “other sectors”</w:t>
      </w:r>
      <w:r w:rsidR="00421726">
        <w:rPr>
          <w:vertAlign w:val="superscript"/>
        </w:rPr>
        <w:footnoteReference w:id="6"/>
      </w:r>
      <w:r w:rsidR="002D2D5B">
        <w:t xml:space="preserve">) </w:t>
      </w:r>
      <w:r w:rsidR="00421726">
        <w:t>and accounted for 20.7</w:t>
      </w:r>
      <w:r w:rsidR="00F848BA">
        <w:t xml:space="preserve"> per cent</w:t>
      </w:r>
      <w:r w:rsidR="00421726">
        <w:t xml:space="preserve"> of global fossil CO</w:t>
      </w:r>
      <w:r w:rsidR="00421726" w:rsidRPr="000E6C04">
        <w:rPr>
          <w:vertAlign w:val="subscript"/>
        </w:rPr>
        <w:t>2</w:t>
      </w:r>
      <w:r w:rsidR="00421726">
        <w:t xml:space="preserve"> emissions in 2022. It </w:t>
      </w:r>
      <w:r w:rsidR="00350575">
        <w:t xml:space="preserve">decreased </w:t>
      </w:r>
      <w:r w:rsidR="00421726">
        <w:t>slightly from 21.9</w:t>
      </w:r>
      <w:r w:rsidR="00F752C2">
        <w:t xml:space="preserve"> per cent</w:t>
      </w:r>
      <w:r w:rsidR="00421726">
        <w:t xml:space="preserve"> in 2019.</w:t>
      </w:r>
      <w:r w:rsidR="00421726">
        <w:rPr>
          <w:vertAlign w:val="superscript"/>
        </w:rPr>
        <w:footnoteReference w:id="7"/>
      </w:r>
    </w:p>
    <w:p w14:paraId="6896FB4C" w14:textId="43FC64BA" w:rsidR="00421726" w:rsidRDefault="002F70BB" w:rsidP="00652810">
      <w:pPr>
        <w:pStyle w:val="SingleTxtG"/>
        <w:ind w:right="993"/>
      </w:pPr>
      <w:r>
        <w:t>3.</w:t>
      </w:r>
      <w:r>
        <w:tab/>
      </w:r>
      <w:r w:rsidR="00421726">
        <w:t>Between 2010 and 2019, CO</w:t>
      </w:r>
      <w:r w:rsidR="00421726">
        <w:rPr>
          <w:vertAlign w:val="subscript"/>
        </w:rPr>
        <w:t>2</w:t>
      </w:r>
      <w:r w:rsidR="00421726">
        <w:t xml:space="preserve"> emissions from the transport sector </w:t>
      </w:r>
      <w:r w:rsidR="00421726" w:rsidRPr="00652810">
        <w:t>increased</w:t>
      </w:r>
      <w:r w:rsidR="00421726">
        <w:t xml:space="preserve"> by 18</w:t>
      </w:r>
      <w:r w:rsidR="005B07F0">
        <w:t xml:space="preserve"> per cent</w:t>
      </w:r>
      <w:r w:rsidR="00421726">
        <w:t>, with an average annual increase of 2.1</w:t>
      </w:r>
      <w:r w:rsidR="00F752C2">
        <w:t xml:space="preserve"> per</w:t>
      </w:r>
      <w:r w:rsidR="005B07F0">
        <w:t xml:space="preserve"> cent</w:t>
      </w:r>
      <w:r w:rsidR="00421726">
        <w:t>. This was the fastest growth in CO</w:t>
      </w:r>
      <w:r w:rsidR="00421726" w:rsidRPr="0067009B">
        <w:rPr>
          <w:vertAlign w:val="subscript"/>
        </w:rPr>
        <w:t>2</w:t>
      </w:r>
      <w:r w:rsidR="00421726">
        <w:t xml:space="preserve"> emissions among combustion sectors globally. In 2020, transport again experienced the greatest emission decline among combustion sectors, after falling by 14.2</w:t>
      </w:r>
      <w:r w:rsidR="005B07F0">
        <w:t xml:space="preserve"> per cent</w:t>
      </w:r>
      <w:r w:rsidR="00421726">
        <w:t xml:space="preserve"> as a result of the impacts of the COVID-19 pandemic. This decline reduced transport emissions to 2011 levels at 7.05 gigatonnes. Transport emissions nearly completely recovered, rising to 7.5 gigatonnes of CO</w:t>
      </w:r>
      <w:r w:rsidR="00421726">
        <w:rPr>
          <w:vertAlign w:val="subscript"/>
        </w:rPr>
        <w:t>2</w:t>
      </w:r>
      <w:r w:rsidR="00421726">
        <w:t xml:space="preserve"> in 2021 and 7.9 gigatonnes in 2022, recording for both years the strongest annual CO</w:t>
      </w:r>
      <w:r w:rsidR="00421726" w:rsidRPr="000E6C04">
        <w:rPr>
          <w:vertAlign w:val="subscript"/>
        </w:rPr>
        <w:t xml:space="preserve">2 </w:t>
      </w:r>
      <w:r w:rsidR="00421726">
        <w:t xml:space="preserve">emission growth (see Figure </w:t>
      </w:r>
      <w:r w:rsidR="00925C09">
        <w:t>I</w:t>
      </w:r>
      <w:r w:rsidR="00421726">
        <w:t>).</w:t>
      </w:r>
      <w:r w:rsidR="00421726">
        <w:rPr>
          <w:vertAlign w:val="superscript"/>
        </w:rPr>
        <w:footnoteReference w:id="8"/>
      </w:r>
    </w:p>
    <w:p w14:paraId="35A3DA6A" w14:textId="43098AA4" w:rsidR="00925C09" w:rsidRPr="00250302" w:rsidRDefault="00925C09" w:rsidP="00925C09">
      <w:pPr>
        <w:pStyle w:val="SingleTxtG"/>
        <w:keepNext/>
        <w:keepLines/>
        <w:spacing w:after="0"/>
      </w:pPr>
      <w:r w:rsidRPr="00250302">
        <w:lastRenderedPageBreak/>
        <w:t xml:space="preserve">Figure </w:t>
      </w:r>
      <w:r>
        <w:t>I</w:t>
      </w:r>
    </w:p>
    <w:p w14:paraId="69FEE73A" w14:textId="06F0C644" w:rsidR="00925C09" w:rsidRPr="00250302" w:rsidRDefault="00925C09" w:rsidP="00925C09">
      <w:pPr>
        <w:pStyle w:val="SingleTxtG"/>
        <w:keepNext/>
        <w:keepLines/>
        <w:rPr>
          <w:b/>
        </w:rPr>
      </w:pPr>
      <w:r w:rsidRPr="00925C09">
        <w:rPr>
          <w:b/>
        </w:rPr>
        <w:t>Changes in CO</w:t>
      </w:r>
      <w:r w:rsidRPr="000E6C04">
        <w:rPr>
          <w:b/>
          <w:vertAlign w:val="subscript"/>
        </w:rPr>
        <w:t>2</w:t>
      </w:r>
      <w:r w:rsidRPr="00925C09">
        <w:rPr>
          <w:b/>
        </w:rPr>
        <w:t xml:space="preserve"> emissions by sector, 2010 to 2022</w:t>
      </w:r>
    </w:p>
    <w:p w14:paraId="0014A062" w14:textId="77777777" w:rsidR="00421726" w:rsidRDefault="00421726" w:rsidP="000E7227">
      <w:pPr>
        <w:jc w:val="center"/>
      </w:pPr>
      <w:r>
        <w:rPr>
          <w:noProof/>
        </w:rPr>
        <w:drawing>
          <wp:inline distT="114300" distB="114300" distL="114300" distR="114300" wp14:anchorId="1A7AC841" wp14:editId="2B9B4664">
            <wp:extent cx="5368565" cy="3148641"/>
            <wp:effectExtent l="0" t="0" r="3810" b="0"/>
            <wp:docPr id="9" name="Picture 9"/>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379100" cy="3154820"/>
                    </a:xfrm>
                    <a:prstGeom prst="rect">
                      <a:avLst/>
                    </a:prstGeom>
                    <a:ln/>
                  </pic:spPr>
                </pic:pic>
              </a:graphicData>
            </a:graphic>
          </wp:inline>
        </w:drawing>
      </w:r>
    </w:p>
    <w:p w14:paraId="274641AB" w14:textId="66C483C8" w:rsidR="00421726" w:rsidRDefault="00825FF2" w:rsidP="000E6C04">
      <w:pPr>
        <w:pStyle w:val="SingleTxtG"/>
        <w:spacing w:before="240"/>
        <w:ind w:right="992"/>
      </w:pPr>
      <w:r>
        <w:t>4.</w:t>
      </w:r>
      <w:r>
        <w:tab/>
      </w:r>
      <w:r w:rsidR="00421726">
        <w:t>The transport sector is not on track to achieve its global climate and sustainability goals. Drastic reductions in transport emissions and improved access to integrated transport systems worldwide are urgently required to achieve decarbonised pathways.</w:t>
      </w:r>
      <w:r w:rsidR="00421726">
        <w:rPr>
          <w:vertAlign w:val="superscript"/>
        </w:rPr>
        <w:footnoteReference w:id="9"/>
      </w:r>
      <w:r w:rsidR="00421726">
        <w:t xml:space="preserve"> Doing this will require not only adequate investments in transport adaptation and resilience, but also the repurposing of funds currently going into fossil fuel subsidies as well as an acceleration of investments aimed at achieving transport system transformation.</w:t>
      </w:r>
      <w:r w:rsidR="00421726">
        <w:rPr>
          <w:vertAlign w:val="superscript"/>
        </w:rPr>
        <w:footnoteReference w:id="10"/>
      </w:r>
    </w:p>
    <w:p w14:paraId="5DDAF47B" w14:textId="11444AF4" w:rsidR="00421726" w:rsidRDefault="00825FF2" w:rsidP="00BD04CC">
      <w:pPr>
        <w:pStyle w:val="SingleTxtG"/>
        <w:ind w:right="993"/>
        <w:rPr>
          <w:vertAlign w:val="superscript"/>
        </w:rPr>
      </w:pPr>
      <w:r>
        <w:t>5.</w:t>
      </w:r>
      <w:r>
        <w:tab/>
      </w:r>
      <w:r w:rsidR="00421726">
        <w:t>In 2023 – the halfway point between the 2015 adoption of the U</w:t>
      </w:r>
      <w:r w:rsidR="00BD04CC">
        <w:t xml:space="preserve">nited </w:t>
      </w:r>
      <w:r w:rsidR="00421726">
        <w:t>N</w:t>
      </w:r>
      <w:r w:rsidR="00BD04CC">
        <w:t>ations</w:t>
      </w:r>
      <w:r w:rsidR="00421726">
        <w:t xml:space="preserve"> Sustainable Development Goals and their target year of 2030 – it was estimated that none of the 17 </w:t>
      </w:r>
      <w:r w:rsidR="00715BEF">
        <w:t>Sustainable Development Goals</w:t>
      </w:r>
      <w:r w:rsidR="00421726">
        <w:t xml:space="preserve"> would be met in their entirety, and that only 12</w:t>
      </w:r>
      <w:r w:rsidR="00715BEF">
        <w:t xml:space="preserve"> per cent</w:t>
      </w:r>
      <w:r w:rsidR="00421726">
        <w:t xml:space="preserve"> of the </w:t>
      </w:r>
      <w:r w:rsidR="00715BEF">
        <w:t>Sustainable Development Goal</w:t>
      </w:r>
      <w:r w:rsidR="00421726">
        <w:t xml:space="preserve"> targets would be achieved. This includes several </w:t>
      </w:r>
      <w:r w:rsidR="00715BEF">
        <w:t>Sustainable Development Goals</w:t>
      </w:r>
      <w:r w:rsidR="00421726">
        <w:t xml:space="preserve"> related to the transport sector, such as </w:t>
      </w:r>
      <w:r w:rsidR="00715BEF">
        <w:t>Sustainable Development Goal</w:t>
      </w:r>
      <w:r w:rsidR="00421726">
        <w:t xml:space="preserve"> 3 (good health and well-being), </w:t>
      </w:r>
      <w:r w:rsidR="00715BEF">
        <w:t>Sustainable Development Goal</w:t>
      </w:r>
      <w:r w:rsidR="00421726">
        <w:t xml:space="preserve"> 7 (affordable and clean energy), </w:t>
      </w:r>
      <w:r w:rsidR="00715BEF">
        <w:t>Sustainable Development Goal</w:t>
      </w:r>
      <w:r w:rsidR="00421726">
        <w:t xml:space="preserve"> 9 (industry, innovation and infrastructure), </w:t>
      </w:r>
      <w:r w:rsidR="00715BEF">
        <w:t>Sustainable Development Goal</w:t>
      </w:r>
      <w:r w:rsidR="00421726">
        <w:t xml:space="preserve"> 11 (sustainable cities and communities) and </w:t>
      </w:r>
      <w:r w:rsidR="00715BEF">
        <w:t>Sustainable Development Goal</w:t>
      </w:r>
      <w:r w:rsidR="00421726">
        <w:t xml:space="preserve"> 13 (climate action). Efforts to achieve a just energy transition have </w:t>
      </w:r>
      <w:r w:rsidR="004D5EAA">
        <w:t>also</w:t>
      </w:r>
      <w:r w:rsidR="00421726">
        <w:t xml:space="preserve"> seen little progress, despite being increasingly acknowledged at the global level.</w:t>
      </w:r>
      <w:r w:rsidR="00421726">
        <w:rPr>
          <w:vertAlign w:val="superscript"/>
        </w:rPr>
        <w:footnoteReference w:id="11"/>
      </w:r>
    </w:p>
    <w:p w14:paraId="018E5091" w14:textId="1A069EE7" w:rsidR="00421726" w:rsidRPr="00584F90" w:rsidRDefault="0065516B" w:rsidP="00584F90">
      <w:pPr>
        <w:pStyle w:val="SingleTxtG"/>
        <w:ind w:right="993"/>
        <w:rPr>
          <w:vertAlign w:val="superscript"/>
        </w:rPr>
      </w:pPr>
      <w:r>
        <w:t>6.</w:t>
      </w:r>
      <w:r>
        <w:tab/>
      </w:r>
      <w:r w:rsidR="00421726">
        <w:t xml:space="preserve">In addition to the climate crisis, the world experienced significant challenges and major crises during 2021 and 2022, including the impacts of the COVID-19 pandemic and </w:t>
      </w:r>
      <w:r w:rsidR="00F06950">
        <w:t>border conflicts</w:t>
      </w:r>
      <w:r w:rsidR="00421726">
        <w:t>; this was followed by global economic downturn, further disruption of supply chains and the ongoing energy crisis.</w:t>
      </w:r>
      <w:r w:rsidR="00421726">
        <w:rPr>
          <w:vertAlign w:val="superscript"/>
        </w:rPr>
        <w:footnoteReference w:id="12"/>
      </w:r>
    </w:p>
    <w:p w14:paraId="4BB56FFD" w14:textId="4007E5FD" w:rsidR="00421726" w:rsidRDefault="00FD62F8" w:rsidP="00584F90">
      <w:pPr>
        <w:pStyle w:val="SingleTxtG"/>
        <w:ind w:right="993"/>
        <w:rPr>
          <w:vertAlign w:val="superscript"/>
        </w:rPr>
      </w:pPr>
      <w:r>
        <w:lastRenderedPageBreak/>
        <w:t>7.</w:t>
      </w:r>
      <w:r>
        <w:tab/>
      </w:r>
      <w:r w:rsidR="00421726">
        <w:t xml:space="preserve">These events have made transport and mobility systems more vulnerable to systemic shocks. Natural hazards, extreme weather events and rising sea levels pose a substantial threat to </w:t>
      </w:r>
      <w:r w:rsidR="00CB6C0D">
        <w:t xml:space="preserve">both </w:t>
      </w:r>
      <w:r w:rsidR="00421726">
        <w:t>transport systems and people’s livelihoods. However, these effects are expected to increase due to climate change which greatly increases the vulnerability of populations as well as transport systems.</w:t>
      </w:r>
      <w:r w:rsidR="00421726">
        <w:rPr>
          <w:color w:val="0000FF"/>
          <w:vertAlign w:val="superscript"/>
        </w:rPr>
        <w:t xml:space="preserve"> </w:t>
      </w:r>
      <w:r w:rsidR="00421726">
        <w:t xml:space="preserve">Beyond the </w:t>
      </w:r>
      <w:r w:rsidR="004D5EAA">
        <w:t>often-</w:t>
      </w:r>
      <w:r w:rsidR="00421726">
        <w:t>heavy human toll, extreme weather events can also have severe impacts on transport-related infrastructure. More than a quarter of the world’s road and rail assets are exposed to at least one cyclone, earthquake or flooding hazard annually.</w:t>
      </w:r>
      <w:r w:rsidR="00421726">
        <w:rPr>
          <w:vertAlign w:val="superscript"/>
        </w:rPr>
        <w:footnoteReference w:id="13"/>
      </w:r>
      <w:r w:rsidR="00421726">
        <w:t xml:space="preserve"> Natural hazards contribute to </w:t>
      </w:r>
      <w:r w:rsidR="003A474C">
        <w:t>huge</w:t>
      </w:r>
      <w:r w:rsidR="00BB1496">
        <w:t xml:space="preserve"> </w:t>
      </w:r>
      <w:r w:rsidR="00421726">
        <w:t>financial losses, leading to an estimated USD 15 billion annually in direct damage to transport systems worldwide. Of this damage, an estimated USD 8 billion occurs in low- and middle-income countries, which experience the highest costs relative to their GDP.</w:t>
      </w:r>
      <w:r w:rsidR="00421726">
        <w:rPr>
          <w:vertAlign w:val="superscript"/>
        </w:rPr>
        <w:footnoteReference w:id="14"/>
      </w:r>
      <w:r w:rsidR="00421726">
        <w:rPr>
          <w:vertAlign w:val="superscript"/>
        </w:rPr>
        <w:t xml:space="preserve"> </w:t>
      </w:r>
    </w:p>
    <w:p w14:paraId="0A96284A" w14:textId="3BCB3054" w:rsidR="00421726" w:rsidRDefault="00626E36" w:rsidP="00454313">
      <w:pPr>
        <w:pStyle w:val="H1G"/>
      </w:pPr>
      <w:r>
        <w:tab/>
      </w:r>
      <w:r w:rsidR="00584F90">
        <w:t>B.</w:t>
      </w:r>
      <w:r w:rsidR="00584F90">
        <w:tab/>
      </w:r>
      <w:r w:rsidR="00421726">
        <w:t xml:space="preserve">Inland Transport </w:t>
      </w:r>
      <w:r w:rsidR="00584F90">
        <w:t>S</w:t>
      </w:r>
      <w:r w:rsidR="00421726">
        <w:t>ituation</w:t>
      </w:r>
    </w:p>
    <w:p w14:paraId="78F84611" w14:textId="4D8064D7" w:rsidR="00421726" w:rsidRDefault="001B7B0A" w:rsidP="009133E8">
      <w:pPr>
        <w:pStyle w:val="SingleTxtG"/>
        <w:ind w:right="993"/>
      </w:pPr>
      <w:r>
        <w:t>8.</w:t>
      </w:r>
      <w:r>
        <w:tab/>
      </w:r>
      <w:r w:rsidR="00421726">
        <w:t xml:space="preserve">During 2010-2019, the transport sector </w:t>
      </w:r>
      <w:r w:rsidR="00707730">
        <w:t>experienced</w:t>
      </w:r>
      <w:r w:rsidR="00421726">
        <w:t xml:space="preserve"> the fastest growth in CO</w:t>
      </w:r>
      <w:r w:rsidR="00421726">
        <w:rPr>
          <w:vertAlign w:val="subscript"/>
        </w:rPr>
        <w:t>2</w:t>
      </w:r>
      <w:r w:rsidR="00421726">
        <w:t xml:space="preserve"> emissions among combustion sectors globally</w:t>
      </w:r>
      <w:r w:rsidR="0067009B">
        <w:t>,</w:t>
      </w:r>
      <w:r w:rsidR="00421726">
        <w:t xml:space="preserve"> rising 2.1</w:t>
      </w:r>
      <w:r w:rsidR="009133E8">
        <w:t xml:space="preserve"> per cent</w:t>
      </w:r>
      <w:r w:rsidR="00421726">
        <w:t xml:space="preserve"> annually on average and 18</w:t>
      </w:r>
      <w:r w:rsidR="009133E8">
        <w:t xml:space="preserve"> per cent</w:t>
      </w:r>
      <w:r w:rsidR="00421726">
        <w:t xml:space="preserve"> overall.</w:t>
      </w:r>
      <w:r w:rsidR="00421726">
        <w:rPr>
          <w:vertAlign w:val="superscript"/>
        </w:rPr>
        <w:footnoteReference w:id="15"/>
      </w:r>
      <w:r w:rsidR="00421726">
        <w:t xml:space="preserve"> Inland transport was responsible for a growing share of CO</w:t>
      </w:r>
      <w:r w:rsidR="00421726" w:rsidRPr="009133E8">
        <w:rPr>
          <w:vertAlign w:val="subscript"/>
        </w:rPr>
        <w:t>2</w:t>
      </w:r>
      <w:r w:rsidR="00421726">
        <w:t xml:space="preserve"> emissions from fuel combustion. The share of inland transport in total transport CO</w:t>
      </w:r>
      <w:r w:rsidR="00421726" w:rsidRPr="009133E8">
        <w:rPr>
          <w:vertAlign w:val="subscript"/>
        </w:rPr>
        <w:t>2</w:t>
      </w:r>
      <w:r w:rsidR="00421726">
        <w:t xml:space="preserve"> emissions was between 77</w:t>
      </w:r>
      <w:r w:rsidR="009133E8">
        <w:t xml:space="preserve"> per cent</w:t>
      </w:r>
      <w:r w:rsidR="00421726">
        <w:t xml:space="preserve"> and 78</w:t>
      </w:r>
      <w:r w:rsidR="009133E8">
        <w:t xml:space="preserve"> per cent</w:t>
      </w:r>
      <w:r w:rsidR="00421726">
        <w:t xml:space="preserve"> in 1990, 2000 and from 2010 to 2019, then inland transport recorded an 81</w:t>
      </w:r>
      <w:r w:rsidR="009133E8">
        <w:t xml:space="preserve"> per cent</w:t>
      </w:r>
      <w:r w:rsidR="00421726">
        <w:t xml:space="preserve"> share in 2020 and 80</w:t>
      </w:r>
      <w:r w:rsidR="009133E8">
        <w:t xml:space="preserve"> per cent</w:t>
      </w:r>
      <w:r w:rsidR="00421726">
        <w:t xml:space="preserve"> in 2021.</w:t>
      </w:r>
      <w:r w:rsidR="00421726">
        <w:rPr>
          <w:vertAlign w:val="superscript"/>
        </w:rPr>
        <w:footnoteReference w:id="16"/>
      </w:r>
    </w:p>
    <w:p w14:paraId="1BBE6FE1" w14:textId="60189629" w:rsidR="00A01462" w:rsidRPr="00250302" w:rsidRDefault="00A01462" w:rsidP="00A01462">
      <w:pPr>
        <w:pStyle w:val="SingleTxtG"/>
        <w:keepNext/>
        <w:keepLines/>
        <w:spacing w:after="0"/>
      </w:pPr>
      <w:r w:rsidRPr="00250302">
        <w:t xml:space="preserve">Figure </w:t>
      </w:r>
      <w:r>
        <w:t>II</w:t>
      </w:r>
    </w:p>
    <w:p w14:paraId="73D6DC2F" w14:textId="4BB631FA" w:rsidR="00A01462" w:rsidRPr="00B84FFB" w:rsidRDefault="00A01462" w:rsidP="00A01462">
      <w:pPr>
        <w:keepNext/>
        <w:keepLines/>
        <w:spacing w:after="120"/>
        <w:ind w:left="1134" w:right="1134"/>
        <w:jc w:val="both"/>
        <w:rPr>
          <w:b/>
        </w:rPr>
      </w:pPr>
      <w:r w:rsidRPr="00A01462">
        <w:rPr>
          <w:b/>
        </w:rPr>
        <w:t>Development of inland transport’s share in total transport emissions in 2000, 2015 and 2021</w:t>
      </w:r>
    </w:p>
    <w:p w14:paraId="67A4ECE4" w14:textId="77777777" w:rsidR="00421726" w:rsidRDefault="00421726" w:rsidP="000E7227">
      <w:pPr>
        <w:jc w:val="center"/>
      </w:pPr>
      <w:r>
        <w:rPr>
          <w:noProof/>
        </w:rPr>
        <w:drawing>
          <wp:inline distT="114300" distB="114300" distL="114300" distR="114300" wp14:anchorId="7242740A" wp14:editId="7A6A87A9">
            <wp:extent cx="5731200" cy="17653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5731200" cy="1765300"/>
                    </a:xfrm>
                    <a:prstGeom prst="rect">
                      <a:avLst/>
                    </a:prstGeom>
                    <a:ln/>
                  </pic:spPr>
                </pic:pic>
              </a:graphicData>
            </a:graphic>
          </wp:inline>
        </w:drawing>
      </w:r>
    </w:p>
    <w:p w14:paraId="1DC6B659" w14:textId="1203400C" w:rsidR="009C4876" w:rsidRDefault="00B42E1F" w:rsidP="000E6C04">
      <w:pPr>
        <w:pStyle w:val="SingleTxtG"/>
        <w:spacing w:before="240"/>
        <w:ind w:right="992"/>
      </w:pPr>
      <w:r>
        <w:t>9.</w:t>
      </w:r>
      <w:r>
        <w:tab/>
      </w:r>
      <w:r w:rsidR="00421726">
        <w:t>Emissions from freight transport (</w:t>
      </w:r>
      <w:r w:rsidR="00E11EAB">
        <w:t>all modes considered</w:t>
      </w:r>
      <w:r w:rsidR="00421726">
        <w:t>) represent a growing share of transport emissions. As of 2019, freight accounted for 42</w:t>
      </w:r>
      <w:r w:rsidR="009133E8">
        <w:t xml:space="preserve"> per cent</w:t>
      </w:r>
      <w:r w:rsidR="00421726">
        <w:t xml:space="preserve"> of global transport CO</w:t>
      </w:r>
      <w:r w:rsidR="00421726">
        <w:rPr>
          <w:vertAlign w:val="subscript"/>
        </w:rPr>
        <w:t>2</w:t>
      </w:r>
      <w:r w:rsidR="00421726">
        <w:t xml:space="preserve"> emissions and passenger transport accounted for 58</w:t>
      </w:r>
      <w:r w:rsidR="009133E8">
        <w:t xml:space="preserve"> per cent</w:t>
      </w:r>
      <w:r w:rsidR="00421726">
        <w:t>.</w:t>
      </w:r>
      <w:r w:rsidR="00421726">
        <w:rPr>
          <w:vertAlign w:val="superscript"/>
        </w:rPr>
        <w:footnoteReference w:id="17"/>
      </w:r>
      <w:r w:rsidR="00421726">
        <w:t xml:space="preserve"> Inland transport is estimated to account for 30</w:t>
      </w:r>
      <w:r w:rsidR="009133E8">
        <w:t xml:space="preserve"> per cent</w:t>
      </w:r>
      <w:r w:rsidR="00421726">
        <w:t xml:space="preserve"> of freight activity (41 of 139 trillion tonne-km) but it represented 74</w:t>
      </w:r>
      <w:r w:rsidR="009133E8">
        <w:t xml:space="preserve"> per cent</w:t>
      </w:r>
      <w:r w:rsidR="00421726">
        <w:t xml:space="preserve"> of freight transport emission in 2019. The picture is the opposite for passenger transport: inland transport is estimated to account for 92</w:t>
      </w:r>
      <w:r w:rsidR="009133E8">
        <w:t xml:space="preserve"> per cent</w:t>
      </w:r>
      <w:r w:rsidR="00421726">
        <w:t xml:space="preserve"> of passenger activity (41 </w:t>
      </w:r>
      <w:r w:rsidR="00421726">
        <w:lastRenderedPageBreak/>
        <w:t>out of 44.4 trillion passenger-km) in 2020, and it accounted for 83</w:t>
      </w:r>
      <w:r w:rsidR="009133E8">
        <w:t xml:space="preserve"> per cent</w:t>
      </w:r>
      <w:r w:rsidR="00421726">
        <w:t xml:space="preserve"> of passenger transport CO</w:t>
      </w:r>
      <w:r w:rsidR="00421726">
        <w:rPr>
          <w:vertAlign w:val="subscript"/>
        </w:rPr>
        <w:t>2</w:t>
      </w:r>
      <w:r w:rsidR="00421726">
        <w:t xml:space="preserve"> emissions in 2019.</w:t>
      </w:r>
      <w:r w:rsidR="00421726">
        <w:rPr>
          <w:vertAlign w:val="superscript"/>
        </w:rPr>
        <w:footnoteReference w:id="18"/>
      </w:r>
    </w:p>
    <w:p w14:paraId="0D96A0AD" w14:textId="20BC520A" w:rsidR="00421726" w:rsidRDefault="009C4876" w:rsidP="006A27EA">
      <w:pPr>
        <w:pStyle w:val="SingleTxtG"/>
      </w:pPr>
      <w:r>
        <w:t>10.</w:t>
      </w:r>
      <w:r>
        <w:tab/>
      </w:r>
      <w:r w:rsidR="00821795">
        <w:t xml:space="preserve">With respect to air pollution, </w:t>
      </w:r>
      <w:r w:rsidR="007F2E18">
        <w:t>i</w:t>
      </w:r>
      <w:r w:rsidR="00421726">
        <w:t>nland transport contributes 5</w:t>
      </w:r>
      <w:r w:rsidR="0057578C">
        <w:t xml:space="preserve"> per cent</w:t>
      </w:r>
      <w:r w:rsidR="00421726">
        <w:t xml:space="preserve"> of the mortality from </w:t>
      </w:r>
      <w:r w:rsidR="00C611DF">
        <w:t>fine particulate matter (</w:t>
      </w:r>
      <w:r w:rsidR="00421726">
        <w:t>PM2.5</w:t>
      </w:r>
      <w:r w:rsidR="00C611DF">
        <w:t>)</w:t>
      </w:r>
      <w:r w:rsidR="00421726">
        <w:t xml:space="preserve"> globally, while there are important regional differences.</w:t>
      </w:r>
      <w:r w:rsidR="00421726">
        <w:rPr>
          <w:vertAlign w:val="superscript"/>
        </w:rPr>
        <w:footnoteReference w:id="19"/>
      </w:r>
    </w:p>
    <w:p w14:paraId="669EC903" w14:textId="303DB2F7" w:rsidR="00421726" w:rsidRDefault="008D47B8" w:rsidP="00454313">
      <w:pPr>
        <w:pStyle w:val="H1G"/>
      </w:pPr>
      <w:bookmarkStart w:id="4" w:name="_tyjcwt" w:colFirst="0" w:colLast="0"/>
      <w:bookmarkEnd w:id="4"/>
      <w:r>
        <w:tab/>
      </w:r>
      <w:r w:rsidR="00054B6A">
        <w:t>C</w:t>
      </w:r>
      <w:r w:rsidR="003D0E4B">
        <w:t>.</w:t>
      </w:r>
      <w:r>
        <w:tab/>
      </w:r>
      <w:r w:rsidR="00421726">
        <w:t xml:space="preserve">Emissions by </w:t>
      </w:r>
      <w:r w:rsidR="00054B6A">
        <w:t>I</w:t>
      </w:r>
      <w:r w:rsidR="00421726">
        <w:t xml:space="preserve">ncome </w:t>
      </w:r>
      <w:r w:rsidR="00054B6A">
        <w:t>C</w:t>
      </w:r>
      <w:r w:rsidR="00421726">
        <w:t xml:space="preserve">ountry </w:t>
      </w:r>
      <w:r w:rsidR="00054B6A">
        <w:t>G</w:t>
      </w:r>
      <w:r w:rsidR="00421726">
        <w:t>roups</w:t>
      </w:r>
    </w:p>
    <w:p w14:paraId="0BC6536B" w14:textId="4A0785C5" w:rsidR="00285381" w:rsidRDefault="00285381" w:rsidP="006801DA">
      <w:pPr>
        <w:pStyle w:val="SingleTxtG"/>
        <w:ind w:right="993"/>
      </w:pPr>
      <w:r>
        <w:t xml:space="preserve">11. </w:t>
      </w:r>
      <w:r>
        <w:tab/>
      </w:r>
      <w:r w:rsidR="00421726">
        <w:t>Globally, the gap in transport CO</w:t>
      </w:r>
      <w:r w:rsidR="00421726">
        <w:rPr>
          <w:vertAlign w:val="subscript"/>
        </w:rPr>
        <w:t>2</w:t>
      </w:r>
      <w:r w:rsidR="00421726">
        <w:t xml:space="preserve"> emissions between the 38 member countries of the Organisation for Economic Co-operation and Development (OECD) and the 160 non-OECD countries has nearly closed, with OECD countries contributing 51.5</w:t>
      </w:r>
      <w:r w:rsidR="005B4D78" w:rsidRPr="005B4D78">
        <w:t xml:space="preserve"> </w:t>
      </w:r>
      <w:r w:rsidR="005B4D78">
        <w:t>per cent</w:t>
      </w:r>
      <w:r w:rsidR="00421726">
        <w:t xml:space="preserve"> of transport emissions in 2022. However, looking at the different income groupings, high-income countries were responsible for 51.3</w:t>
      </w:r>
      <w:r w:rsidR="005B4D78" w:rsidRPr="005B4D78">
        <w:t xml:space="preserve"> </w:t>
      </w:r>
      <w:r w:rsidR="005B4D78">
        <w:t>per cent</w:t>
      </w:r>
      <w:r w:rsidR="00421726">
        <w:t xml:space="preserve"> of transport CO</w:t>
      </w:r>
      <w:r w:rsidR="00421726">
        <w:rPr>
          <w:vertAlign w:val="subscript"/>
        </w:rPr>
        <w:t>2</w:t>
      </w:r>
      <w:r w:rsidR="00421726">
        <w:t xml:space="preserve"> emissions, while low-income countries contributed less than 1</w:t>
      </w:r>
      <w:r w:rsidR="005B4D78" w:rsidRPr="005B4D78">
        <w:t xml:space="preserve"> </w:t>
      </w:r>
      <w:r w:rsidR="005B4D78">
        <w:t>per cent</w:t>
      </w:r>
      <w:r w:rsidR="00421726">
        <w:t xml:space="preserve"> in 2022</w:t>
      </w:r>
      <w:r w:rsidR="00421726">
        <w:rPr>
          <w:vertAlign w:val="superscript"/>
        </w:rPr>
        <w:footnoteReference w:id="20"/>
      </w:r>
      <w:r w:rsidR="00421726">
        <w:t>. Per capita transport CO</w:t>
      </w:r>
      <w:r w:rsidR="00421726">
        <w:rPr>
          <w:vertAlign w:val="subscript"/>
        </w:rPr>
        <w:t>2</w:t>
      </w:r>
      <w:r w:rsidR="00421726">
        <w:t xml:space="preserve"> emissions totalled 2.9 tonnes in high-income countries, 0.50 tonnes in middle-income countries and 0.07 tonnes in low-income countries in the same year (see Figure </w:t>
      </w:r>
      <w:r w:rsidR="00822345">
        <w:t>III</w:t>
      </w:r>
      <w:r w:rsidR="00421726">
        <w:t>). Per capita transport CO</w:t>
      </w:r>
      <w:r w:rsidR="00421726">
        <w:rPr>
          <w:vertAlign w:val="subscript"/>
        </w:rPr>
        <w:t>2</w:t>
      </w:r>
      <w:r w:rsidR="00421726">
        <w:t xml:space="preserve"> emissions have doubled in middle-income countries since 1980, while barely changing in low-income countries.</w:t>
      </w:r>
      <w:r w:rsidR="00421726">
        <w:rPr>
          <w:vertAlign w:val="superscript"/>
        </w:rPr>
        <w:footnoteReference w:id="21"/>
      </w:r>
    </w:p>
    <w:p w14:paraId="314BD05C" w14:textId="5CB32498" w:rsidR="00421726" w:rsidRDefault="00285381" w:rsidP="006A27EA">
      <w:pPr>
        <w:pStyle w:val="SingleTxtG"/>
      </w:pPr>
      <w:r>
        <w:t>1</w:t>
      </w:r>
      <w:r w:rsidR="00EC4112">
        <w:t>2</w:t>
      </w:r>
      <w:r>
        <w:t xml:space="preserve">. </w:t>
      </w:r>
      <w:r>
        <w:tab/>
      </w:r>
      <w:r w:rsidR="00421726">
        <w:t>Examining income inequalities further on an individual basis, the top 1</w:t>
      </w:r>
      <w:r w:rsidR="005B4D78">
        <w:t xml:space="preserve"> per cent</w:t>
      </w:r>
      <w:r w:rsidR="00421726">
        <w:t xml:space="preserve"> of individual emitters globally contribute more than 1,000 times the CO</w:t>
      </w:r>
      <w:r w:rsidR="00421726">
        <w:rPr>
          <w:vertAlign w:val="subscript"/>
        </w:rPr>
        <w:t>2</w:t>
      </w:r>
      <w:r w:rsidR="00421726">
        <w:t xml:space="preserve"> emissions of the bottom 1</w:t>
      </w:r>
      <w:r w:rsidR="005B4D78">
        <w:t xml:space="preserve"> per cent,</w:t>
      </w:r>
      <w:r w:rsidR="00421726">
        <w:t xml:space="preserve"> with the highest disparities being experienced in transport. In the case of North America, road transport makes up as much as one-quarter of the CO</w:t>
      </w:r>
      <w:r w:rsidR="00421726">
        <w:rPr>
          <w:vertAlign w:val="subscript"/>
        </w:rPr>
        <w:t>2</w:t>
      </w:r>
      <w:r w:rsidR="00421726">
        <w:t xml:space="preserve"> emissions from the richest income group.</w:t>
      </w:r>
      <w:r w:rsidR="00421726">
        <w:rPr>
          <w:vertAlign w:val="superscript"/>
        </w:rPr>
        <w:footnoteReference w:id="22"/>
      </w:r>
    </w:p>
    <w:p w14:paraId="432B3996" w14:textId="2A4581E8" w:rsidR="0009509C" w:rsidRPr="00250302" w:rsidRDefault="0009509C" w:rsidP="0009509C">
      <w:pPr>
        <w:keepNext/>
        <w:ind w:left="1134" w:right="1134"/>
        <w:jc w:val="both"/>
      </w:pPr>
      <w:r w:rsidRPr="00250302">
        <w:lastRenderedPageBreak/>
        <w:t xml:space="preserve">Figure </w:t>
      </w:r>
      <w:r>
        <w:t>III</w:t>
      </w:r>
    </w:p>
    <w:p w14:paraId="6C4D0FEC" w14:textId="1D751F44" w:rsidR="0009509C" w:rsidRPr="00250302" w:rsidRDefault="0009509C" w:rsidP="0009509C">
      <w:pPr>
        <w:keepNext/>
        <w:spacing w:after="240"/>
        <w:ind w:left="1134" w:right="1134"/>
        <w:rPr>
          <w:b/>
        </w:rPr>
      </w:pPr>
      <w:r w:rsidRPr="0009509C">
        <w:rPr>
          <w:b/>
        </w:rPr>
        <w:t>Per capita transport CO</w:t>
      </w:r>
      <w:r w:rsidRPr="00633C0B">
        <w:rPr>
          <w:b/>
          <w:vertAlign w:val="subscript"/>
        </w:rPr>
        <w:t>2</w:t>
      </w:r>
      <w:r w:rsidRPr="0009509C">
        <w:rPr>
          <w:b/>
        </w:rPr>
        <w:t xml:space="preserve"> emissions versus per capita gross domestic product, by country grouping, 2021</w:t>
      </w:r>
    </w:p>
    <w:p w14:paraId="44152E22" w14:textId="77777777" w:rsidR="00421726" w:rsidRDefault="00421726" w:rsidP="00E604F0">
      <w:pPr>
        <w:jc w:val="center"/>
      </w:pPr>
      <w:r>
        <w:rPr>
          <w:noProof/>
        </w:rPr>
        <w:drawing>
          <wp:inline distT="114300" distB="114300" distL="114300" distR="114300" wp14:anchorId="63E34B1D" wp14:editId="1D3A6401">
            <wp:extent cx="5546785" cy="2924355"/>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5556436" cy="2929443"/>
                    </a:xfrm>
                    <a:prstGeom prst="rect">
                      <a:avLst/>
                    </a:prstGeom>
                    <a:ln/>
                  </pic:spPr>
                </pic:pic>
              </a:graphicData>
            </a:graphic>
          </wp:inline>
        </w:drawing>
      </w:r>
    </w:p>
    <w:p w14:paraId="7B97B0E1" w14:textId="7EFB4223" w:rsidR="00421726" w:rsidRDefault="00E604F0" w:rsidP="005B4D78">
      <w:pPr>
        <w:pStyle w:val="H1G"/>
      </w:pPr>
      <w:bookmarkStart w:id="5" w:name="_3dy6vkm" w:colFirst="0" w:colLast="0"/>
      <w:bookmarkEnd w:id="5"/>
      <w:r>
        <w:tab/>
      </w:r>
      <w:r w:rsidR="005B4D78">
        <w:t>D</w:t>
      </w:r>
      <w:r w:rsidR="000A68C8" w:rsidRPr="00B02FFE">
        <w:t>.</w:t>
      </w:r>
      <w:r>
        <w:tab/>
      </w:r>
      <w:r w:rsidR="00421726">
        <w:t xml:space="preserve">Regional </w:t>
      </w:r>
      <w:r w:rsidR="005B4D78">
        <w:t>S</w:t>
      </w:r>
      <w:r w:rsidR="00421726">
        <w:t>ituation</w:t>
      </w:r>
    </w:p>
    <w:p w14:paraId="7632C534" w14:textId="08254788" w:rsidR="00602172" w:rsidRDefault="00EC4112" w:rsidP="005B4D78">
      <w:pPr>
        <w:pStyle w:val="SingleTxtG"/>
        <w:ind w:right="993"/>
      </w:pPr>
      <w:r>
        <w:t>13.</w:t>
      </w:r>
      <w:r w:rsidR="00602172">
        <w:tab/>
      </w:r>
      <w:r w:rsidR="00421726">
        <w:t>Regions contribute differently to transport CO</w:t>
      </w:r>
      <w:r w:rsidR="00421726" w:rsidRPr="005B4D78">
        <w:rPr>
          <w:vertAlign w:val="subscript"/>
        </w:rPr>
        <w:t>2</w:t>
      </w:r>
      <w:r w:rsidR="00421726">
        <w:t xml:space="preserve"> emission growth (see Figure </w:t>
      </w:r>
      <w:r w:rsidR="00822345">
        <w:t>IV</w:t>
      </w:r>
      <w:r w:rsidR="00421726">
        <w:t>). During 2010-2022, Africa experienced the highest growth in transport CO</w:t>
      </w:r>
      <w:r w:rsidR="00421726" w:rsidRPr="005B4D78">
        <w:rPr>
          <w:vertAlign w:val="subscript"/>
        </w:rPr>
        <w:t>2</w:t>
      </w:r>
      <w:r w:rsidR="00421726">
        <w:t xml:space="preserve"> emissions among regions, at 49.8</w:t>
      </w:r>
      <w:r w:rsidR="005B4D78" w:rsidRPr="005B4D78">
        <w:t xml:space="preserve"> </w:t>
      </w:r>
      <w:r w:rsidR="005B4D78">
        <w:t>per cent</w:t>
      </w:r>
      <w:r w:rsidR="00421726">
        <w:t>, followed by Asia at 38.9</w:t>
      </w:r>
      <w:r w:rsidR="005B4D78" w:rsidRPr="005B4D78">
        <w:t xml:space="preserve"> </w:t>
      </w:r>
      <w:r w:rsidR="005B4D78">
        <w:t>per cent</w:t>
      </w:r>
      <w:r w:rsidR="00421726">
        <w:t>. However, Africa’s absolute transport CO</w:t>
      </w:r>
      <w:r w:rsidR="00421726" w:rsidRPr="005B4D78">
        <w:rPr>
          <w:vertAlign w:val="subscript"/>
        </w:rPr>
        <w:t>2</w:t>
      </w:r>
      <w:r w:rsidR="00421726">
        <w:t xml:space="preserve"> </w:t>
      </w:r>
      <w:r w:rsidR="00444DD8">
        <w:t>emissions of</w:t>
      </w:r>
      <w:r w:rsidR="00421726">
        <w:t xml:space="preserve"> 387 million tonnes were the second lowest regionally, after Oceania’s, in 2022. Latin America and the Caribbean recorded a 17</w:t>
      </w:r>
      <w:r w:rsidR="005B4D78" w:rsidRPr="005B4D78">
        <w:t xml:space="preserve"> </w:t>
      </w:r>
      <w:r w:rsidR="005B4D78">
        <w:t>per cent</w:t>
      </w:r>
      <w:r w:rsidR="00421726">
        <w:t xml:space="preserve"> growth during the same period. Transport CO</w:t>
      </w:r>
      <w:r w:rsidR="00421726" w:rsidRPr="005B4D78">
        <w:rPr>
          <w:vertAlign w:val="subscript"/>
        </w:rPr>
        <w:t>2</w:t>
      </w:r>
      <w:r w:rsidR="00421726">
        <w:t xml:space="preserve"> emissions fell 4</w:t>
      </w:r>
      <w:r w:rsidR="005B4D78" w:rsidRPr="005B4D78">
        <w:t xml:space="preserve"> </w:t>
      </w:r>
      <w:r w:rsidR="005B4D78">
        <w:t>per cent</w:t>
      </w:r>
      <w:r w:rsidR="00421726">
        <w:t xml:space="preserve"> in Europe between 2010 and 2022.</w:t>
      </w:r>
      <w:r w:rsidR="00421726">
        <w:rPr>
          <w:vertAlign w:val="superscript"/>
        </w:rPr>
        <w:footnoteReference w:id="23"/>
      </w:r>
    </w:p>
    <w:p w14:paraId="408AC3D0" w14:textId="0010E06D" w:rsidR="00421726" w:rsidRDefault="00602172" w:rsidP="005B4D78">
      <w:pPr>
        <w:pStyle w:val="SingleTxtG"/>
        <w:ind w:right="993"/>
      </w:pPr>
      <w:r>
        <w:t>14.</w:t>
      </w:r>
      <w:r>
        <w:tab/>
      </w:r>
      <w:r w:rsidR="00421726">
        <w:t xml:space="preserve">Among the regions, Latin America and the Caribbean </w:t>
      </w:r>
      <w:r w:rsidR="008E7B2C">
        <w:t>wi</w:t>
      </w:r>
      <w:r w:rsidR="00070A4A">
        <w:t>tnessed</w:t>
      </w:r>
      <w:r w:rsidR="00421726">
        <w:t xml:space="preserve"> the strongest drop of transport CO</w:t>
      </w:r>
      <w:r w:rsidR="00421726" w:rsidRPr="000E6C04">
        <w:rPr>
          <w:vertAlign w:val="subscript"/>
        </w:rPr>
        <w:t>2</w:t>
      </w:r>
      <w:r w:rsidR="00421726">
        <w:t xml:space="preserve"> emissions </w:t>
      </w:r>
      <w:r w:rsidR="00273DD7">
        <w:t xml:space="preserve">with a decrease of </w:t>
      </w:r>
      <w:r w:rsidR="00070A4A" w:rsidRPr="00070A4A">
        <w:t>16.4</w:t>
      </w:r>
      <w:r w:rsidR="005B4D78" w:rsidRPr="005B4D78">
        <w:t xml:space="preserve"> </w:t>
      </w:r>
      <w:r w:rsidR="005B4D78">
        <w:t>per cent</w:t>
      </w:r>
      <w:r w:rsidR="00070A4A" w:rsidRPr="00070A4A">
        <w:t xml:space="preserve"> </w:t>
      </w:r>
      <w:r w:rsidR="00421726">
        <w:t>from 2019 to 2020 due to the COVID-19 pandemic. North America and Europe saw reductions of 14.1</w:t>
      </w:r>
      <w:r w:rsidR="005B4D78" w:rsidRPr="005B4D78">
        <w:t xml:space="preserve"> </w:t>
      </w:r>
      <w:r w:rsidR="005B4D78">
        <w:t>per cent</w:t>
      </w:r>
      <w:r w:rsidR="00421726">
        <w:t xml:space="preserve"> and 13.2</w:t>
      </w:r>
      <w:r w:rsidR="005B4D78" w:rsidRPr="005B4D78">
        <w:t xml:space="preserve"> </w:t>
      </w:r>
      <w:r w:rsidR="005B4D78">
        <w:t>per cent</w:t>
      </w:r>
      <w:r w:rsidR="00421726">
        <w:t>, respectively. All regions</w:t>
      </w:r>
      <w:r w:rsidR="0038235D">
        <w:t>,</w:t>
      </w:r>
      <w:r w:rsidR="00421726">
        <w:t xml:space="preserve"> except Asia and Europe</w:t>
      </w:r>
      <w:r w:rsidR="0038235D">
        <w:t>,</w:t>
      </w:r>
      <w:r w:rsidR="00421726">
        <w:t xml:space="preserve"> surpassed latest by 2022 the pre-COVID-19 pandemic transport CO</w:t>
      </w:r>
      <w:r w:rsidR="00421726" w:rsidRPr="000E6C04">
        <w:rPr>
          <w:vertAlign w:val="subscript"/>
        </w:rPr>
        <w:t>2</w:t>
      </w:r>
      <w:r w:rsidR="00421726">
        <w:t xml:space="preserve"> emission levels of 2019. </w:t>
      </w:r>
    </w:p>
    <w:p w14:paraId="4E950DEF" w14:textId="4795610C" w:rsidR="001A6477" w:rsidRPr="00250302" w:rsidRDefault="001A6477" w:rsidP="001A6477">
      <w:pPr>
        <w:keepNext/>
        <w:ind w:left="1134" w:right="1134"/>
        <w:jc w:val="both"/>
      </w:pPr>
      <w:r w:rsidRPr="00250302">
        <w:lastRenderedPageBreak/>
        <w:t xml:space="preserve">Figure </w:t>
      </w:r>
      <w:r>
        <w:t>IV</w:t>
      </w:r>
    </w:p>
    <w:p w14:paraId="47445B92" w14:textId="02441543" w:rsidR="001A6477" w:rsidRPr="00250302" w:rsidRDefault="001A6477" w:rsidP="001A6477">
      <w:pPr>
        <w:keepNext/>
        <w:spacing w:after="240"/>
        <w:ind w:left="1134" w:right="1134"/>
        <w:rPr>
          <w:b/>
        </w:rPr>
      </w:pPr>
      <w:r w:rsidRPr="001A6477">
        <w:rPr>
          <w:b/>
        </w:rPr>
        <w:t>Regional growth in transport CO</w:t>
      </w:r>
      <w:r w:rsidRPr="000E6C04">
        <w:rPr>
          <w:b/>
          <w:vertAlign w:val="subscript"/>
        </w:rPr>
        <w:t xml:space="preserve">2 </w:t>
      </w:r>
      <w:r w:rsidRPr="001A6477">
        <w:rPr>
          <w:b/>
        </w:rPr>
        <w:t>emissions</w:t>
      </w:r>
    </w:p>
    <w:p w14:paraId="3F8397EC" w14:textId="77777777" w:rsidR="00421726" w:rsidRDefault="00421726" w:rsidP="00421726">
      <w:pPr>
        <w:pBdr>
          <w:top w:val="nil"/>
          <w:left w:val="nil"/>
          <w:bottom w:val="nil"/>
          <w:right w:val="nil"/>
          <w:between w:val="nil"/>
        </w:pBdr>
        <w:jc w:val="center"/>
      </w:pPr>
      <w:r>
        <w:rPr>
          <w:noProof/>
        </w:rPr>
        <w:drawing>
          <wp:inline distT="114300" distB="114300" distL="114300" distR="114300" wp14:anchorId="31D71C4D" wp14:editId="246591C3">
            <wp:extent cx="4241620" cy="2508334"/>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4241620" cy="2508334"/>
                    </a:xfrm>
                    <a:prstGeom prst="rect">
                      <a:avLst/>
                    </a:prstGeom>
                    <a:ln/>
                  </pic:spPr>
                </pic:pic>
              </a:graphicData>
            </a:graphic>
          </wp:inline>
        </w:drawing>
      </w:r>
    </w:p>
    <w:p w14:paraId="18295535" w14:textId="679A51F1" w:rsidR="00B02FFE" w:rsidRPr="00E1133C" w:rsidRDefault="00E604F0" w:rsidP="00454313">
      <w:pPr>
        <w:pStyle w:val="H23G"/>
      </w:pPr>
      <w:r w:rsidRPr="00ED4E78">
        <w:rPr>
          <w:lang w:val="en-US"/>
        </w:rPr>
        <w:tab/>
      </w:r>
      <w:r w:rsidR="005F7A38">
        <w:t>1.</w:t>
      </w:r>
      <w:r w:rsidR="00393BCA">
        <w:tab/>
      </w:r>
      <w:r w:rsidR="00421726" w:rsidRPr="00B02FFE">
        <w:t xml:space="preserve">Africa </w:t>
      </w:r>
      <w:r w:rsidR="005F7A38">
        <w:t>R</w:t>
      </w:r>
      <w:r w:rsidR="00421726" w:rsidRPr="00B02FFE">
        <w:t xml:space="preserve">egional </w:t>
      </w:r>
      <w:r w:rsidR="005F7A38">
        <w:t>T</w:t>
      </w:r>
      <w:r w:rsidR="00421726" w:rsidRPr="00B02FFE">
        <w:t>rends</w:t>
      </w:r>
    </w:p>
    <w:p w14:paraId="3F8E0856" w14:textId="264679D2" w:rsidR="008A03A2" w:rsidRPr="000B45A1" w:rsidRDefault="00B02FFE" w:rsidP="005F7A38">
      <w:pPr>
        <w:pStyle w:val="SingleTxtG"/>
        <w:ind w:right="993"/>
        <w:rPr>
          <w:vertAlign w:val="superscript"/>
        </w:rPr>
      </w:pPr>
      <w:r>
        <w:t xml:space="preserve">15. </w:t>
      </w:r>
      <w:r>
        <w:tab/>
      </w:r>
      <w:r w:rsidR="00421726">
        <w:t>Transport contributed over one-quarter (26</w:t>
      </w:r>
      <w:r w:rsidR="005F7A38" w:rsidRPr="005F7A38">
        <w:t xml:space="preserve"> </w:t>
      </w:r>
      <w:r w:rsidR="005F7A38">
        <w:t>per cent</w:t>
      </w:r>
      <w:r w:rsidR="00421726">
        <w:t>) of total CO</w:t>
      </w:r>
      <w:r w:rsidR="00421726">
        <w:rPr>
          <w:vertAlign w:val="subscript"/>
        </w:rPr>
        <w:t>2</w:t>
      </w:r>
      <w:r w:rsidR="00421726">
        <w:t xml:space="preserve"> emissions in Africa in 2022.</w:t>
      </w:r>
      <w:r w:rsidR="00036F93">
        <w:t xml:space="preserve"> </w:t>
      </w:r>
      <w:r w:rsidR="00421726">
        <w:t>The region’s transport CO</w:t>
      </w:r>
      <w:r w:rsidR="00421726">
        <w:rPr>
          <w:vertAlign w:val="subscript"/>
        </w:rPr>
        <w:t>2</w:t>
      </w:r>
      <w:r w:rsidR="00421726">
        <w:t xml:space="preserve"> emissions increased by nearly 50</w:t>
      </w:r>
      <w:r w:rsidR="005F7A38" w:rsidRPr="005F7A38">
        <w:t xml:space="preserve"> </w:t>
      </w:r>
      <w:r w:rsidR="005F7A38">
        <w:t>per cent</w:t>
      </w:r>
      <w:r w:rsidR="00421726">
        <w:t xml:space="preserve"> between 2010 and 2022, the highest growth among all regions. However, the region’s per capita transport CO</w:t>
      </w:r>
      <w:r w:rsidR="00421726">
        <w:rPr>
          <w:vertAlign w:val="subscript"/>
        </w:rPr>
        <w:t>2</w:t>
      </w:r>
      <w:r w:rsidR="00421726">
        <w:t xml:space="preserve"> emissions overall are 3.4 times below the global average of 0.86 tonnes per capita. Africa’s transport CO</w:t>
      </w:r>
      <w:r w:rsidR="00421726" w:rsidRPr="00B74995">
        <w:rPr>
          <w:vertAlign w:val="subscript"/>
        </w:rPr>
        <w:t>2</w:t>
      </w:r>
      <w:r w:rsidR="00421726">
        <w:t xml:space="preserve"> emissions reduced by 8.2</w:t>
      </w:r>
      <w:r w:rsidR="005F7A38" w:rsidRPr="005F7A38">
        <w:t xml:space="preserve"> </w:t>
      </w:r>
      <w:r w:rsidR="005F7A38">
        <w:t>per cent</w:t>
      </w:r>
      <w:r w:rsidR="00421726">
        <w:t xml:space="preserve"> in </w:t>
      </w:r>
      <w:r w:rsidR="00273DD7">
        <w:t>2020 but</w:t>
      </w:r>
      <w:r w:rsidR="00421726">
        <w:t xml:space="preserve"> rebounded by 9.1</w:t>
      </w:r>
      <w:r w:rsidR="005F7A38" w:rsidRPr="005F7A38">
        <w:t xml:space="preserve"> </w:t>
      </w:r>
      <w:r w:rsidR="005F7A38">
        <w:t>per cent</w:t>
      </w:r>
      <w:r w:rsidR="00421726">
        <w:t xml:space="preserve"> in 2021.</w:t>
      </w:r>
      <w:r w:rsidR="00421726">
        <w:rPr>
          <w:vertAlign w:val="superscript"/>
        </w:rPr>
        <w:footnoteReference w:id="24"/>
      </w:r>
      <w:r w:rsidR="00421726">
        <w:rPr>
          <w:vertAlign w:val="superscript"/>
        </w:rPr>
        <w:t xml:space="preserve"> </w:t>
      </w:r>
    </w:p>
    <w:p w14:paraId="5A93EA3E" w14:textId="6D13CF9F" w:rsidR="00421726" w:rsidRDefault="00421726" w:rsidP="00020CF1">
      <w:pPr>
        <w:pStyle w:val="Bullet1G"/>
      </w:pPr>
      <w:r>
        <w:t>Total transport CO</w:t>
      </w:r>
      <w:r w:rsidRPr="005F7A38">
        <w:rPr>
          <w:vertAlign w:val="subscript"/>
        </w:rPr>
        <w:t>2</w:t>
      </w:r>
      <w:r>
        <w:t xml:space="preserve"> emissions (2022): 387 million tonnes</w:t>
      </w:r>
    </w:p>
    <w:p w14:paraId="778E272F" w14:textId="3B6FD285" w:rsidR="00421726" w:rsidRDefault="00421726" w:rsidP="00020CF1">
      <w:pPr>
        <w:pStyle w:val="Bullet1G"/>
      </w:pPr>
      <w:r>
        <w:t>Share of global transport CO</w:t>
      </w:r>
      <w:r w:rsidRPr="005F7A38">
        <w:rPr>
          <w:vertAlign w:val="subscript"/>
        </w:rPr>
        <w:t>2</w:t>
      </w:r>
      <w:r>
        <w:t xml:space="preserve"> emissions (2022): 5.7</w:t>
      </w:r>
      <w:r w:rsidR="005F7A38" w:rsidRPr="005F7A38">
        <w:t xml:space="preserve"> </w:t>
      </w:r>
      <w:r w:rsidR="005F7A38">
        <w:t>per cent</w:t>
      </w:r>
    </w:p>
    <w:p w14:paraId="23822E09" w14:textId="77777777" w:rsidR="00421726" w:rsidRDefault="00421726" w:rsidP="00020CF1">
      <w:pPr>
        <w:pStyle w:val="Bullet1G"/>
      </w:pPr>
      <w:r>
        <w:t>Per capita transport CO</w:t>
      </w:r>
      <w:r w:rsidRPr="005F7A38">
        <w:rPr>
          <w:vertAlign w:val="subscript"/>
        </w:rPr>
        <w:t>2</w:t>
      </w:r>
      <w:r>
        <w:t xml:space="preserve"> emissions (2022): 0.27 tonnes</w:t>
      </w:r>
    </w:p>
    <w:p w14:paraId="58DDF584" w14:textId="6B55A274" w:rsidR="00421726" w:rsidRPr="000B45A1" w:rsidRDefault="00421726" w:rsidP="00020CF1">
      <w:pPr>
        <w:pStyle w:val="Bullet1G"/>
        <w:rPr>
          <w:rFonts w:eastAsia="Arial"/>
        </w:rPr>
      </w:pPr>
      <w:r>
        <w:t>Transport CO</w:t>
      </w:r>
      <w:r w:rsidRPr="005F7A38">
        <w:rPr>
          <w:vertAlign w:val="subscript"/>
        </w:rPr>
        <w:t>2</w:t>
      </w:r>
      <w:r>
        <w:t xml:space="preserve"> emissions per USD 10,000 GDP (2022): 1.37 tonnes</w:t>
      </w:r>
    </w:p>
    <w:p w14:paraId="12B450B3" w14:textId="20832D97" w:rsidR="00542068" w:rsidRDefault="00542068" w:rsidP="005F7A38">
      <w:pPr>
        <w:pStyle w:val="SingleTxtG"/>
        <w:ind w:right="993"/>
      </w:pPr>
      <w:r>
        <w:t>16.</w:t>
      </w:r>
      <w:r>
        <w:tab/>
      </w:r>
      <w:r w:rsidR="00421726">
        <w:t>Between 2016 and 2020, Africa’s motorisation rate was 43 vehicles per 1,000 people, around 4.6 times below the global average. Africa accounts for less than 1</w:t>
      </w:r>
      <w:r w:rsidR="005F7A38" w:rsidRPr="005F7A38">
        <w:t xml:space="preserve"> </w:t>
      </w:r>
      <w:r w:rsidR="005F7A38">
        <w:t>per cent</w:t>
      </w:r>
      <w:r w:rsidR="00421726">
        <w:t xml:space="preserve"> of global vehicle production. Africa imported the largest share (40</w:t>
      </w:r>
      <w:r w:rsidR="005F7A38" w:rsidRPr="005F7A38">
        <w:t xml:space="preserve"> </w:t>
      </w:r>
      <w:r w:rsidR="005F7A38">
        <w:t>per cent</w:t>
      </w:r>
      <w:r w:rsidR="00421726">
        <w:t>) of used vehicles among all regions from 2015 to 2018. In most African countries, used vehicles account for 85-100</w:t>
      </w:r>
      <w:r w:rsidR="005F7A38" w:rsidRPr="005F7A38">
        <w:t xml:space="preserve"> </w:t>
      </w:r>
      <w:r w:rsidR="005F7A38">
        <w:t>per cent</w:t>
      </w:r>
      <w:r w:rsidR="00421726">
        <w:t xml:space="preserve"> of fleets.</w:t>
      </w:r>
    </w:p>
    <w:p w14:paraId="79442FD5" w14:textId="19E9337D" w:rsidR="00542068" w:rsidRPr="008A03A2" w:rsidRDefault="00542068" w:rsidP="000B45A1">
      <w:pPr>
        <w:pStyle w:val="SingleTxtG"/>
      </w:pPr>
      <w:r>
        <w:t>17.</w:t>
      </w:r>
      <w:r>
        <w:tab/>
      </w:r>
      <w:r w:rsidR="00421726">
        <w:t>Road freight carries at least 80</w:t>
      </w:r>
      <w:r w:rsidR="005F7A38" w:rsidRPr="005F7A38">
        <w:t xml:space="preserve"> </w:t>
      </w:r>
      <w:r w:rsidR="005F7A38">
        <w:t>per cent</w:t>
      </w:r>
      <w:r w:rsidR="00421726">
        <w:t xml:space="preserve"> of goods in Africa. Ports, rail and air freight remain limited due to lack of capacity, technology and high costs.</w:t>
      </w:r>
    </w:p>
    <w:p w14:paraId="153E1F8A" w14:textId="78BC3D02" w:rsidR="00F241DF" w:rsidRPr="00F241DF" w:rsidRDefault="00386D46" w:rsidP="005F7A38">
      <w:pPr>
        <w:pStyle w:val="H23G"/>
      </w:pPr>
      <w:r>
        <w:tab/>
      </w:r>
      <w:r w:rsidR="005F7A38">
        <w:t>2.</w:t>
      </w:r>
      <w:r w:rsidR="00542068" w:rsidRPr="00393BCA">
        <w:tab/>
      </w:r>
      <w:r w:rsidR="00421726" w:rsidRPr="00393BCA">
        <w:t xml:space="preserve">Asia </w:t>
      </w:r>
      <w:r w:rsidR="005F7A38">
        <w:t>R</w:t>
      </w:r>
      <w:r w:rsidR="00421726" w:rsidRPr="00393BCA">
        <w:t xml:space="preserve">egional </w:t>
      </w:r>
      <w:r w:rsidR="005F7A38">
        <w:t>T</w:t>
      </w:r>
      <w:r w:rsidR="00421726" w:rsidRPr="00393BCA">
        <w:t>rends</w:t>
      </w:r>
    </w:p>
    <w:p w14:paraId="2F36FCD8" w14:textId="49E9EEAF" w:rsidR="00421726" w:rsidRDefault="001E3493" w:rsidP="005F7A38">
      <w:pPr>
        <w:pStyle w:val="SingleTxtG"/>
        <w:ind w:right="993"/>
      </w:pPr>
      <w:r>
        <w:t xml:space="preserve">18. </w:t>
      </w:r>
      <w:r>
        <w:tab/>
      </w:r>
      <w:r w:rsidR="00421726">
        <w:t>Asia continued to have the highest transport-related CO</w:t>
      </w:r>
      <w:r w:rsidR="00421726">
        <w:rPr>
          <w:vertAlign w:val="subscript"/>
        </w:rPr>
        <w:t>2</w:t>
      </w:r>
      <w:r w:rsidR="00421726">
        <w:t xml:space="preserve"> emissions among world regions – reaching 2,560 million tonnes in 2022 and the second-highest transport emissions growth, at 39</w:t>
      </w:r>
      <w:r w:rsidR="005F7A38" w:rsidRPr="005F7A38">
        <w:t xml:space="preserve"> </w:t>
      </w:r>
      <w:r w:rsidR="005F7A38">
        <w:t>per cent</w:t>
      </w:r>
      <w:r w:rsidR="00421726">
        <w:t xml:space="preserve"> during 2010 to 2022. Per capita transport CO</w:t>
      </w:r>
      <w:r w:rsidR="00421726">
        <w:rPr>
          <w:vertAlign w:val="subscript"/>
        </w:rPr>
        <w:t>2</w:t>
      </w:r>
      <w:r w:rsidR="00421726">
        <w:t xml:space="preserve"> emissions in Asia averaged 0.54 tonnes in 2021, the second lowest level after Africa. China remained the largest emitter of transport CO</w:t>
      </w:r>
      <w:r w:rsidR="00421726">
        <w:rPr>
          <w:vertAlign w:val="subscript"/>
        </w:rPr>
        <w:t>2</w:t>
      </w:r>
      <w:r w:rsidR="00421726">
        <w:t xml:space="preserve"> in Asia – contributing 34</w:t>
      </w:r>
      <w:r w:rsidR="005F7A38" w:rsidRPr="005F7A38">
        <w:t xml:space="preserve"> </w:t>
      </w:r>
      <w:r w:rsidR="005F7A38">
        <w:t>per cent</w:t>
      </w:r>
      <w:r w:rsidR="00421726">
        <w:t xml:space="preserve"> of the region’s total in 2022 – and was the second highest emitter globally, followed by India, although Persian Gulf countries still dominated per capita transport emissions.</w:t>
      </w:r>
      <w:r w:rsidR="00421726">
        <w:rPr>
          <w:vertAlign w:val="superscript"/>
        </w:rPr>
        <w:footnoteReference w:id="25"/>
      </w:r>
    </w:p>
    <w:p w14:paraId="6B8EBE3C" w14:textId="77777777" w:rsidR="00421726" w:rsidRDefault="00421726" w:rsidP="00020CF1">
      <w:pPr>
        <w:pStyle w:val="Bullet1G"/>
      </w:pPr>
      <w:r>
        <w:t>Total transport CO</w:t>
      </w:r>
      <w:r w:rsidRPr="000E6C04">
        <w:rPr>
          <w:vertAlign w:val="subscript"/>
        </w:rPr>
        <w:t>2</w:t>
      </w:r>
      <w:r>
        <w:t xml:space="preserve"> emissions (2022): 2,560 million tonnes</w:t>
      </w:r>
    </w:p>
    <w:p w14:paraId="5E2506D8" w14:textId="03428B78" w:rsidR="00421726" w:rsidRDefault="00421726" w:rsidP="00020CF1">
      <w:pPr>
        <w:pStyle w:val="Bullet1G"/>
      </w:pPr>
      <w:r>
        <w:lastRenderedPageBreak/>
        <w:t>Share of global transport CO</w:t>
      </w:r>
      <w:r w:rsidRPr="000E6C04">
        <w:rPr>
          <w:vertAlign w:val="subscript"/>
        </w:rPr>
        <w:t>2</w:t>
      </w:r>
      <w:r>
        <w:t xml:space="preserve"> emissions (2022): 38</w:t>
      </w:r>
      <w:r w:rsidR="005F7A38" w:rsidRPr="005F7A38">
        <w:t xml:space="preserve"> </w:t>
      </w:r>
      <w:r w:rsidR="005F7A38">
        <w:t>per cent</w:t>
      </w:r>
    </w:p>
    <w:p w14:paraId="4D8480D5" w14:textId="77777777" w:rsidR="00421726" w:rsidRDefault="00421726" w:rsidP="00020CF1">
      <w:pPr>
        <w:pStyle w:val="Bullet1G"/>
      </w:pPr>
      <w:r>
        <w:t>Per capita transport CO</w:t>
      </w:r>
      <w:r w:rsidRPr="000E6C04">
        <w:rPr>
          <w:vertAlign w:val="subscript"/>
        </w:rPr>
        <w:t>2</w:t>
      </w:r>
      <w:r>
        <w:t xml:space="preserve"> emissions (2022): 0.55 tonnes</w:t>
      </w:r>
    </w:p>
    <w:p w14:paraId="4FA0A132" w14:textId="3DFEA74F" w:rsidR="00421726" w:rsidRDefault="00421726" w:rsidP="00020CF1">
      <w:pPr>
        <w:pStyle w:val="Bullet1G"/>
      </w:pPr>
      <w:r>
        <w:t>Transport CO</w:t>
      </w:r>
      <w:r w:rsidRPr="000E6C04">
        <w:rPr>
          <w:vertAlign w:val="subscript"/>
        </w:rPr>
        <w:t>2</w:t>
      </w:r>
      <w:r>
        <w:t xml:space="preserve"> emissions per USD 10,000 GDP (2022): 0.75 tonnes</w:t>
      </w:r>
    </w:p>
    <w:p w14:paraId="32624EB1" w14:textId="687D801E" w:rsidR="00421726" w:rsidRDefault="00F241DF" w:rsidP="005F7A38">
      <w:pPr>
        <w:pStyle w:val="SingleTxtG"/>
        <w:ind w:right="993"/>
      </w:pPr>
      <w:r>
        <w:t>19</w:t>
      </w:r>
      <w:r w:rsidR="00F124B1">
        <w:t>.</w:t>
      </w:r>
      <w:r w:rsidR="00F124B1">
        <w:tab/>
      </w:r>
      <w:r w:rsidR="00421726">
        <w:t>Asia recorded soaring motorisation growth with increases of more than 200</w:t>
      </w:r>
      <w:r w:rsidR="005F7A38" w:rsidRPr="005F7A38">
        <w:t xml:space="preserve"> </w:t>
      </w:r>
      <w:r w:rsidR="005F7A38">
        <w:t>per cent</w:t>
      </w:r>
      <w:r w:rsidR="00421726">
        <w:t xml:space="preserve"> in some countries during 2010</w:t>
      </w:r>
      <w:r w:rsidR="000247E7">
        <w:t>–</w:t>
      </w:r>
      <w:r w:rsidR="00421726">
        <w:t>2019 – as well as significant growth in two- and three-wheelers.</w:t>
      </w:r>
    </w:p>
    <w:p w14:paraId="21EA3CD8" w14:textId="730F7EB8" w:rsidR="00421726" w:rsidRDefault="00F124B1" w:rsidP="005F7A38">
      <w:pPr>
        <w:pStyle w:val="SingleTxtG"/>
        <w:ind w:right="993"/>
      </w:pPr>
      <w:r>
        <w:t>20.</w:t>
      </w:r>
      <w:r>
        <w:tab/>
      </w:r>
      <w:r w:rsidR="00421726">
        <w:t>Air pollution caused 6.5 million deaths globally in 2019, with 70</w:t>
      </w:r>
      <w:r w:rsidR="005F7A38" w:rsidRPr="005F7A38">
        <w:t xml:space="preserve"> </w:t>
      </w:r>
      <w:r w:rsidR="005F7A38">
        <w:t>per cent</w:t>
      </w:r>
      <w:r w:rsidR="00421726">
        <w:t xml:space="preserve"> of the fatalities occurring in the Asia-Pacific region.</w:t>
      </w:r>
      <w:r w:rsidR="00421726">
        <w:rPr>
          <w:vertAlign w:val="superscript"/>
        </w:rPr>
        <w:footnoteReference w:id="26"/>
      </w:r>
    </w:p>
    <w:p w14:paraId="446C32C6" w14:textId="32C1372C" w:rsidR="005B6A68" w:rsidRDefault="00386D46" w:rsidP="00386D46">
      <w:pPr>
        <w:pStyle w:val="H23G"/>
      </w:pPr>
      <w:r>
        <w:tab/>
      </w:r>
      <w:r w:rsidR="005F7A38">
        <w:t>3.</w:t>
      </w:r>
      <w:r w:rsidR="005F7A38">
        <w:tab/>
      </w:r>
      <w:r w:rsidR="00421726">
        <w:t xml:space="preserve">Europe </w:t>
      </w:r>
      <w:r>
        <w:t>R</w:t>
      </w:r>
      <w:r w:rsidR="00421726">
        <w:t xml:space="preserve">egional </w:t>
      </w:r>
      <w:r>
        <w:t>T</w:t>
      </w:r>
      <w:r w:rsidR="00421726">
        <w:t>rends</w:t>
      </w:r>
    </w:p>
    <w:p w14:paraId="1AC4C8E3" w14:textId="72BE9AEF" w:rsidR="00421726" w:rsidRDefault="005B6A68" w:rsidP="00386D46">
      <w:pPr>
        <w:pStyle w:val="SingleTxtG"/>
        <w:ind w:right="993"/>
      </w:pPr>
      <w:r>
        <w:t xml:space="preserve">21. </w:t>
      </w:r>
      <w:r>
        <w:tab/>
      </w:r>
      <w:r w:rsidR="00421726">
        <w:t>The transport sector contributed 22</w:t>
      </w:r>
      <w:r w:rsidR="00386D46" w:rsidRPr="00386D46">
        <w:t xml:space="preserve"> </w:t>
      </w:r>
      <w:r w:rsidR="00386D46">
        <w:t>per cent</w:t>
      </w:r>
      <w:r w:rsidR="00421726">
        <w:t xml:space="preserve"> of economy-wide CO</w:t>
      </w:r>
      <w:r w:rsidR="00421726">
        <w:rPr>
          <w:vertAlign w:val="subscript"/>
        </w:rPr>
        <w:t>2</w:t>
      </w:r>
      <w:r w:rsidR="00421726">
        <w:t xml:space="preserve"> emissions in Europe in 2022. Europe contributed 17.6</w:t>
      </w:r>
      <w:r w:rsidR="00386D46" w:rsidRPr="00386D46">
        <w:t xml:space="preserve"> </w:t>
      </w:r>
      <w:r w:rsidR="00386D46">
        <w:t>per cent</w:t>
      </w:r>
      <w:r w:rsidR="00421726">
        <w:t xml:space="preserve"> of the world’s transport CO</w:t>
      </w:r>
      <w:r w:rsidR="00421726">
        <w:rPr>
          <w:vertAlign w:val="subscript"/>
        </w:rPr>
        <w:t>2</w:t>
      </w:r>
      <w:r w:rsidR="00421726">
        <w:t xml:space="preserve"> emissions in 2022 (excluding international aviation and shipping), the third largest regional share after Asia and North America.</w:t>
      </w:r>
      <w:r w:rsidR="00421726">
        <w:rPr>
          <w:vertAlign w:val="superscript"/>
        </w:rPr>
        <w:footnoteReference w:id="27"/>
      </w:r>
    </w:p>
    <w:p w14:paraId="0A5B760C" w14:textId="77777777" w:rsidR="00421726" w:rsidRDefault="00421726" w:rsidP="00020CF1">
      <w:pPr>
        <w:pStyle w:val="Bullet1G"/>
      </w:pPr>
      <w:r>
        <w:t>Total transport CO</w:t>
      </w:r>
      <w:r w:rsidRPr="000E6C04">
        <w:rPr>
          <w:vertAlign w:val="subscript"/>
        </w:rPr>
        <w:t>2</w:t>
      </w:r>
      <w:r>
        <w:t xml:space="preserve"> emissions (2022): 1,197 million tonnes</w:t>
      </w:r>
    </w:p>
    <w:p w14:paraId="71CC6C12" w14:textId="2FA17EBC" w:rsidR="00421726" w:rsidRDefault="00421726" w:rsidP="00020CF1">
      <w:pPr>
        <w:pStyle w:val="Bullet1G"/>
      </w:pPr>
      <w:r>
        <w:t>Share of global transport CO</w:t>
      </w:r>
      <w:r w:rsidRPr="000E6C04">
        <w:rPr>
          <w:vertAlign w:val="subscript"/>
        </w:rPr>
        <w:t>2</w:t>
      </w:r>
      <w:r>
        <w:t xml:space="preserve"> emissions (2022): 17.6</w:t>
      </w:r>
      <w:r w:rsidR="00386D46" w:rsidRPr="00386D46">
        <w:t xml:space="preserve"> </w:t>
      </w:r>
      <w:r w:rsidR="00386D46">
        <w:t>per cent</w:t>
      </w:r>
    </w:p>
    <w:p w14:paraId="4A5AD3D8" w14:textId="77777777" w:rsidR="00421726" w:rsidRDefault="00421726" w:rsidP="00020CF1">
      <w:pPr>
        <w:pStyle w:val="Bullet1G"/>
      </w:pPr>
      <w:r>
        <w:t>Per capita transport CO</w:t>
      </w:r>
      <w:r w:rsidRPr="000E6C04">
        <w:rPr>
          <w:vertAlign w:val="subscript"/>
        </w:rPr>
        <w:t>2</w:t>
      </w:r>
      <w:r>
        <w:t xml:space="preserve"> emissions (2022): 1.60 tonnes</w:t>
      </w:r>
    </w:p>
    <w:p w14:paraId="0A7FC74F" w14:textId="6DFA1FDD" w:rsidR="00421726" w:rsidRPr="000B45A1" w:rsidRDefault="00421726" w:rsidP="00020CF1">
      <w:pPr>
        <w:pStyle w:val="Bullet1G"/>
        <w:rPr>
          <w:rFonts w:eastAsia="Arial"/>
        </w:rPr>
      </w:pPr>
      <w:r>
        <w:t>Transport CO</w:t>
      </w:r>
      <w:r w:rsidRPr="000E6C04">
        <w:rPr>
          <w:vertAlign w:val="subscript"/>
        </w:rPr>
        <w:t>2</w:t>
      </w:r>
      <w:r>
        <w:t xml:space="preserve"> emissions per USD 10,000 GDP (2022): 0.56 tonnes</w:t>
      </w:r>
    </w:p>
    <w:p w14:paraId="25D1A459" w14:textId="38DF5159" w:rsidR="00421726" w:rsidRDefault="00134997" w:rsidP="00386D46">
      <w:pPr>
        <w:pStyle w:val="SingleTxtG"/>
        <w:ind w:right="993"/>
      </w:pPr>
      <w:r>
        <w:t>22.</w:t>
      </w:r>
      <w:r>
        <w:tab/>
      </w:r>
      <w:r w:rsidR="00421726">
        <w:t>Passenger cars accounted for 85</w:t>
      </w:r>
      <w:r w:rsidR="00386D46" w:rsidRPr="00386D46">
        <w:t xml:space="preserve"> </w:t>
      </w:r>
      <w:r w:rsidR="00386D46">
        <w:t>per cent</w:t>
      </w:r>
      <w:r w:rsidR="00421726">
        <w:t xml:space="preserve"> of the travel activity in the </w:t>
      </w:r>
      <w:r w:rsidR="00496FBA">
        <w:t>European Union (</w:t>
      </w:r>
      <w:r w:rsidR="00421726">
        <w:t>EU</w:t>
      </w:r>
      <w:r w:rsidR="00496FBA">
        <w:t>)</w:t>
      </w:r>
      <w:r w:rsidR="00421726">
        <w:t xml:space="preserve"> in 2021.</w:t>
      </w:r>
      <w:r w:rsidR="00421726">
        <w:rPr>
          <w:vertAlign w:val="superscript"/>
        </w:rPr>
        <w:footnoteReference w:id="28"/>
      </w:r>
      <w:r w:rsidR="00421726">
        <w:t xml:space="preserve"> The average motorisation rate for the region was 554 vehicles per 1,000 people, well above the global average of 196 vehicles per 1,000 people.</w:t>
      </w:r>
      <w:r w:rsidR="00421726">
        <w:rPr>
          <w:vertAlign w:val="superscript"/>
        </w:rPr>
        <w:footnoteReference w:id="29"/>
      </w:r>
    </w:p>
    <w:p w14:paraId="0B038573" w14:textId="31A8EB9F" w:rsidR="00134997" w:rsidRPr="00386D46" w:rsidRDefault="00386D46" w:rsidP="00386D46">
      <w:pPr>
        <w:pStyle w:val="H23G"/>
      </w:pPr>
      <w:r>
        <w:tab/>
        <w:t>4.</w:t>
      </w:r>
      <w:r w:rsidR="00134997">
        <w:tab/>
      </w:r>
      <w:r w:rsidR="00421726">
        <w:t>Latin America and the Caribbean regional trends</w:t>
      </w:r>
    </w:p>
    <w:p w14:paraId="0D16E5C0" w14:textId="55C04112" w:rsidR="00421726" w:rsidRDefault="00134997" w:rsidP="00386D46">
      <w:pPr>
        <w:pStyle w:val="SingleTxtG"/>
        <w:ind w:right="993"/>
      </w:pPr>
      <w:r>
        <w:t xml:space="preserve">23. </w:t>
      </w:r>
      <w:r>
        <w:tab/>
      </w:r>
      <w:r w:rsidR="00421726">
        <w:t>In 2022, transport CO</w:t>
      </w:r>
      <w:r w:rsidR="00421726">
        <w:rPr>
          <w:vertAlign w:val="subscript"/>
        </w:rPr>
        <w:t>2</w:t>
      </w:r>
      <w:r w:rsidR="00421726">
        <w:t xml:space="preserve"> emissions in Latin America and the Caribbean contributed around 33</w:t>
      </w:r>
      <w:r w:rsidR="005B07F0">
        <w:t xml:space="preserve"> per cent</w:t>
      </w:r>
      <w:r w:rsidR="00421726">
        <w:t xml:space="preserve"> of overall regional CO</w:t>
      </w:r>
      <w:r w:rsidR="00421726">
        <w:rPr>
          <w:vertAlign w:val="subscript"/>
        </w:rPr>
        <w:t>2</w:t>
      </w:r>
      <w:r w:rsidR="00421726">
        <w:t xml:space="preserve"> emissions and 9.2</w:t>
      </w:r>
      <w:r w:rsidR="005B07F0">
        <w:t xml:space="preserve"> per cent</w:t>
      </w:r>
      <w:r w:rsidR="00421726">
        <w:t xml:space="preserve"> of global transport emissions (excluding international aviation and shipping).</w:t>
      </w:r>
      <w:r w:rsidR="00036F93">
        <w:t xml:space="preserve"> </w:t>
      </w:r>
      <w:r w:rsidR="00421726">
        <w:t>Average per capita transport CO</w:t>
      </w:r>
      <w:r w:rsidR="00421726">
        <w:rPr>
          <w:vertAlign w:val="subscript"/>
        </w:rPr>
        <w:t>2</w:t>
      </w:r>
      <w:r w:rsidR="00421726">
        <w:t xml:space="preserve"> emissions in the region were 0.95 tonnes, close to the global average of 0.86 tonnes in 2022.</w:t>
      </w:r>
    </w:p>
    <w:p w14:paraId="1F2D58D8" w14:textId="77777777" w:rsidR="00386D46" w:rsidRDefault="00421726" w:rsidP="00020CF1">
      <w:pPr>
        <w:pStyle w:val="Bullet1G"/>
      </w:pPr>
      <w:r w:rsidRPr="00386D46">
        <w:t>Total transport CO</w:t>
      </w:r>
      <w:r w:rsidRPr="000E6C04">
        <w:rPr>
          <w:vertAlign w:val="subscript"/>
        </w:rPr>
        <w:t>2</w:t>
      </w:r>
      <w:r w:rsidRPr="00386D46">
        <w:t xml:space="preserve"> emissions (2022): 623.7 million tonnes</w:t>
      </w:r>
    </w:p>
    <w:p w14:paraId="456528DB" w14:textId="2C674724" w:rsidR="00386D46" w:rsidRDefault="00421726" w:rsidP="00020CF1">
      <w:pPr>
        <w:pStyle w:val="Bullet1G"/>
      </w:pPr>
      <w:r w:rsidRPr="00386D46">
        <w:t>Share of global transport CO</w:t>
      </w:r>
      <w:r w:rsidRPr="000E6C04">
        <w:rPr>
          <w:vertAlign w:val="subscript"/>
        </w:rPr>
        <w:t xml:space="preserve">2 </w:t>
      </w:r>
      <w:r w:rsidRPr="00386D46">
        <w:t>emissions (2022): 9.2</w:t>
      </w:r>
      <w:r w:rsidR="00020CF1">
        <w:t xml:space="preserve"> per cent</w:t>
      </w:r>
    </w:p>
    <w:p w14:paraId="794B9E35" w14:textId="77777777" w:rsidR="00386D46" w:rsidRDefault="00421726" w:rsidP="00020CF1">
      <w:pPr>
        <w:pStyle w:val="Bullet1G"/>
      </w:pPr>
      <w:r w:rsidRPr="00386D46">
        <w:t>Per capita transport CO</w:t>
      </w:r>
      <w:r w:rsidRPr="000E6C04">
        <w:rPr>
          <w:vertAlign w:val="subscript"/>
        </w:rPr>
        <w:t>2</w:t>
      </w:r>
      <w:r w:rsidRPr="00386D46">
        <w:t xml:space="preserve"> emissions (2022): 0.95 tonnes</w:t>
      </w:r>
    </w:p>
    <w:p w14:paraId="54330434" w14:textId="1A563C14" w:rsidR="00421726" w:rsidRPr="00386D46" w:rsidRDefault="00421726" w:rsidP="00020CF1">
      <w:pPr>
        <w:pStyle w:val="Bullet1G"/>
      </w:pPr>
      <w:r w:rsidRPr="00386D46">
        <w:t>Transport CO</w:t>
      </w:r>
      <w:r w:rsidRPr="000E6C04">
        <w:rPr>
          <w:vertAlign w:val="subscript"/>
        </w:rPr>
        <w:t>2</w:t>
      </w:r>
      <w:r w:rsidRPr="00386D46">
        <w:t xml:space="preserve"> emissions per USD 10,000 GDP (2022): 1.17 tonnes</w:t>
      </w:r>
    </w:p>
    <w:p w14:paraId="45D15AC9" w14:textId="159218EC" w:rsidR="00421726" w:rsidRDefault="00134997" w:rsidP="00386D46">
      <w:pPr>
        <w:pStyle w:val="SingleTxtG"/>
        <w:ind w:right="993"/>
      </w:pPr>
      <w:r>
        <w:t>24.</w:t>
      </w:r>
      <w:r>
        <w:tab/>
      </w:r>
      <w:r w:rsidR="00421726">
        <w:t>Road transport dominates freight transport in the region. A 2021 study found that in South America trucks account for around 85</w:t>
      </w:r>
      <w:r w:rsidR="005B07F0">
        <w:t xml:space="preserve"> per cent</w:t>
      </w:r>
      <w:r w:rsidR="00421726">
        <w:t xml:space="preserve"> of national and 30</w:t>
      </w:r>
      <w:r w:rsidR="005B07F0">
        <w:t xml:space="preserve"> per cent</w:t>
      </w:r>
      <w:r w:rsidR="00421726">
        <w:t xml:space="preserve"> of regional freight transport and logistics, and in Central America road transport accounts for nearly 100</w:t>
      </w:r>
      <w:r w:rsidR="005B07F0">
        <w:t xml:space="preserve"> per cent</w:t>
      </w:r>
      <w:r w:rsidR="00421726">
        <w:t xml:space="preserve"> of freight transport.</w:t>
      </w:r>
      <w:r w:rsidR="00421726">
        <w:rPr>
          <w:vertAlign w:val="superscript"/>
        </w:rPr>
        <w:footnoteReference w:id="30"/>
      </w:r>
    </w:p>
    <w:p w14:paraId="5FA83FE5" w14:textId="0C111606" w:rsidR="00421726" w:rsidRDefault="00134997" w:rsidP="00386D46">
      <w:pPr>
        <w:pStyle w:val="SingleTxtG"/>
        <w:ind w:right="993"/>
      </w:pPr>
      <w:r>
        <w:lastRenderedPageBreak/>
        <w:t xml:space="preserve">25. </w:t>
      </w:r>
      <w:r>
        <w:tab/>
      </w:r>
      <w:r w:rsidR="00421726">
        <w:t>The average motorisation rate in Latin America and the Caribbean was 267 vehicles per 1,000 people (recent data from 2016 to 2020), or 1.35 times higher than the global average of 197 vehicles per 1,000 people. Nearly half of all countries in the region had motorisation rates above the global average during this period.</w:t>
      </w:r>
      <w:r w:rsidR="00421726">
        <w:rPr>
          <w:vertAlign w:val="superscript"/>
        </w:rPr>
        <w:footnoteReference w:id="31"/>
      </w:r>
    </w:p>
    <w:p w14:paraId="64102AA6" w14:textId="11C74AED" w:rsidR="00D355DB" w:rsidRDefault="00386D46" w:rsidP="00386D46">
      <w:pPr>
        <w:pStyle w:val="H23G"/>
      </w:pPr>
      <w:r>
        <w:tab/>
        <w:t>5.</w:t>
      </w:r>
      <w:r>
        <w:tab/>
      </w:r>
      <w:r w:rsidR="00421726">
        <w:t xml:space="preserve">North America </w:t>
      </w:r>
      <w:r>
        <w:t>T</w:t>
      </w:r>
      <w:r w:rsidR="00421726">
        <w:t>rends</w:t>
      </w:r>
    </w:p>
    <w:p w14:paraId="53174210" w14:textId="1B6ECD63" w:rsidR="00421726" w:rsidRDefault="00D355DB" w:rsidP="00020CF1">
      <w:pPr>
        <w:pStyle w:val="SingleTxtG"/>
        <w:ind w:right="993"/>
      </w:pPr>
      <w:r>
        <w:t>26.</w:t>
      </w:r>
      <w:r>
        <w:tab/>
      </w:r>
      <w:r w:rsidR="00421726">
        <w:t>In 2022, North America contributed 28</w:t>
      </w:r>
      <w:r w:rsidR="005B07F0">
        <w:t xml:space="preserve"> per cent</w:t>
      </w:r>
      <w:r w:rsidR="00421726">
        <w:t xml:space="preserve"> of global transport CO</w:t>
      </w:r>
      <w:r w:rsidR="00421726">
        <w:rPr>
          <w:vertAlign w:val="subscript"/>
        </w:rPr>
        <w:t>2</w:t>
      </w:r>
      <w:r w:rsidR="00421726">
        <w:t xml:space="preserve"> emissions (excluding international aviation and shipping), the second highest regional share after Asia. Despite the high absolute transport emission levels, a 2</w:t>
      </w:r>
      <w:r w:rsidR="005B07F0">
        <w:t xml:space="preserve"> per cent</w:t>
      </w:r>
      <w:r w:rsidR="00421726">
        <w:t xml:space="preserve"> growth was recorded from 2010 to 2022. The region has per capita transport CO</w:t>
      </w:r>
      <w:r w:rsidR="00421726">
        <w:rPr>
          <w:vertAlign w:val="subscript"/>
        </w:rPr>
        <w:t>2</w:t>
      </w:r>
      <w:r w:rsidR="00421726">
        <w:t xml:space="preserve"> emissions exceeding 5 tonnes in 2022.</w:t>
      </w:r>
      <w:r w:rsidR="00421726">
        <w:rPr>
          <w:vertAlign w:val="superscript"/>
        </w:rPr>
        <w:footnoteReference w:id="32"/>
      </w:r>
    </w:p>
    <w:p w14:paraId="3E4E3B60" w14:textId="77777777" w:rsidR="00421726" w:rsidRDefault="00421726" w:rsidP="00020CF1">
      <w:pPr>
        <w:pStyle w:val="Bullet1G"/>
      </w:pPr>
      <w:r>
        <w:t>Total transport CO</w:t>
      </w:r>
      <w:r w:rsidRPr="000E6C04">
        <w:rPr>
          <w:vertAlign w:val="subscript"/>
        </w:rPr>
        <w:t>2</w:t>
      </w:r>
      <w:r>
        <w:t xml:space="preserve"> emissions (2022): 1,899 million tonnes</w:t>
      </w:r>
    </w:p>
    <w:p w14:paraId="5A48AA5D" w14:textId="548EDB99" w:rsidR="00421726" w:rsidRDefault="00421726" w:rsidP="00020CF1">
      <w:pPr>
        <w:pStyle w:val="Bullet1G"/>
      </w:pPr>
      <w:r>
        <w:t>Share of global transport CO</w:t>
      </w:r>
      <w:r w:rsidRPr="000E6C04">
        <w:rPr>
          <w:vertAlign w:val="subscript"/>
        </w:rPr>
        <w:t>2</w:t>
      </w:r>
      <w:r>
        <w:t xml:space="preserve"> emissions (2022): 28</w:t>
      </w:r>
      <w:r w:rsidR="00101D4F">
        <w:t xml:space="preserve"> per cent</w:t>
      </w:r>
    </w:p>
    <w:p w14:paraId="03E88B13" w14:textId="77777777" w:rsidR="00421726" w:rsidRDefault="00421726" w:rsidP="00020CF1">
      <w:pPr>
        <w:pStyle w:val="Bullet1G"/>
      </w:pPr>
      <w:r>
        <w:t>Per capita transport CO</w:t>
      </w:r>
      <w:r w:rsidRPr="000E6C04">
        <w:rPr>
          <w:vertAlign w:val="subscript"/>
        </w:rPr>
        <w:t>2</w:t>
      </w:r>
      <w:r>
        <w:t xml:space="preserve"> emissions (2022): 5.05 tonnes</w:t>
      </w:r>
    </w:p>
    <w:p w14:paraId="4036EA86" w14:textId="5A2C364F" w:rsidR="00421726" w:rsidRDefault="00421726" w:rsidP="00020CF1">
      <w:pPr>
        <w:pStyle w:val="Bullet1G"/>
      </w:pPr>
      <w:r>
        <w:t>Transport CO</w:t>
      </w:r>
      <w:r w:rsidRPr="000E6C04">
        <w:rPr>
          <w:vertAlign w:val="subscript"/>
        </w:rPr>
        <w:t>2</w:t>
      </w:r>
      <w:r>
        <w:t xml:space="preserve"> emissions per USD 10,000 GDP (2022): 0.83 tonnes</w:t>
      </w:r>
    </w:p>
    <w:p w14:paraId="66EE9D1B" w14:textId="3C192DC8" w:rsidR="00421726" w:rsidRDefault="00D355DB" w:rsidP="00020CF1">
      <w:pPr>
        <w:pStyle w:val="SingleTxtG"/>
        <w:ind w:right="993"/>
      </w:pPr>
      <w:r>
        <w:t>27.</w:t>
      </w:r>
      <w:r w:rsidR="00265BC1">
        <w:tab/>
      </w:r>
      <w:r w:rsidR="00421726">
        <w:t>This was following the COVID-19 pandemic which changed North America’s overall CO</w:t>
      </w:r>
      <w:r w:rsidR="00421726">
        <w:rPr>
          <w:vertAlign w:val="subscript"/>
        </w:rPr>
        <w:t>2</w:t>
      </w:r>
      <w:r w:rsidR="00421726">
        <w:t xml:space="preserve"> emissions trajectory from a 5</w:t>
      </w:r>
      <w:r w:rsidR="00101D4F">
        <w:t xml:space="preserve"> per cent</w:t>
      </w:r>
      <w:r w:rsidR="00421726">
        <w:t xml:space="preserve"> increase in transport CO</w:t>
      </w:r>
      <w:r w:rsidR="00421726">
        <w:rPr>
          <w:vertAlign w:val="subscript"/>
        </w:rPr>
        <w:t>2</w:t>
      </w:r>
      <w:r w:rsidR="00421726">
        <w:t xml:space="preserve"> emissions between 2010 and 2019 to a 7</w:t>
      </w:r>
      <w:r w:rsidR="00101D4F">
        <w:t xml:space="preserve"> per cent</w:t>
      </w:r>
      <w:r w:rsidR="00421726">
        <w:t xml:space="preserve"> decline between 2019 and 2021. Road transport was the major contributor to emission growth in Canada until 2019, but it experienced the greatest decline in 2020.</w:t>
      </w:r>
    </w:p>
    <w:p w14:paraId="124993CE" w14:textId="76B31263" w:rsidR="00421726" w:rsidRDefault="00D355DB" w:rsidP="00020CF1">
      <w:pPr>
        <w:pStyle w:val="SingleTxtG"/>
        <w:ind w:right="993"/>
      </w:pPr>
      <w:r>
        <w:t>28.</w:t>
      </w:r>
      <w:r>
        <w:tab/>
      </w:r>
      <w:r w:rsidR="00421726">
        <w:t>The region’s motorisation levels have remained at an all-time high. The motorisation rate of North America is 4 times the global average and 18 times higher than in Africa. Canada had a motorisation rate of 656 vehicles per 1,000 people in 2019, and the US rate was even higher, at 807 vehicles per 1,000 people in 2020.</w:t>
      </w:r>
      <w:r w:rsidR="00421726">
        <w:rPr>
          <w:vertAlign w:val="superscript"/>
        </w:rPr>
        <w:footnoteReference w:id="33"/>
      </w:r>
    </w:p>
    <w:p w14:paraId="4D3D3437" w14:textId="20E698F3" w:rsidR="00421726" w:rsidRDefault="00D355DB" w:rsidP="00020CF1">
      <w:pPr>
        <w:pStyle w:val="SingleTxtG"/>
        <w:ind w:right="993"/>
      </w:pPr>
      <w:r>
        <w:t>29.</w:t>
      </w:r>
      <w:r>
        <w:tab/>
      </w:r>
      <w:r w:rsidR="00421726">
        <w:t>Transport emissions shifting from passenger to freight transport, in the USA the share of emissions from light-duty vehicles fell from 60</w:t>
      </w:r>
      <w:r w:rsidR="00101D4F">
        <w:t xml:space="preserve"> per cent</w:t>
      </w:r>
      <w:r w:rsidR="00421726">
        <w:t xml:space="preserve"> to 57</w:t>
      </w:r>
      <w:r w:rsidR="00101D4F">
        <w:t xml:space="preserve"> per cent</w:t>
      </w:r>
      <w:r w:rsidR="00421726">
        <w:t xml:space="preserve"> from 2015 to 2020, while that from medium- and heavy-duty trucks grew from 23</w:t>
      </w:r>
      <w:r w:rsidR="00101D4F">
        <w:t xml:space="preserve"> per cent</w:t>
      </w:r>
      <w:r w:rsidR="00421726">
        <w:t xml:space="preserve"> to 26</w:t>
      </w:r>
      <w:r w:rsidR="00101D4F">
        <w:t xml:space="preserve"> per cent</w:t>
      </w:r>
      <w:r w:rsidR="00421726">
        <w:t xml:space="preserve">. </w:t>
      </w:r>
    </w:p>
    <w:p w14:paraId="476128E2" w14:textId="025B83CC" w:rsidR="00083AC8" w:rsidRPr="00020CF1" w:rsidRDefault="00020CF1" w:rsidP="00020CF1">
      <w:pPr>
        <w:pStyle w:val="H23G"/>
      </w:pPr>
      <w:r>
        <w:tab/>
        <w:t>6.</w:t>
      </w:r>
      <w:r w:rsidR="00E76F79">
        <w:tab/>
      </w:r>
      <w:r w:rsidR="00421726">
        <w:t xml:space="preserve">Oceania </w:t>
      </w:r>
      <w:r>
        <w:t>T</w:t>
      </w:r>
      <w:r w:rsidR="00421726">
        <w:t>rends</w:t>
      </w:r>
    </w:p>
    <w:p w14:paraId="443AFD4A" w14:textId="1505E80C" w:rsidR="00421726" w:rsidRDefault="00E76F79" w:rsidP="00020CF1">
      <w:pPr>
        <w:pStyle w:val="SingleTxtG"/>
        <w:ind w:right="993"/>
      </w:pPr>
      <w:r>
        <w:t>30.</w:t>
      </w:r>
      <w:r>
        <w:tab/>
      </w:r>
      <w:r w:rsidR="00421726">
        <w:t>Oceania remained the lowest emitter of transport CO</w:t>
      </w:r>
      <w:r w:rsidR="00421726">
        <w:rPr>
          <w:vertAlign w:val="subscript"/>
        </w:rPr>
        <w:t>2</w:t>
      </w:r>
      <w:r w:rsidR="00421726">
        <w:t xml:space="preserve"> emissions (excluding international aviation and shipping) among world regions in 2022, contributing less than 2</w:t>
      </w:r>
      <w:r w:rsidR="00020CF1" w:rsidRPr="00020CF1">
        <w:t xml:space="preserve"> </w:t>
      </w:r>
      <w:r w:rsidR="00020CF1">
        <w:t>per cent</w:t>
      </w:r>
      <w:r w:rsidR="00421726">
        <w:t xml:space="preserve"> of transport emissions globally. However, the region has the second highest per capita transport CO</w:t>
      </w:r>
      <w:r w:rsidR="00421726" w:rsidRPr="000E6C04">
        <w:rPr>
          <w:vertAlign w:val="subscript"/>
        </w:rPr>
        <w:t>2</w:t>
      </w:r>
      <w:r w:rsidR="00421726">
        <w:t xml:space="preserve"> emissions after North America. Transport CO</w:t>
      </w:r>
      <w:r w:rsidR="00421726">
        <w:rPr>
          <w:vertAlign w:val="subscript"/>
        </w:rPr>
        <w:t>2</w:t>
      </w:r>
      <w:r w:rsidR="00421726">
        <w:t xml:space="preserve"> emissions in the region grew relatively steadily during 2010-2019, with 14</w:t>
      </w:r>
      <w:r w:rsidR="00020CF1" w:rsidRPr="00020CF1">
        <w:t xml:space="preserve"> </w:t>
      </w:r>
      <w:r w:rsidR="00020CF1">
        <w:t>per cent</w:t>
      </w:r>
      <w:r w:rsidR="00421726">
        <w:t xml:space="preserve"> overall growth, then fell 9</w:t>
      </w:r>
      <w:r w:rsidR="00020CF1" w:rsidRPr="00020CF1">
        <w:t xml:space="preserve"> </w:t>
      </w:r>
      <w:r w:rsidR="00020CF1">
        <w:t>per cent</w:t>
      </w:r>
      <w:r w:rsidR="00421726">
        <w:t xml:space="preserve"> in 2020 due to the decline in transport activity during the COVID-19 pandemic, before increasing 1.4</w:t>
      </w:r>
      <w:r w:rsidR="00020CF1" w:rsidRPr="00020CF1">
        <w:t xml:space="preserve"> </w:t>
      </w:r>
      <w:r w:rsidR="00020CF1">
        <w:t>per cent</w:t>
      </w:r>
      <w:r w:rsidR="00421726">
        <w:t xml:space="preserve"> in 2021 and 8</w:t>
      </w:r>
      <w:r w:rsidR="00020CF1" w:rsidRPr="00020CF1">
        <w:t xml:space="preserve"> </w:t>
      </w:r>
      <w:r w:rsidR="00020CF1">
        <w:t>per cent</w:t>
      </w:r>
      <w:r w:rsidR="00421726">
        <w:t xml:space="preserve"> in 2022 to reach emissions levels of 2019.</w:t>
      </w:r>
    </w:p>
    <w:p w14:paraId="2613E0D8" w14:textId="77777777" w:rsidR="00421726" w:rsidRDefault="00421726" w:rsidP="00020CF1">
      <w:pPr>
        <w:pStyle w:val="Bullet1G"/>
      </w:pPr>
      <w:r>
        <w:t>Total transport CO</w:t>
      </w:r>
      <w:r w:rsidRPr="000E6C04">
        <w:rPr>
          <w:vertAlign w:val="subscript"/>
        </w:rPr>
        <w:t>2</w:t>
      </w:r>
      <w:r>
        <w:t xml:space="preserve"> emissions (2022): 120 million tonnes </w:t>
      </w:r>
    </w:p>
    <w:p w14:paraId="63A57397" w14:textId="00D5413D" w:rsidR="00421726" w:rsidRPr="00FC3A05" w:rsidRDefault="00421726" w:rsidP="00020CF1">
      <w:pPr>
        <w:pStyle w:val="Bullet1G"/>
        <w:rPr>
          <w:rFonts w:ascii="Arial" w:eastAsia="Arial" w:hAnsi="Arial" w:cs="Arial"/>
          <w:color w:val="000000"/>
        </w:rPr>
      </w:pPr>
      <w:r>
        <w:t>Share of global transport CO</w:t>
      </w:r>
      <w:r w:rsidRPr="000E6C04">
        <w:rPr>
          <w:vertAlign w:val="subscript"/>
        </w:rPr>
        <w:t>2</w:t>
      </w:r>
      <w:r>
        <w:t xml:space="preserve"> emissions (2022): 1.8</w:t>
      </w:r>
      <w:r w:rsidR="00101D4F">
        <w:t xml:space="preserve"> per cent</w:t>
      </w:r>
    </w:p>
    <w:p w14:paraId="5D505FBD" w14:textId="3B0C215A" w:rsidR="00421726" w:rsidRDefault="00421726" w:rsidP="00020CF1">
      <w:pPr>
        <w:pStyle w:val="Bullet1G"/>
      </w:pPr>
      <w:r>
        <w:t>Per capita transport CO</w:t>
      </w:r>
      <w:r>
        <w:rPr>
          <w:vertAlign w:val="subscript"/>
        </w:rPr>
        <w:t>2</w:t>
      </w:r>
      <w:r>
        <w:t xml:space="preserve"> emissions (2022): 2.74 tonnes</w:t>
      </w:r>
    </w:p>
    <w:p w14:paraId="7A050C13" w14:textId="3CB83AE0" w:rsidR="00421726" w:rsidRDefault="00421726" w:rsidP="00020CF1">
      <w:pPr>
        <w:pStyle w:val="Bullet1G"/>
      </w:pPr>
      <w:r>
        <w:t>Transport CO</w:t>
      </w:r>
      <w:r w:rsidRPr="000E6C04">
        <w:rPr>
          <w:vertAlign w:val="subscript"/>
        </w:rPr>
        <w:t>2</w:t>
      </w:r>
      <w:r>
        <w:t xml:space="preserve"> per USD 10,000 (2022): 0.65 tonnes</w:t>
      </w:r>
    </w:p>
    <w:p w14:paraId="3A7FA9BA" w14:textId="2CCE7375" w:rsidR="00421726" w:rsidRDefault="00E76F79" w:rsidP="00AD0F60">
      <w:pPr>
        <w:pStyle w:val="SingleTxtG"/>
        <w:ind w:right="993"/>
      </w:pPr>
      <w:r>
        <w:t>31.</w:t>
      </w:r>
      <w:r>
        <w:tab/>
      </w:r>
      <w:r w:rsidR="00421726">
        <w:t>The region shows dominance of private vehicles despite high access to public transport: In Australia, 87</w:t>
      </w:r>
      <w:r w:rsidR="00101D4F">
        <w:t xml:space="preserve"> per cent</w:t>
      </w:r>
      <w:r w:rsidR="00421726">
        <w:t xml:space="preserve"> of work commutes in 2021 were by drivers or passengers of a car, motorcycle, or truck. Australia and New Zealand maintained the region’s highest motorisation levels, 4 times of global average. Only 5</w:t>
      </w:r>
      <w:r w:rsidR="00101D4F">
        <w:t xml:space="preserve"> per cent</w:t>
      </w:r>
      <w:r w:rsidR="00421726">
        <w:t xml:space="preserve"> were by walking or cycling and 7</w:t>
      </w:r>
      <w:r w:rsidR="00101D4F">
        <w:t xml:space="preserve"> per </w:t>
      </w:r>
      <w:r w:rsidR="006740DB">
        <w:t>cent</w:t>
      </w:r>
      <w:r w:rsidR="00421726">
        <w:t xml:space="preserve"> by public transport. </w:t>
      </w:r>
    </w:p>
    <w:p w14:paraId="4E9F200F" w14:textId="2A45402C" w:rsidR="00421726" w:rsidRDefault="006F136A" w:rsidP="00AD0F60">
      <w:pPr>
        <w:pStyle w:val="HChG"/>
      </w:pPr>
      <w:r>
        <w:lastRenderedPageBreak/>
        <w:tab/>
      </w:r>
      <w:r w:rsidR="00AD0F60">
        <w:t>II</w:t>
      </w:r>
      <w:r w:rsidR="00EB1CE9">
        <w:t>.</w:t>
      </w:r>
      <w:r w:rsidR="00EB1CE9">
        <w:tab/>
      </w:r>
      <w:r>
        <w:tab/>
      </w:r>
      <w:r w:rsidR="00421726">
        <w:t xml:space="preserve">Projections and </w:t>
      </w:r>
      <w:r w:rsidR="00AD0F60">
        <w:t>T</w:t>
      </w:r>
      <w:r w:rsidR="00421726">
        <w:t xml:space="preserve">rends in </w:t>
      </w:r>
      <w:r w:rsidR="00AD0F60">
        <w:t>T</w:t>
      </w:r>
      <w:r w:rsidR="00421726">
        <w:t>ransport-related G</w:t>
      </w:r>
      <w:r w:rsidR="00AD0F60">
        <w:t>reenhouse Gas</w:t>
      </w:r>
      <w:r w:rsidR="00421726">
        <w:t xml:space="preserve"> </w:t>
      </w:r>
      <w:r w:rsidR="00AD0F60">
        <w:t>E</w:t>
      </w:r>
      <w:r w:rsidR="00421726">
        <w:t>missions</w:t>
      </w:r>
    </w:p>
    <w:p w14:paraId="3BD4E9C1" w14:textId="09468020" w:rsidR="00770CE7" w:rsidRPr="00770CE7" w:rsidRDefault="006F136A" w:rsidP="00AD0F60">
      <w:pPr>
        <w:pStyle w:val="H1G"/>
      </w:pPr>
      <w:bookmarkStart w:id="6" w:name="_4d34og8" w:colFirst="0" w:colLast="0"/>
      <w:bookmarkEnd w:id="6"/>
      <w:r>
        <w:tab/>
      </w:r>
      <w:r w:rsidR="00AD0F60">
        <w:t>A</w:t>
      </w:r>
      <w:r w:rsidR="00BA0930">
        <w:t xml:space="preserve">. </w:t>
      </w:r>
      <w:r w:rsidR="00770CE7">
        <w:tab/>
      </w:r>
      <w:r w:rsidR="001C11A5">
        <w:tab/>
      </w:r>
      <w:r w:rsidR="00770CE7">
        <w:t>Business</w:t>
      </w:r>
      <w:r w:rsidR="00421726">
        <w:t xml:space="preserve">-as-usual </w:t>
      </w:r>
      <w:r w:rsidR="00AD0F60">
        <w:t>T</w:t>
      </w:r>
      <w:r w:rsidR="00421726">
        <w:t>ransport G</w:t>
      </w:r>
      <w:r w:rsidR="00AD0F60">
        <w:t>reenhouse Gas E</w:t>
      </w:r>
      <w:r w:rsidR="00421726">
        <w:t xml:space="preserve">mission </w:t>
      </w:r>
      <w:r w:rsidR="00AD0F60">
        <w:t>P</w:t>
      </w:r>
      <w:r w:rsidR="00421726">
        <w:t>rojections</w:t>
      </w:r>
    </w:p>
    <w:p w14:paraId="7E9B3920" w14:textId="058C54DC" w:rsidR="003F189C" w:rsidRDefault="00770CE7" w:rsidP="00AD0F60">
      <w:pPr>
        <w:pStyle w:val="SingleTxtG"/>
        <w:ind w:right="993"/>
      </w:pPr>
      <w:r>
        <w:t>32.</w:t>
      </w:r>
      <w:r>
        <w:tab/>
      </w:r>
      <w:r w:rsidR="00421726">
        <w:t xml:space="preserve">Under the </w:t>
      </w:r>
      <w:r w:rsidR="006939BB">
        <w:t>business-as-usual</w:t>
      </w:r>
      <w:r w:rsidR="00421726">
        <w:t xml:space="preserve"> scenario, transport CO</w:t>
      </w:r>
      <w:r w:rsidR="00421726">
        <w:rPr>
          <w:vertAlign w:val="subscript"/>
        </w:rPr>
        <w:t>2</w:t>
      </w:r>
      <w:r w:rsidR="00421726">
        <w:t xml:space="preserve"> emissions could grow 16-50</w:t>
      </w:r>
      <w:r w:rsidR="006740DB">
        <w:t xml:space="preserve"> per cent</w:t>
      </w:r>
      <w:r w:rsidR="00421726">
        <w:t xml:space="preserve"> by 2050.</w:t>
      </w:r>
      <w:r w:rsidR="00421726">
        <w:rPr>
          <w:vertAlign w:val="superscript"/>
        </w:rPr>
        <w:footnoteReference w:id="34"/>
      </w:r>
      <w:r w:rsidR="00036F93">
        <w:t xml:space="preserve"> </w:t>
      </w:r>
      <w:r w:rsidR="00421726">
        <w:t xml:space="preserve">Comparing the </w:t>
      </w:r>
      <w:r w:rsidR="006939BB">
        <w:t>business-as-usual</w:t>
      </w:r>
      <w:r w:rsidR="00421726">
        <w:t xml:space="preserve"> scenario under current policies to the upper end of IPCC’s 1.5°C projections shows an emission gap of 5.8 gigatonnes CO</w:t>
      </w:r>
      <w:r w:rsidR="00421726" w:rsidRPr="000E6C04">
        <w:rPr>
          <w:vertAlign w:val="subscript"/>
        </w:rPr>
        <w:t>2</w:t>
      </w:r>
      <w:r w:rsidR="00421726">
        <w:t xml:space="preserve"> by 2050 (see Figure </w:t>
      </w:r>
      <w:r w:rsidR="009F0DE3">
        <w:t>V</w:t>
      </w:r>
      <w:r w:rsidR="00421726">
        <w:t>). Global freight activity is projected to double between 2019 and 2050, which could mean that CO₂ emissions from freight transport would be 22</w:t>
      </w:r>
      <w:r w:rsidR="006740DB">
        <w:t xml:space="preserve"> per cent</w:t>
      </w:r>
      <w:r w:rsidR="00421726">
        <w:t xml:space="preserve"> higher in 2050 than in 2015, with rising demand for deliveries and transport of goods, longer supply chains, and </w:t>
      </w:r>
      <w:r w:rsidR="0072016B">
        <w:t>lacking</w:t>
      </w:r>
      <w:r w:rsidR="00421726">
        <w:t xml:space="preserve"> regulations in support of efficiency improvements.</w:t>
      </w:r>
      <w:r w:rsidR="00421726">
        <w:rPr>
          <w:vertAlign w:val="superscript"/>
        </w:rPr>
        <w:footnoteReference w:id="35"/>
      </w:r>
      <w:r w:rsidR="00421726">
        <w:rPr>
          <w:vertAlign w:val="superscript"/>
        </w:rPr>
        <w:t xml:space="preserve"> </w:t>
      </w:r>
      <w:r w:rsidR="00421726">
        <w:t>Freight could represent 61</w:t>
      </w:r>
      <w:r w:rsidR="006740DB">
        <w:t xml:space="preserve"> per cent</w:t>
      </w:r>
      <w:r w:rsidR="00421726">
        <w:t xml:space="preserve"> of transport CO</w:t>
      </w:r>
      <w:r w:rsidR="00421726">
        <w:rPr>
          <w:vertAlign w:val="subscript"/>
        </w:rPr>
        <w:t>2</w:t>
      </w:r>
      <w:r w:rsidR="00421726">
        <w:t xml:space="preserve"> emissions by 2050.</w:t>
      </w:r>
      <w:r w:rsidR="00421726">
        <w:rPr>
          <w:vertAlign w:val="superscript"/>
        </w:rPr>
        <w:footnoteReference w:id="36"/>
      </w:r>
      <w:r w:rsidR="00421726">
        <w:t xml:space="preserve"> The global passenger car fleet is projected to reach between 1.4 billion and 1.55 billion vehicles by 2050, up from nearly 1.2 billion vehicles in 2020, with most of the expected growth occurring in developing countries.</w:t>
      </w:r>
      <w:r w:rsidR="00421726">
        <w:rPr>
          <w:vertAlign w:val="superscript"/>
        </w:rPr>
        <w:footnoteReference w:id="37"/>
      </w:r>
    </w:p>
    <w:p w14:paraId="76430FEF" w14:textId="48B8D2F0" w:rsidR="00BD7B2F" w:rsidRPr="00250302" w:rsidRDefault="00BD7B2F" w:rsidP="00BD7B2F">
      <w:pPr>
        <w:keepNext/>
        <w:ind w:left="1134" w:right="1134"/>
        <w:jc w:val="both"/>
      </w:pPr>
      <w:r w:rsidRPr="00250302">
        <w:t xml:space="preserve">Figure </w:t>
      </w:r>
      <w:r>
        <w:t>V</w:t>
      </w:r>
    </w:p>
    <w:p w14:paraId="20B13B4C" w14:textId="741D8021" w:rsidR="003F189C" w:rsidRDefault="00BD7B2F" w:rsidP="000E6C04">
      <w:pPr>
        <w:keepNext/>
        <w:spacing w:after="240"/>
        <w:ind w:left="1134" w:right="1134"/>
        <w:rPr>
          <w:b/>
        </w:rPr>
      </w:pPr>
      <w:r w:rsidRPr="00BD7B2F">
        <w:rPr>
          <w:b/>
        </w:rPr>
        <w:t>Future transport CO</w:t>
      </w:r>
      <w:r w:rsidRPr="000E6C04">
        <w:rPr>
          <w:b/>
          <w:vertAlign w:val="subscript"/>
        </w:rPr>
        <w:t>2</w:t>
      </w:r>
      <w:r w:rsidRPr="00BD7B2F">
        <w:rPr>
          <w:b/>
        </w:rPr>
        <w:t xml:space="preserve"> emissions under current policies and IPCC’s 1.5°C scenario</w:t>
      </w:r>
      <w:r>
        <w:rPr>
          <w:rStyle w:val="FootnoteReference"/>
          <w:b/>
        </w:rPr>
        <w:footnoteReference w:id="38"/>
      </w:r>
    </w:p>
    <w:p w14:paraId="068E8C38" w14:textId="659EEB25" w:rsidR="00421726" w:rsidRPr="00083AC8" w:rsidRDefault="00421726" w:rsidP="00083AC8">
      <w:pPr>
        <w:jc w:val="center"/>
        <w:rPr>
          <w:b/>
        </w:rPr>
      </w:pPr>
      <w:r>
        <w:rPr>
          <w:noProof/>
        </w:rPr>
        <w:drawing>
          <wp:inline distT="114300" distB="114300" distL="114300" distR="114300" wp14:anchorId="6795ACDF" wp14:editId="602906F1">
            <wp:extent cx="4012442" cy="2313296"/>
            <wp:effectExtent l="0" t="0" r="7620" b="0"/>
            <wp:docPr id="2" name="Picture 2"/>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4016531" cy="2315654"/>
                    </a:xfrm>
                    <a:prstGeom prst="rect">
                      <a:avLst/>
                    </a:prstGeom>
                    <a:ln/>
                  </pic:spPr>
                </pic:pic>
              </a:graphicData>
            </a:graphic>
          </wp:inline>
        </w:drawing>
      </w:r>
    </w:p>
    <w:p w14:paraId="69EC57F1" w14:textId="6D6B9572" w:rsidR="00421726" w:rsidRDefault="009328F6" w:rsidP="000E6C04">
      <w:pPr>
        <w:pStyle w:val="SingleTxtG"/>
        <w:spacing w:before="240"/>
        <w:ind w:right="992"/>
      </w:pPr>
      <w:r>
        <w:t xml:space="preserve">33. </w:t>
      </w:r>
      <w:r>
        <w:tab/>
      </w:r>
      <w:r w:rsidR="00421726">
        <w:t>Inland transport’s freight activity could grow from 41.2 trillion tonne-km to 93.6 trillion tonne-km by 2050, while its CO</w:t>
      </w:r>
      <w:r w:rsidR="00421726">
        <w:rPr>
          <w:vertAlign w:val="subscript"/>
        </w:rPr>
        <w:t>2</w:t>
      </w:r>
      <w:r w:rsidR="00421726">
        <w:t xml:space="preserve"> emissions would grow 10</w:t>
      </w:r>
      <w:r w:rsidR="006740DB">
        <w:t xml:space="preserve"> per cent</w:t>
      </w:r>
      <w:r w:rsidR="00421726">
        <w:t>. The emission increase among the inland transport modes will be mostly completely recorded by non-urban road freight.</w:t>
      </w:r>
      <w:r w:rsidR="00421726">
        <w:rPr>
          <w:vertAlign w:val="superscript"/>
        </w:rPr>
        <w:footnoteReference w:id="39"/>
      </w:r>
    </w:p>
    <w:p w14:paraId="54E423C0" w14:textId="02235250" w:rsidR="00421726" w:rsidRDefault="009328F6" w:rsidP="0039269B">
      <w:pPr>
        <w:pStyle w:val="SingleTxtG"/>
        <w:ind w:right="993"/>
        <w:rPr>
          <w:vertAlign w:val="superscript"/>
        </w:rPr>
      </w:pPr>
      <w:r>
        <w:t>34.</w:t>
      </w:r>
      <w:r>
        <w:tab/>
      </w:r>
      <w:r w:rsidR="00421726">
        <w:t>In Asia, the largest regional emitter in 2019, it is estimated that the transport CO</w:t>
      </w:r>
      <w:r w:rsidR="00421726">
        <w:rPr>
          <w:vertAlign w:val="subscript"/>
        </w:rPr>
        <w:t>2</w:t>
      </w:r>
      <w:r w:rsidR="00421726">
        <w:t xml:space="preserve"> emissions could grow 1.5</w:t>
      </w:r>
      <w:r w:rsidR="006740DB">
        <w:t xml:space="preserve"> per cent</w:t>
      </w:r>
      <w:r w:rsidR="00421726">
        <w:t xml:space="preserve"> annually until 2030, with the share of freight emissions rising from 48</w:t>
      </w:r>
      <w:r w:rsidR="006740DB">
        <w:t xml:space="preserve"> per cent</w:t>
      </w:r>
      <w:r w:rsidR="00421726">
        <w:t xml:space="preserve"> in 2000 to 57</w:t>
      </w:r>
      <w:r w:rsidR="006740DB">
        <w:t xml:space="preserve"> per cent</w:t>
      </w:r>
      <w:r w:rsidR="00421726">
        <w:t xml:space="preserve"> in 2030.</w:t>
      </w:r>
      <w:r w:rsidR="00421726">
        <w:rPr>
          <w:vertAlign w:val="superscript"/>
        </w:rPr>
        <w:footnoteReference w:id="40"/>
      </w:r>
    </w:p>
    <w:p w14:paraId="32DDA3B9" w14:textId="2AC977D0" w:rsidR="009328F6" w:rsidRDefault="009328F6" w:rsidP="0039269B">
      <w:pPr>
        <w:pStyle w:val="SingleTxtG"/>
        <w:ind w:right="993"/>
      </w:pPr>
      <w:bookmarkStart w:id="7" w:name="_2s8eyo1" w:colFirst="0" w:colLast="0"/>
      <w:bookmarkEnd w:id="7"/>
      <w:r>
        <w:lastRenderedPageBreak/>
        <w:t>35.</w:t>
      </w:r>
      <w:r>
        <w:tab/>
      </w:r>
      <w:r w:rsidR="00421726">
        <w:t>Under current policies, urban transport emissions would decrease slightly, by 5</w:t>
      </w:r>
      <w:r w:rsidR="0039269B">
        <w:t xml:space="preserve"> per cent</w:t>
      </w:r>
      <w:r w:rsidR="00421726">
        <w:t>.</w:t>
      </w:r>
      <w:r w:rsidR="00421726">
        <w:rPr>
          <w:vertAlign w:val="superscript"/>
        </w:rPr>
        <w:footnoteReference w:id="41"/>
      </w:r>
      <w:r w:rsidR="00421726">
        <w:t xml:space="preserve"> The current economy-wide policies announced or implemented by national governments will still lead to average global temperature rise of 2.8°C by 2100. Achieving unconditional and conditional targets set in NDCs would reduce this to 2.6°C and 2.4°C respectively.</w:t>
      </w:r>
      <w:r w:rsidR="00421726">
        <w:rPr>
          <w:vertAlign w:val="superscript"/>
        </w:rPr>
        <w:footnoteReference w:id="42"/>
      </w:r>
    </w:p>
    <w:p w14:paraId="5C36C978" w14:textId="2DA9D857" w:rsidR="00421726" w:rsidRDefault="00036F93" w:rsidP="0039269B">
      <w:pPr>
        <w:pStyle w:val="H1G"/>
      </w:pPr>
      <w:r>
        <w:t xml:space="preserve"> </w:t>
      </w:r>
      <w:r w:rsidR="00BF4190">
        <w:tab/>
      </w:r>
      <w:r w:rsidR="0039269B">
        <w:t>B</w:t>
      </w:r>
      <w:r w:rsidR="00421726">
        <w:t>.</w:t>
      </w:r>
      <w:r w:rsidR="001C11A5">
        <w:t xml:space="preserve"> </w:t>
      </w:r>
      <w:r w:rsidR="001C11A5">
        <w:tab/>
      </w:r>
      <w:r w:rsidR="00421726">
        <w:t>Decarboni</w:t>
      </w:r>
      <w:r w:rsidR="00731062">
        <w:t>z</w:t>
      </w:r>
      <w:r w:rsidR="00421726">
        <w:t xml:space="preserve">ation </w:t>
      </w:r>
      <w:r w:rsidR="0039269B">
        <w:t>P</w:t>
      </w:r>
      <w:r w:rsidR="00421726">
        <w:t xml:space="preserve">athways for </w:t>
      </w:r>
      <w:r w:rsidR="0039269B">
        <w:t>T</w:t>
      </w:r>
      <w:r w:rsidR="00421726">
        <w:t>ransport</w:t>
      </w:r>
    </w:p>
    <w:p w14:paraId="5C7C81C9" w14:textId="69849334" w:rsidR="00421726" w:rsidRDefault="001C11A5" w:rsidP="0039269B">
      <w:pPr>
        <w:pStyle w:val="SingleTxtG"/>
        <w:ind w:right="993"/>
      </w:pPr>
      <w:r>
        <w:t>36.</w:t>
      </w:r>
      <w:r>
        <w:tab/>
      </w:r>
      <w:r w:rsidR="00421726">
        <w:t>Under the decarboni</w:t>
      </w:r>
      <w:r w:rsidR="00731062">
        <w:t>za</w:t>
      </w:r>
      <w:r w:rsidR="00421726">
        <w:t>tion pathway to limit global warming to 1.5°C (with no or limited overshoot), total economy-wide greenhouse gas emissions need to peak before 2025. In order to limit warming to 1.5°C, net zero CO</w:t>
      </w:r>
      <w:r w:rsidR="00421726">
        <w:rPr>
          <w:vertAlign w:val="subscript"/>
        </w:rPr>
        <w:t>2</w:t>
      </w:r>
      <w:r w:rsidR="00421726">
        <w:t xml:space="preserve"> emissions are required by 2050. For pathways limiting warming to 2°C, net zero CO</w:t>
      </w:r>
      <w:r w:rsidR="00421726">
        <w:rPr>
          <w:vertAlign w:val="subscript"/>
        </w:rPr>
        <w:t xml:space="preserve">2 </w:t>
      </w:r>
      <w:r w:rsidR="00421726">
        <w:t>emissions are required in the early 2070s.</w:t>
      </w:r>
    </w:p>
    <w:p w14:paraId="539A69C9" w14:textId="4B9E118C" w:rsidR="0066220B" w:rsidRPr="001D1B63" w:rsidRDefault="001C11A5" w:rsidP="0039269B">
      <w:pPr>
        <w:pStyle w:val="SingleTxtG"/>
        <w:ind w:right="993"/>
        <w:rPr>
          <w:sz w:val="14"/>
          <w:szCs w:val="14"/>
        </w:rPr>
      </w:pPr>
      <w:r>
        <w:t>37.</w:t>
      </w:r>
      <w:r>
        <w:tab/>
      </w:r>
      <w:r w:rsidR="00421726">
        <w:t>Recent transport projections indicate a need to reduce transport CO</w:t>
      </w:r>
      <w:r w:rsidR="00421726">
        <w:rPr>
          <w:vertAlign w:val="subscript"/>
        </w:rPr>
        <w:t>2</w:t>
      </w:r>
      <w:r w:rsidR="00421726">
        <w:t xml:space="preserve"> emissions to a range between 0.4 to 2.9 gigatonnes CO</w:t>
      </w:r>
      <w:r w:rsidR="00421726">
        <w:rPr>
          <w:vertAlign w:val="subscript"/>
        </w:rPr>
        <w:t>2</w:t>
      </w:r>
      <w:r w:rsidR="00421726">
        <w:t xml:space="preserve"> by 2050:</w:t>
      </w:r>
    </w:p>
    <w:p w14:paraId="2213F08B" w14:textId="5003036C" w:rsidR="00421726" w:rsidRDefault="00421726" w:rsidP="0039269B">
      <w:pPr>
        <w:pStyle w:val="Bullet1G"/>
        <w:ind w:right="993"/>
      </w:pPr>
      <w:r>
        <w:t>International Transport Forum (ITF) Transport Outlook ‘High Ambition’ scenario: 1.6 gigatonnes</w:t>
      </w:r>
      <w:r>
        <w:rPr>
          <w:vertAlign w:val="superscript"/>
        </w:rPr>
        <w:footnoteReference w:id="43"/>
      </w:r>
    </w:p>
    <w:p w14:paraId="71FFDBA3" w14:textId="77777777" w:rsidR="00421726" w:rsidRPr="0066220B" w:rsidRDefault="00421726" w:rsidP="0039269B">
      <w:pPr>
        <w:pStyle w:val="Bullet1G"/>
        <w:ind w:right="993"/>
        <w:rPr>
          <w:lang w:val="it-IT"/>
        </w:rPr>
      </w:pPr>
      <w:r w:rsidRPr="0066220B">
        <w:rPr>
          <w:lang w:val="it-IT"/>
        </w:rPr>
        <w:t>IEA Net Zero Scenarios (2023 update): 0.58 gigatonnes</w:t>
      </w:r>
      <w:r>
        <w:rPr>
          <w:vertAlign w:val="superscript"/>
        </w:rPr>
        <w:footnoteReference w:id="44"/>
      </w:r>
    </w:p>
    <w:p w14:paraId="7F99DF91" w14:textId="77777777" w:rsidR="00421726" w:rsidRDefault="00421726" w:rsidP="0039269B">
      <w:pPr>
        <w:pStyle w:val="Bullet1G"/>
        <w:ind w:right="993"/>
      </w:pPr>
      <w:r>
        <w:t>IPCC Sixth Assessment Report scenarios for 1.5°C: between 0.7 and 2.9 gigatonnes</w:t>
      </w:r>
      <w:r>
        <w:rPr>
          <w:vertAlign w:val="superscript"/>
        </w:rPr>
        <w:footnoteReference w:id="45"/>
      </w:r>
    </w:p>
    <w:p w14:paraId="7CC80A1D" w14:textId="517921AA" w:rsidR="00421726" w:rsidRDefault="00421726" w:rsidP="0039269B">
      <w:pPr>
        <w:pStyle w:val="Bullet1G"/>
        <w:ind w:right="993"/>
      </w:pPr>
      <w:r>
        <w:t>International Renewable Energy Agency (IRENA) pathway: 0.4 gigatonnes</w:t>
      </w:r>
      <w:r>
        <w:rPr>
          <w:vertAlign w:val="superscript"/>
        </w:rPr>
        <w:footnoteReference w:id="46"/>
      </w:r>
    </w:p>
    <w:p w14:paraId="0975944A" w14:textId="0A13F8C9" w:rsidR="00421726" w:rsidRDefault="00000110" w:rsidP="0039269B">
      <w:pPr>
        <w:pStyle w:val="SingleTxtG"/>
        <w:ind w:right="993"/>
      </w:pPr>
      <w:r>
        <w:t>38.</w:t>
      </w:r>
      <w:r>
        <w:tab/>
      </w:r>
      <w:r w:rsidR="00421726">
        <w:t>The major difference between these transport decarbonisation projections is that they are based on different assumptions and for each projection transport contributes differently to the overall economy-wide decarbonisation pathways. For example, in the IPCC Sixth Assessment Report, other sectors are expected to contribute to emission reductions significantly more than the transport sector. Carbon capture levels differ among the different scenarios. Projections staying within the carbon budget for limiting warming to 1.5°C will require drastic and immediate greenhouse gas emission reductions.</w:t>
      </w:r>
      <w:r w:rsidR="00036F93">
        <w:t xml:space="preserve"> </w:t>
      </w:r>
    </w:p>
    <w:p w14:paraId="23C3006A" w14:textId="26E56D8C" w:rsidR="00421726" w:rsidRDefault="00BF2359" w:rsidP="0039269B">
      <w:pPr>
        <w:pStyle w:val="SingleTxtG"/>
        <w:ind w:right="993"/>
      </w:pPr>
      <w:r>
        <w:t>39.</w:t>
      </w:r>
      <w:r>
        <w:tab/>
      </w:r>
      <w:r w:rsidR="00421726">
        <w:t>According to the IPCC Sixth Assessment Report, achieving low-carbon transport pathways that limit global warming to 1.5°C (with no or limited overshoot) will require at least a 59</w:t>
      </w:r>
      <w:r w:rsidR="009A62DF">
        <w:t xml:space="preserve"> per cent</w:t>
      </w:r>
      <w:r w:rsidR="00421726">
        <w:t xml:space="preserve"> reduction in transport-related CO</w:t>
      </w:r>
      <w:r w:rsidR="00421726">
        <w:rPr>
          <w:vertAlign w:val="subscript"/>
        </w:rPr>
        <w:t>2</w:t>
      </w:r>
      <w:r w:rsidR="00421726">
        <w:t xml:space="preserve"> emissions by 2050, compared to 2020 levels.</w:t>
      </w:r>
      <w:r w:rsidR="00421726">
        <w:rPr>
          <w:vertAlign w:val="superscript"/>
        </w:rPr>
        <w:footnoteReference w:id="47"/>
      </w:r>
    </w:p>
    <w:p w14:paraId="2786CCB3" w14:textId="6EB71530" w:rsidR="00A9168D" w:rsidRDefault="00BF2359" w:rsidP="0039269B">
      <w:pPr>
        <w:pStyle w:val="SingleTxtG"/>
        <w:ind w:right="993"/>
      </w:pPr>
      <w:r>
        <w:t xml:space="preserve">40. </w:t>
      </w:r>
      <w:r>
        <w:tab/>
      </w:r>
      <w:r w:rsidR="00421726">
        <w:t>In IEA’s net zero scenarios, a 90</w:t>
      </w:r>
      <w:r w:rsidR="009A62DF">
        <w:t xml:space="preserve"> per cent</w:t>
      </w:r>
      <w:r w:rsidR="00421726">
        <w:t xml:space="preserve"> drop in transport CO</w:t>
      </w:r>
      <w:r w:rsidR="00421726">
        <w:rPr>
          <w:vertAlign w:val="subscript"/>
        </w:rPr>
        <w:t>2</w:t>
      </w:r>
      <w:r w:rsidR="00421726">
        <w:t xml:space="preserve"> emissions (below 2020 levels) is required by 2050. Among the major inland transport modes, CO</w:t>
      </w:r>
      <w:r w:rsidR="00421726">
        <w:rPr>
          <w:vertAlign w:val="subscript"/>
        </w:rPr>
        <w:t>2</w:t>
      </w:r>
      <w:r w:rsidR="00421726">
        <w:t xml:space="preserve"> emissions must be reduced by more than 88</w:t>
      </w:r>
      <w:r w:rsidR="009A62DF">
        <w:t xml:space="preserve"> per cent</w:t>
      </w:r>
      <w:r w:rsidR="00421726">
        <w:t xml:space="preserve"> for heavy-duty trucks and rail, 93</w:t>
      </w:r>
      <w:r w:rsidR="009A62DF">
        <w:t xml:space="preserve"> per cent</w:t>
      </w:r>
      <w:r w:rsidR="00421726">
        <w:t xml:space="preserve"> for two-/three-wheelers and other road vehicles and 97</w:t>
      </w:r>
      <w:r w:rsidR="009A62DF">
        <w:t xml:space="preserve"> per cent</w:t>
      </w:r>
      <w:r w:rsidR="00421726">
        <w:t xml:space="preserve"> for light-duty vehicles compared to 2020 levels (see Figure </w:t>
      </w:r>
      <w:r w:rsidR="009F0DE3">
        <w:t>VI</w:t>
      </w:r>
      <w:r w:rsidR="00421726">
        <w:t>).</w:t>
      </w:r>
      <w:r w:rsidR="00421726">
        <w:rPr>
          <w:i/>
          <w:vertAlign w:val="superscript"/>
        </w:rPr>
        <w:footnoteReference w:id="48"/>
      </w:r>
    </w:p>
    <w:p w14:paraId="2988802F" w14:textId="75812943" w:rsidR="00FC614F" w:rsidRPr="00250302" w:rsidRDefault="00FC614F" w:rsidP="00FC614F">
      <w:pPr>
        <w:keepNext/>
        <w:ind w:left="1134" w:right="1134"/>
        <w:jc w:val="both"/>
      </w:pPr>
      <w:r w:rsidRPr="00250302">
        <w:lastRenderedPageBreak/>
        <w:t xml:space="preserve">Figure </w:t>
      </w:r>
      <w:r>
        <w:t>VI</w:t>
      </w:r>
    </w:p>
    <w:p w14:paraId="52026527" w14:textId="77777777" w:rsidR="00FC614F" w:rsidRPr="000E6C04" w:rsidRDefault="00FC614F" w:rsidP="000E6C04">
      <w:pPr>
        <w:keepNext/>
        <w:spacing w:after="240"/>
        <w:ind w:left="1134" w:right="1134"/>
        <w:rPr>
          <w:b/>
        </w:rPr>
      </w:pPr>
      <w:r w:rsidRPr="000E6C04">
        <w:rPr>
          <w:b/>
        </w:rPr>
        <w:t>Global transport CO</w:t>
      </w:r>
      <w:r w:rsidRPr="000E6C04">
        <w:rPr>
          <w:b/>
          <w:vertAlign w:val="subscript"/>
        </w:rPr>
        <w:t>2</w:t>
      </w:r>
      <w:r w:rsidRPr="000E6C04">
        <w:rPr>
          <w:b/>
        </w:rPr>
        <w:t xml:space="preserve"> emission trajectories by mode, 2020-2050</w:t>
      </w:r>
      <w:r w:rsidRPr="000E6C04">
        <w:rPr>
          <w:rStyle w:val="FootnoteReference"/>
          <w:b/>
          <w:bCs/>
        </w:rPr>
        <w:footnoteReference w:id="49"/>
      </w:r>
    </w:p>
    <w:p w14:paraId="29155750" w14:textId="77777777" w:rsidR="00421726" w:rsidRDefault="00421726" w:rsidP="00BF2359">
      <w:pPr>
        <w:jc w:val="center"/>
      </w:pPr>
      <w:r>
        <w:rPr>
          <w:noProof/>
        </w:rPr>
        <w:drawing>
          <wp:inline distT="114300" distB="114300" distL="114300" distR="114300" wp14:anchorId="02B3AFF0" wp14:editId="42714741">
            <wp:extent cx="5731200" cy="34163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5731200" cy="3416300"/>
                    </a:xfrm>
                    <a:prstGeom prst="rect">
                      <a:avLst/>
                    </a:prstGeom>
                    <a:ln/>
                  </pic:spPr>
                </pic:pic>
              </a:graphicData>
            </a:graphic>
          </wp:inline>
        </w:drawing>
      </w:r>
    </w:p>
    <w:p w14:paraId="35F09F09" w14:textId="32657AD4" w:rsidR="00FB4BF2" w:rsidRDefault="00BF2359" w:rsidP="000E6C04">
      <w:pPr>
        <w:pStyle w:val="SingleTxtG"/>
        <w:spacing w:before="240"/>
        <w:ind w:right="992"/>
      </w:pPr>
      <w:r>
        <w:t>41.</w:t>
      </w:r>
      <w:r>
        <w:tab/>
      </w:r>
      <w:r w:rsidR="00421726">
        <w:t>The IEA Net Zero emissions roadmap for transport also provides some target milestones for 2030, 2035 and 2050. These are heavily reliant on electrification and the use of biofuels, with electricity representing three-quarters of energy consumption in road transport in 2050 (see Table 1).</w:t>
      </w:r>
    </w:p>
    <w:p w14:paraId="1DCA1EA8" w14:textId="38825059" w:rsidR="00E65938" w:rsidRDefault="00421726" w:rsidP="000E6C04">
      <w:pPr>
        <w:pStyle w:val="Heading1"/>
      </w:pPr>
      <w:r w:rsidRPr="004446C3">
        <w:t>Table 1</w:t>
      </w:r>
    </w:p>
    <w:p w14:paraId="355E2DDA" w14:textId="063797E0" w:rsidR="00421726" w:rsidRPr="000E6C04" w:rsidRDefault="00421726" w:rsidP="000E6C04">
      <w:pPr>
        <w:pStyle w:val="SingleTxtG"/>
        <w:rPr>
          <w:rStyle w:val="FootnoteReference"/>
        </w:rPr>
      </w:pPr>
      <w:r w:rsidRPr="000E6C04">
        <w:rPr>
          <w:b/>
          <w:bCs/>
        </w:rPr>
        <w:t>Milestones towards net zero inland transport emissions, according to the IEA Net Zero Scenario</w:t>
      </w:r>
      <w:r w:rsidR="00C673F7" w:rsidRPr="000E6C04">
        <w:rPr>
          <w:b/>
          <w:bCs/>
        </w:rPr>
        <w:t xml:space="preserve"> </w:t>
      </w:r>
      <w:r w:rsidRPr="000E6C04">
        <w:rPr>
          <w:b/>
          <w:bCs/>
        </w:rPr>
        <w:t>(compilation of 2021 publication and 2023 update)</w:t>
      </w:r>
      <w:r w:rsidRPr="000E6C04">
        <w:rPr>
          <w:rStyle w:val="FootnoteReference"/>
        </w:rPr>
        <w:footnoteReference w:id="50"/>
      </w:r>
    </w:p>
    <w:tbl>
      <w:tblPr>
        <w:tblW w:w="7370" w:type="dxa"/>
        <w:tblInd w:w="1134" w:type="dxa"/>
        <w:tblLayout w:type="fixed"/>
        <w:tblCellMar>
          <w:left w:w="0" w:type="dxa"/>
          <w:right w:w="0" w:type="dxa"/>
        </w:tblCellMar>
        <w:tblLook w:val="0600" w:firstRow="0" w:lastRow="0" w:firstColumn="0" w:lastColumn="0" w:noHBand="1" w:noVBand="1"/>
      </w:tblPr>
      <w:tblGrid>
        <w:gridCol w:w="2456"/>
        <w:gridCol w:w="2457"/>
        <w:gridCol w:w="2457"/>
      </w:tblGrid>
      <w:tr w:rsidR="009606F0" w:rsidRPr="009606F0" w14:paraId="4B89CE16" w14:textId="77777777" w:rsidTr="000E6C04">
        <w:trPr>
          <w:tblHeader/>
        </w:trPr>
        <w:tc>
          <w:tcPr>
            <w:tcW w:w="2895" w:type="dxa"/>
            <w:tcBorders>
              <w:top w:val="single" w:sz="4" w:space="0" w:color="auto"/>
              <w:bottom w:val="single" w:sz="12" w:space="0" w:color="auto"/>
            </w:tcBorders>
            <w:shd w:val="clear" w:color="auto" w:fill="auto"/>
            <w:tcMar>
              <w:top w:w="80" w:type="dxa"/>
              <w:left w:w="80" w:type="dxa"/>
              <w:bottom w:w="80" w:type="dxa"/>
              <w:right w:w="80" w:type="dxa"/>
            </w:tcMar>
            <w:vAlign w:val="bottom"/>
          </w:tcPr>
          <w:p w14:paraId="7911C228" w14:textId="77777777" w:rsidR="00421726" w:rsidRPr="000E6C04" w:rsidRDefault="00421726" w:rsidP="000E6C04">
            <w:pPr>
              <w:spacing w:before="80" w:after="80" w:line="200" w:lineRule="exact"/>
              <w:ind w:right="113"/>
              <w:rPr>
                <w:i/>
                <w:sz w:val="16"/>
              </w:rPr>
            </w:pPr>
            <w:r w:rsidRPr="000E6C04">
              <w:rPr>
                <w:i/>
                <w:sz w:val="16"/>
              </w:rPr>
              <w:t>2030</w:t>
            </w:r>
          </w:p>
        </w:tc>
        <w:tc>
          <w:tcPr>
            <w:tcW w:w="2895" w:type="dxa"/>
            <w:tcBorders>
              <w:top w:val="single" w:sz="4" w:space="0" w:color="auto"/>
              <w:bottom w:val="single" w:sz="12" w:space="0" w:color="auto"/>
            </w:tcBorders>
            <w:shd w:val="clear" w:color="auto" w:fill="auto"/>
            <w:tcMar>
              <w:top w:w="80" w:type="dxa"/>
              <w:left w:w="80" w:type="dxa"/>
              <w:bottom w:w="80" w:type="dxa"/>
              <w:right w:w="80" w:type="dxa"/>
            </w:tcMar>
            <w:vAlign w:val="bottom"/>
          </w:tcPr>
          <w:p w14:paraId="3952810D" w14:textId="77777777" w:rsidR="00421726" w:rsidRPr="000E6C04" w:rsidRDefault="00421726" w:rsidP="000E6C04">
            <w:pPr>
              <w:spacing w:before="80" w:after="80" w:line="200" w:lineRule="exact"/>
              <w:ind w:right="113"/>
              <w:rPr>
                <w:i/>
                <w:sz w:val="16"/>
              </w:rPr>
            </w:pPr>
            <w:r w:rsidRPr="000E6C04">
              <w:rPr>
                <w:i/>
                <w:sz w:val="16"/>
              </w:rPr>
              <w:t>2035</w:t>
            </w:r>
          </w:p>
        </w:tc>
        <w:tc>
          <w:tcPr>
            <w:tcW w:w="2895" w:type="dxa"/>
            <w:tcBorders>
              <w:top w:val="single" w:sz="4" w:space="0" w:color="auto"/>
              <w:bottom w:val="single" w:sz="12" w:space="0" w:color="auto"/>
            </w:tcBorders>
            <w:shd w:val="clear" w:color="auto" w:fill="auto"/>
            <w:tcMar>
              <w:top w:w="80" w:type="dxa"/>
              <w:left w:w="80" w:type="dxa"/>
              <w:bottom w:w="80" w:type="dxa"/>
              <w:right w:w="80" w:type="dxa"/>
            </w:tcMar>
            <w:vAlign w:val="bottom"/>
          </w:tcPr>
          <w:p w14:paraId="2D2DA7C4" w14:textId="77777777" w:rsidR="00421726" w:rsidRPr="000E6C04" w:rsidRDefault="00421726" w:rsidP="000E6C04">
            <w:pPr>
              <w:spacing w:before="80" w:after="80" w:line="200" w:lineRule="exact"/>
              <w:ind w:right="113"/>
              <w:rPr>
                <w:i/>
                <w:sz w:val="16"/>
              </w:rPr>
            </w:pPr>
            <w:r w:rsidRPr="000E6C04">
              <w:rPr>
                <w:i/>
                <w:sz w:val="16"/>
              </w:rPr>
              <w:t>2050</w:t>
            </w:r>
          </w:p>
        </w:tc>
      </w:tr>
      <w:tr w:rsidR="009606F0" w:rsidRPr="009606F0" w14:paraId="43869169" w14:textId="77777777" w:rsidTr="000E6C04">
        <w:trPr>
          <w:trHeight w:hRule="exact" w:val="113"/>
        </w:trPr>
        <w:tc>
          <w:tcPr>
            <w:tcW w:w="2895" w:type="dxa"/>
            <w:tcBorders>
              <w:top w:val="single" w:sz="12" w:space="0" w:color="auto"/>
            </w:tcBorders>
            <w:shd w:val="clear" w:color="auto" w:fill="auto"/>
            <w:tcMar>
              <w:top w:w="80" w:type="dxa"/>
              <w:left w:w="80" w:type="dxa"/>
              <w:bottom w:w="80" w:type="dxa"/>
              <w:right w:w="80" w:type="dxa"/>
            </w:tcMar>
          </w:tcPr>
          <w:p w14:paraId="1875BBAE" w14:textId="77777777" w:rsidR="009606F0" w:rsidRPr="009606F0" w:rsidRDefault="009606F0" w:rsidP="000E6C04">
            <w:pPr>
              <w:spacing w:before="40" w:after="120"/>
              <w:ind w:right="113"/>
            </w:pPr>
          </w:p>
        </w:tc>
        <w:tc>
          <w:tcPr>
            <w:tcW w:w="2895" w:type="dxa"/>
            <w:tcBorders>
              <w:top w:val="single" w:sz="12" w:space="0" w:color="auto"/>
            </w:tcBorders>
            <w:shd w:val="clear" w:color="auto" w:fill="auto"/>
            <w:tcMar>
              <w:top w:w="80" w:type="dxa"/>
              <w:left w:w="80" w:type="dxa"/>
              <w:bottom w:w="80" w:type="dxa"/>
              <w:right w:w="80" w:type="dxa"/>
            </w:tcMar>
          </w:tcPr>
          <w:p w14:paraId="77ADBFB9" w14:textId="77777777" w:rsidR="009606F0" w:rsidRPr="009606F0" w:rsidRDefault="009606F0" w:rsidP="000E6C04">
            <w:pPr>
              <w:spacing w:before="40" w:after="120"/>
              <w:ind w:right="113"/>
            </w:pPr>
          </w:p>
        </w:tc>
        <w:tc>
          <w:tcPr>
            <w:tcW w:w="2895" w:type="dxa"/>
            <w:tcBorders>
              <w:top w:val="single" w:sz="12" w:space="0" w:color="auto"/>
            </w:tcBorders>
            <w:shd w:val="clear" w:color="auto" w:fill="auto"/>
            <w:tcMar>
              <w:top w:w="80" w:type="dxa"/>
              <w:left w:w="80" w:type="dxa"/>
              <w:bottom w:w="80" w:type="dxa"/>
              <w:right w:w="80" w:type="dxa"/>
            </w:tcMar>
          </w:tcPr>
          <w:p w14:paraId="5FA12147" w14:textId="77777777" w:rsidR="009606F0" w:rsidRPr="009606F0" w:rsidRDefault="009606F0" w:rsidP="000E6C04">
            <w:pPr>
              <w:spacing w:before="40" w:after="120"/>
              <w:ind w:right="113"/>
            </w:pPr>
          </w:p>
        </w:tc>
      </w:tr>
      <w:tr w:rsidR="009606F0" w:rsidRPr="009606F0" w14:paraId="74427DEB" w14:textId="77777777" w:rsidTr="000E6C04">
        <w:tc>
          <w:tcPr>
            <w:tcW w:w="2895" w:type="dxa"/>
            <w:tcBorders>
              <w:bottom w:val="single" w:sz="12" w:space="0" w:color="auto"/>
            </w:tcBorders>
            <w:shd w:val="clear" w:color="auto" w:fill="auto"/>
            <w:tcMar>
              <w:top w:w="80" w:type="dxa"/>
              <w:left w:w="80" w:type="dxa"/>
              <w:bottom w:w="80" w:type="dxa"/>
              <w:right w:w="80" w:type="dxa"/>
            </w:tcMar>
          </w:tcPr>
          <w:p w14:paraId="00B41191" w14:textId="5DFF59CD" w:rsidR="00421726" w:rsidRPr="009606F0" w:rsidRDefault="00421726" w:rsidP="000E6C04">
            <w:pPr>
              <w:spacing w:before="40" w:after="120"/>
              <w:ind w:right="113"/>
            </w:pPr>
            <w:r w:rsidRPr="009606F0">
              <w:t>- 65</w:t>
            </w:r>
            <w:r w:rsidR="009A62DF">
              <w:t xml:space="preserve"> </w:t>
            </w:r>
            <w:r w:rsidR="00F56BB5">
              <w:t>per cent</w:t>
            </w:r>
            <w:r w:rsidRPr="009606F0">
              <w:t xml:space="preserve"> of rail is electric</w:t>
            </w:r>
          </w:p>
          <w:p w14:paraId="1712868D" w14:textId="769196DC" w:rsidR="00421726" w:rsidRPr="009606F0" w:rsidRDefault="00421726" w:rsidP="000E6C04">
            <w:pPr>
              <w:spacing w:before="40" w:after="120"/>
              <w:ind w:right="113"/>
            </w:pPr>
            <w:r w:rsidRPr="009606F0">
              <w:t>- 78</w:t>
            </w:r>
            <w:r w:rsidR="00F56BB5">
              <w:t xml:space="preserve"> per cent</w:t>
            </w:r>
            <w:r w:rsidRPr="009606F0">
              <w:t xml:space="preserve"> of global car sales are battery-electric, plug-in hybrid or fuel cell electric</w:t>
            </w:r>
          </w:p>
          <w:p w14:paraId="3CC07C68" w14:textId="42A591D2" w:rsidR="00421726" w:rsidRPr="009606F0" w:rsidRDefault="00421726" w:rsidP="000E6C04">
            <w:pPr>
              <w:spacing w:before="40" w:after="120"/>
              <w:ind w:right="113"/>
            </w:pPr>
            <w:r w:rsidRPr="009606F0">
              <w:t>- 56</w:t>
            </w:r>
            <w:r w:rsidR="00F56BB5">
              <w:t xml:space="preserve"> per cent</w:t>
            </w:r>
            <w:r w:rsidRPr="009606F0">
              <w:t xml:space="preserve"> of buses sold are plug-in hybrid, battery and fuel cell electric</w:t>
            </w:r>
          </w:p>
          <w:p w14:paraId="3F717510" w14:textId="17D882C6" w:rsidR="00421726" w:rsidRPr="009606F0" w:rsidRDefault="00421726" w:rsidP="000E6C04">
            <w:pPr>
              <w:spacing w:before="40" w:after="120"/>
              <w:ind w:right="113"/>
            </w:pPr>
            <w:r w:rsidRPr="009606F0">
              <w:t>- 20</w:t>
            </w:r>
            <w:r w:rsidR="00F56BB5">
              <w:t xml:space="preserve"> per cent</w:t>
            </w:r>
            <w:r w:rsidRPr="009606F0">
              <w:t xml:space="preserve"> of road transport energy consumption from alternative fuels (biofuels, electricity and hydrogen)</w:t>
            </w:r>
          </w:p>
        </w:tc>
        <w:tc>
          <w:tcPr>
            <w:tcW w:w="2895" w:type="dxa"/>
            <w:tcBorders>
              <w:bottom w:val="single" w:sz="12" w:space="0" w:color="auto"/>
            </w:tcBorders>
            <w:shd w:val="clear" w:color="auto" w:fill="auto"/>
            <w:tcMar>
              <w:top w:w="80" w:type="dxa"/>
              <w:left w:w="80" w:type="dxa"/>
              <w:bottom w:w="80" w:type="dxa"/>
              <w:right w:w="80" w:type="dxa"/>
            </w:tcMar>
          </w:tcPr>
          <w:p w14:paraId="7EA4CFB5" w14:textId="0CBBFB3D" w:rsidR="00421726" w:rsidRPr="009606F0" w:rsidRDefault="00421726" w:rsidP="000E6C04">
            <w:pPr>
              <w:spacing w:before="40" w:after="120"/>
              <w:ind w:right="113"/>
            </w:pPr>
            <w:r w:rsidRPr="009606F0">
              <w:t>- 65</w:t>
            </w:r>
            <w:r w:rsidR="00F56BB5">
              <w:t xml:space="preserve"> per cent</w:t>
            </w:r>
            <w:r w:rsidRPr="009606F0">
              <w:t xml:space="preserve"> of heavy truck sales are battery-electric, plug-in hybrid or fuel cell electric</w:t>
            </w:r>
          </w:p>
          <w:p w14:paraId="13C15E59" w14:textId="77777777" w:rsidR="00421726" w:rsidRPr="009606F0" w:rsidRDefault="00421726" w:rsidP="000E6C04">
            <w:pPr>
              <w:spacing w:before="40" w:after="120"/>
              <w:ind w:right="113"/>
            </w:pPr>
            <w:r w:rsidRPr="009606F0">
              <w:t>- No new internal combustion engine cars, vans and two-/ three-wheelers are sold after 2035</w:t>
            </w:r>
          </w:p>
          <w:p w14:paraId="7C4D3F17" w14:textId="5868BBD2" w:rsidR="00421726" w:rsidRPr="009606F0" w:rsidRDefault="00421726" w:rsidP="000E6C04">
            <w:pPr>
              <w:spacing w:before="40" w:after="120"/>
              <w:ind w:right="113"/>
            </w:pPr>
            <w:r w:rsidRPr="009606F0">
              <w:t>- 22</w:t>
            </w:r>
            <w:r w:rsidR="00BE75FB">
              <w:t xml:space="preserve"> per cent</w:t>
            </w:r>
            <w:r w:rsidRPr="009606F0">
              <w:t xml:space="preserve"> of road transport energy is sourced from electricity</w:t>
            </w:r>
          </w:p>
        </w:tc>
        <w:tc>
          <w:tcPr>
            <w:tcW w:w="2895" w:type="dxa"/>
            <w:tcBorders>
              <w:bottom w:val="single" w:sz="12" w:space="0" w:color="auto"/>
            </w:tcBorders>
            <w:shd w:val="clear" w:color="auto" w:fill="auto"/>
            <w:tcMar>
              <w:top w:w="80" w:type="dxa"/>
              <w:left w:w="80" w:type="dxa"/>
              <w:bottom w:w="80" w:type="dxa"/>
              <w:right w:w="80" w:type="dxa"/>
            </w:tcMar>
          </w:tcPr>
          <w:p w14:paraId="3A7A4F7D" w14:textId="178024C4" w:rsidR="00421726" w:rsidRPr="009606F0" w:rsidRDefault="00421726" w:rsidP="000E6C04">
            <w:pPr>
              <w:spacing w:before="40" w:after="120"/>
              <w:ind w:right="113"/>
            </w:pPr>
            <w:r w:rsidRPr="009606F0">
              <w:t>- Passenger rail nearly doubles its share of total transport activity, to 20</w:t>
            </w:r>
            <w:r w:rsidR="00BE75FB">
              <w:t xml:space="preserve"> per cent</w:t>
            </w:r>
          </w:p>
          <w:p w14:paraId="01484B40" w14:textId="77777777" w:rsidR="00421726" w:rsidRPr="009606F0" w:rsidRDefault="00421726" w:rsidP="000E6C04">
            <w:pPr>
              <w:spacing w:before="40" w:after="120"/>
              <w:ind w:right="113"/>
            </w:pPr>
            <w:r w:rsidRPr="009606F0">
              <w:t>- All heavy trucks and buses sold are battery-electric, plug-in hybrid or fuel cell electric</w:t>
            </w:r>
          </w:p>
          <w:p w14:paraId="65B5386C" w14:textId="1624F7EA" w:rsidR="00421726" w:rsidRPr="009606F0" w:rsidRDefault="00421726" w:rsidP="000E6C04">
            <w:pPr>
              <w:spacing w:before="40" w:after="120"/>
              <w:ind w:right="113"/>
            </w:pPr>
            <w:r w:rsidRPr="009606F0">
              <w:t>- Electricity represents</w:t>
            </w:r>
            <w:r w:rsidR="00BE75FB">
              <w:t xml:space="preserve"> </w:t>
            </w:r>
            <w:r w:rsidRPr="009606F0">
              <w:t>75</w:t>
            </w:r>
            <w:r w:rsidR="00BE75FB">
              <w:t xml:space="preserve"> per cent</w:t>
            </w:r>
            <w:r w:rsidRPr="009606F0">
              <w:t xml:space="preserve"> of energy consumption in road transport</w:t>
            </w:r>
          </w:p>
        </w:tc>
      </w:tr>
    </w:tbl>
    <w:p w14:paraId="1C04D7A9" w14:textId="70AF6B0C" w:rsidR="00BF4190" w:rsidRDefault="007E79F2" w:rsidP="000E6C04">
      <w:pPr>
        <w:pStyle w:val="SingleTxtG"/>
        <w:spacing w:before="240"/>
        <w:ind w:right="992"/>
      </w:pPr>
      <w:r>
        <w:lastRenderedPageBreak/>
        <w:t>42.</w:t>
      </w:r>
      <w:r>
        <w:tab/>
      </w:r>
      <w:r w:rsidR="00421726">
        <w:t>Freight transport emissions could be reduced 76</w:t>
      </w:r>
      <w:r w:rsidR="00BE75FB">
        <w:t xml:space="preserve"> per cent</w:t>
      </w:r>
      <w:r w:rsidR="00421726">
        <w:t xml:space="preserve"> below 2020 levels by 2050 with policies that support higher operational efficiencies, optimised routing and asset sharing, freight consolidation, enhanced collaboration in supply chains, shift to railways or inland waterways, standardisation and low-carbon solutions.</w:t>
      </w:r>
      <w:r w:rsidR="00421726">
        <w:rPr>
          <w:vertAlign w:val="superscript"/>
        </w:rPr>
        <w:footnoteReference w:id="51"/>
      </w:r>
      <w:r w:rsidR="00421726">
        <w:t xml:space="preserve"> Ambitious actions on urban passenger transport can reduce emissions more than 80</w:t>
      </w:r>
      <w:r w:rsidR="00BE75FB">
        <w:t xml:space="preserve"> per cent</w:t>
      </w:r>
      <w:r w:rsidR="00421726">
        <w:t xml:space="preserve"> below 2019 levels by 2050.</w:t>
      </w:r>
      <w:r w:rsidR="00421726">
        <w:rPr>
          <w:vertAlign w:val="superscript"/>
        </w:rPr>
        <w:footnoteReference w:id="52"/>
      </w:r>
    </w:p>
    <w:p w14:paraId="199E832B" w14:textId="57420E31" w:rsidR="00421726" w:rsidRDefault="00A10703" w:rsidP="00C673F7">
      <w:pPr>
        <w:pStyle w:val="H1G"/>
      </w:pPr>
      <w:bookmarkStart w:id="8" w:name="_17dp8vu" w:colFirst="0" w:colLast="0"/>
      <w:bookmarkEnd w:id="8"/>
      <w:r>
        <w:tab/>
      </w:r>
      <w:r w:rsidR="00C673F7">
        <w:t>C</w:t>
      </w:r>
      <w:r w:rsidR="00BF4190">
        <w:t>.</w:t>
      </w:r>
      <w:r w:rsidR="00BF4190">
        <w:tab/>
      </w:r>
      <w:r w:rsidR="00421726">
        <w:t>Decarboni</w:t>
      </w:r>
      <w:r w:rsidR="003E561A">
        <w:t>z</w:t>
      </w:r>
      <w:r w:rsidR="00421726">
        <w:t xml:space="preserve">ation </w:t>
      </w:r>
      <w:r w:rsidR="004446C3">
        <w:t>P</w:t>
      </w:r>
      <w:r w:rsidR="00421726">
        <w:t xml:space="preserve">athways for the </w:t>
      </w:r>
      <w:r w:rsidR="004446C3">
        <w:t>D</w:t>
      </w:r>
      <w:r w:rsidR="00421726">
        <w:t xml:space="preserve">ifferent </w:t>
      </w:r>
      <w:r w:rsidR="004446C3">
        <w:t>R</w:t>
      </w:r>
      <w:r w:rsidR="00421726">
        <w:t>egions</w:t>
      </w:r>
    </w:p>
    <w:p w14:paraId="28E2C5F0" w14:textId="3C0E79E0" w:rsidR="00421726" w:rsidRDefault="007E79F2" w:rsidP="00C673F7">
      <w:pPr>
        <w:pStyle w:val="SingleTxtG"/>
        <w:ind w:right="993"/>
      </w:pPr>
      <w:r>
        <w:t xml:space="preserve">43. </w:t>
      </w:r>
      <w:r>
        <w:tab/>
      </w:r>
      <w:r w:rsidR="00421726">
        <w:t>Recent projections have shown that transport emissions in Asia deviated from pre-2015 projections, which had predicted a near-doubling in business-as-usual emissions between 2021 and 2050. On the contrary, emissions were lower during the period 2015-2020 due to average fuel efficiency improvements, progress in electrification and other policies.</w:t>
      </w:r>
      <w:r w:rsidR="00036F93">
        <w:t xml:space="preserve"> </w:t>
      </w:r>
      <w:r w:rsidR="00421726">
        <w:t>Even so, at the growth rate of 2021, the region’s transport emissions would not peak before 2050, whereas a net zero emissions pathway or a pathway consistent with keeping global temperature rise below 1.5°C would require emissions to peak by 2025.</w:t>
      </w:r>
      <w:r w:rsidR="00421726">
        <w:rPr>
          <w:vertAlign w:val="superscript"/>
        </w:rPr>
        <w:footnoteReference w:id="53"/>
      </w:r>
    </w:p>
    <w:p w14:paraId="1A9A37FF" w14:textId="10F11F80" w:rsidR="0061436C" w:rsidRDefault="007E79F2" w:rsidP="00C673F7">
      <w:pPr>
        <w:pStyle w:val="SingleTxtG"/>
        <w:ind w:right="993"/>
      </w:pPr>
      <w:r>
        <w:t>44.</w:t>
      </w:r>
      <w:r>
        <w:tab/>
      </w:r>
      <w:r w:rsidR="00421726">
        <w:t>Based on measures planned or in place as of October 2022, total transport emissions in the EU were projected to fall below 1990 levels by 2029.</w:t>
      </w:r>
      <w:r w:rsidR="006E3796">
        <w:t xml:space="preserve"> </w:t>
      </w:r>
      <w:r w:rsidR="00421726">
        <w:t>In this scenario, only road transport emissions, representing 77</w:t>
      </w:r>
      <w:r w:rsidR="00BE75FB">
        <w:t xml:space="preserve"> per cent</w:t>
      </w:r>
      <w:r w:rsidR="00421726">
        <w:t xml:space="preserve"> of the EU’s transport greenhouse gas emissions, would decline until 2030. Emissions from other modes would either remain stable or increase, particularly aviation.</w:t>
      </w:r>
      <w:r w:rsidR="00421726">
        <w:rPr>
          <w:vertAlign w:val="superscript"/>
        </w:rPr>
        <w:footnoteReference w:id="54"/>
      </w:r>
    </w:p>
    <w:p w14:paraId="32CF9188" w14:textId="7AA5E53F" w:rsidR="00A10703" w:rsidRDefault="007E79F2" w:rsidP="00C673F7">
      <w:pPr>
        <w:pStyle w:val="SingleTxtG"/>
        <w:ind w:right="993"/>
      </w:pPr>
      <w:r>
        <w:t>45.</w:t>
      </w:r>
      <w:r>
        <w:tab/>
      </w:r>
      <w:r w:rsidR="006E3796">
        <w:t>A</w:t>
      </w:r>
      <w:r w:rsidR="007F14FC">
        <w:t xml:space="preserve">ccording to the synthesis of models by the IPCC, regions </w:t>
      </w:r>
      <w:r w:rsidR="006F2A02">
        <w:t>would</w:t>
      </w:r>
      <w:r w:rsidR="00421726">
        <w:t xml:space="preserve"> contribute differently to transport decarbonisation</w:t>
      </w:r>
      <w:r w:rsidR="00E3187A">
        <w:t>.</w:t>
      </w:r>
      <w:r w:rsidR="000920EE">
        <w:t xml:space="preserve"> </w:t>
      </w:r>
      <w:r w:rsidR="00421726">
        <w:t>Stronger transport CO</w:t>
      </w:r>
      <w:r w:rsidR="00421726">
        <w:rPr>
          <w:vertAlign w:val="subscript"/>
        </w:rPr>
        <w:t>2</w:t>
      </w:r>
      <w:r w:rsidR="00421726">
        <w:t xml:space="preserve"> emission mitigation levels are </w:t>
      </w:r>
      <w:r w:rsidR="00E3187A">
        <w:t xml:space="preserve">expected </w:t>
      </w:r>
      <w:r w:rsidR="00421726">
        <w:t>in high-income countries in Europe and North America than in low- and middle-income countries:</w:t>
      </w:r>
      <w:r w:rsidR="00421726">
        <w:rPr>
          <w:vertAlign w:val="superscript"/>
        </w:rPr>
        <w:footnoteReference w:id="55"/>
      </w:r>
    </w:p>
    <w:p w14:paraId="1E7C0E80" w14:textId="2A509C58" w:rsidR="00C673F7" w:rsidRDefault="00421726" w:rsidP="00C673F7">
      <w:pPr>
        <w:pStyle w:val="Bullet1G"/>
        <w:ind w:right="993"/>
      </w:pPr>
      <w:r>
        <w:t>Western Europe and North America need to reduce transport CO</w:t>
      </w:r>
      <w:r>
        <w:rPr>
          <w:vertAlign w:val="subscript"/>
        </w:rPr>
        <w:t>2</w:t>
      </w:r>
      <w:r>
        <w:t xml:space="preserve"> emissions by at least 60</w:t>
      </w:r>
      <w:r w:rsidR="00BE75FB">
        <w:t xml:space="preserve"> per cent</w:t>
      </w:r>
      <w:r>
        <w:t xml:space="preserve"> below 2020 levels by 2050 to be aligned with the 2°C scenario and at least 80</w:t>
      </w:r>
      <w:r w:rsidR="00BE75FB">
        <w:t xml:space="preserve"> per cent</w:t>
      </w:r>
      <w:r>
        <w:t xml:space="preserve"> by 2050 to be aligned with the 1.5°C scenario with low overshoot. </w:t>
      </w:r>
    </w:p>
    <w:p w14:paraId="5531493A" w14:textId="43FFFD2D" w:rsidR="00C673F7" w:rsidRDefault="00421726" w:rsidP="00C673F7">
      <w:pPr>
        <w:pStyle w:val="Bullet1G"/>
        <w:ind w:right="993"/>
      </w:pPr>
      <w:r>
        <w:t xml:space="preserve">Eastern Europe, Western Asia and Central Asia </w:t>
      </w:r>
      <w:r w:rsidR="00054D80">
        <w:t>could achieve</w:t>
      </w:r>
      <w:r>
        <w:t xml:space="preserve"> reductions of 50</w:t>
      </w:r>
      <w:r w:rsidR="00BE75FB">
        <w:t xml:space="preserve"> per cent</w:t>
      </w:r>
      <w:r>
        <w:t xml:space="preserve"> below 2020 levels by 2050 for the 2°C scenario and 75</w:t>
      </w:r>
      <w:r w:rsidR="00BE75FB">
        <w:t xml:space="preserve"> per cent</w:t>
      </w:r>
      <w:r>
        <w:t xml:space="preserve"> for the 1.5°C scenario with low overshoot.</w:t>
      </w:r>
    </w:p>
    <w:p w14:paraId="55073E5E" w14:textId="5B38B212" w:rsidR="00C673F7" w:rsidRDefault="00421726" w:rsidP="00C673F7">
      <w:pPr>
        <w:pStyle w:val="Bullet1G"/>
        <w:ind w:right="993"/>
      </w:pPr>
      <w:r>
        <w:t xml:space="preserve">Asia and the Pacific </w:t>
      </w:r>
      <w:r w:rsidR="00B43900">
        <w:t>would register</w:t>
      </w:r>
      <w:r>
        <w:t xml:space="preserve"> reduction levels of transport CO</w:t>
      </w:r>
      <w:r w:rsidRPr="00C673F7">
        <w:rPr>
          <w:vertAlign w:val="subscript"/>
        </w:rPr>
        <w:t>2</w:t>
      </w:r>
      <w:r>
        <w:t xml:space="preserve"> emissions 50</w:t>
      </w:r>
      <w:r w:rsidR="00BE75FB">
        <w:t xml:space="preserve"> per cent</w:t>
      </w:r>
      <w:r>
        <w:t xml:space="preserve"> below 2020 levels by 2050 for the 1.5°C scenario with low overshoot.</w:t>
      </w:r>
    </w:p>
    <w:p w14:paraId="19018FDA" w14:textId="0F1651E6" w:rsidR="00C673F7" w:rsidRDefault="00421726" w:rsidP="00C673F7">
      <w:pPr>
        <w:pStyle w:val="Bullet1G"/>
        <w:ind w:right="993"/>
      </w:pPr>
      <w:r>
        <w:t xml:space="preserve">Latin America and the Caribbean </w:t>
      </w:r>
      <w:r w:rsidR="007A587F">
        <w:t>would be expected</w:t>
      </w:r>
      <w:r>
        <w:t xml:space="preserve"> to reduce emissions by 30</w:t>
      </w:r>
      <w:r w:rsidR="00BE75FB">
        <w:t xml:space="preserve"> per cent</w:t>
      </w:r>
      <w:r>
        <w:t xml:space="preserve"> below 2020 levels by 2050 for the 2°C scenario, and 75</w:t>
      </w:r>
      <w:r w:rsidR="00BE75FB">
        <w:t xml:space="preserve"> per cent</w:t>
      </w:r>
      <w:r>
        <w:t xml:space="preserve"> for the 1.5°C scenario with low overshoot.</w:t>
      </w:r>
    </w:p>
    <w:p w14:paraId="2D97AB3C" w14:textId="4276E9D3" w:rsidR="00C673F7" w:rsidRDefault="00421726" w:rsidP="00C673F7">
      <w:pPr>
        <w:pStyle w:val="Bullet1G"/>
        <w:ind w:right="993"/>
      </w:pPr>
      <w:r>
        <w:t xml:space="preserve">The Middle East </w:t>
      </w:r>
      <w:r w:rsidR="00F94807">
        <w:t xml:space="preserve">would reduce their GHG emissions </w:t>
      </w:r>
      <w:r w:rsidR="00447AEA">
        <w:t xml:space="preserve">by </w:t>
      </w:r>
      <w:r>
        <w:t>20</w:t>
      </w:r>
      <w:r w:rsidR="00BE75FB">
        <w:t xml:space="preserve"> per cent</w:t>
      </w:r>
      <w:r>
        <w:t xml:space="preserve"> by 2050 for the 2°C scenario and 55</w:t>
      </w:r>
      <w:r w:rsidR="00BE75FB">
        <w:t xml:space="preserve"> per cent</w:t>
      </w:r>
      <w:r>
        <w:t xml:space="preserve"> for the 1.5°C scenario with low overshoot.</w:t>
      </w:r>
    </w:p>
    <w:p w14:paraId="41D3B94F" w14:textId="6CA120E2" w:rsidR="00C73902" w:rsidRPr="006939BB" w:rsidRDefault="00421726" w:rsidP="00731062">
      <w:pPr>
        <w:pStyle w:val="Bullet1G"/>
        <w:ind w:right="993"/>
      </w:pPr>
      <w:r>
        <w:t xml:space="preserve">African countries </w:t>
      </w:r>
      <w:r w:rsidR="00447AEA">
        <w:t xml:space="preserve">would </w:t>
      </w:r>
      <w:r>
        <w:t>be able to increase their transport CO</w:t>
      </w:r>
      <w:r w:rsidRPr="007F6DBC">
        <w:rPr>
          <w:vertAlign w:val="subscript"/>
        </w:rPr>
        <w:t>2</w:t>
      </w:r>
      <w:r>
        <w:t xml:space="preserve"> emissions 20</w:t>
      </w:r>
      <w:r w:rsidR="00BE75FB">
        <w:t xml:space="preserve"> per cent</w:t>
      </w:r>
      <w:r>
        <w:t xml:space="preserve"> by 2030 and then be required to reduce emissions by at least 10</w:t>
      </w:r>
      <w:r w:rsidR="00BE75FB">
        <w:t xml:space="preserve"> per cent</w:t>
      </w:r>
      <w:r>
        <w:t xml:space="preserve"> below 2020 levels by 2050.</w:t>
      </w:r>
    </w:p>
    <w:p w14:paraId="286472CE" w14:textId="7718D4A4" w:rsidR="00C73902" w:rsidRPr="000E6C04" w:rsidRDefault="00421726" w:rsidP="000E6C04">
      <w:pPr>
        <w:keepNext/>
        <w:ind w:left="1134" w:right="1134"/>
        <w:jc w:val="both"/>
      </w:pPr>
      <w:r w:rsidRPr="000E6C04">
        <w:lastRenderedPageBreak/>
        <w:t xml:space="preserve">Figure </w:t>
      </w:r>
      <w:r w:rsidR="00C85C88">
        <w:t>VII</w:t>
      </w:r>
      <w:r w:rsidRPr="000E6C04">
        <w:t xml:space="preserve"> </w:t>
      </w:r>
    </w:p>
    <w:p w14:paraId="0C41AE3F" w14:textId="2F09DCB2" w:rsidR="00421726" w:rsidRPr="000E6C04" w:rsidRDefault="00421726" w:rsidP="000E6C04">
      <w:pPr>
        <w:keepNext/>
        <w:spacing w:after="240"/>
        <w:ind w:left="1134" w:right="1134"/>
        <w:rPr>
          <w:rStyle w:val="FootnoteReference"/>
        </w:rPr>
      </w:pPr>
      <w:r w:rsidRPr="000E6C04">
        <w:rPr>
          <w:b/>
        </w:rPr>
        <w:t>Regional transport decarbonisation pathways for 2030 and 2050, by scenario</w:t>
      </w:r>
      <w:r w:rsidRPr="000E6C04">
        <w:rPr>
          <w:rStyle w:val="FootnoteReference"/>
        </w:rPr>
        <w:footnoteReference w:id="56"/>
      </w:r>
    </w:p>
    <w:p w14:paraId="18E28E4B" w14:textId="34796DC5" w:rsidR="00421726" w:rsidRDefault="00421726" w:rsidP="002C7258">
      <w:pPr>
        <w:jc w:val="center"/>
      </w:pPr>
      <w:r>
        <w:rPr>
          <w:noProof/>
        </w:rPr>
        <w:drawing>
          <wp:inline distT="114300" distB="114300" distL="114300" distR="114300" wp14:anchorId="0EC763E2" wp14:editId="7096E348">
            <wp:extent cx="3657600" cy="4584934"/>
            <wp:effectExtent l="0" t="0" r="0" b="6350"/>
            <wp:docPr id="8" name="Picture 8"/>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3742874" cy="4691828"/>
                    </a:xfrm>
                    <a:prstGeom prst="rect">
                      <a:avLst/>
                    </a:prstGeom>
                    <a:ln/>
                  </pic:spPr>
                </pic:pic>
              </a:graphicData>
            </a:graphic>
          </wp:inline>
        </w:drawing>
      </w:r>
    </w:p>
    <w:p w14:paraId="21AF580B" w14:textId="0E105105" w:rsidR="00644D39" w:rsidRPr="00520B04" w:rsidRDefault="00D6290D" w:rsidP="00D6290D">
      <w:pPr>
        <w:pStyle w:val="HChG"/>
      </w:pPr>
      <w:r>
        <w:tab/>
      </w:r>
      <w:r w:rsidR="00644D39" w:rsidRPr="00520B04">
        <w:t>II</w:t>
      </w:r>
      <w:r w:rsidR="00436638" w:rsidRPr="00520B04">
        <w:t>I</w:t>
      </w:r>
      <w:r w:rsidR="00644D39" w:rsidRPr="00520B04">
        <w:t>.</w:t>
      </w:r>
      <w:r>
        <w:tab/>
      </w:r>
      <w:r w:rsidR="00520B04">
        <w:tab/>
      </w:r>
      <w:r w:rsidR="007D65F5" w:rsidRPr="00520B04">
        <w:t>Interna</w:t>
      </w:r>
      <w:r w:rsidR="00093561" w:rsidRPr="00520B04">
        <w:t>t</w:t>
      </w:r>
      <w:r w:rsidR="007D65F5" w:rsidRPr="00520B04">
        <w:t>i</w:t>
      </w:r>
      <w:r w:rsidR="00093561" w:rsidRPr="00520B04">
        <w:t>o</w:t>
      </w:r>
      <w:r w:rsidR="007D65F5" w:rsidRPr="00520B04">
        <w:t>nal actions</w:t>
      </w:r>
      <w:r w:rsidR="00046784" w:rsidRPr="00520B04">
        <w:t xml:space="preserve">, commitments and initiatives </w:t>
      </w:r>
      <w:r w:rsidR="00644D39" w:rsidRPr="00520B04">
        <w:t>towards Inland Transport Decarbonization</w:t>
      </w:r>
    </w:p>
    <w:p w14:paraId="2DA99068" w14:textId="7944FEF5" w:rsidR="0008638B" w:rsidRPr="0008638B" w:rsidRDefault="0008638B" w:rsidP="0008638B">
      <w:pPr>
        <w:pStyle w:val="H1G"/>
        <w:rPr>
          <w:highlight w:val="cyan"/>
        </w:rPr>
      </w:pPr>
      <w:bookmarkStart w:id="9" w:name="_3j2qqm3" w:colFirst="0" w:colLast="0"/>
      <w:bookmarkStart w:id="10" w:name="_1y810tw" w:colFirst="0" w:colLast="0"/>
      <w:bookmarkEnd w:id="9"/>
      <w:bookmarkEnd w:id="10"/>
      <w:r>
        <w:tab/>
      </w:r>
      <w:r w:rsidR="00816080" w:rsidRPr="00520B04">
        <w:t>A</w:t>
      </w:r>
      <w:r w:rsidRPr="00520B04">
        <w:t>.</w:t>
      </w:r>
      <w:r w:rsidRPr="00520B04">
        <w:tab/>
      </w:r>
      <w:r w:rsidR="00E452C6" w:rsidRPr="00520B04">
        <w:t xml:space="preserve">Taking </w:t>
      </w:r>
      <w:r w:rsidR="004446C3">
        <w:t>S</w:t>
      </w:r>
      <w:r w:rsidR="00E452C6" w:rsidRPr="00520B04">
        <w:t>to</w:t>
      </w:r>
      <w:r w:rsidR="00C00C03" w:rsidRPr="00520B04">
        <w:t xml:space="preserve">ck of </w:t>
      </w:r>
      <w:r w:rsidR="00520B04">
        <w:t>I</w:t>
      </w:r>
      <w:r w:rsidR="00C00C03" w:rsidRPr="00520B04">
        <w:t xml:space="preserve">nternational </w:t>
      </w:r>
      <w:r w:rsidR="00504493">
        <w:t xml:space="preserve">initiatives </w:t>
      </w:r>
      <w:r w:rsidR="00C00C03" w:rsidRPr="00520B04">
        <w:t xml:space="preserve">and </w:t>
      </w:r>
      <w:r w:rsidR="00504493">
        <w:t xml:space="preserve">the </w:t>
      </w:r>
      <w:r w:rsidR="00125992">
        <w:t xml:space="preserve">potential </w:t>
      </w:r>
      <w:r w:rsidR="00504493">
        <w:t xml:space="preserve">role of the </w:t>
      </w:r>
      <w:r w:rsidR="00C00C03" w:rsidRPr="00520B04">
        <w:t>U</w:t>
      </w:r>
      <w:r w:rsidR="00520B04">
        <w:t xml:space="preserve">nited </w:t>
      </w:r>
      <w:r w:rsidR="00C00C03" w:rsidRPr="00520B04">
        <w:t>N</w:t>
      </w:r>
      <w:r w:rsidR="00520B04">
        <w:t>ation</w:t>
      </w:r>
      <w:r w:rsidR="00504493">
        <w:t>s</w:t>
      </w:r>
      <w:r w:rsidR="00520B04">
        <w:t xml:space="preserve"> </w:t>
      </w:r>
    </w:p>
    <w:p w14:paraId="5D15B355" w14:textId="10FA223D" w:rsidR="0008638B" w:rsidRPr="00731062" w:rsidRDefault="0083205D" w:rsidP="00731062">
      <w:pPr>
        <w:pStyle w:val="SingleTxtG"/>
        <w:ind w:right="993"/>
      </w:pPr>
      <w:r w:rsidRPr="00731062">
        <w:t>46</w:t>
      </w:r>
      <w:r w:rsidR="0008638B" w:rsidRPr="00731062">
        <w:t>.</w:t>
      </w:r>
      <w:r w:rsidR="0008638B" w:rsidRPr="00731062">
        <w:tab/>
        <w:t>During the 2021 United Nations Climate Change Conference in Glasgow, U</w:t>
      </w:r>
      <w:r w:rsidR="008248DF">
        <w:t xml:space="preserve">nited </w:t>
      </w:r>
      <w:r w:rsidR="0008638B" w:rsidRPr="00731062">
        <w:t>K</w:t>
      </w:r>
      <w:r w:rsidR="008248DF">
        <w:t>ingdom</w:t>
      </w:r>
      <w:r w:rsidR="0008638B" w:rsidRPr="00731062">
        <w:t xml:space="preserve"> (COP26), stakeholders launched an unprecedented number of commitments and initiatives on sustainable, low-carbon transport (i.e., zero-emission passenger and freight vehicles, shipping, aviation), and several of these have since expanded in scope and/or signatories. The Glasgow Climate Pact, agreed to COP26, makes a clear call for countries to phase out inefficient fossil fuel subsidies and to support a just transition towards low-emission energy systems.</w:t>
      </w:r>
      <w:r w:rsidR="0008638B" w:rsidRPr="00731062">
        <w:rPr>
          <w:vertAlign w:val="superscript"/>
        </w:rPr>
        <w:footnoteReference w:id="57"/>
      </w:r>
    </w:p>
    <w:p w14:paraId="248D9DA5" w14:textId="3E01F3DD" w:rsidR="0008638B" w:rsidRPr="00731062" w:rsidRDefault="0083205D" w:rsidP="00731062">
      <w:pPr>
        <w:pStyle w:val="SingleTxtG"/>
        <w:ind w:right="993"/>
      </w:pPr>
      <w:r w:rsidRPr="00731062">
        <w:t>47</w:t>
      </w:r>
      <w:r w:rsidR="0008638B" w:rsidRPr="00731062">
        <w:t>.</w:t>
      </w:r>
      <w:r w:rsidR="0008638B" w:rsidRPr="00731062">
        <w:tab/>
        <w:t xml:space="preserve">At the 2022 United Nations Climate Change Conference in Sharm El-Sheikh, Egypt (COP27), the COP27 Presidency of Egypt launched the initiative ‘Low Carbon Transport for </w:t>
      </w:r>
      <w:r w:rsidR="0008638B" w:rsidRPr="00731062">
        <w:lastRenderedPageBreak/>
        <w:t>Urban Sustainability’ (LOTUS) that aims to activate systemic change beyond the legacy “mode-first” mindset of focusing on a specific transport modes and the “Improve” pillar.</w:t>
      </w:r>
    </w:p>
    <w:p w14:paraId="67E58DA5" w14:textId="77777777" w:rsidR="0008638B" w:rsidRPr="00731062" w:rsidRDefault="0008638B" w:rsidP="00731062">
      <w:pPr>
        <w:pStyle w:val="H23G"/>
        <w:ind w:right="993"/>
      </w:pPr>
      <w:r w:rsidRPr="00731062">
        <w:tab/>
        <w:t>1.</w:t>
      </w:r>
      <w:r w:rsidRPr="00731062">
        <w:tab/>
        <w:t>Overview of some of the most relevant inland transport-related initiatives announced during COP26 and COP27</w:t>
      </w:r>
    </w:p>
    <w:p w14:paraId="4E4BA52E" w14:textId="7FAB945F" w:rsidR="008775D6" w:rsidRDefault="0008638B" w:rsidP="008775D6">
      <w:pPr>
        <w:pStyle w:val="Heading1"/>
      </w:pPr>
      <w:r w:rsidRPr="004446C3">
        <w:t xml:space="preserve">Table </w:t>
      </w:r>
      <w:r w:rsidR="00346C03" w:rsidRPr="004446C3">
        <w:t>2</w:t>
      </w:r>
    </w:p>
    <w:p w14:paraId="6C77D073" w14:textId="4088770B" w:rsidR="0008638B" w:rsidRPr="008775D6" w:rsidRDefault="0008638B" w:rsidP="008775D6">
      <w:pPr>
        <w:pStyle w:val="SingleTxtG"/>
        <w:rPr>
          <w:b/>
          <w:bCs/>
          <w:highlight w:val="cyan"/>
        </w:rPr>
      </w:pPr>
      <w:r w:rsidRPr="008775D6">
        <w:rPr>
          <w:b/>
          <w:bCs/>
        </w:rPr>
        <w:t>Main Inland transport-related initiatives announced during COP26 and COP27</w:t>
      </w:r>
    </w:p>
    <w:tbl>
      <w:tblPr>
        <w:tblW w:w="0" w:type="auto"/>
        <w:tblInd w:w="1134" w:type="dxa"/>
        <w:tblLayout w:type="fixed"/>
        <w:tblCellMar>
          <w:left w:w="0" w:type="dxa"/>
          <w:right w:w="0" w:type="dxa"/>
        </w:tblCellMar>
        <w:tblLook w:val="0600" w:firstRow="0" w:lastRow="0" w:firstColumn="0" w:lastColumn="0" w:noHBand="1" w:noVBand="1"/>
      </w:tblPr>
      <w:tblGrid>
        <w:gridCol w:w="2072"/>
        <w:gridCol w:w="2605"/>
        <w:gridCol w:w="1560"/>
        <w:gridCol w:w="897"/>
        <w:gridCol w:w="1230"/>
      </w:tblGrid>
      <w:tr w:rsidR="0008638B" w:rsidRPr="00871EF1" w14:paraId="736A26B6" w14:textId="77777777" w:rsidTr="00E43930">
        <w:trPr>
          <w:tblHeader/>
        </w:trPr>
        <w:tc>
          <w:tcPr>
            <w:tcW w:w="2072" w:type="dxa"/>
            <w:tcBorders>
              <w:top w:val="single" w:sz="4" w:space="0" w:color="auto"/>
              <w:bottom w:val="single" w:sz="12" w:space="0" w:color="auto"/>
            </w:tcBorders>
            <w:shd w:val="clear" w:color="auto" w:fill="auto"/>
            <w:tcMar>
              <w:top w:w="100" w:type="dxa"/>
              <w:left w:w="100" w:type="dxa"/>
              <w:bottom w:w="100" w:type="dxa"/>
              <w:right w:w="100" w:type="dxa"/>
            </w:tcMar>
            <w:vAlign w:val="bottom"/>
          </w:tcPr>
          <w:p w14:paraId="4B84BFFE" w14:textId="77777777" w:rsidR="0008638B" w:rsidRPr="00871EF1" w:rsidRDefault="0008638B" w:rsidP="00871EF1">
            <w:pPr>
              <w:spacing w:before="80" w:after="80" w:line="200" w:lineRule="exact"/>
              <w:ind w:right="113"/>
              <w:rPr>
                <w:i/>
                <w:sz w:val="16"/>
              </w:rPr>
            </w:pPr>
            <w:r w:rsidRPr="00871EF1">
              <w:rPr>
                <w:i/>
                <w:sz w:val="16"/>
              </w:rPr>
              <w:t xml:space="preserve"> </w:t>
            </w:r>
          </w:p>
        </w:tc>
        <w:tc>
          <w:tcPr>
            <w:tcW w:w="2605" w:type="dxa"/>
            <w:tcBorders>
              <w:top w:val="single" w:sz="4" w:space="0" w:color="auto"/>
              <w:bottom w:val="single" w:sz="12" w:space="0" w:color="auto"/>
            </w:tcBorders>
            <w:shd w:val="clear" w:color="auto" w:fill="auto"/>
            <w:tcMar>
              <w:top w:w="100" w:type="dxa"/>
              <w:left w:w="100" w:type="dxa"/>
              <w:bottom w:w="100" w:type="dxa"/>
              <w:right w:w="100" w:type="dxa"/>
            </w:tcMar>
            <w:vAlign w:val="bottom"/>
          </w:tcPr>
          <w:p w14:paraId="3EC6429F" w14:textId="77777777" w:rsidR="0008638B" w:rsidRPr="00871EF1" w:rsidRDefault="0008638B" w:rsidP="00871EF1">
            <w:pPr>
              <w:spacing w:before="80" w:after="80" w:line="200" w:lineRule="exact"/>
              <w:ind w:right="113"/>
              <w:rPr>
                <w:i/>
                <w:sz w:val="16"/>
              </w:rPr>
            </w:pPr>
            <w:r w:rsidRPr="00871EF1">
              <w:rPr>
                <w:i/>
                <w:sz w:val="16"/>
              </w:rPr>
              <w:t>Mission</w:t>
            </w:r>
          </w:p>
        </w:tc>
        <w:tc>
          <w:tcPr>
            <w:tcW w:w="1560" w:type="dxa"/>
            <w:tcBorders>
              <w:top w:val="single" w:sz="4" w:space="0" w:color="auto"/>
              <w:bottom w:val="single" w:sz="12" w:space="0" w:color="auto"/>
            </w:tcBorders>
            <w:shd w:val="clear" w:color="auto" w:fill="auto"/>
            <w:tcMar>
              <w:top w:w="100" w:type="dxa"/>
              <w:left w:w="100" w:type="dxa"/>
              <w:bottom w:w="100" w:type="dxa"/>
              <w:right w:w="100" w:type="dxa"/>
            </w:tcMar>
            <w:vAlign w:val="bottom"/>
          </w:tcPr>
          <w:p w14:paraId="56F6B550" w14:textId="77777777" w:rsidR="0008638B" w:rsidRPr="00871EF1" w:rsidRDefault="0008638B" w:rsidP="00871EF1">
            <w:pPr>
              <w:spacing w:before="80" w:after="80" w:line="200" w:lineRule="exact"/>
              <w:ind w:right="113"/>
              <w:rPr>
                <w:i/>
                <w:sz w:val="16"/>
              </w:rPr>
            </w:pPr>
            <w:r w:rsidRPr="00871EF1">
              <w:rPr>
                <w:i/>
                <w:sz w:val="16"/>
              </w:rPr>
              <w:t>Number of total signatories as of October 2023</w:t>
            </w:r>
          </w:p>
        </w:tc>
        <w:tc>
          <w:tcPr>
            <w:tcW w:w="897" w:type="dxa"/>
            <w:tcBorders>
              <w:top w:val="single" w:sz="4" w:space="0" w:color="auto"/>
              <w:bottom w:val="single" w:sz="12" w:space="0" w:color="auto"/>
            </w:tcBorders>
            <w:shd w:val="clear" w:color="auto" w:fill="auto"/>
            <w:tcMar>
              <w:top w:w="100" w:type="dxa"/>
              <w:left w:w="100" w:type="dxa"/>
              <w:bottom w:w="100" w:type="dxa"/>
              <w:right w:w="100" w:type="dxa"/>
            </w:tcMar>
            <w:vAlign w:val="bottom"/>
          </w:tcPr>
          <w:p w14:paraId="519698F3" w14:textId="77777777" w:rsidR="0008638B" w:rsidRPr="00871EF1" w:rsidRDefault="0008638B" w:rsidP="00871EF1">
            <w:pPr>
              <w:spacing w:before="80" w:after="80" w:line="200" w:lineRule="exact"/>
              <w:ind w:right="113"/>
              <w:rPr>
                <w:i/>
                <w:sz w:val="16"/>
              </w:rPr>
            </w:pPr>
            <w:r w:rsidRPr="00871EF1">
              <w:rPr>
                <w:i/>
                <w:sz w:val="16"/>
              </w:rPr>
              <w:t>Geographic coverage</w:t>
            </w:r>
          </w:p>
        </w:tc>
        <w:tc>
          <w:tcPr>
            <w:tcW w:w="1230" w:type="dxa"/>
            <w:tcBorders>
              <w:top w:val="single" w:sz="4" w:space="0" w:color="auto"/>
              <w:bottom w:val="single" w:sz="12" w:space="0" w:color="auto"/>
            </w:tcBorders>
            <w:shd w:val="clear" w:color="auto" w:fill="auto"/>
            <w:tcMar>
              <w:top w:w="100" w:type="dxa"/>
              <w:left w:w="100" w:type="dxa"/>
              <w:bottom w:w="100" w:type="dxa"/>
              <w:right w:w="100" w:type="dxa"/>
            </w:tcMar>
            <w:vAlign w:val="bottom"/>
          </w:tcPr>
          <w:p w14:paraId="197688C8" w14:textId="77777777" w:rsidR="0008638B" w:rsidRPr="00871EF1" w:rsidRDefault="0008638B" w:rsidP="00871EF1">
            <w:pPr>
              <w:spacing w:before="80" w:after="80" w:line="200" w:lineRule="exact"/>
              <w:ind w:right="113"/>
              <w:rPr>
                <w:i/>
                <w:sz w:val="16"/>
              </w:rPr>
            </w:pPr>
            <w:r w:rsidRPr="00871EF1">
              <w:rPr>
                <w:i/>
                <w:sz w:val="16"/>
              </w:rPr>
              <w:t>Mode focus</w:t>
            </w:r>
          </w:p>
        </w:tc>
      </w:tr>
      <w:tr w:rsidR="00871EF1" w:rsidRPr="00871EF1" w14:paraId="2B75BF2B" w14:textId="77777777" w:rsidTr="00E43930">
        <w:trPr>
          <w:trHeight w:hRule="exact" w:val="113"/>
        </w:trPr>
        <w:tc>
          <w:tcPr>
            <w:tcW w:w="2072" w:type="dxa"/>
            <w:tcBorders>
              <w:top w:val="single" w:sz="12" w:space="0" w:color="auto"/>
            </w:tcBorders>
            <w:shd w:val="clear" w:color="auto" w:fill="auto"/>
            <w:tcMar>
              <w:top w:w="100" w:type="dxa"/>
              <w:left w:w="100" w:type="dxa"/>
              <w:bottom w:w="100" w:type="dxa"/>
              <w:right w:w="100" w:type="dxa"/>
            </w:tcMar>
          </w:tcPr>
          <w:p w14:paraId="52C9A040" w14:textId="77777777" w:rsidR="00871EF1" w:rsidRPr="00871EF1" w:rsidRDefault="00871EF1" w:rsidP="00871EF1">
            <w:pPr>
              <w:spacing w:before="40" w:after="120"/>
              <w:ind w:right="113"/>
            </w:pPr>
          </w:p>
        </w:tc>
        <w:tc>
          <w:tcPr>
            <w:tcW w:w="2605" w:type="dxa"/>
            <w:tcBorders>
              <w:top w:val="single" w:sz="12" w:space="0" w:color="auto"/>
            </w:tcBorders>
            <w:shd w:val="clear" w:color="auto" w:fill="auto"/>
            <w:tcMar>
              <w:top w:w="100" w:type="dxa"/>
              <w:left w:w="100" w:type="dxa"/>
              <w:bottom w:w="100" w:type="dxa"/>
              <w:right w:w="100" w:type="dxa"/>
            </w:tcMar>
          </w:tcPr>
          <w:p w14:paraId="1C159FDA" w14:textId="77777777" w:rsidR="00871EF1" w:rsidRPr="00871EF1" w:rsidRDefault="00871EF1" w:rsidP="00871EF1">
            <w:pPr>
              <w:spacing w:before="40" w:after="120"/>
              <w:ind w:right="113"/>
              <w:rPr>
                <w:b/>
              </w:rPr>
            </w:pPr>
          </w:p>
        </w:tc>
        <w:tc>
          <w:tcPr>
            <w:tcW w:w="1560" w:type="dxa"/>
            <w:tcBorders>
              <w:top w:val="single" w:sz="12" w:space="0" w:color="auto"/>
            </w:tcBorders>
            <w:shd w:val="clear" w:color="auto" w:fill="auto"/>
            <w:tcMar>
              <w:top w:w="100" w:type="dxa"/>
              <w:left w:w="100" w:type="dxa"/>
              <w:bottom w:w="100" w:type="dxa"/>
              <w:right w:w="100" w:type="dxa"/>
            </w:tcMar>
          </w:tcPr>
          <w:p w14:paraId="04A2378E" w14:textId="77777777" w:rsidR="00871EF1" w:rsidRPr="00871EF1" w:rsidRDefault="00871EF1" w:rsidP="00871EF1">
            <w:pPr>
              <w:spacing w:before="40" w:after="120"/>
              <w:ind w:right="113"/>
              <w:rPr>
                <w:b/>
              </w:rPr>
            </w:pPr>
          </w:p>
        </w:tc>
        <w:tc>
          <w:tcPr>
            <w:tcW w:w="897" w:type="dxa"/>
            <w:tcBorders>
              <w:top w:val="single" w:sz="12" w:space="0" w:color="auto"/>
            </w:tcBorders>
            <w:shd w:val="clear" w:color="auto" w:fill="auto"/>
            <w:tcMar>
              <w:top w:w="100" w:type="dxa"/>
              <w:left w:w="100" w:type="dxa"/>
              <w:bottom w:w="100" w:type="dxa"/>
              <w:right w:w="100" w:type="dxa"/>
            </w:tcMar>
          </w:tcPr>
          <w:p w14:paraId="5E39EF64" w14:textId="77777777" w:rsidR="00871EF1" w:rsidRPr="00871EF1" w:rsidRDefault="00871EF1" w:rsidP="00871EF1">
            <w:pPr>
              <w:spacing w:before="40" w:after="120"/>
              <w:ind w:right="113"/>
              <w:rPr>
                <w:b/>
              </w:rPr>
            </w:pPr>
          </w:p>
        </w:tc>
        <w:tc>
          <w:tcPr>
            <w:tcW w:w="1230" w:type="dxa"/>
            <w:tcBorders>
              <w:top w:val="single" w:sz="12" w:space="0" w:color="auto"/>
            </w:tcBorders>
            <w:shd w:val="clear" w:color="auto" w:fill="auto"/>
            <w:tcMar>
              <w:top w:w="100" w:type="dxa"/>
              <w:left w:w="100" w:type="dxa"/>
              <w:bottom w:w="100" w:type="dxa"/>
              <w:right w:w="100" w:type="dxa"/>
            </w:tcMar>
          </w:tcPr>
          <w:p w14:paraId="6FA1C0FE" w14:textId="77777777" w:rsidR="00871EF1" w:rsidRPr="00871EF1" w:rsidRDefault="00871EF1" w:rsidP="00871EF1">
            <w:pPr>
              <w:spacing w:before="40" w:after="120"/>
              <w:ind w:right="113"/>
              <w:rPr>
                <w:b/>
              </w:rPr>
            </w:pPr>
          </w:p>
        </w:tc>
      </w:tr>
      <w:tr w:rsidR="0008638B" w:rsidRPr="00871EF1" w14:paraId="7890749B" w14:textId="77777777" w:rsidTr="00E43930">
        <w:tc>
          <w:tcPr>
            <w:tcW w:w="2072" w:type="dxa"/>
            <w:shd w:val="clear" w:color="auto" w:fill="auto"/>
            <w:tcMar>
              <w:top w:w="100" w:type="dxa"/>
              <w:left w:w="100" w:type="dxa"/>
              <w:bottom w:w="100" w:type="dxa"/>
              <w:right w:w="100" w:type="dxa"/>
            </w:tcMar>
          </w:tcPr>
          <w:p w14:paraId="4A5C0DF3" w14:textId="77777777" w:rsidR="0008638B" w:rsidRPr="00871EF1" w:rsidRDefault="00AD759C" w:rsidP="00871EF1">
            <w:pPr>
              <w:spacing w:before="40" w:after="120"/>
              <w:ind w:right="113"/>
            </w:pPr>
            <w:hyperlink r:id="rId19">
              <w:r w:rsidR="0008638B" w:rsidRPr="00871EF1">
                <w:rPr>
                  <w:b/>
                </w:rPr>
                <w:t>Accelerating to Zero Coalition (A2Z)</w:t>
              </w:r>
            </w:hyperlink>
          </w:p>
        </w:tc>
        <w:tc>
          <w:tcPr>
            <w:tcW w:w="2605" w:type="dxa"/>
            <w:shd w:val="clear" w:color="auto" w:fill="auto"/>
            <w:tcMar>
              <w:top w:w="100" w:type="dxa"/>
              <w:left w:w="100" w:type="dxa"/>
              <w:bottom w:w="100" w:type="dxa"/>
              <w:right w:w="100" w:type="dxa"/>
            </w:tcMar>
          </w:tcPr>
          <w:p w14:paraId="48900A9A" w14:textId="77777777" w:rsidR="0008638B" w:rsidRPr="00871EF1" w:rsidRDefault="0008638B" w:rsidP="00871EF1">
            <w:pPr>
              <w:spacing w:before="40" w:after="120"/>
              <w:ind w:right="113"/>
            </w:pPr>
            <w:r w:rsidRPr="00871EF1">
              <w:t>All sales of new cars and vans being zero emission in leading markets no later than 2035 and globally by 2040</w:t>
            </w:r>
          </w:p>
        </w:tc>
        <w:tc>
          <w:tcPr>
            <w:tcW w:w="1560" w:type="dxa"/>
            <w:shd w:val="clear" w:color="auto" w:fill="auto"/>
            <w:tcMar>
              <w:top w:w="100" w:type="dxa"/>
              <w:left w:w="100" w:type="dxa"/>
              <w:bottom w:w="100" w:type="dxa"/>
              <w:right w:w="100" w:type="dxa"/>
            </w:tcMar>
          </w:tcPr>
          <w:p w14:paraId="58F3A24A" w14:textId="77777777" w:rsidR="0008638B" w:rsidRPr="00871EF1" w:rsidRDefault="0008638B" w:rsidP="00871EF1">
            <w:pPr>
              <w:spacing w:before="40" w:after="120"/>
              <w:ind w:right="113"/>
            </w:pPr>
            <w:r w:rsidRPr="00871EF1">
              <w:t>178 signatories</w:t>
            </w:r>
          </w:p>
        </w:tc>
        <w:tc>
          <w:tcPr>
            <w:tcW w:w="897" w:type="dxa"/>
            <w:shd w:val="clear" w:color="auto" w:fill="auto"/>
            <w:tcMar>
              <w:top w:w="100" w:type="dxa"/>
              <w:left w:w="100" w:type="dxa"/>
              <w:bottom w:w="100" w:type="dxa"/>
              <w:right w:w="100" w:type="dxa"/>
            </w:tcMar>
          </w:tcPr>
          <w:p w14:paraId="15A5E3C0" w14:textId="77777777" w:rsidR="0008638B" w:rsidRPr="00871EF1" w:rsidRDefault="0008638B" w:rsidP="00871EF1">
            <w:pPr>
              <w:spacing w:before="40" w:after="120"/>
              <w:ind w:right="113"/>
            </w:pPr>
            <w:r w:rsidRPr="00871EF1">
              <w:t>Global</w:t>
            </w:r>
          </w:p>
        </w:tc>
        <w:tc>
          <w:tcPr>
            <w:tcW w:w="1230" w:type="dxa"/>
            <w:shd w:val="clear" w:color="auto" w:fill="auto"/>
            <w:tcMar>
              <w:top w:w="100" w:type="dxa"/>
              <w:left w:w="100" w:type="dxa"/>
              <w:bottom w:w="100" w:type="dxa"/>
              <w:right w:w="100" w:type="dxa"/>
            </w:tcMar>
          </w:tcPr>
          <w:p w14:paraId="181F01B0" w14:textId="77777777" w:rsidR="0008638B" w:rsidRPr="00871EF1" w:rsidRDefault="0008638B" w:rsidP="00871EF1">
            <w:pPr>
              <w:spacing w:before="40" w:after="120"/>
              <w:ind w:right="113"/>
            </w:pPr>
            <w:r w:rsidRPr="00871EF1">
              <w:t>Cars and vans</w:t>
            </w:r>
          </w:p>
        </w:tc>
      </w:tr>
      <w:tr w:rsidR="0008638B" w:rsidRPr="00871EF1" w14:paraId="5510AC13" w14:textId="77777777" w:rsidTr="00E43930">
        <w:tc>
          <w:tcPr>
            <w:tcW w:w="2072" w:type="dxa"/>
            <w:shd w:val="clear" w:color="auto" w:fill="auto"/>
            <w:tcMar>
              <w:top w:w="100" w:type="dxa"/>
              <w:left w:w="100" w:type="dxa"/>
              <w:bottom w:w="100" w:type="dxa"/>
              <w:right w:w="100" w:type="dxa"/>
            </w:tcMar>
          </w:tcPr>
          <w:p w14:paraId="58D65CF0" w14:textId="77777777" w:rsidR="0008638B" w:rsidRPr="00871EF1" w:rsidRDefault="00AD759C" w:rsidP="00871EF1">
            <w:pPr>
              <w:spacing w:before="40" w:after="120"/>
              <w:ind w:right="113"/>
            </w:pPr>
            <w:hyperlink r:id="rId20">
              <w:r w:rsidR="0008638B" w:rsidRPr="00871EF1">
                <w:rPr>
                  <w:b/>
                </w:rPr>
                <w:t>Breakthrough Agenda on Transport</w:t>
              </w:r>
            </w:hyperlink>
          </w:p>
        </w:tc>
        <w:tc>
          <w:tcPr>
            <w:tcW w:w="2605" w:type="dxa"/>
            <w:shd w:val="clear" w:color="auto" w:fill="auto"/>
            <w:tcMar>
              <w:top w:w="100" w:type="dxa"/>
              <w:left w:w="100" w:type="dxa"/>
              <w:bottom w:w="100" w:type="dxa"/>
              <w:right w:w="100" w:type="dxa"/>
            </w:tcMar>
          </w:tcPr>
          <w:p w14:paraId="32B83C21" w14:textId="2278863F" w:rsidR="0008638B" w:rsidRPr="00871EF1" w:rsidRDefault="0008638B" w:rsidP="00871EF1">
            <w:pPr>
              <w:spacing w:before="40" w:after="120"/>
              <w:ind w:right="113"/>
            </w:pPr>
            <w:r w:rsidRPr="00871EF1">
              <w:t>BEV (Battery Electric Vehicle) and FCEV (Fuel Cell Electric Vehicle) make up 60 per cent of global bus sales by 2030</w:t>
            </w:r>
          </w:p>
          <w:p w14:paraId="60E788C4" w14:textId="0DB5FC1E" w:rsidR="0008638B" w:rsidRPr="00871EF1" w:rsidRDefault="0008638B" w:rsidP="00871EF1">
            <w:pPr>
              <w:spacing w:before="40" w:after="120"/>
              <w:ind w:right="113"/>
            </w:pPr>
            <w:r w:rsidRPr="00871EF1">
              <w:t>BEV and FCEV makes up 35-40 per cent of global heavy goods vehicles sales by 2030</w:t>
            </w:r>
          </w:p>
          <w:p w14:paraId="2D76ABAF" w14:textId="2E77D8BF" w:rsidR="0008638B" w:rsidRPr="00871EF1" w:rsidRDefault="00386FDF" w:rsidP="00871EF1">
            <w:pPr>
              <w:spacing w:before="40" w:after="120"/>
              <w:ind w:right="113"/>
            </w:pPr>
            <w:r w:rsidRPr="00871EF1">
              <w:t>zero-emission vehicle (</w:t>
            </w:r>
            <w:r w:rsidR="0008638B" w:rsidRPr="00871EF1">
              <w:t>ZEV</w:t>
            </w:r>
            <w:r w:rsidRPr="00871EF1">
              <w:t>)</w:t>
            </w:r>
            <w:r w:rsidR="0008638B" w:rsidRPr="00871EF1">
              <w:t xml:space="preserve"> makes up 100 per cent of total global passenger vehicles </w:t>
            </w:r>
            <w:r w:rsidRPr="00871EF1">
              <w:t>and</w:t>
            </w:r>
            <w:r w:rsidR="0008638B" w:rsidRPr="00871EF1">
              <w:t xml:space="preserve"> vans sales by 2030 (in key markets)</w:t>
            </w:r>
          </w:p>
        </w:tc>
        <w:tc>
          <w:tcPr>
            <w:tcW w:w="1560" w:type="dxa"/>
            <w:shd w:val="clear" w:color="auto" w:fill="auto"/>
            <w:tcMar>
              <w:top w:w="100" w:type="dxa"/>
              <w:left w:w="100" w:type="dxa"/>
              <w:bottom w:w="100" w:type="dxa"/>
              <w:right w:w="100" w:type="dxa"/>
            </w:tcMar>
          </w:tcPr>
          <w:p w14:paraId="3CA5224E" w14:textId="77777777" w:rsidR="0008638B" w:rsidRPr="00871EF1" w:rsidRDefault="0008638B" w:rsidP="00871EF1">
            <w:pPr>
              <w:spacing w:before="40" w:after="120"/>
              <w:ind w:right="113"/>
            </w:pPr>
            <w:r w:rsidRPr="00871EF1">
              <w:t>49 signatories</w:t>
            </w:r>
          </w:p>
        </w:tc>
        <w:tc>
          <w:tcPr>
            <w:tcW w:w="897" w:type="dxa"/>
            <w:shd w:val="clear" w:color="auto" w:fill="auto"/>
            <w:tcMar>
              <w:top w:w="100" w:type="dxa"/>
              <w:left w:w="100" w:type="dxa"/>
              <w:bottom w:w="100" w:type="dxa"/>
              <w:right w:w="100" w:type="dxa"/>
            </w:tcMar>
          </w:tcPr>
          <w:p w14:paraId="2621D9FD" w14:textId="77777777" w:rsidR="0008638B" w:rsidRPr="00871EF1" w:rsidRDefault="0008638B" w:rsidP="00871EF1">
            <w:pPr>
              <w:spacing w:before="40" w:after="120"/>
              <w:ind w:right="113"/>
            </w:pPr>
            <w:r w:rsidRPr="00871EF1">
              <w:t>Global</w:t>
            </w:r>
          </w:p>
        </w:tc>
        <w:tc>
          <w:tcPr>
            <w:tcW w:w="1230" w:type="dxa"/>
            <w:shd w:val="clear" w:color="auto" w:fill="auto"/>
            <w:tcMar>
              <w:top w:w="100" w:type="dxa"/>
              <w:left w:w="100" w:type="dxa"/>
              <w:bottom w:w="100" w:type="dxa"/>
              <w:right w:w="100" w:type="dxa"/>
            </w:tcMar>
          </w:tcPr>
          <w:p w14:paraId="7BB4759B" w14:textId="77777777" w:rsidR="0008638B" w:rsidRPr="00871EF1" w:rsidRDefault="0008638B" w:rsidP="00871EF1">
            <w:pPr>
              <w:spacing w:before="40" w:after="120"/>
              <w:ind w:right="113"/>
            </w:pPr>
            <w:r w:rsidRPr="00871EF1">
              <w:t>All vehicles</w:t>
            </w:r>
          </w:p>
        </w:tc>
      </w:tr>
      <w:tr w:rsidR="0008638B" w:rsidRPr="00871EF1" w14:paraId="1F926B34" w14:textId="77777777" w:rsidTr="00E43930">
        <w:tc>
          <w:tcPr>
            <w:tcW w:w="2072" w:type="dxa"/>
            <w:shd w:val="clear" w:color="auto" w:fill="auto"/>
            <w:tcMar>
              <w:top w:w="100" w:type="dxa"/>
              <w:left w:w="100" w:type="dxa"/>
              <w:bottom w:w="100" w:type="dxa"/>
              <w:right w:w="100" w:type="dxa"/>
            </w:tcMar>
          </w:tcPr>
          <w:p w14:paraId="7BA63CF9" w14:textId="77777777" w:rsidR="0008638B" w:rsidRPr="00871EF1" w:rsidRDefault="00AD759C" w:rsidP="00871EF1">
            <w:pPr>
              <w:spacing w:before="40" w:after="120"/>
              <w:ind w:right="113"/>
            </w:pPr>
            <w:hyperlink r:id="rId21">
              <w:r w:rsidR="0008638B" w:rsidRPr="00871EF1">
                <w:rPr>
                  <w:b/>
                </w:rPr>
                <w:t>Global Memorandum of Understanding on Zero-Emission Medium- and Heavy-Duty Vehicles</w:t>
              </w:r>
            </w:hyperlink>
          </w:p>
        </w:tc>
        <w:tc>
          <w:tcPr>
            <w:tcW w:w="2605" w:type="dxa"/>
            <w:shd w:val="clear" w:color="auto" w:fill="auto"/>
            <w:tcMar>
              <w:top w:w="100" w:type="dxa"/>
              <w:left w:w="100" w:type="dxa"/>
              <w:bottom w:w="100" w:type="dxa"/>
              <w:right w:w="100" w:type="dxa"/>
            </w:tcMar>
          </w:tcPr>
          <w:p w14:paraId="337E2820" w14:textId="41C2234F" w:rsidR="0008638B" w:rsidRPr="00871EF1" w:rsidRDefault="0008638B" w:rsidP="00871EF1">
            <w:pPr>
              <w:spacing w:before="40" w:after="120"/>
              <w:ind w:right="113"/>
            </w:pPr>
            <w:r w:rsidRPr="00871EF1">
              <w:t>Leading countries to target 100 per cent zero-emission truck and bus sales by 2040, interim goal is 30 per cent zero-emission vehicle sales by 2030.</w:t>
            </w:r>
          </w:p>
        </w:tc>
        <w:tc>
          <w:tcPr>
            <w:tcW w:w="1560" w:type="dxa"/>
            <w:shd w:val="clear" w:color="auto" w:fill="auto"/>
            <w:tcMar>
              <w:top w:w="100" w:type="dxa"/>
              <w:left w:w="100" w:type="dxa"/>
              <w:bottom w:w="100" w:type="dxa"/>
              <w:right w:w="100" w:type="dxa"/>
            </w:tcMar>
          </w:tcPr>
          <w:p w14:paraId="09D61D48" w14:textId="77777777" w:rsidR="0008638B" w:rsidRPr="00871EF1" w:rsidRDefault="0008638B" w:rsidP="00871EF1">
            <w:pPr>
              <w:spacing w:before="40" w:after="120"/>
              <w:ind w:right="113"/>
            </w:pPr>
            <w:r w:rsidRPr="00871EF1">
              <w:t>27 signatories</w:t>
            </w:r>
          </w:p>
        </w:tc>
        <w:tc>
          <w:tcPr>
            <w:tcW w:w="897" w:type="dxa"/>
            <w:shd w:val="clear" w:color="auto" w:fill="auto"/>
            <w:tcMar>
              <w:top w:w="100" w:type="dxa"/>
              <w:left w:w="100" w:type="dxa"/>
              <w:bottom w:w="100" w:type="dxa"/>
              <w:right w:w="100" w:type="dxa"/>
            </w:tcMar>
          </w:tcPr>
          <w:p w14:paraId="762E1BD5" w14:textId="77777777" w:rsidR="0008638B" w:rsidRPr="00871EF1" w:rsidRDefault="0008638B" w:rsidP="00871EF1">
            <w:pPr>
              <w:spacing w:before="40" w:after="120"/>
              <w:ind w:right="113"/>
            </w:pPr>
            <w:r w:rsidRPr="00871EF1">
              <w:t>Global</w:t>
            </w:r>
          </w:p>
        </w:tc>
        <w:tc>
          <w:tcPr>
            <w:tcW w:w="1230" w:type="dxa"/>
            <w:shd w:val="clear" w:color="auto" w:fill="auto"/>
            <w:tcMar>
              <w:top w:w="100" w:type="dxa"/>
              <w:left w:w="100" w:type="dxa"/>
              <w:bottom w:w="100" w:type="dxa"/>
              <w:right w:w="100" w:type="dxa"/>
            </w:tcMar>
          </w:tcPr>
          <w:p w14:paraId="61EEC1EC" w14:textId="77777777" w:rsidR="0008638B" w:rsidRPr="00871EF1" w:rsidRDefault="0008638B" w:rsidP="00871EF1">
            <w:pPr>
              <w:spacing w:before="40" w:after="120"/>
              <w:ind w:right="113"/>
            </w:pPr>
            <w:r w:rsidRPr="00871EF1">
              <w:t>Medium- and heavy-duty vehicles</w:t>
            </w:r>
          </w:p>
        </w:tc>
      </w:tr>
      <w:tr w:rsidR="0008638B" w:rsidRPr="00871EF1" w14:paraId="322013F8" w14:textId="77777777" w:rsidTr="00E43930">
        <w:tc>
          <w:tcPr>
            <w:tcW w:w="2072" w:type="dxa"/>
            <w:tcBorders>
              <w:bottom w:val="single" w:sz="12" w:space="0" w:color="auto"/>
            </w:tcBorders>
            <w:shd w:val="clear" w:color="auto" w:fill="auto"/>
            <w:tcMar>
              <w:top w:w="100" w:type="dxa"/>
              <w:left w:w="100" w:type="dxa"/>
              <w:bottom w:w="100" w:type="dxa"/>
              <w:right w:w="100" w:type="dxa"/>
            </w:tcMar>
          </w:tcPr>
          <w:p w14:paraId="4F277604" w14:textId="77777777" w:rsidR="0008638B" w:rsidRPr="00871EF1" w:rsidRDefault="00AD759C" w:rsidP="00871EF1">
            <w:pPr>
              <w:spacing w:before="40" w:after="120"/>
              <w:ind w:right="113"/>
              <w:rPr>
                <w:b/>
              </w:rPr>
            </w:pPr>
            <w:hyperlink r:id="rId22">
              <w:r w:rsidR="0008638B" w:rsidRPr="00871EF1">
                <w:rPr>
                  <w:b/>
                </w:rPr>
                <w:t>Low Carbon Transport for Urban Sustainability (LOTUS)</w:t>
              </w:r>
            </w:hyperlink>
          </w:p>
        </w:tc>
        <w:tc>
          <w:tcPr>
            <w:tcW w:w="2605" w:type="dxa"/>
            <w:tcBorders>
              <w:bottom w:val="single" w:sz="12" w:space="0" w:color="auto"/>
            </w:tcBorders>
            <w:shd w:val="clear" w:color="auto" w:fill="auto"/>
            <w:tcMar>
              <w:top w:w="100" w:type="dxa"/>
              <w:left w:w="100" w:type="dxa"/>
              <w:bottom w:w="100" w:type="dxa"/>
              <w:right w:w="100" w:type="dxa"/>
            </w:tcMar>
          </w:tcPr>
          <w:p w14:paraId="37E76646" w14:textId="77777777" w:rsidR="0008638B" w:rsidRPr="00871EF1" w:rsidRDefault="0008638B" w:rsidP="00871EF1">
            <w:pPr>
              <w:spacing w:before="40" w:after="120"/>
              <w:ind w:right="113"/>
            </w:pPr>
            <w:r w:rsidRPr="00871EF1">
              <w:t>Scale up investments for electric vehicles and sustainable mobility infrastructure</w:t>
            </w:r>
          </w:p>
          <w:p w14:paraId="434B57B5" w14:textId="77777777" w:rsidR="0008638B" w:rsidRPr="00871EF1" w:rsidRDefault="0008638B" w:rsidP="00871EF1">
            <w:pPr>
              <w:spacing w:before="40" w:after="120"/>
              <w:ind w:right="113"/>
            </w:pPr>
            <w:r w:rsidRPr="00871EF1">
              <w:t xml:space="preserve">Empower and invest in informal transportation to decarbonise, mobilise towards Sustainable Development Goal 11, achieve climate resilience and develop a global agenda </w:t>
            </w:r>
            <w:r w:rsidRPr="00871EF1">
              <w:lastRenderedPageBreak/>
              <w:t>for a just transition and transformation</w:t>
            </w:r>
          </w:p>
          <w:p w14:paraId="3C709126" w14:textId="77777777" w:rsidR="0008638B" w:rsidRPr="00871EF1" w:rsidRDefault="0008638B" w:rsidP="00871EF1">
            <w:pPr>
              <w:spacing w:before="40" w:after="120"/>
              <w:ind w:right="113"/>
            </w:pPr>
            <w:r w:rsidRPr="00871EF1">
              <w:t>Build capacity to develop integrated, multimodal policy frameworks in low- and middle-income countries</w:t>
            </w:r>
          </w:p>
        </w:tc>
        <w:tc>
          <w:tcPr>
            <w:tcW w:w="1560" w:type="dxa"/>
            <w:tcBorders>
              <w:bottom w:val="single" w:sz="12" w:space="0" w:color="auto"/>
            </w:tcBorders>
            <w:shd w:val="clear" w:color="auto" w:fill="auto"/>
            <w:tcMar>
              <w:top w:w="100" w:type="dxa"/>
              <w:left w:w="100" w:type="dxa"/>
              <w:bottom w:w="100" w:type="dxa"/>
              <w:right w:w="100" w:type="dxa"/>
            </w:tcMar>
          </w:tcPr>
          <w:p w14:paraId="457D22D7" w14:textId="77777777" w:rsidR="0008638B" w:rsidRPr="00871EF1" w:rsidRDefault="0008638B" w:rsidP="00871EF1">
            <w:pPr>
              <w:spacing w:before="40" w:after="120"/>
              <w:ind w:right="113"/>
            </w:pPr>
            <w:r w:rsidRPr="00871EF1">
              <w:lastRenderedPageBreak/>
              <w:t>Not available</w:t>
            </w:r>
          </w:p>
        </w:tc>
        <w:tc>
          <w:tcPr>
            <w:tcW w:w="897" w:type="dxa"/>
            <w:tcBorders>
              <w:bottom w:val="single" w:sz="12" w:space="0" w:color="auto"/>
            </w:tcBorders>
            <w:shd w:val="clear" w:color="auto" w:fill="auto"/>
            <w:tcMar>
              <w:top w:w="100" w:type="dxa"/>
              <w:left w:w="100" w:type="dxa"/>
              <w:bottom w:w="100" w:type="dxa"/>
              <w:right w:w="100" w:type="dxa"/>
            </w:tcMar>
          </w:tcPr>
          <w:p w14:paraId="6CAE693F" w14:textId="77777777" w:rsidR="0008638B" w:rsidRPr="00871EF1" w:rsidRDefault="0008638B" w:rsidP="00871EF1">
            <w:pPr>
              <w:spacing w:before="40" w:after="120"/>
              <w:ind w:right="113"/>
            </w:pPr>
            <w:r w:rsidRPr="00871EF1">
              <w:t>LMICs</w:t>
            </w:r>
          </w:p>
        </w:tc>
        <w:tc>
          <w:tcPr>
            <w:tcW w:w="1230" w:type="dxa"/>
            <w:tcBorders>
              <w:bottom w:val="single" w:sz="12" w:space="0" w:color="auto"/>
            </w:tcBorders>
            <w:shd w:val="clear" w:color="auto" w:fill="auto"/>
            <w:tcMar>
              <w:top w:w="100" w:type="dxa"/>
              <w:left w:w="100" w:type="dxa"/>
              <w:bottom w:w="100" w:type="dxa"/>
              <w:right w:w="100" w:type="dxa"/>
            </w:tcMar>
          </w:tcPr>
          <w:p w14:paraId="7A08793D" w14:textId="77777777" w:rsidR="0008638B" w:rsidRPr="00871EF1" w:rsidRDefault="0008638B" w:rsidP="00871EF1">
            <w:pPr>
              <w:spacing w:before="40" w:after="120"/>
              <w:ind w:right="113"/>
            </w:pPr>
            <w:r w:rsidRPr="00871EF1">
              <w:t>Urban Transport</w:t>
            </w:r>
          </w:p>
        </w:tc>
      </w:tr>
    </w:tbl>
    <w:p w14:paraId="1D5A37A4" w14:textId="6AD901BC" w:rsidR="0008638B" w:rsidRPr="008775D6" w:rsidRDefault="0083205D" w:rsidP="00C32DAC">
      <w:pPr>
        <w:pStyle w:val="SingleTxtG"/>
        <w:spacing w:before="240"/>
        <w:ind w:right="992"/>
      </w:pPr>
      <w:r w:rsidRPr="008775D6">
        <w:t>48</w:t>
      </w:r>
      <w:r w:rsidR="0008638B" w:rsidRPr="008775D6">
        <w:t>.</w:t>
      </w:r>
      <w:r w:rsidR="0008638B" w:rsidRPr="008775D6">
        <w:tab/>
        <w:t>Non-legally binding commitments, such as the COP26 and COP27 initiatives, made in parallel to formal COP negotiations can encourage multi-stakeholder action towards the implementation of the Paris Agreement. These initiatives can be supported through monitoring, review and verification mechanisms by the UNFCCC and an enhanced alignment of these commitments to the NDCs of signatory countries. As of the end of 2022, the NDCs of signatory countries continued lacking explicit references to the transport commitments they signed to on the occasion of COP26. There is still weak alignment between the NDCs of signatory countries and the transport commitments and initiatives launched on the occasion of COP26 and COP27 that they signed to.</w:t>
      </w:r>
      <w:r w:rsidR="0008638B" w:rsidRPr="008775D6">
        <w:rPr>
          <w:vertAlign w:val="superscript"/>
        </w:rPr>
        <w:footnoteReference w:id="58"/>
      </w:r>
    </w:p>
    <w:p w14:paraId="29153DB6" w14:textId="0A37869F" w:rsidR="0008638B" w:rsidRPr="008775D6" w:rsidRDefault="0008638B" w:rsidP="0008638B">
      <w:pPr>
        <w:pStyle w:val="H23G"/>
      </w:pPr>
      <w:r w:rsidRPr="008775D6">
        <w:tab/>
        <w:t>2.</w:t>
      </w:r>
      <w:r w:rsidRPr="008775D6">
        <w:tab/>
        <w:t>Breakthrough Agenda on Road Transport</w:t>
      </w:r>
    </w:p>
    <w:p w14:paraId="2EED2C43" w14:textId="0CACE4C0" w:rsidR="0008638B" w:rsidRPr="008775D6" w:rsidRDefault="0083205D" w:rsidP="008775D6">
      <w:pPr>
        <w:pStyle w:val="SingleTxtG"/>
        <w:ind w:right="993"/>
      </w:pPr>
      <w:r w:rsidRPr="008775D6">
        <w:t>49</w:t>
      </w:r>
      <w:r w:rsidR="0008638B" w:rsidRPr="008775D6">
        <w:t>.</w:t>
      </w:r>
      <w:r w:rsidR="0008638B" w:rsidRPr="008775D6">
        <w:tab/>
        <w:t>The Breakthrough Agenda was initiated by the U</w:t>
      </w:r>
      <w:r w:rsidR="00AF03B9">
        <w:t xml:space="preserve">nited </w:t>
      </w:r>
      <w:r w:rsidR="0008638B" w:rsidRPr="008775D6">
        <w:t>K</w:t>
      </w:r>
      <w:r w:rsidR="00AF03B9">
        <w:t>ingdom</w:t>
      </w:r>
      <w:r w:rsidR="0008638B" w:rsidRPr="008775D6">
        <w:t xml:space="preserve"> COP26 Presidency under the joint stewardship of Mission Innovation and Clean Energy Ministerial from COP27 onwards and the backing of the United Nations High Level Champions.</w:t>
      </w:r>
      <w:r w:rsidR="0008638B" w:rsidRPr="008775D6">
        <w:rPr>
          <w:vertAlign w:val="superscript"/>
        </w:rPr>
        <w:footnoteReference w:id="59"/>
      </w:r>
      <w:r w:rsidR="0008638B" w:rsidRPr="008775D6">
        <w:t xml:space="preserve"> The Breakthrough Agenda has the overarching mission to make clean technologies and sustainable solutions the most affordable, accessible and attractive options before 2030.</w:t>
      </w:r>
      <w:r w:rsidR="0008638B" w:rsidRPr="008775D6">
        <w:rPr>
          <w:vertAlign w:val="superscript"/>
        </w:rPr>
        <w:footnoteReference w:id="60"/>
      </w:r>
      <w:r w:rsidR="0008638B" w:rsidRPr="008775D6">
        <w:t xml:space="preserve"> In road transport it means that battery-electric and fuel cell electric vehicles across all modes are expected to represent a substantive share of sales. The Road Breakthrough Agenda is concerned with long-term vision, finance and investment, supply chains, infrastructure and trade conditions. At COP27, the countries which are part of the Road Transport Breakthrough Agenda have committed to implement common and coordinated actions for the zero-emission vehicle transition and to review progress by COP28. The Breakthrough Agenda will coordinate with other global initiatives and work on synergies. The Accelerating to Zero (A2Z) Coalition was nominated to coordinate six initiatives (ZEV declaration, Electric Vehicles Initiative, EV100, EV100+, Global Memorandum of Understanding on Zero-Emission Medium- and Heavy-Duty Vehicles, First Movers Coalition's Trucking Commitments).</w:t>
      </w:r>
      <w:r w:rsidR="0008638B" w:rsidRPr="008775D6">
        <w:rPr>
          <w:vertAlign w:val="superscript"/>
        </w:rPr>
        <w:footnoteReference w:id="61"/>
      </w:r>
    </w:p>
    <w:p w14:paraId="19724A1E" w14:textId="0F342BCD" w:rsidR="0008638B" w:rsidRPr="008775D6" w:rsidRDefault="0008638B" w:rsidP="008775D6">
      <w:pPr>
        <w:pStyle w:val="H23G"/>
      </w:pPr>
      <w:r w:rsidRPr="008775D6">
        <w:tab/>
        <w:t>3.</w:t>
      </w:r>
      <w:r w:rsidRPr="008775D6">
        <w:tab/>
        <w:t>United Nations</w:t>
      </w:r>
      <w:r w:rsidR="00972D1E">
        <w:t>’</w:t>
      </w:r>
      <w:r w:rsidRPr="008775D6">
        <w:t xml:space="preserve"> Transport Activities</w:t>
      </w:r>
    </w:p>
    <w:p w14:paraId="509212BA" w14:textId="3CD3F8C7" w:rsidR="0008638B" w:rsidRPr="008775D6" w:rsidRDefault="0083205D" w:rsidP="008775D6">
      <w:pPr>
        <w:pStyle w:val="SingleTxtG"/>
        <w:ind w:right="993"/>
      </w:pPr>
      <w:r w:rsidRPr="008775D6">
        <w:t>50</w:t>
      </w:r>
      <w:r w:rsidR="0008638B" w:rsidRPr="008775D6">
        <w:t>.</w:t>
      </w:r>
      <w:r w:rsidR="0008638B" w:rsidRPr="008775D6">
        <w:tab/>
        <w:t>The United Nations recognises the crucial role of sustainable transport for sustainable development and the achievement of the Sustainable Development Goals (Sustainable Development Goals). The role of transport in sustainable development is being captured in outcome document of all major United Nations</w:t>
      </w:r>
      <w:r w:rsidR="008775D6">
        <w:t xml:space="preserve"> </w:t>
      </w:r>
      <w:r w:rsidR="0008638B" w:rsidRPr="008775D6">
        <w:t>conferences, such as:</w:t>
      </w:r>
    </w:p>
    <w:p w14:paraId="0EE53B65" w14:textId="77777777" w:rsidR="0008638B" w:rsidRPr="008775D6" w:rsidRDefault="0008638B" w:rsidP="008775D6">
      <w:pPr>
        <w:pStyle w:val="Bullet1G"/>
        <w:ind w:right="993"/>
      </w:pPr>
      <w:r w:rsidRPr="008775D6">
        <w:t>Agenda 21 of the 1992 United Nations Earth Summit in Rio de Janeiro (Brazil);</w:t>
      </w:r>
    </w:p>
    <w:p w14:paraId="0B2452A8" w14:textId="77777777" w:rsidR="0008638B" w:rsidRPr="008775D6" w:rsidRDefault="0008638B" w:rsidP="008775D6">
      <w:pPr>
        <w:pStyle w:val="Bullet1G"/>
        <w:ind w:right="993"/>
      </w:pPr>
      <w:r w:rsidRPr="008775D6">
        <w:lastRenderedPageBreak/>
        <w:t>Johannesburg Plan of Implementation (</w:t>
      </w:r>
      <w:proofErr w:type="spellStart"/>
      <w:r w:rsidRPr="008775D6">
        <w:t>JPoI</w:t>
      </w:r>
      <w:proofErr w:type="spellEnd"/>
      <w:r w:rsidRPr="008775D6">
        <w:t>) of the 2002 World Summit on Sustainable Development in Johannesburg (South Africa);</w:t>
      </w:r>
    </w:p>
    <w:p w14:paraId="0B83BD05" w14:textId="77777777" w:rsidR="0008638B" w:rsidRPr="008775D6" w:rsidRDefault="0008638B" w:rsidP="008775D6">
      <w:pPr>
        <w:pStyle w:val="Bullet1G"/>
        <w:ind w:right="993"/>
      </w:pPr>
      <w:r w:rsidRPr="008775D6">
        <w:t>The Future We Want of the 2012 United Nations Conference on Sustainable Development (Rio +20).</w:t>
      </w:r>
    </w:p>
    <w:p w14:paraId="57F70EF4" w14:textId="4BC90A11" w:rsidR="0008638B" w:rsidRPr="004446C3" w:rsidRDefault="0083205D" w:rsidP="008775D6">
      <w:pPr>
        <w:pStyle w:val="SingleTxtG"/>
        <w:ind w:right="993"/>
      </w:pPr>
      <w:r w:rsidRPr="008775D6">
        <w:t>51</w:t>
      </w:r>
      <w:r w:rsidR="0008638B" w:rsidRPr="008775D6">
        <w:t>.</w:t>
      </w:r>
      <w:r w:rsidR="0008638B" w:rsidRPr="008775D6">
        <w:tab/>
        <w:t xml:space="preserve">There were two dedicated United Nations conferences on sustainable transport. The first global conference was held in Ashgabat (Turkmenistan) in 2016, followed by the second global conference in Beijing (China) in 2021. At the second global conference, United Nations Secretary-General António Guterres stressed the importance of transport </w:t>
      </w:r>
      <w:r w:rsidR="0008638B" w:rsidRPr="004446C3">
        <w:t>decarbonisation in his opening remarks. He shared three priorities for the sector:</w:t>
      </w:r>
      <w:r w:rsidR="0008638B" w:rsidRPr="004446C3">
        <w:rPr>
          <w:vertAlign w:val="superscript"/>
        </w:rPr>
        <w:footnoteReference w:id="62"/>
      </w:r>
    </w:p>
    <w:p w14:paraId="3C0591F0" w14:textId="5BD41593" w:rsidR="0008638B" w:rsidRPr="004446C3" w:rsidRDefault="0008638B" w:rsidP="008775D6">
      <w:pPr>
        <w:pStyle w:val="SingleTxtG"/>
        <w:ind w:right="993"/>
        <w:rPr>
          <w:b/>
          <w:bCs/>
        </w:rPr>
      </w:pPr>
      <w:r w:rsidRPr="004446C3">
        <w:tab/>
      </w:r>
      <w:r w:rsidRPr="004446C3">
        <w:tab/>
      </w:r>
      <w:r w:rsidRPr="004446C3">
        <w:rPr>
          <w:bCs/>
        </w:rPr>
        <w:t>(a)</w:t>
      </w:r>
      <w:r w:rsidRPr="004446C3">
        <w:rPr>
          <w:bCs/>
        </w:rPr>
        <w:tab/>
        <w:t>“Phase out the production of internal combustion engine vehicles by 2035 for leading manufacturing countries, and by 2040 for developing countries.</w:t>
      </w:r>
    </w:p>
    <w:p w14:paraId="3CBC8239" w14:textId="51A3041F" w:rsidR="0008638B" w:rsidRPr="004446C3" w:rsidRDefault="0008638B" w:rsidP="008775D6">
      <w:pPr>
        <w:pStyle w:val="SingleTxtG"/>
        <w:ind w:right="993"/>
        <w:rPr>
          <w:b/>
          <w:bCs/>
        </w:rPr>
      </w:pPr>
      <w:r w:rsidRPr="004446C3">
        <w:tab/>
      </w:r>
      <w:r w:rsidRPr="004446C3">
        <w:tab/>
      </w:r>
      <w:r w:rsidRPr="004446C3">
        <w:rPr>
          <w:bCs/>
        </w:rPr>
        <w:t>(b)</w:t>
      </w:r>
      <w:r w:rsidRPr="004446C3">
        <w:rPr>
          <w:bCs/>
        </w:rPr>
        <w:tab/>
        <w:t>Zero emission ships must be the default choice, and commercially available for all by 2030, in order to achieve zero emissions in the shipping sector by 2050.</w:t>
      </w:r>
    </w:p>
    <w:p w14:paraId="26DC9CF9" w14:textId="5350C562" w:rsidR="0008638B" w:rsidRPr="004446C3" w:rsidRDefault="0008638B" w:rsidP="008775D6">
      <w:pPr>
        <w:pStyle w:val="SingleTxtG"/>
        <w:ind w:right="993"/>
        <w:rPr>
          <w:b/>
          <w:bCs/>
        </w:rPr>
      </w:pPr>
      <w:r w:rsidRPr="004446C3">
        <w:tab/>
      </w:r>
      <w:r w:rsidRPr="004446C3">
        <w:tab/>
      </w:r>
      <w:r w:rsidRPr="004446C3">
        <w:rPr>
          <w:bCs/>
        </w:rPr>
        <w:t>(c)</w:t>
      </w:r>
      <w:r w:rsidRPr="004446C3">
        <w:rPr>
          <w:bCs/>
        </w:rPr>
        <w:tab/>
        <w:t>Companies must start using sustainable aviation fuels now, in order to cut carbon emissions per passenger by 65 per cent by 2050.”</w:t>
      </w:r>
    </w:p>
    <w:p w14:paraId="787ED53E" w14:textId="682F1FBB" w:rsidR="0008638B" w:rsidRPr="008775D6" w:rsidRDefault="0083205D" w:rsidP="008775D6">
      <w:pPr>
        <w:pStyle w:val="SingleTxtG"/>
        <w:ind w:right="993"/>
      </w:pPr>
      <w:r w:rsidRPr="008775D6">
        <w:t>52</w:t>
      </w:r>
      <w:r w:rsidR="0008638B" w:rsidRPr="008775D6">
        <w:t>.</w:t>
      </w:r>
      <w:r w:rsidR="0008638B" w:rsidRPr="008775D6">
        <w:tab/>
        <w:t>The second conference concluded with the Beijing Statement, an action-oriented outcome document.</w:t>
      </w:r>
      <w:r w:rsidR="0008638B" w:rsidRPr="008775D6">
        <w:rPr>
          <w:vertAlign w:val="superscript"/>
        </w:rPr>
        <w:footnoteReference w:id="63"/>
      </w:r>
      <w:r w:rsidR="0008638B" w:rsidRPr="008775D6">
        <w:t xml:space="preserve"> In 2023, the United Nations General Assembly declared 26 November as World Sustainable Transport Day through resolution A/77/286.</w:t>
      </w:r>
    </w:p>
    <w:p w14:paraId="1D613ED4" w14:textId="3293B515" w:rsidR="00520B04" w:rsidRPr="008775D6" w:rsidRDefault="0083205D" w:rsidP="008775D6">
      <w:pPr>
        <w:pStyle w:val="SingleTxtG"/>
        <w:ind w:right="993"/>
      </w:pPr>
      <w:r w:rsidRPr="008775D6">
        <w:t>53</w:t>
      </w:r>
      <w:r w:rsidR="0008638B" w:rsidRPr="008775D6">
        <w:t>.</w:t>
      </w:r>
      <w:r w:rsidR="0008638B" w:rsidRPr="008775D6">
        <w:tab/>
        <w:t>This shows the growing political attention that transport has received over the past years in high level United Nations fora. Building on these achievements, the next frontier is to lay out specific targets on sustainable transport to show a clear pathway to support countries in setting their own objectives. The recent November 2023 resolution (A/C.2/78/L.27/rev.1), calling for a Decade on sustainable transport from 2026, offers an unprecedented window of political opportunity to enhance the scope of possible global targets which could convey an ambitious and clear multilateral message for pathways to be determined at a national level.</w:t>
      </w:r>
    </w:p>
    <w:p w14:paraId="74064FEC" w14:textId="69C95898" w:rsidR="00644D39" w:rsidRPr="00C32DAC" w:rsidRDefault="00644D39" w:rsidP="008775D6">
      <w:pPr>
        <w:pStyle w:val="H1G"/>
        <w:ind w:right="993"/>
      </w:pPr>
      <w:r w:rsidRPr="00520B04">
        <w:tab/>
        <w:t>B.</w:t>
      </w:r>
      <w:r w:rsidR="00520B04">
        <w:tab/>
      </w:r>
      <w:r w:rsidR="00853C65" w:rsidRPr="00520B04">
        <w:t xml:space="preserve">Involvement of the </w:t>
      </w:r>
      <w:r w:rsidR="00520B04">
        <w:t>F</w:t>
      </w:r>
      <w:r w:rsidR="00853C65" w:rsidRPr="00520B04">
        <w:t xml:space="preserve">inancing and </w:t>
      </w:r>
      <w:r w:rsidR="00520B04">
        <w:t>P</w:t>
      </w:r>
      <w:r w:rsidR="00853C65" w:rsidRPr="00520B04">
        <w:t xml:space="preserve">rivate </w:t>
      </w:r>
      <w:r w:rsidR="00520B04">
        <w:t>S</w:t>
      </w:r>
      <w:r w:rsidR="00853C65" w:rsidRPr="00520B04">
        <w:t xml:space="preserve">ectors to support </w:t>
      </w:r>
      <w:r w:rsidR="00520B04">
        <w:t>I</w:t>
      </w:r>
      <w:r w:rsidR="00853C65" w:rsidRPr="00520B04">
        <w:t xml:space="preserve">nland </w:t>
      </w:r>
      <w:r w:rsidR="00520B04">
        <w:t>T</w:t>
      </w:r>
      <w:r w:rsidR="00853C65" w:rsidRPr="00520B04">
        <w:t xml:space="preserve">ransport </w:t>
      </w:r>
      <w:r w:rsidR="00520B04">
        <w:t>D</w:t>
      </w:r>
      <w:r w:rsidR="00853C65" w:rsidRPr="00520B04">
        <w:t>ecarbo</w:t>
      </w:r>
      <w:r w:rsidR="00853C65" w:rsidRPr="00C32DAC">
        <w:t>nization</w:t>
      </w:r>
    </w:p>
    <w:p w14:paraId="3134FBA9" w14:textId="0D23B90B" w:rsidR="00644D39" w:rsidRPr="008775D6" w:rsidRDefault="0083205D" w:rsidP="008775D6">
      <w:pPr>
        <w:pStyle w:val="SingleTxtG"/>
        <w:ind w:right="993"/>
        <w:rPr>
          <w:vertAlign w:val="superscript"/>
        </w:rPr>
      </w:pPr>
      <w:r w:rsidRPr="008775D6">
        <w:t>54</w:t>
      </w:r>
      <w:r w:rsidR="00644D39" w:rsidRPr="008775D6">
        <w:t>.</w:t>
      </w:r>
      <w:r w:rsidR="00644D39" w:rsidRPr="008775D6">
        <w:tab/>
        <w:t>Achieving the needed reductions in greenhouse gas emissions from transport will require strong actions, including regulations and fiscal incentives as well as large investments in infrastructure to enable low- and zero-emission transport. The average amount dedicated to climate finance in fiscal year 2019 and 2020 was USD 585 billion, which is less than a quarter of the estimated amount required to achieve climate goals with only a small percentage covering transport decarbonisation projects. International finance and investments from development financial institutions for transport reached 169 billion USD in the same period.</w:t>
      </w:r>
      <w:r w:rsidR="00644D39" w:rsidRPr="008775D6">
        <w:rPr>
          <w:vertAlign w:val="superscript"/>
        </w:rPr>
        <w:footnoteReference w:id="64"/>
      </w:r>
      <w:r w:rsidR="00644D39" w:rsidRPr="008775D6">
        <w:t xml:space="preserve"> Although this was an increase from USD 136 billion in 2017-2018, this is still far short of what is needed. Achieving the goal of keeping global temperature rise within 1.5°C by 2050 through improvements in the efficiency of road transport would cost USD 3 trillion.</w:t>
      </w:r>
      <w:r w:rsidR="00644D39" w:rsidRPr="008775D6">
        <w:rPr>
          <w:vertAlign w:val="superscript"/>
        </w:rPr>
        <w:footnoteReference w:id="65"/>
      </w:r>
    </w:p>
    <w:p w14:paraId="58A73DA9" w14:textId="23F06710" w:rsidR="00644D39" w:rsidRPr="008775D6" w:rsidRDefault="0083205D" w:rsidP="008775D6">
      <w:pPr>
        <w:pStyle w:val="SingleTxtG"/>
        <w:ind w:right="993"/>
      </w:pPr>
      <w:r w:rsidRPr="008775D6">
        <w:t>55</w:t>
      </w:r>
      <w:r w:rsidR="00644D39" w:rsidRPr="008775D6">
        <w:t>.</w:t>
      </w:r>
      <w:r w:rsidR="00644D39" w:rsidRPr="008775D6">
        <w:tab/>
        <w:t xml:space="preserve">In addition to the gap in climate finance, there is a strong imbalance in investments. Road transport represented around three-quarters of all transport infrastructure investment in </w:t>
      </w:r>
      <w:r w:rsidR="00644D39" w:rsidRPr="008775D6">
        <w:lastRenderedPageBreak/>
        <w:t>Africa and the Americas in 2022.</w:t>
      </w:r>
      <w:r w:rsidR="00644D39" w:rsidRPr="008775D6">
        <w:rPr>
          <w:vertAlign w:val="superscript"/>
        </w:rPr>
        <w:footnoteReference w:id="66"/>
      </w:r>
      <w:r w:rsidR="00644D39" w:rsidRPr="008775D6">
        <w:rPr>
          <w:vertAlign w:val="superscript"/>
        </w:rPr>
        <w:t xml:space="preserve"> </w:t>
      </w:r>
      <w:r w:rsidR="00644D39" w:rsidRPr="008775D6">
        <w:t>Transport was a major recipient of COVID-19 recovery investment. In the G20 countries, the majority of the stimulus funding for transport went to the rail and road sectors, with almost no funding for active transport; this is in line with overall G20 transport investment in recent years.</w:t>
      </w:r>
      <w:r w:rsidR="00644D39" w:rsidRPr="008775D6">
        <w:rPr>
          <w:vertAlign w:val="superscript"/>
        </w:rPr>
        <w:footnoteReference w:id="67"/>
      </w:r>
      <w:r w:rsidR="00644D39" w:rsidRPr="008775D6">
        <w:t xml:space="preserve"> Fossil fuel subsidies have continued to grow, rising 27 per cent in 2021 to USD 227 billion. Repurposing the funds that go into fossil fuel subsidies towards more sustainable, low-carbon transport models should be sought.</w:t>
      </w:r>
      <w:r w:rsidR="00644D39" w:rsidRPr="008775D6">
        <w:rPr>
          <w:vertAlign w:val="superscript"/>
        </w:rPr>
        <w:footnoteReference w:id="68"/>
      </w:r>
    </w:p>
    <w:p w14:paraId="22F5703C" w14:textId="04A48617" w:rsidR="00644D39" w:rsidRPr="008775D6" w:rsidRDefault="0083205D" w:rsidP="008775D6">
      <w:pPr>
        <w:pStyle w:val="SingleTxtG"/>
        <w:ind w:right="993"/>
      </w:pPr>
      <w:r w:rsidRPr="008775D6">
        <w:t>56</w:t>
      </w:r>
      <w:r w:rsidR="00644D39" w:rsidRPr="008775D6">
        <w:t>.</w:t>
      </w:r>
      <w:r w:rsidR="00644D39" w:rsidRPr="008775D6">
        <w:tab/>
        <w:t>There are also severe capacity building needs: It is estimated that at least 250,000 skilled staff on urban transport planning across low- and middle-income countries would be needed. However, this estimate does not take into account the significant needs at the national and local levels for skilled planners in non-urban transport planning or in related areas such as urban planning and land management.</w:t>
      </w:r>
      <w:r w:rsidR="00644D39" w:rsidRPr="008775D6">
        <w:rPr>
          <w:vertAlign w:val="superscript"/>
        </w:rPr>
        <w:footnoteReference w:id="69"/>
      </w:r>
    </w:p>
    <w:p w14:paraId="3CDF8098" w14:textId="77777777" w:rsidR="00644D39" w:rsidRPr="008775D6" w:rsidRDefault="00644D39" w:rsidP="00644D39">
      <w:pPr>
        <w:pStyle w:val="H23G"/>
      </w:pPr>
      <w:r w:rsidRPr="008775D6">
        <w:tab/>
        <w:t>1.</w:t>
      </w:r>
      <w:r w:rsidRPr="008775D6">
        <w:tab/>
        <w:t>Paris Alignment in Multilateral Development Bank Operations</w:t>
      </w:r>
    </w:p>
    <w:p w14:paraId="0C3B8123" w14:textId="7682D942" w:rsidR="00644D39" w:rsidRPr="008775D6" w:rsidRDefault="0083205D" w:rsidP="008775D6">
      <w:pPr>
        <w:pStyle w:val="SingleTxtG"/>
        <w:ind w:right="993"/>
      </w:pPr>
      <w:r w:rsidRPr="008775D6">
        <w:t>57</w:t>
      </w:r>
      <w:r w:rsidR="00644D39" w:rsidRPr="008775D6">
        <w:t>.</w:t>
      </w:r>
      <w:r w:rsidR="00644D39" w:rsidRPr="008775D6">
        <w:tab/>
        <w:t>Multilateral Development Banks (MDBs) play an important role in financing global climate action. The largest MDBs were able to leverage more than 30 times their paid-in capital since their creation and they are steadily increasing climate finance goals.</w:t>
      </w:r>
      <w:r w:rsidR="00644D39" w:rsidRPr="008775D6">
        <w:rPr>
          <w:vertAlign w:val="superscript"/>
        </w:rPr>
        <w:footnoteReference w:id="70"/>
      </w:r>
    </w:p>
    <w:p w14:paraId="61D5C6B9" w14:textId="6E363363" w:rsidR="00644D39" w:rsidRPr="008775D6" w:rsidRDefault="0083205D" w:rsidP="008775D6">
      <w:pPr>
        <w:pStyle w:val="SingleTxtG"/>
        <w:ind w:right="993"/>
      </w:pPr>
      <w:r w:rsidRPr="008775D6">
        <w:t>58</w:t>
      </w:r>
      <w:r w:rsidR="00644D39" w:rsidRPr="008775D6">
        <w:t>.</w:t>
      </w:r>
      <w:r w:rsidR="00644D39" w:rsidRPr="008775D6">
        <w:tab/>
        <w:t>MDBs have a strong influence to incentivize the uptake of private investment and help countries to transition away from fossil fuels through more grants and ‘concessional’ loans.</w:t>
      </w:r>
      <w:r w:rsidR="00644D39" w:rsidRPr="008775D6">
        <w:rPr>
          <w:vertAlign w:val="superscript"/>
        </w:rPr>
        <w:footnoteReference w:id="71"/>
      </w:r>
      <w:r w:rsidR="00644D39" w:rsidRPr="008775D6">
        <w:t xml:space="preserve"> MDBs might further increase their efforts on gradually bringing their operations into alignment with the Paris Agreement, supporting client countries to develop and implement stronger NDCs, and providing further support for the Sustainable Development Goals.</w:t>
      </w:r>
      <w:r w:rsidR="00644D39" w:rsidRPr="008775D6">
        <w:rPr>
          <w:vertAlign w:val="superscript"/>
        </w:rPr>
        <w:footnoteReference w:id="72"/>
      </w:r>
    </w:p>
    <w:p w14:paraId="61358B16" w14:textId="04A0775B" w:rsidR="00644D39" w:rsidRPr="008775D6" w:rsidRDefault="00644D39" w:rsidP="00853C65">
      <w:pPr>
        <w:pStyle w:val="H23G"/>
      </w:pPr>
      <w:bookmarkStart w:id="11" w:name="_4i7ojhp" w:colFirst="0" w:colLast="0"/>
      <w:bookmarkEnd w:id="11"/>
      <w:r w:rsidRPr="008775D6">
        <w:tab/>
      </w:r>
      <w:r w:rsidR="00853C65" w:rsidRPr="008775D6">
        <w:t>2</w:t>
      </w:r>
      <w:r w:rsidRPr="008775D6">
        <w:t>.</w:t>
      </w:r>
      <w:r w:rsidRPr="008775D6">
        <w:tab/>
        <w:t>Private Sector Engagement</w:t>
      </w:r>
      <w:r w:rsidR="0016562C" w:rsidRPr="008775D6">
        <w:t>s</w:t>
      </w:r>
    </w:p>
    <w:p w14:paraId="5E25A9B3" w14:textId="73B25055" w:rsidR="00644D39" w:rsidRPr="008775D6" w:rsidRDefault="0083205D" w:rsidP="008775D6">
      <w:pPr>
        <w:pStyle w:val="SingleTxtG"/>
        <w:ind w:right="993"/>
      </w:pPr>
      <w:r w:rsidRPr="008775D6">
        <w:t>59</w:t>
      </w:r>
      <w:r w:rsidR="00644D39" w:rsidRPr="008775D6">
        <w:t>.</w:t>
      </w:r>
      <w:r w:rsidR="00644D39" w:rsidRPr="008775D6">
        <w:tab/>
        <w:t>Various private sector stakeholders are willing to take the lead in the decarbonisation process, including vehicle manufacturers, public and freight transport service providers and operators, as well as companies that use transport services. Broadening the involvement of all part of the private sector, especially of small and medium enterprises (SMEs) is necessary to accelerate the decarbonization of transport. Indeed, as of 2022, the ambitions by the private sector remained insufficient to achieve a pathway consistent with limiting global temperature rise to below 1.5°C.</w:t>
      </w:r>
    </w:p>
    <w:p w14:paraId="65EC28A4" w14:textId="17152D2C" w:rsidR="00644D39" w:rsidRPr="008775D6" w:rsidRDefault="0083205D" w:rsidP="008775D6">
      <w:pPr>
        <w:pStyle w:val="SingleTxtG"/>
        <w:ind w:right="993"/>
        <w:rPr>
          <w:vertAlign w:val="superscript"/>
        </w:rPr>
      </w:pPr>
      <w:r w:rsidRPr="008775D6">
        <w:t>60</w:t>
      </w:r>
      <w:r w:rsidR="00644D39" w:rsidRPr="008775D6">
        <w:t>.</w:t>
      </w:r>
      <w:r w:rsidR="00644D39" w:rsidRPr="008775D6">
        <w:tab/>
        <w:t>Overall, the climate leadership among businesses has improved. More companies have set emission reduction targets, disclosed climate-relevant information and developed transition plans since the adoption of the Paris Agreement. However, up to 74 per cent of plans developed by 930 transport service companies worldwide lacked credibility due to a lack of key elements such as governance, financial planning, value chain initiatives, targets and emission accounting with verification.</w:t>
      </w:r>
      <w:r w:rsidR="00644D39" w:rsidRPr="008775D6">
        <w:rPr>
          <w:vertAlign w:val="superscript"/>
        </w:rPr>
        <w:footnoteReference w:id="73"/>
      </w:r>
    </w:p>
    <w:p w14:paraId="2FE01C02" w14:textId="2A34824B" w:rsidR="00644D39" w:rsidRPr="008775D6" w:rsidRDefault="0083205D" w:rsidP="008775D6">
      <w:pPr>
        <w:pStyle w:val="SingleTxtG"/>
        <w:ind w:right="993"/>
      </w:pPr>
      <w:r w:rsidRPr="008775D6">
        <w:lastRenderedPageBreak/>
        <w:t>61</w:t>
      </w:r>
      <w:r w:rsidR="00644D39" w:rsidRPr="008775D6">
        <w:t>.</w:t>
      </w:r>
      <w:r w:rsidR="00644D39" w:rsidRPr="008775D6">
        <w:tab/>
        <w:t>Among the 114 transport-related companies in the Science Based Targets initiative (SBTi) as of March 2023, 62 per cent (71 companies) had committed to targets to reduce greenhouse gas emissions, and 38 per cent (43) had approved targets, with more likely to follow once the initiative releases sector-specific guidelines.</w:t>
      </w:r>
      <w:r w:rsidR="00644D39" w:rsidRPr="008775D6">
        <w:rPr>
          <w:vertAlign w:val="superscript"/>
        </w:rPr>
        <w:footnoteReference w:id="74"/>
      </w:r>
    </w:p>
    <w:p w14:paraId="439F38F1" w14:textId="1B611202" w:rsidR="00644D39" w:rsidRPr="008775D6" w:rsidRDefault="0083205D" w:rsidP="00986903">
      <w:pPr>
        <w:pStyle w:val="SingleTxtG"/>
        <w:ind w:right="993"/>
      </w:pPr>
      <w:r w:rsidRPr="008775D6">
        <w:t>62</w:t>
      </w:r>
      <w:r w:rsidR="00644D39" w:rsidRPr="008775D6">
        <w:t>.</w:t>
      </w:r>
      <w:r w:rsidR="00644D39" w:rsidRPr="008775D6">
        <w:tab/>
        <w:t>A global benchmark</w:t>
      </w:r>
      <w:r w:rsidR="00644D39" w:rsidRPr="008775D6">
        <w:rPr>
          <w:b/>
        </w:rPr>
        <w:t xml:space="preserve"> </w:t>
      </w:r>
      <w:r w:rsidR="00644D39" w:rsidRPr="008775D6">
        <w:t>of 30 auto manufacturers in 2021 showed that 56 per cent (17 companies) had set targets to reduce emissions and 83 per cent (25 companies) had targets to increase sales of low-emission vehicles (including battery electric, fuel cell electric, and plug-in hybrid cars and vans).</w:t>
      </w:r>
      <w:r w:rsidR="00644D39" w:rsidRPr="008775D6">
        <w:rPr>
          <w:vertAlign w:val="superscript"/>
        </w:rPr>
        <w:footnoteReference w:id="75"/>
      </w:r>
      <w:r w:rsidR="00644D39" w:rsidRPr="008775D6">
        <w:t xml:space="preserve"> However, no company had targets covering all of its business areas and fully aligning with the International Energy Agency’s (IEA) 1.5°C pathway for light-duty electric vehicles.</w:t>
      </w:r>
      <w:r w:rsidR="00644D39" w:rsidRPr="008775D6">
        <w:rPr>
          <w:vertAlign w:val="superscript"/>
        </w:rPr>
        <w:footnoteReference w:id="76"/>
      </w:r>
    </w:p>
    <w:p w14:paraId="4E584294" w14:textId="452D81C6" w:rsidR="00644D39" w:rsidRPr="008775D6" w:rsidRDefault="0083205D" w:rsidP="00986903">
      <w:pPr>
        <w:pStyle w:val="SingleTxtG"/>
        <w:ind w:right="993"/>
      </w:pPr>
      <w:r w:rsidRPr="008775D6">
        <w:t>63</w:t>
      </w:r>
      <w:r w:rsidR="00644D39" w:rsidRPr="008775D6">
        <w:t>.</w:t>
      </w:r>
      <w:r w:rsidR="00644D39" w:rsidRPr="008775D6">
        <w:tab/>
        <w:t>To be within the IEA’s scenarios for the 1.5°C pathway, the global automotive industry will have to increase annual production of battery-electric and hydrogen fuel cell electric vehicles to 52 per cent of total vehicle production in 2029.</w:t>
      </w:r>
      <w:r w:rsidR="00644D39" w:rsidRPr="008775D6">
        <w:rPr>
          <w:vertAlign w:val="superscript"/>
        </w:rPr>
        <w:footnoteReference w:id="77"/>
      </w:r>
    </w:p>
    <w:p w14:paraId="2AFEF71E" w14:textId="240CCB97" w:rsidR="00644D39" w:rsidRPr="00986903" w:rsidRDefault="00644D39" w:rsidP="00644D39">
      <w:pPr>
        <w:pStyle w:val="H23G"/>
      </w:pPr>
      <w:r w:rsidRPr="00986903">
        <w:tab/>
      </w:r>
      <w:r w:rsidR="00520B04" w:rsidRPr="00986903">
        <w:t>3</w:t>
      </w:r>
      <w:r w:rsidRPr="00986903">
        <w:t>.</w:t>
      </w:r>
      <w:r w:rsidRPr="00986903">
        <w:tab/>
        <w:t>Accelerating Climate Action by Private Actors</w:t>
      </w:r>
    </w:p>
    <w:p w14:paraId="125AFB17" w14:textId="68445119" w:rsidR="00644D39" w:rsidRPr="00986903" w:rsidRDefault="0083205D" w:rsidP="00986903">
      <w:pPr>
        <w:pStyle w:val="SingleTxtG"/>
        <w:ind w:right="993"/>
      </w:pPr>
      <w:r w:rsidRPr="00986903">
        <w:t>64</w:t>
      </w:r>
      <w:r w:rsidR="00644D39" w:rsidRPr="00986903">
        <w:t>.</w:t>
      </w:r>
      <w:r w:rsidR="00644D39" w:rsidRPr="00986903">
        <w:tab/>
        <w:t>Companies can improve the comprehensiveness of their climate transition plans that detail emission reduction measures, how action is integrated in business governance and strategy, policy lobbying and advocacy efforts, and a just transition for the workforce, suppliers and communities.</w:t>
      </w:r>
      <w:r w:rsidR="00644D39" w:rsidRPr="00986903">
        <w:rPr>
          <w:vertAlign w:val="superscript"/>
        </w:rPr>
        <w:footnoteReference w:id="78"/>
      </w:r>
      <w:r w:rsidR="00644D39" w:rsidRPr="00986903">
        <w:t xml:space="preserve"> For inland transport, actions should focus around the</w:t>
      </w:r>
      <w:r w:rsidR="007367ED" w:rsidRPr="007367ED">
        <w:t xml:space="preserve"> </w:t>
      </w:r>
      <w:r w:rsidR="007367ED">
        <w:t>Avoid-Shift-Improve</w:t>
      </w:r>
      <w:r w:rsidR="00644D39" w:rsidRPr="00986903">
        <w:t xml:space="preserve"> </w:t>
      </w:r>
      <w:r w:rsidR="00A276A7">
        <w:t>(</w:t>
      </w:r>
      <w:r w:rsidR="00644D39" w:rsidRPr="00986903">
        <w:t>A-S-I</w:t>
      </w:r>
      <w:r w:rsidR="00A276A7">
        <w:t>)</w:t>
      </w:r>
      <w:r w:rsidR="00644D39" w:rsidRPr="00986903">
        <w:t xml:space="preserve"> framework while integrating gender considerations. Companies should balance out unabated emissions by purchasing only high-integrity carbon credits.</w:t>
      </w:r>
    </w:p>
    <w:p w14:paraId="475F55E1" w14:textId="30C2BC31" w:rsidR="00644D39" w:rsidRPr="00986903" w:rsidRDefault="0083205D" w:rsidP="00C32DAC">
      <w:pPr>
        <w:pStyle w:val="SingleTxtG"/>
        <w:spacing w:after="240"/>
        <w:ind w:right="992"/>
      </w:pPr>
      <w:r w:rsidRPr="00986903">
        <w:t>65</w:t>
      </w:r>
      <w:r w:rsidR="00644D39" w:rsidRPr="00986903">
        <w:t>.</w:t>
      </w:r>
      <w:r w:rsidR="00644D39" w:rsidRPr="00986903">
        <w:tab/>
        <w:t>Resources and good practices for the private sector are the Science Based Target Initiative (SBTi) with its strict target verification and measurement methodologies, the International Sustainability Standards Board with a climate disclosure standard to meet investors’ needs for sustainability reporting and the EU Corporate Sustainability Reporting Directive requiring large EU companies to disclose on sustainability issues to inform investors and other stakeholders.</w:t>
      </w:r>
      <w:r w:rsidR="00644D39" w:rsidRPr="00986903">
        <w:rPr>
          <w:vertAlign w:val="superscript"/>
        </w:rPr>
        <w:footnoteReference w:id="79"/>
      </w:r>
      <w:r w:rsidR="00644D39" w:rsidRPr="00986903">
        <w:rPr>
          <w:vertAlign w:val="superscript"/>
        </w:rPr>
        <w:t xml:space="preserve"> </w:t>
      </w:r>
      <w:r w:rsidR="00644D39" w:rsidRPr="00986903">
        <w:t xml:space="preserve">To prevent greenwashing and to increase private sector action, businesses should ensure that their plans are based on credible action, advocacy and accountability. The United Nations High Level Expert Group on the Net Zero Emissions Commitments of Non-State Entities provided five principles and ten recommendations for companies to ensure that pledges towards net zero do not lead to greenwashing (see Box </w:t>
      </w:r>
      <w:r w:rsidR="00346C03">
        <w:t>1</w:t>
      </w:r>
      <w:r w:rsidR="00644D39" w:rsidRPr="00986903">
        <w:t>).</w:t>
      </w:r>
      <w:r w:rsidR="00644D39" w:rsidRPr="00986903">
        <w:rPr>
          <w:vertAlign w:val="superscript"/>
        </w:rPr>
        <w:footnoteReference w:id="80"/>
      </w:r>
    </w:p>
    <w:tbl>
      <w:tblPr>
        <w:tblW w:w="7230" w:type="dxa"/>
        <w:tblInd w:w="1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30"/>
      </w:tblGrid>
      <w:tr w:rsidR="00644D39" w14:paraId="474763E7" w14:textId="77777777">
        <w:tc>
          <w:tcPr>
            <w:tcW w:w="7230" w:type="dxa"/>
            <w:shd w:val="clear" w:color="auto" w:fill="auto"/>
            <w:tcMar>
              <w:top w:w="100" w:type="dxa"/>
              <w:left w:w="100" w:type="dxa"/>
              <w:bottom w:w="100" w:type="dxa"/>
              <w:right w:w="100" w:type="dxa"/>
            </w:tcMar>
          </w:tcPr>
          <w:p w14:paraId="3D143395" w14:textId="39BA77DF" w:rsidR="00644D39" w:rsidRPr="00986903" w:rsidRDefault="00644D39" w:rsidP="004D15D4">
            <w:pPr>
              <w:keepNext/>
              <w:keepLines/>
              <w:widowControl w:val="0"/>
              <w:pBdr>
                <w:top w:val="nil"/>
                <w:left w:val="nil"/>
                <w:bottom w:val="nil"/>
                <w:right w:val="nil"/>
                <w:between w:val="nil"/>
              </w:pBdr>
              <w:spacing w:line="240" w:lineRule="auto"/>
              <w:rPr>
                <w:b/>
              </w:rPr>
            </w:pPr>
            <w:r w:rsidRPr="004446C3">
              <w:rPr>
                <w:b/>
              </w:rPr>
              <w:lastRenderedPageBreak/>
              <w:t xml:space="preserve">Box </w:t>
            </w:r>
            <w:r w:rsidR="00346C03" w:rsidRPr="004446C3">
              <w:rPr>
                <w:b/>
              </w:rPr>
              <w:t>1</w:t>
            </w:r>
            <w:r w:rsidRPr="004446C3">
              <w:rPr>
                <w:b/>
              </w:rPr>
              <w:t>. Five</w:t>
            </w:r>
            <w:r w:rsidRPr="00986903">
              <w:rPr>
                <w:b/>
              </w:rPr>
              <w:t xml:space="preserve"> principles and ten recommendations for net-zero commitments from non‑state actors including corporations, financial institutions, and local and regional governments</w:t>
            </w:r>
            <w:r w:rsidRPr="00986903">
              <w:rPr>
                <w:vertAlign w:val="superscript"/>
              </w:rPr>
              <w:footnoteReference w:id="81"/>
            </w:r>
          </w:p>
          <w:p w14:paraId="4B0BAE99" w14:textId="77777777" w:rsidR="00644D39" w:rsidRPr="00986903" w:rsidRDefault="00644D39">
            <w:pPr>
              <w:widowControl w:val="0"/>
              <w:pBdr>
                <w:top w:val="nil"/>
                <w:left w:val="nil"/>
                <w:bottom w:val="nil"/>
                <w:right w:val="nil"/>
                <w:between w:val="nil"/>
              </w:pBdr>
              <w:spacing w:line="240" w:lineRule="auto"/>
            </w:pPr>
          </w:p>
          <w:p w14:paraId="1A360AC3" w14:textId="77777777" w:rsidR="00644D39" w:rsidRPr="00986903" w:rsidRDefault="00644D39">
            <w:pPr>
              <w:widowControl w:val="0"/>
              <w:pBdr>
                <w:top w:val="nil"/>
                <w:left w:val="nil"/>
                <w:bottom w:val="nil"/>
                <w:right w:val="nil"/>
                <w:between w:val="nil"/>
              </w:pBdr>
              <w:spacing w:line="240" w:lineRule="auto"/>
              <w:rPr>
                <w:i/>
              </w:rPr>
            </w:pPr>
            <w:r w:rsidRPr="00986903">
              <w:rPr>
                <w:i/>
              </w:rPr>
              <w:t>Five Principles</w:t>
            </w:r>
          </w:p>
          <w:p w14:paraId="264792E3" w14:textId="77777777" w:rsidR="00644D39" w:rsidRPr="00986903" w:rsidRDefault="00644D39">
            <w:pPr>
              <w:widowControl w:val="0"/>
              <w:pBdr>
                <w:top w:val="nil"/>
                <w:left w:val="nil"/>
                <w:bottom w:val="nil"/>
                <w:right w:val="nil"/>
                <w:between w:val="nil"/>
              </w:pBdr>
              <w:spacing w:line="240" w:lineRule="auto"/>
            </w:pPr>
            <w:r w:rsidRPr="00986903">
              <w:t>1. Ambition which delivers significant near— and medium —term emissions reductions on a path to global net zero by 2050</w:t>
            </w:r>
          </w:p>
          <w:p w14:paraId="22DAE336" w14:textId="77777777" w:rsidR="00644D39" w:rsidRPr="00986903" w:rsidRDefault="00644D39">
            <w:pPr>
              <w:widowControl w:val="0"/>
              <w:pBdr>
                <w:top w:val="nil"/>
                <w:left w:val="nil"/>
                <w:bottom w:val="nil"/>
                <w:right w:val="nil"/>
                <w:between w:val="nil"/>
              </w:pBdr>
              <w:spacing w:line="240" w:lineRule="auto"/>
            </w:pPr>
            <w:r w:rsidRPr="00986903">
              <w:t>2. Demonstrated integrity by aligning commitments with actions and investments</w:t>
            </w:r>
          </w:p>
          <w:p w14:paraId="424B52CD" w14:textId="77777777" w:rsidR="00644D39" w:rsidRPr="00986903" w:rsidRDefault="00644D39">
            <w:pPr>
              <w:widowControl w:val="0"/>
              <w:pBdr>
                <w:top w:val="nil"/>
                <w:left w:val="nil"/>
                <w:bottom w:val="nil"/>
                <w:right w:val="nil"/>
                <w:between w:val="nil"/>
              </w:pBdr>
              <w:spacing w:line="240" w:lineRule="auto"/>
            </w:pPr>
            <w:r w:rsidRPr="00986903">
              <w:t>3. Radical transparency in sharing relevant, non-competitive, comparable data on plans and progress</w:t>
            </w:r>
          </w:p>
          <w:p w14:paraId="5EB4678D" w14:textId="77777777" w:rsidR="00644D39" w:rsidRPr="00986903" w:rsidRDefault="00644D39">
            <w:pPr>
              <w:widowControl w:val="0"/>
              <w:pBdr>
                <w:top w:val="nil"/>
                <w:left w:val="nil"/>
                <w:bottom w:val="nil"/>
                <w:right w:val="nil"/>
                <w:between w:val="nil"/>
              </w:pBdr>
              <w:spacing w:line="240" w:lineRule="auto"/>
            </w:pPr>
            <w:r w:rsidRPr="00986903">
              <w:t>4. Established credibility through plans based in science and third-party accountability</w:t>
            </w:r>
          </w:p>
          <w:p w14:paraId="49F56756" w14:textId="77777777" w:rsidR="00644D39" w:rsidRPr="00986903" w:rsidRDefault="00644D39">
            <w:pPr>
              <w:widowControl w:val="0"/>
              <w:pBdr>
                <w:top w:val="nil"/>
                <w:left w:val="nil"/>
                <w:bottom w:val="nil"/>
                <w:right w:val="nil"/>
                <w:between w:val="nil"/>
              </w:pBdr>
              <w:spacing w:line="240" w:lineRule="auto"/>
            </w:pPr>
            <w:r w:rsidRPr="00986903">
              <w:t>5. Demonstrable commitment to both equity and justice in all actions</w:t>
            </w:r>
          </w:p>
          <w:p w14:paraId="668A2349" w14:textId="77777777" w:rsidR="00644D39" w:rsidRPr="00986903" w:rsidRDefault="00644D39">
            <w:pPr>
              <w:widowControl w:val="0"/>
              <w:pBdr>
                <w:top w:val="nil"/>
                <w:left w:val="nil"/>
                <w:bottom w:val="nil"/>
                <w:right w:val="nil"/>
                <w:between w:val="nil"/>
              </w:pBdr>
              <w:spacing w:line="240" w:lineRule="auto"/>
            </w:pPr>
          </w:p>
          <w:p w14:paraId="5C788794" w14:textId="77777777" w:rsidR="00644D39" w:rsidRPr="00986903" w:rsidRDefault="00644D39">
            <w:pPr>
              <w:widowControl w:val="0"/>
              <w:pBdr>
                <w:top w:val="nil"/>
                <w:left w:val="nil"/>
                <w:bottom w:val="nil"/>
                <w:right w:val="nil"/>
                <w:between w:val="nil"/>
              </w:pBdr>
              <w:spacing w:line="240" w:lineRule="auto"/>
              <w:rPr>
                <w:i/>
              </w:rPr>
            </w:pPr>
            <w:r w:rsidRPr="00986903">
              <w:rPr>
                <w:i/>
              </w:rPr>
              <w:t>Ten Recommendations</w:t>
            </w:r>
          </w:p>
          <w:p w14:paraId="16F60D5D" w14:textId="77777777" w:rsidR="00644D39" w:rsidRPr="00986903" w:rsidRDefault="00644D39">
            <w:pPr>
              <w:widowControl w:val="0"/>
              <w:pBdr>
                <w:top w:val="nil"/>
                <w:left w:val="nil"/>
                <w:bottom w:val="nil"/>
                <w:right w:val="nil"/>
                <w:between w:val="nil"/>
              </w:pBdr>
              <w:spacing w:line="240" w:lineRule="auto"/>
            </w:pPr>
            <w:r w:rsidRPr="00986903">
              <w:t>1. Announcing a Net Zero Pledge</w:t>
            </w:r>
          </w:p>
          <w:p w14:paraId="786B5F08" w14:textId="77777777" w:rsidR="00644D39" w:rsidRPr="00986903" w:rsidRDefault="00644D39">
            <w:pPr>
              <w:widowControl w:val="0"/>
              <w:pBdr>
                <w:top w:val="nil"/>
                <w:left w:val="nil"/>
                <w:bottom w:val="nil"/>
                <w:right w:val="nil"/>
                <w:between w:val="nil"/>
              </w:pBdr>
              <w:spacing w:line="240" w:lineRule="auto"/>
            </w:pPr>
            <w:r w:rsidRPr="00986903">
              <w:t>2. Setting Net Zero Targets</w:t>
            </w:r>
          </w:p>
          <w:p w14:paraId="4A29A33A" w14:textId="77777777" w:rsidR="00644D39" w:rsidRPr="00986903" w:rsidRDefault="00644D39">
            <w:pPr>
              <w:widowControl w:val="0"/>
              <w:pBdr>
                <w:top w:val="nil"/>
                <w:left w:val="nil"/>
                <w:bottom w:val="nil"/>
                <w:right w:val="nil"/>
                <w:between w:val="nil"/>
              </w:pBdr>
              <w:spacing w:line="240" w:lineRule="auto"/>
            </w:pPr>
            <w:r w:rsidRPr="00986903">
              <w:t>3. Using Voluntary Credits</w:t>
            </w:r>
          </w:p>
          <w:p w14:paraId="3A67C282" w14:textId="77777777" w:rsidR="00644D39" w:rsidRPr="00986903" w:rsidRDefault="00644D39">
            <w:pPr>
              <w:widowControl w:val="0"/>
              <w:pBdr>
                <w:top w:val="nil"/>
                <w:left w:val="nil"/>
                <w:bottom w:val="nil"/>
                <w:right w:val="nil"/>
                <w:between w:val="nil"/>
              </w:pBdr>
              <w:spacing w:line="240" w:lineRule="auto"/>
            </w:pPr>
            <w:r w:rsidRPr="00986903">
              <w:t>4. Creating a Transition Plan</w:t>
            </w:r>
          </w:p>
          <w:p w14:paraId="399DD848" w14:textId="77777777" w:rsidR="00644D39" w:rsidRPr="00986903" w:rsidRDefault="00644D39">
            <w:pPr>
              <w:widowControl w:val="0"/>
              <w:pBdr>
                <w:top w:val="nil"/>
                <w:left w:val="nil"/>
                <w:bottom w:val="nil"/>
                <w:right w:val="nil"/>
                <w:between w:val="nil"/>
              </w:pBdr>
              <w:spacing w:line="240" w:lineRule="auto"/>
            </w:pPr>
            <w:r w:rsidRPr="00986903">
              <w:t>5. Phasing out of Fossil Fuels and Scaling Up Renewable Energy</w:t>
            </w:r>
          </w:p>
          <w:p w14:paraId="777F20F0" w14:textId="77777777" w:rsidR="00644D39" w:rsidRPr="00986903" w:rsidRDefault="00644D39">
            <w:pPr>
              <w:widowControl w:val="0"/>
              <w:pBdr>
                <w:top w:val="nil"/>
                <w:left w:val="nil"/>
                <w:bottom w:val="nil"/>
                <w:right w:val="nil"/>
                <w:between w:val="nil"/>
              </w:pBdr>
              <w:spacing w:line="240" w:lineRule="auto"/>
            </w:pPr>
            <w:r w:rsidRPr="00986903">
              <w:t>6. Aligning Lobbying and Advocacy</w:t>
            </w:r>
          </w:p>
          <w:p w14:paraId="631F8EC5" w14:textId="77777777" w:rsidR="00644D39" w:rsidRPr="00986903" w:rsidRDefault="00644D39">
            <w:pPr>
              <w:widowControl w:val="0"/>
              <w:pBdr>
                <w:top w:val="nil"/>
                <w:left w:val="nil"/>
                <w:bottom w:val="nil"/>
                <w:right w:val="nil"/>
                <w:between w:val="nil"/>
              </w:pBdr>
              <w:spacing w:line="240" w:lineRule="auto"/>
            </w:pPr>
            <w:r w:rsidRPr="00986903">
              <w:t>7. People and Nature in the Just Transition</w:t>
            </w:r>
          </w:p>
          <w:p w14:paraId="4CB517DF" w14:textId="77777777" w:rsidR="00644D39" w:rsidRPr="00986903" w:rsidRDefault="00644D39">
            <w:pPr>
              <w:widowControl w:val="0"/>
              <w:pBdr>
                <w:top w:val="nil"/>
                <w:left w:val="nil"/>
                <w:bottom w:val="nil"/>
                <w:right w:val="nil"/>
                <w:between w:val="nil"/>
              </w:pBdr>
              <w:spacing w:line="240" w:lineRule="auto"/>
            </w:pPr>
            <w:r w:rsidRPr="00986903">
              <w:t>8. Increasing Transparency and Accountability</w:t>
            </w:r>
          </w:p>
          <w:p w14:paraId="5A61ACF6" w14:textId="77777777" w:rsidR="00644D39" w:rsidRPr="00986903" w:rsidRDefault="00644D39">
            <w:pPr>
              <w:widowControl w:val="0"/>
              <w:pBdr>
                <w:top w:val="nil"/>
                <w:left w:val="nil"/>
                <w:bottom w:val="nil"/>
                <w:right w:val="nil"/>
                <w:between w:val="nil"/>
              </w:pBdr>
              <w:spacing w:line="240" w:lineRule="auto"/>
            </w:pPr>
            <w:r w:rsidRPr="00986903">
              <w:t>9. Investing in Just Transitions</w:t>
            </w:r>
          </w:p>
          <w:p w14:paraId="7035493C" w14:textId="77777777" w:rsidR="00644D39" w:rsidRDefault="00644D39">
            <w:pPr>
              <w:widowControl w:val="0"/>
              <w:pBdr>
                <w:top w:val="nil"/>
                <w:left w:val="nil"/>
                <w:bottom w:val="nil"/>
                <w:right w:val="nil"/>
                <w:between w:val="nil"/>
              </w:pBdr>
              <w:spacing w:line="240" w:lineRule="auto"/>
            </w:pPr>
            <w:r w:rsidRPr="00986903">
              <w:t>10. Accelerating the Road to Regulation</w:t>
            </w:r>
          </w:p>
        </w:tc>
      </w:tr>
    </w:tbl>
    <w:p w14:paraId="4399062F" w14:textId="62B98FB1" w:rsidR="00421726" w:rsidRPr="00A760E2" w:rsidRDefault="00590D07" w:rsidP="00C673F7">
      <w:pPr>
        <w:pStyle w:val="HChG"/>
      </w:pPr>
      <w:r>
        <w:tab/>
      </w:r>
      <w:r w:rsidR="00C673F7" w:rsidRPr="00986903">
        <w:t>I</w:t>
      </w:r>
      <w:r w:rsidR="004B54A5" w:rsidRPr="00986903">
        <w:t>V</w:t>
      </w:r>
      <w:r w:rsidR="004A632F" w:rsidRPr="00986903">
        <w:t>.</w:t>
      </w:r>
      <w:r>
        <w:tab/>
      </w:r>
      <w:r w:rsidR="00421726" w:rsidRPr="00C97968">
        <w:t>Way Forward</w:t>
      </w:r>
    </w:p>
    <w:p w14:paraId="608F0E44" w14:textId="78042964" w:rsidR="00421726" w:rsidRDefault="0083205D" w:rsidP="00C673F7">
      <w:pPr>
        <w:pStyle w:val="SingleTxtG"/>
        <w:ind w:right="993"/>
      </w:pPr>
      <w:r>
        <w:t>66</w:t>
      </w:r>
      <w:r w:rsidR="002C7258">
        <w:t>.</w:t>
      </w:r>
      <w:r w:rsidR="002C7258">
        <w:tab/>
      </w:r>
      <w:r w:rsidR="00421726">
        <w:t xml:space="preserve">To implement decarbonisation across freight and passenger transport, an integrated, inter-modal and multi-dimensional approach is required. The Avoid-Shift-Improve (A-S-I) Framework has been central to strategies to scale up access to sustainable, low carbon transport and mobility for over a decade. </w:t>
      </w:r>
      <w:r w:rsidR="00A179F7">
        <w:t xml:space="preserve">When using </w:t>
      </w:r>
      <w:r w:rsidR="00856F57">
        <w:t>t</w:t>
      </w:r>
      <w:r w:rsidR="00421726">
        <w:t>he A-S-I Framework</w:t>
      </w:r>
      <w:r w:rsidR="00856F57">
        <w:t xml:space="preserve">, it is important to highlight that there is no one-size-fits-all solution, </w:t>
      </w:r>
      <w:r w:rsidR="00D02340">
        <w:t xml:space="preserve">and the optimal pathway is likely to be different in different regions and countries. To achieve </w:t>
      </w:r>
      <w:r w:rsidR="00B35DC9">
        <w:t xml:space="preserve">success a mix of various policies needs to be deployed. </w:t>
      </w:r>
      <w:r w:rsidR="00421726">
        <w:t xml:space="preserve">The A-S-I Framework calls for the following (Figure </w:t>
      </w:r>
      <w:r w:rsidR="00D44680">
        <w:t>VIII</w:t>
      </w:r>
      <w:r w:rsidR="00421726">
        <w:t>):</w:t>
      </w:r>
    </w:p>
    <w:p w14:paraId="5FC412B5" w14:textId="77777777" w:rsidR="00C673F7" w:rsidRDefault="00421726" w:rsidP="00C673F7">
      <w:pPr>
        <w:pStyle w:val="Bullet1G"/>
        <w:ind w:right="993"/>
      </w:pPr>
      <w:r>
        <w:t xml:space="preserve">Avoid unnecessary motorised trips based on proximity and accessibility; </w:t>
      </w:r>
    </w:p>
    <w:p w14:paraId="6D5B1099" w14:textId="77777777" w:rsidR="00C673F7" w:rsidRDefault="00421726" w:rsidP="00C673F7">
      <w:pPr>
        <w:pStyle w:val="Bullet1G"/>
        <w:ind w:right="993"/>
      </w:pPr>
      <w:r>
        <w:t>Shift to less carbon-intensive modes – that is, from private vehicles to public transport, shared mobility, walking and cycling, water-based freight, electrified road-railway freight, and cargo bikes for last-mile deliveries, among others; and</w:t>
      </w:r>
    </w:p>
    <w:p w14:paraId="4221FDAD" w14:textId="0159CEB1" w:rsidR="00421726" w:rsidRDefault="00421726" w:rsidP="00C673F7">
      <w:pPr>
        <w:pStyle w:val="Bullet1G"/>
        <w:ind w:right="993"/>
      </w:pPr>
      <w:r>
        <w:t>Improve vehicle design, energy efficiency and switch to low carbon and sustainable energy sources for different types of freight and passenger vehicles.</w:t>
      </w:r>
    </w:p>
    <w:p w14:paraId="2D0D9CBB" w14:textId="334B9E86" w:rsidR="00421726" w:rsidRDefault="0083205D" w:rsidP="00C673F7">
      <w:pPr>
        <w:pStyle w:val="SingleTxtG"/>
        <w:ind w:right="993"/>
      </w:pPr>
      <w:r>
        <w:t>67</w:t>
      </w:r>
      <w:r w:rsidR="002C7258">
        <w:t>.</w:t>
      </w:r>
      <w:r w:rsidR="002C7258">
        <w:tab/>
      </w:r>
      <w:r w:rsidR="00421726">
        <w:t>Applying A-S-I measures through integrated, inter-modal and balanced approaches is critical to unleashing the full benefits of sustainable, low carbon transport.</w:t>
      </w:r>
      <w:r w:rsidR="00421726">
        <w:rPr>
          <w:vertAlign w:val="superscript"/>
        </w:rPr>
        <w:footnoteReference w:id="82"/>
      </w:r>
      <w:r w:rsidR="00421726">
        <w:t xml:space="preserve"> </w:t>
      </w:r>
    </w:p>
    <w:p w14:paraId="68C8741D" w14:textId="77138606" w:rsidR="00113352" w:rsidRPr="00250302" w:rsidRDefault="00113352" w:rsidP="00113352">
      <w:pPr>
        <w:keepNext/>
        <w:ind w:left="1134" w:right="1134"/>
        <w:jc w:val="both"/>
      </w:pPr>
      <w:r w:rsidRPr="00250302">
        <w:lastRenderedPageBreak/>
        <w:t xml:space="preserve">Figure </w:t>
      </w:r>
      <w:r>
        <w:t>VIII</w:t>
      </w:r>
    </w:p>
    <w:p w14:paraId="6D1B6E20" w14:textId="34AC5193" w:rsidR="00113352" w:rsidRPr="00250302" w:rsidRDefault="00113352" w:rsidP="00113352">
      <w:pPr>
        <w:keepNext/>
        <w:spacing w:after="240"/>
        <w:ind w:left="1134" w:right="1134"/>
        <w:rPr>
          <w:b/>
        </w:rPr>
      </w:pPr>
      <w:r w:rsidRPr="00113352">
        <w:rPr>
          <w:b/>
        </w:rPr>
        <w:t>Avoid-Shift-Improve Framework</w:t>
      </w:r>
    </w:p>
    <w:p w14:paraId="5901C7B9" w14:textId="77777777" w:rsidR="00421726" w:rsidRDefault="00421726" w:rsidP="00421726">
      <w:pPr>
        <w:spacing w:before="240" w:line="276" w:lineRule="auto"/>
        <w:ind w:right="-240"/>
        <w:jc w:val="center"/>
      </w:pPr>
      <w:r>
        <w:rPr>
          <w:noProof/>
        </w:rPr>
        <w:drawing>
          <wp:inline distT="114300" distB="114300" distL="114300" distR="114300" wp14:anchorId="0F48D22D" wp14:editId="2AABD889">
            <wp:extent cx="5555411" cy="2958860"/>
            <wp:effectExtent l="0" t="0" r="7620" b="0"/>
            <wp:docPr id="3" name="Picture 3"/>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3"/>
                    <a:srcRect/>
                    <a:stretch>
                      <a:fillRect/>
                    </a:stretch>
                  </pic:blipFill>
                  <pic:spPr>
                    <a:xfrm>
                      <a:off x="0" y="0"/>
                      <a:ext cx="5558307" cy="2960402"/>
                    </a:xfrm>
                    <a:prstGeom prst="rect">
                      <a:avLst/>
                    </a:prstGeom>
                    <a:ln/>
                  </pic:spPr>
                </pic:pic>
              </a:graphicData>
            </a:graphic>
          </wp:inline>
        </w:drawing>
      </w:r>
    </w:p>
    <w:p w14:paraId="2B3BB508" w14:textId="52488854" w:rsidR="00421726" w:rsidRDefault="0083205D" w:rsidP="000E6C04">
      <w:pPr>
        <w:pStyle w:val="SingleTxtG"/>
        <w:spacing w:before="240"/>
        <w:ind w:right="992"/>
      </w:pPr>
      <w:r>
        <w:t>6</w:t>
      </w:r>
      <w:r w:rsidR="005950A7">
        <w:t>8.</w:t>
      </w:r>
      <w:r w:rsidR="005950A7">
        <w:tab/>
      </w:r>
      <w:r w:rsidR="00421726">
        <w:t xml:space="preserve">More robust measures on transport decarbonisation are needed by 2030 to limit global warming to 1.5°C, </w:t>
      </w:r>
      <w:r w:rsidR="001E7BE1">
        <w:t xml:space="preserve">that could for example include </w:t>
      </w:r>
      <w:r w:rsidR="00421726">
        <w:t>reducing vehicle kilometres travelled and electrifying vehicles. Sustainable modes of travel, such as public transport, c</w:t>
      </w:r>
      <w:r w:rsidR="0028088C">
        <w:t>ould</w:t>
      </w:r>
      <w:r w:rsidR="00421726">
        <w:t xml:space="preserve"> play a crucial role in reducing the growth of private motor vehicle use, while at the same time bus fleets </w:t>
      </w:r>
      <w:r w:rsidR="000422A9">
        <w:t xml:space="preserve">are being </w:t>
      </w:r>
      <w:r w:rsidR="00421726">
        <w:t>electrified.</w:t>
      </w:r>
    </w:p>
    <w:p w14:paraId="2C9CBB9D" w14:textId="5A55A117" w:rsidR="00421726" w:rsidRDefault="0083205D" w:rsidP="00C673F7">
      <w:pPr>
        <w:pStyle w:val="SingleTxtG"/>
        <w:ind w:right="993"/>
      </w:pPr>
      <w:r>
        <w:t>6</w:t>
      </w:r>
      <w:r w:rsidR="005950A7">
        <w:t>9.</w:t>
      </w:r>
      <w:r w:rsidR="005950A7">
        <w:tab/>
      </w:r>
      <w:r w:rsidR="00421726">
        <w:t xml:space="preserve">Low- and middle-income countries have the opportunity to </w:t>
      </w:r>
      <w:r w:rsidR="00A32068">
        <w:t xml:space="preserve">circumvent </w:t>
      </w:r>
      <w:r w:rsidR="00421726">
        <w:t xml:space="preserve">this lock-in to unsustainable models and to </w:t>
      </w:r>
      <w:r w:rsidR="00A32068">
        <w:t xml:space="preserve">prevent </w:t>
      </w:r>
      <w:r w:rsidR="00421726">
        <w:t xml:space="preserve">the misperception that technological solutions alone (such as replacing more polluting vehicles with electric vehicles) are the silver bullet. </w:t>
      </w:r>
      <w:r w:rsidR="00E319EF">
        <w:t xml:space="preserve">Depending on the regional </w:t>
      </w:r>
      <w:r w:rsidR="00375E7D">
        <w:t xml:space="preserve">context, </w:t>
      </w:r>
      <w:r w:rsidR="00421726">
        <w:t xml:space="preserve">“Avoid” and “Shift” measures </w:t>
      </w:r>
      <w:r w:rsidR="000422A9">
        <w:t>might</w:t>
      </w:r>
      <w:r w:rsidR="00421726">
        <w:t xml:space="preserve"> result in nearly equivalent emission reduction as “Improve” measures.</w:t>
      </w:r>
      <w:r w:rsidR="00421726">
        <w:rPr>
          <w:vertAlign w:val="superscript"/>
        </w:rPr>
        <w:footnoteReference w:id="83"/>
      </w:r>
    </w:p>
    <w:p w14:paraId="13D6495C" w14:textId="398DECD1" w:rsidR="00421726" w:rsidRDefault="00421726" w:rsidP="00C673F7">
      <w:pPr>
        <w:pStyle w:val="Bullet1G"/>
        <w:ind w:right="993"/>
      </w:pPr>
      <w:r>
        <w:t xml:space="preserve">“Avoid” and “Shift” measures are needed to support transport decarbonisation, as emission reductions </w:t>
      </w:r>
      <w:r w:rsidR="004C0527">
        <w:t xml:space="preserve">are not expected </w:t>
      </w:r>
      <w:r w:rsidR="006337A1">
        <w:t xml:space="preserve">to </w:t>
      </w:r>
      <w:r>
        <w:t>be achieved without critical shifts in transport modes. “Avoid” and “Shift” strategies can account for 40-60</w:t>
      </w:r>
      <w:r w:rsidR="00BE75FB">
        <w:t xml:space="preserve"> per cent</w:t>
      </w:r>
      <w:r>
        <w:t xml:space="preserve"> of transport emission reductions, </w:t>
      </w:r>
      <w:r w:rsidR="006337A1">
        <w:t xml:space="preserve">sometimes </w:t>
      </w:r>
      <w:r>
        <w:t>at lower costs than “Improve” strategies.</w:t>
      </w:r>
    </w:p>
    <w:p w14:paraId="1EC9014D" w14:textId="39DCB5E6" w:rsidR="00421726" w:rsidRPr="005950A7" w:rsidRDefault="00421726" w:rsidP="00C673F7">
      <w:pPr>
        <w:pStyle w:val="Bullet1G"/>
        <w:ind w:right="993"/>
        <w:rPr>
          <w:rFonts w:ascii="Arial" w:eastAsia="Arial" w:hAnsi="Arial" w:cs="Arial"/>
          <w:color w:val="000000"/>
        </w:rPr>
      </w:pPr>
      <w:r>
        <w:t>“Improve” measures (e.g</w:t>
      </w:r>
      <w:r w:rsidR="0001791B">
        <w:t>.,</w:t>
      </w:r>
      <w:r>
        <w:t xml:space="preserve"> electrification and fuel switch) are vital to decarbonising the transport sector. Vehicle electrification will happen faster in high-income countries, with a delay of only around five years for low- and middle-income countries. Electric cars will represent 20</w:t>
      </w:r>
      <w:r w:rsidR="00BE75FB">
        <w:t xml:space="preserve"> per cent</w:t>
      </w:r>
      <w:r>
        <w:t xml:space="preserve"> of all cars globally by 2030 and 60</w:t>
      </w:r>
      <w:r w:rsidR="00BE75FB">
        <w:t xml:space="preserve"> per cent</w:t>
      </w:r>
      <w:r>
        <w:t xml:space="preserve"> by 2040, resulting in 350 million electric cars on the roads by 2030.</w:t>
      </w:r>
      <w:r w:rsidR="00036F93">
        <w:t xml:space="preserve"> </w:t>
      </w:r>
      <w:r>
        <w:t>Electric two- and three-wheelers will double from the current 300 million to 600 million by 2030 and surpass 1.2 billion by 2050.</w:t>
      </w:r>
      <w:r w:rsidR="00036F93">
        <w:t xml:space="preserve"> </w:t>
      </w:r>
      <w:r>
        <w:t>For buses, 23</w:t>
      </w:r>
      <w:r w:rsidR="00BE75FB">
        <w:t xml:space="preserve"> per cent</w:t>
      </w:r>
      <w:r>
        <w:t xml:space="preserve"> of all buses in operation will be electric by 2030 and 79</w:t>
      </w:r>
      <w:r w:rsidR="00BE75FB">
        <w:t xml:space="preserve"> per cent</w:t>
      </w:r>
      <w:r>
        <w:t xml:space="preserve"> by 2050, when more than 50 million electric buses will be in operation.</w:t>
      </w:r>
      <w:r>
        <w:rPr>
          <w:vertAlign w:val="superscript"/>
        </w:rPr>
        <w:footnoteReference w:id="84"/>
      </w:r>
    </w:p>
    <w:p w14:paraId="37C57379" w14:textId="77777777" w:rsidR="00421726" w:rsidRDefault="00421726" w:rsidP="0001791B">
      <w:pPr>
        <w:pStyle w:val="Heading1"/>
      </w:pPr>
      <w:bookmarkStart w:id="12" w:name="_3rdcrjn" w:colFirst="0" w:colLast="0"/>
      <w:bookmarkEnd w:id="12"/>
      <w:r>
        <w:br w:type="page"/>
      </w:r>
    </w:p>
    <w:p w14:paraId="403C014E" w14:textId="70251620" w:rsidR="008A0D15" w:rsidRDefault="00421726" w:rsidP="00D52879">
      <w:pPr>
        <w:pStyle w:val="Heading1"/>
        <w:ind w:left="0"/>
        <w:rPr>
          <w:b/>
          <w:bCs/>
          <w:sz w:val="28"/>
          <w:szCs w:val="28"/>
        </w:rPr>
      </w:pPr>
      <w:bookmarkStart w:id="13" w:name="_8hel07qulqjn" w:colFirst="0" w:colLast="0"/>
      <w:bookmarkEnd w:id="13"/>
      <w:r w:rsidRPr="00D71FB3">
        <w:rPr>
          <w:b/>
          <w:bCs/>
          <w:sz w:val="28"/>
          <w:szCs w:val="28"/>
        </w:rPr>
        <w:lastRenderedPageBreak/>
        <w:t>Annex</w:t>
      </w:r>
    </w:p>
    <w:p w14:paraId="67F987AE" w14:textId="78BB2282" w:rsidR="00421726" w:rsidRDefault="00D52879" w:rsidP="00D52879">
      <w:pPr>
        <w:pStyle w:val="HChG"/>
      </w:pPr>
      <w:r>
        <w:tab/>
      </w:r>
      <w:r>
        <w:tab/>
      </w:r>
      <w:r w:rsidR="00421726" w:rsidRPr="00D71FB3">
        <w:t>Definitions</w:t>
      </w:r>
      <w:r w:rsidR="00CC0AF7">
        <w:t xml:space="preserve"> and </w:t>
      </w:r>
      <w:r w:rsidR="00B5496F">
        <w:t>C</w:t>
      </w:r>
      <w:r w:rsidR="00CC0AF7">
        <w:t xml:space="preserve">oncepts </w:t>
      </w:r>
      <w:r w:rsidR="00B5496F">
        <w:t>U</w:t>
      </w:r>
      <w:r w:rsidR="00CC0AF7">
        <w:t>sed in th</w:t>
      </w:r>
      <w:r w:rsidR="00972D1E">
        <w:t>e in-depth</w:t>
      </w:r>
      <w:r w:rsidR="00CC0AF7">
        <w:t xml:space="preserve"> </w:t>
      </w:r>
      <w:r w:rsidR="00B5496F">
        <w:t>R</w:t>
      </w:r>
      <w:r w:rsidR="00CC0AF7">
        <w:t>eport</w:t>
      </w:r>
      <w:r w:rsidR="00972D1E">
        <w:t>s</w:t>
      </w:r>
    </w:p>
    <w:p w14:paraId="5885E7E3" w14:textId="743DB115" w:rsidR="00421726" w:rsidRDefault="00D83863" w:rsidP="00D83863">
      <w:pPr>
        <w:pStyle w:val="SingleTxtG"/>
        <w:ind w:right="993"/>
      </w:pPr>
      <w:r>
        <w:t>1.</w:t>
      </w:r>
      <w:r>
        <w:tab/>
      </w:r>
      <w:r w:rsidR="00421726">
        <w:t xml:space="preserve">Inland transport: Under inland transport the report understands road, rail, and inland waterways. Freight and passenger transport are also covered and if data available, segregated with explicit remarks to either passenger </w:t>
      </w:r>
      <w:r w:rsidR="00BC3C89">
        <w:t>or</w:t>
      </w:r>
      <w:r w:rsidR="00421726">
        <w:t xml:space="preserve"> freight transport. </w:t>
      </w:r>
    </w:p>
    <w:p w14:paraId="27E86E2E" w14:textId="2C0EBBA6" w:rsidR="00421726" w:rsidRDefault="00D83863" w:rsidP="00D52879">
      <w:pPr>
        <w:pStyle w:val="SingleTxtG"/>
        <w:ind w:right="993"/>
      </w:pPr>
      <w:r>
        <w:t>2.</w:t>
      </w:r>
      <w:r>
        <w:tab/>
      </w:r>
      <w:r w:rsidR="00421726">
        <w:t>Fossil CO</w:t>
      </w:r>
      <w:r w:rsidR="00421726" w:rsidRPr="000E6C04">
        <w:rPr>
          <w:vertAlign w:val="subscript"/>
        </w:rPr>
        <w:t xml:space="preserve">2 </w:t>
      </w:r>
      <w:r w:rsidR="00421726">
        <w:t>emissions: The CO</w:t>
      </w:r>
      <w:r w:rsidR="00421726" w:rsidRPr="000E6C04">
        <w:rPr>
          <w:vertAlign w:val="subscript"/>
        </w:rPr>
        <w:t>2</w:t>
      </w:r>
      <w:r w:rsidR="00421726">
        <w:t xml:space="preserve"> estimates in this report are based on the Emissions Database for Global Atmospheric Research (EDGAR) and adjusted </w:t>
      </w:r>
      <w:r w:rsidR="00FE4064">
        <w:t>the</w:t>
      </w:r>
      <w:r w:rsidR="00421726">
        <w:t xml:space="preserve"> typology of countries participating in the UNFCCC</w:t>
      </w:r>
      <w:r w:rsidR="004203C5">
        <w:t xml:space="preserve"> process, as defined by SLOCAT</w:t>
      </w:r>
      <w:r w:rsidR="004F552A">
        <w:t>.</w:t>
      </w:r>
      <w:r w:rsidR="0091689F" w:rsidRPr="000E6C04">
        <w:rPr>
          <w:rStyle w:val="FootnoteReference"/>
          <w:sz w:val="20"/>
          <w:vertAlign w:val="baseline"/>
        </w:rPr>
        <w:footnoteReference w:customMarkFollows="1" w:id="85"/>
        <w:t>*</w:t>
      </w:r>
      <w:r w:rsidR="00421726">
        <w:t xml:space="preserve"> EDGAR provides estimates for fossil CO</w:t>
      </w:r>
      <w:r w:rsidR="00421726" w:rsidRPr="000E6C04">
        <w:rPr>
          <w:vertAlign w:val="subscript"/>
        </w:rPr>
        <w:t>2</w:t>
      </w:r>
      <w:r w:rsidR="00421726">
        <w:t xml:space="preserve"> emissions from all anthropogenic activities with the exception of land use, land-use change, forestry and the large-scale burning of biomass. </w:t>
      </w:r>
    </w:p>
    <w:p w14:paraId="5C8D410E" w14:textId="4C41A193" w:rsidR="00421726" w:rsidRDefault="00D83863" w:rsidP="00D52879">
      <w:pPr>
        <w:pStyle w:val="SingleTxtG"/>
        <w:ind w:right="993"/>
      </w:pPr>
      <w:r>
        <w:t>3.</w:t>
      </w:r>
      <w:r>
        <w:tab/>
      </w:r>
      <w:r w:rsidR="00421726">
        <w:t>Transport CO</w:t>
      </w:r>
      <w:r w:rsidR="00421726" w:rsidRPr="000E6C04">
        <w:rPr>
          <w:vertAlign w:val="subscript"/>
        </w:rPr>
        <w:t>2</w:t>
      </w:r>
      <w:r w:rsidR="00421726">
        <w:t xml:space="preserve"> emissions: Transport activities covered within EDGAR include road transport, non-road transport, domestic aviation, and inland waterways on the country level. CO</w:t>
      </w:r>
      <w:r w:rsidR="00421726" w:rsidRPr="000E6C04">
        <w:rPr>
          <w:vertAlign w:val="subscript"/>
        </w:rPr>
        <w:t>2</w:t>
      </w:r>
      <w:r w:rsidR="00421726">
        <w:t xml:space="preserve"> emissions for international aviation and shipping are indicated separately in EDGAR.</w:t>
      </w:r>
      <w:r w:rsidR="00036F93">
        <w:t xml:space="preserve"> </w:t>
      </w:r>
      <w:r w:rsidR="00421726">
        <w:t>The transport CO</w:t>
      </w:r>
      <w:r w:rsidR="00421726" w:rsidRPr="000E6C04">
        <w:rPr>
          <w:vertAlign w:val="subscript"/>
        </w:rPr>
        <w:t>2</w:t>
      </w:r>
      <w:r w:rsidR="00421726">
        <w:t xml:space="preserve"> emissions are the direct CO</w:t>
      </w:r>
      <w:r w:rsidR="00421726" w:rsidRPr="000E6C04">
        <w:rPr>
          <w:vertAlign w:val="subscript"/>
        </w:rPr>
        <w:t xml:space="preserve">2 </w:t>
      </w:r>
      <w:r w:rsidR="00421726">
        <w:t>emissions from transport activity. They do not cover the indirect emissions, such as fossil fuel extraction, vehicle production and land-use impacts associated with certain modes of transport.</w:t>
      </w:r>
    </w:p>
    <w:p w14:paraId="290B6377" w14:textId="749FCA20" w:rsidR="00D52879" w:rsidRDefault="00D83863" w:rsidP="001F3CBD">
      <w:pPr>
        <w:pStyle w:val="SingleTxtG"/>
        <w:ind w:right="993"/>
      </w:pPr>
      <w:r>
        <w:t>4.</w:t>
      </w:r>
      <w:r>
        <w:tab/>
      </w:r>
      <w:r w:rsidR="00421726">
        <w:t xml:space="preserve">The sources for </w:t>
      </w:r>
      <w:r w:rsidR="008D788D">
        <w:t>most</w:t>
      </w:r>
      <w:r w:rsidR="00421726">
        <w:t xml:space="preserve"> statement</w:t>
      </w:r>
      <w:r w:rsidR="008D788D">
        <w:t>s</w:t>
      </w:r>
      <w:r w:rsidR="00421726">
        <w:t xml:space="preserve"> are provided. In the case that other emission units (such as greenhouse gas emissions or CO</w:t>
      </w:r>
      <w:r w:rsidR="00421726" w:rsidRPr="000E6C04">
        <w:rPr>
          <w:vertAlign w:val="subscript"/>
        </w:rPr>
        <w:t>2</w:t>
      </w:r>
      <w:r w:rsidR="00421726">
        <w:t xml:space="preserve"> equivalent) are used, they are clearly marked</w:t>
      </w:r>
      <w:r w:rsidR="00D9501D">
        <w:t>,</w:t>
      </w:r>
      <w:r w:rsidR="00421726">
        <w:t xml:space="preserve"> and the source is provided.</w:t>
      </w:r>
    </w:p>
    <w:p w14:paraId="7FF50C34" w14:textId="6DBF6028" w:rsidR="00D52879" w:rsidRPr="001F3CBD" w:rsidRDefault="001F3CBD" w:rsidP="001F3CBD">
      <w:pPr>
        <w:spacing w:before="240"/>
        <w:jc w:val="center"/>
        <w:rPr>
          <w:u w:val="single"/>
        </w:rPr>
      </w:pPr>
      <w:r>
        <w:rPr>
          <w:u w:val="single"/>
        </w:rPr>
        <w:tab/>
      </w:r>
      <w:r>
        <w:rPr>
          <w:u w:val="single"/>
        </w:rPr>
        <w:tab/>
      </w:r>
      <w:r>
        <w:rPr>
          <w:u w:val="single"/>
        </w:rPr>
        <w:tab/>
      </w:r>
    </w:p>
    <w:sectPr w:rsidR="00D52879" w:rsidRPr="001F3CBD" w:rsidSect="00E604F0">
      <w:headerReference w:type="even" r:id="rId24"/>
      <w:headerReference w:type="default" r:id="rId25"/>
      <w:footerReference w:type="even" r:id="rId26"/>
      <w:footerReference w:type="default" r:id="rId27"/>
      <w:endnotePr>
        <w:numFmt w:val="decimal"/>
      </w:endnotePr>
      <w:pgSz w:w="11907" w:h="16840" w:code="9"/>
      <w:pgMar w:top="1418" w:right="1275"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AB1F7" w14:textId="77777777" w:rsidR="00626EE6" w:rsidRDefault="00626EE6"/>
  </w:endnote>
  <w:endnote w:type="continuationSeparator" w:id="0">
    <w:p w14:paraId="3DFC0561" w14:textId="77777777" w:rsidR="00626EE6" w:rsidRDefault="00626EE6"/>
  </w:endnote>
  <w:endnote w:type="continuationNotice" w:id="1">
    <w:p w14:paraId="7862CAA9" w14:textId="77777777" w:rsidR="00626EE6" w:rsidRDefault="00626E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444F" w14:textId="35A6A2DD" w:rsidR="00C02976" w:rsidRPr="00C02976" w:rsidRDefault="00C02976" w:rsidP="00C02976">
    <w:pPr>
      <w:pStyle w:val="Footer"/>
      <w:tabs>
        <w:tab w:val="right" w:pos="9638"/>
      </w:tabs>
      <w:rPr>
        <w:sz w:val="18"/>
      </w:rPr>
    </w:pP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2</w:t>
    </w:r>
    <w:r w:rsidRPr="00C0297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5DE1" w14:textId="41934157" w:rsidR="00C02976" w:rsidRPr="00C02976" w:rsidRDefault="00C02976" w:rsidP="00C02976">
    <w:pPr>
      <w:pStyle w:val="Footer"/>
      <w:tabs>
        <w:tab w:val="right" w:pos="9638"/>
      </w:tabs>
      <w:rPr>
        <w:b/>
        <w:sz w:val="18"/>
      </w:rPr>
    </w:pPr>
    <w:r>
      <w:tab/>
    </w: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3</w:t>
    </w:r>
    <w:r w:rsidRPr="00C0297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62019" w14:textId="77777777" w:rsidR="00626EE6" w:rsidRPr="000B175B" w:rsidRDefault="00626EE6" w:rsidP="000B175B">
      <w:pPr>
        <w:tabs>
          <w:tab w:val="right" w:pos="2155"/>
        </w:tabs>
        <w:spacing w:after="80"/>
        <w:ind w:left="680"/>
        <w:rPr>
          <w:u w:val="single"/>
        </w:rPr>
      </w:pPr>
      <w:r>
        <w:rPr>
          <w:u w:val="single"/>
        </w:rPr>
        <w:tab/>
      </w:r>
    </w:p>
  </w:footnote>
  <w:footnote w:type="continuationSeparator" w:id="0">
    <w:p w14:paraId="067495E5" w14:textId="77777777" w:rsidR="00626EE6" w:rsidRPr="00FC68B7" w:rsidRDefault="00626EE6" w:rsidP="00FC68B7">
      <w:pPr>
        <w:tabs>
          <w:tab w:val="left" w:pos="2155"/>
        </w:tabs>
        <w:spacing w:after="80"/>
        <w:ind w:left="680"/>
        <w:rPr>
          <w:u w:val="single"/>
        </w:rPr>
      </w:pPr>
      <w:r>
        <w:rPr>
          <w:u w:val="single"/>
        </w:rPr>
        <w:tab/>
      </w:r>
    </w:p>
  </w:footnote>
  <w:footnote w:type="continuationNotice" w:id="1">
    <w:p w14:paraId="4479A180" w14:textId="77777777" w:rsidR="00626EE6" w:rsidRDefault="00626EE6"/>
  </w:footnote>
  <w:footnote w:id="2">
    <w:p w14:paraId="3BFC6F3C" w14:textId="7DB6AB44" w:rsidR="00BF3BAC" w:rsidRPr="00BF3BAC" w:rsidRDefault="00BF3BAC">
      <w:pPr>
        <w:pStyle w:val="FootnoteText"/>
        <w:rPr>
          <w:lang w:val="en-US"/>
        </w:rPr>
      </w:pPr>
      <w:r>
        <w:rPr>
          <w:rStyle w:val="FootnoteReference"/>
        </w:rPr>
        <w:tab/>
      </w:r>
      <w:r w:rsidRPr="00BF3BAC">
        <w:rPr>
          <w:rStyle w:val="FootnoteReference"/>
          <w:sz w:val="20"/>
          <w:vertAlign w:val="baseline"/>
        </w:rPr>
        <w:t>*</w:t>
      </w:r>
      <w:r>
        <w:rPr>
          <w:rStyle w:val="FootnoteReference"/>
          <w:sz w:val="20"/>
          <w:vertAlign w:val="baseline"/>
        </w:rPr>
        <w:tab/>
      </w:r>
      <w:r w:rsidR="00AD759C" w:rsidRPr="00AD759C">
        <w:rPr>
          <w:szCs w:val="18"/>
        </w:rPr>
        <w:t>The present document is being issued without formal editing.</w:t>
      </w:r>
    </w:p>
  </w:footnote>
  <w:footnote w:id="3">
    <w:p w14:paraId="4A50B908" w14:textId="7F16B376" w:rsidR="00421726" w:rsidRPr="00036F93" w:rsidRDefault="00151F2B" w:rsidP="005D41FE">
      <w:pPr>
        <w:pStyle w:val="FootnoteText"/>
      </w:pPr>
      <w:r w:rsidRPr="00036F93">
        <w:tab/>
      </w:r>
      <w:r w:rsidR="00421726" w:rsidRPr="00036F93">
        <w:rPr>
          <w:vertAlign w:val="superscript"/>
        </w:rPr>
        <w:footnoteRef/>
      </w:r>
      <w:r w:rsidR="00421726" w:rsidRPr="00036F93">
        <w:t xml:space="preserve"> </w:t>
      </w:r>
      <w:r w:rsidRPr="00036F93">
        <w:tab/>
      </w:r>
      <w:r w:rsidR="00421726" w:rsidRPr="00036F93">
        <w:t xml:space="preserve">IPCC (2022), “Climate Change 2022: Mitigation of Climate Change. Summary for Policymakers”, </w:t>
      </w:r>
      <w:hyperlink r:id="rId1" w:history="1">
        <w:r w:rsidR="00421726" w:rsidRPr="005D41FE">
          <w:rPr>
            <w:color w:val="0070C0"/>
            <w:u w:val="single"/>
          </w:rPr>
          <w:t>https://www.ipcc.ch/report/ar6/wg3/downloads/report/IPCC_AR6_WGIII_SPM.pdf</w:t>
        </w:r>
      </w:hyperlink>
      <w:r w:rsidR="00421726" w:rsidRPr="00036F93">
        <w:t xml:space="preserve">. </w:t>
      </w:r>
    </w:p>
  </w:footnote>
  <w:footnote w:id="4">
    <w:p w14:paraId="15D74A5D" w14:textId="537627E1" w:rsidR="00421726" w:rsidRPr="00036F93" w:rsidRDefault="00151F2B" w:rsidP="000E6C04">
      <w:pPr>
        <w:pStyle w:val="FootnoteText"/>
      </w:pPr>
      <w:r w:rsidRPr="00036F93">
        <w:tab/>
      </w:r>
      <w:r w:rsidR="00421726" w:rsidRPr="00036F93">
        <w:rPr>
          <w:vertAlign w:val="superscript"/>
        </w:rPr>
        <w:footnoteRef/>
      </w:r>
      <w:r w:rsidRPr="00036F93">
        <w:tab/>
      </w:r>
      <w:r w:rsidR="00421726" w:rsidRPr="00036F93">
        <w:t xml:space="preserve"> US National Aeronautics and Space Administration (NASA) (2022), “GISS Surface Temperature Analysis (v4)”, </w:t>
      </w:r>
      <w:hyperlink r:id="rId2" w:history="1">
        <w:r w:rsidR="00421726" w:rsidRPr="005D41FE">
          <w:rPr>
            <w:color w:val="0070C0"/>
            <w:u w:val="single"/>
          </w:rPr>
          <w:t>https://data.giss.nasa.gov/gistemp/graphs_v4</w:t>
        </w:r>
      </w:hyperlink>
      <w:r w:rsidR="00421726" w:rsidRPr="00036F93">
        <w:t xml:space="preserve">. </w:t>
      </w:r>
    </w:p>
  </w:footnote>
  <w:footnote w:id="5">
    <w:p w14:paraId="7F4C9F2F" w14:textId="1915E4F8" w:rsidR="00421726" w:rsidRPr="00036F93" w:rsidRDefault="00151F2B" w:rsidP="000E6C04">
      <w:pPr>
        <w:pStyle w:val="FootnoteText"/>
      </w:pPr>
      <w:r w:rsidRPr="00036F93">
        <w:tab/>
      </w:r>
      <w:r w:rsidR="00421726" w:rsidRPr="00036F93">
        <w:rPr>
          <w:vertAlign w:val="superscript"/>
        </w:rPr>
        <w:footnoteRef/>
      </w:r>
      <w:r w:rsidR="00421726" w:rsidRPr="00036F93">
        <w:t xml:space="preserve"> </w:t>
      </w:r>
      <w:r w:rsidRPr="00036F93">
        <w:tab/>
      </w:r>
      <w:r w:rsidR="00421726" w:rsidRPr="00036F93">
        <w:t xml:space="preserve">Analysis from the SLOCAT Partnership on Sustainable, Low Carbon Transport (SLOCAT), based on M. </w:t>
      </w:r>
      <w:proofErr w:type="spellStart"/>
      <w:r w:rsidR="00421726" w:rsidRPr="00036F93">
        <w:t>Crippa</w:t>
      </w:r>
      <w:proofErr w:type="spellEnd"/>
      <w:r w:rsidR="00421726" w:rsidRPr="00036F93">
        <w:t xml:space="preserve"> et al. (2023), “GHG emissions of all world countries – 2023 Report”, </w:t>
      </w:r>
      <w:hyperlink r:id="rId3" w:history="1">
        <w:r w:rsidR="00421726" w:rsidRPr="005D41FE">
          <w:rPr>
            <w:color w:val="0070C0"/>
            <w:u w:val="single"/>
          </w:rPr>
          <w:t>https://edgar.jrc.ec.europa.eu/report_2023</w:t>
        </w:r>
      </w:hyperlink>
      <w:r w:rsidR="00036F93" w:rsidRPr="00036F93">
        <w:t xml:space="preserve"> </w:t>
      </w:r>
    </w:p>
  </w:footnote>
  <w:footnote w:id="6">
    <w:p w14:paraId="3983C044" w14:textId="6B95A7D9" w:rsidR="00421726" w:rsidRPr="00036F93" w:rsidRDefault="00151F2B" w:rsidP="000E6C04">
      <w:pPr>
        <w:pStyle w:val="FootnoteText"/>
      </w:pPr>
      <w:r w:rsidRPr="00036F93">
        <w:tab/>
      </w:r>
      <w:r w:rsidR="00421726" w:rsidRPr="00036F93">
        <w:rPr>
          <w:vertAlign w:val="superscript"/>
        </w:rPr>
        <w:footnoteRef/>
      </w:r>
      <w:r w:rsidR="00421726" w:rsidRPr="00036F93">
        <w:t xml:space="preserve"> </w:t>
      </w:r>
      <w:r w:rsidRPr="00036F93">
        <w:tab/>
      </w:r>
      <w:r w:rsidR="00421726" w:rsidRPr="00036F93">
        <w:t>Other sectors is a summary of fuel exploration, industrial combustion, processes and waste.</w:t>
      </w:r>
    </w:p>
  </w:footnote>
  <w:footnote w:id="7">
    <w:p w14:paraId="0E73C3A7" w14:textId="0F384988" w:rsidR="00421726" w:rsidRPr="00036F93" w:rsidRDefault="00151F2B" w:rsidP="000E6C04">
      <w:pPr>
        <w:pStyle w:val="FootnoteText"/>
      </w:pPr>
      <w:r w:rsidRPr="00036F93">
        <w:tab/>
      </w:r>
      <w:r w:rsidR="00421726" w:rsidRPr="00036F93">
        <w:rPr>
          <w:vertAlign w:val="superscript"/>
        </w:rPr>
        <w:footnoteRef/>
      </w:r>
      <w:r w:rsidR="00421726" w:rsidRPr="00036F93">
        <w:t xml:space="preserve"> </w:t>
      </w:r>
      <w:r w:rsidRPr="00036F93">
        <w:tab/>
      </w:r>
      <w:r w:rsidR="00421726" w:rsidRPr="00036F93">
        <w:t xml:space="preserve">Analysis from SLOCAT, based on M. </w:t>
      </w:r>
      <w:proofErr w:type="spellStart"/>
      <w:r w:rsidR="00421726" w:rsidRPr="00036F93">
        <w:t>Crippa</w:t>
      </w:r>
      <w:proofErr w:type="spellEnd"/>
      <w:r w:rsidR="00421726" w:rsidRPr="00036F93">
        <w:t xml:space="preserve"> et al. (2023), “GHG emissions of all world countries – 2023 Report”, https://edgar.jrc.ec.europa.eu/report_2023</w:t>
      </w:r>
    </w:p>
  </w:footnote>
  <w:footnote w:id="8">
    <w:p w14:paraId="0A259412" w14:textId="77FDCCD7" w:rsidR="00421726" w:rsidRPr="00036F93" w:rsidRDefault="00151F2B" w:rsidP="000E6C04">
      <w:pPr>
        <w:pStyle w:val="FootnoteText"/>
      </w:pPr>
      <w:r w:rsidRPr="00036F93">
        <w:tab/>
      </w:r>
      <w:r w:rsidR="00421726" w:rsidRPr="00036F93">
        <w:rPr>
          <w:vertAlign w:val="superscript"/>
        </w:rPr>
        <w:footnoteRef/>
      </w:r>
      <w:r w:rsidR="00421726" w:rsidRPr="00036F93">
        <w:t xml:space="preserve"> </w:t>
      </w:r>
      <w:r w:rsidRPr="00036F93">
        <w:tab/>
      </w:r>
      <w:r w:rsidR="00421726" w:rsidRPr="00036F93">
        <w:t xml:space="preserve">Analysis from SLOCAT, based on M. </w:t>
      </w:r>
      <w:proofErr w:type="spellStart"/>
      <w:r w:rsidR="00421726" w:rsidRPr="00036F93">
        <w:t>Crippa</w:t>
      </w:r>
      <w:proofErr w:type="spellEnd"/>
      <w:r w:rsidR="00421726" w:rsidRPr="00036F93">
        <w:t xml:space="preserve"> et al. (2023), “GHG emissions of all world countries – 2023 Report”, </w:t>
      </w:r>
      <w:hyperlink r:id="rId4" w:history="1">
        <w:r w:rsidR="00421726" w:rsidRPr="005D41FE">
          <w:rPr>
            <w:color w:val="0070C0"/>
            <w:u w:val="single"/>
          </w:rPr>
          <w:t>https://edgar.jrc.ec.europa.eu/report_2023</w:t>
        </w:r>
      </w:hyperlink>
      <w:r w:rsidR="00036F93" w:rsidRPr="00036F93">
        <w:t xml:space="preserve"> </w:t>
      </w:r>
    </w:p>
  </w:footnote>
  <w:footnote w:id="9">
    <w:p w14:paraId="345B968D" w14:textId="6B44B910" w:rsidR="00F03909" w:rsidRPr="00036F93" w:rsidRDefault="00322FD5" w:rsidP="000E6C04">
      <w:pPr>
        <w:pStyle w:val="FootnoteText"/>
      </w:pPr>
      <w:r w:rsidRPr="00036F93">
        <w:tab/>
      </w:r>
      <w:r w:rsidR="00421726" w:rsidRPr="00036F93">
        <w:rPr>
          <w:vertAlign w:val="superscript"/>
        </w:rPr>
        <w:footnoteRef/>
      </w:r>
      <w:r w:rsidR="00421726" w:rsidRPr="00036F93">
        <w:t xml:space="preserve"> </w:t>
      </w:r>
      <w:r w:rsidRPr="00036F93">
        <w:tab/>
      </w:r>
      <w:r w:rsidR="00421726" w:rsidRPr="00363B07">
        <w:t xml:space="preserve">World Resources Institute (2022), “Transport, Systems Change Lab”, </w:t>
      </w:r>
      <w:hyperlink r:id="rId5" w:history="1">
        <w:r w:rsidR="00421726" w:rsidRPr="005D41FE">
          <w:rPr>
            <w:color w:val="0070C0"/>
            <w:u w:val="single"/>
          </w:rPr>
          <w:t>https://systemschangelab.org/transport</w:t>
        </w:r>
      </w:hyperlink>
      <w:r w:rsidR="00421726" w:rsidRPr="00363B07">
        <w:t xml:space="preserve">; J.D. Sachs et al. (2022), “Sustainable Development Report 2022: From Crisis to Sustainable Development: The SDGs as Roadmap to 2030 and Beyond”, </w:t>
      </w:r>
      <w:hyperlink r:id="rId6" w:history="1">
        <w:r w:rsidR="00F03909" w:rsidRPr="00363B07">
          <w:t>https://bit.ly/3qtgdQT</w:t>
        </w:r>
      </w:hyperlink>
      <w:r w:rsidR="00421726" w:rsidRPr="00036F93">
        <w:t>.</w:t>
      </w:r>
    </w:p>
  </w:footnote>
  <w:footnote w:id="10">
    <w:p w14:paraId="193B4668" w14:textId="4175225E" w:rsidR="006E3C2A" w:rsidRPr="00036F93" w:rsidRDefault="00322FD5" w:rsidP="000E6C04">
      <w:pPr>
        <w:pStyle w:val="FootnoteText"/>
      </w:pPr>
      <w:r w:rsidRPr="00036F93">
        <w:tab/>
      </w:r>
      <w:r w:rsidR="00421726" w:rsidRPr="00036F93">
        <w:rPr>
          <w:vertAlign w:val="superscript"/>
        </w:rPr>
        <w:footnoteRef/>
      </w:r>
      <w:r w:rsidR="00421726" w:rsidRPr="00036F93">
        <w:t xml:space="preserve"> </w:t>
      </w:r>
      <w:r w:rsidRPr="00036F93">
        <w:tab/>
      </w:r>
      <w:r w:rsidR="00421726" w:rsidRPr="00036F93">
        <w:t xml:space="preserve">SLOCAT (2023), Takeaways for Decision Makers From Turbulence to Transformation: Navigating Challenges Towards Action on Transport, Climate and Sustainability, SLOCAT Global Status Report on Transport, Climate and Sustainability - 3rd edition, </w:t>
      </w:r>
      <w:hyperlink r:id="rId7" w:history="1">
        <w:r w:rsidR="006E3C2A" w:rsidRPr="00036F93">
          <w:rPr>
            <w:rStyle w:val="Hyperlink"/>
            <w:color w:val="auto"/>
          </w:rPr>
          <w:t>https://tcc-gsr.com/takeways-for-decision-makers/</w:t>
        </w:r>
      </w:hyperlink>
    </w:p>
  </w:footnote>
  <w:footnote w:id="11">
    <w:p w14:paraId="1B5BA71A" w14:textId="398A6BE9" w:rsidR="006E3C2A" w:rsidRPr="00036F93" w:rsidRDefault="00322FD5" w:rsidP="000E6C04">
      <w:pPr>
        <w:pStyle w:val="FootnoteText"/>
      </w:pPr>
      <w:r w:rsidRPr="00036F93">
        <w:tab/>
      </w:r>
      <w:r w:rsidR="00421726" w:rsidRPr="00036F93">
        <w:rPr>
          <w:vertAlign w:val="superscript"/>
        </w:rPr>
        <w:footnoteRef/>
      </w:r>
      <w:r w:rsidR="00421726" w:rsidRPr="00036F93">
        <w:t xml:space="preserve"> </w:t>
      </w:r>
      <w:r w:rsidRPr="00036F93">
        <w:tab/>
      </w:r>
      <w:r w:rsidR="00421726" w:rsidRPr="00036F93">
        <w:t xml:space="preserve">United Nations Statistics Division (2023), “The Sustainable Development Goals Report 2023: Special Edition”, </w:t>
      </w:r>
      <w:hyperlink r:id="rId8" w:history="1">
        <w:r w:rsidR="006E3C2A" w:rsidRPr="00036F93">
          <w:rPr>
            <w:rStyle w:val="Hyperlink"/>
            <w:color w:val="auto"/>
          </w:rPr>
          <w:t>https://unstats.un.org/sdgs/report/2023/</w:t>
        </w:r>
      </w:hyperlink>
    </w:p>
  </w:footnote>
  <w:footnote w:id="12">
    <w:p w14:paraId="36B53E2A" w14:textId="226D06CD" w:rsidR="006E3C2A" w:rsidRPr="00036F93" w:rsidRDefault="00322FD5" w:rsidP="000E6C04">
      <w:pPr>
        <w:pStyle w:val="FootnoteText"/>
      </w:pPr>
      <w:r w:rsidRPr="00036F93">
        <w:tab/>
      </w:r>
      <w:r w:rsidR="00421726" w:rsidRPr="00036F93">
        <w:rPr>
          <w:vertAlign w:val="superscript"/>
        </w:rPr>
        <w:footnoteRef/>
      </w:r>
      <w:r w:rsidR="00421726" w:rsidRPr="00036F93">
        <w:t xml:space="preserve"> </w:t>
      </w:r>
      <w:r w:rsidRPr="00036F93">
        <w:tab/>
      </w:r>
      <w:r w:rsidR="00421726" w:rsidRPr="00036F93">
        <w:t xml:space="preserve">United Nations Conference on Trade and Development (UNCTAD) (2022), “Maritime Trade Disrupted: The War in Ukraine and Its Effects on Maritime Trade Logistics”, </w:t>
      </w:r>
      <w:hyperlink r:id="rId9" w:history="1">
        <w:r w:rsidR="006E3C2A" w:rsidRPr="00036F93">
          <w:rPr>
            <w:rStyle w:val="Hyperlink"/>
            <w:color w:val="auto"/>
          </w:rPr>
          <w:t>https://unctad.org/system/files/official-document/osginf2022d2_en.pdf</w:t>
        </w:r>
      </w:hyperlink>
      <w:r w:rsidR="00421726" w:rsidRPr="00036F93">
        <w:t>.</w:t>
      </w:r>
    </w:p>
  </w:footnote>
  <w:footnote w:id="13">
    <w:p w14:paraId="26067ABC" w14:textId="76CFA40E" w:rsidR="006E3C2A" w:rsidRPr="00036F93" w:rsidRDefault="00322FD5" w:rsidP="000E6C04">
      <w:pPr>
        <w:pStyle w:val="FootnoteText"/>
      </w:pPr>
      <w:r w:rsidRPr="00F848BA">
        <w:rPr>
          <w:lang w:val="en-US"/>
        </w:rPr>
        <w:tab/>
      </w:r>
      <w:r w:rsidR="00421726" w:rsidRPr="00036F93">
        <w:rPr>
          <w:vertAlign w:val="superscript"/>
        </w:rPr>
        <w:footnoteRef/>
      </w:r>
      <w:r w:rsidR="00421726" w:rsidRPr="00036F93">
        <w:rPr>
          <w:lang w:val="fr-CH"/>
        </w:rPr>
        <w:t xml:space="preserve"> </w:t>
      </w:r>
      <w:r w:rsidRPr="00036F93">
        <w:rPr>
          <w:lang w:val="fr-CH"/>
        </w:rPr>
        <w:tab/>
      </w:r>
      <w:r w:rsidR="00421726" w:rsidRPr="00036F93">
        <w:rPr>
          <w:lang w:val="fr-CH"/>
        </w:rPr>
        <w:t xml:space="preserve">E.E. </w:t>
      </w:r>
      <w:proofErr w:type="spellStart"/>
      <w:r w:rsidR="00421726" w:rsidRPr="00036F93">
        <w:rPr>
          <w:lang w:val="fr-CH"/>
        </w:rPr>
        <w:t>Koks</w:t>
      </w:r>
      <w:proofErr w:type="spellEnd"/>
      <w:r w:rsidR="00421726" w:rsidRPr="00036F93">
        <w:rPr>
          <w:lang w:val="fr-CH"/>
        </w:rPr>
        <w:t xml:space="preserve"> et al. </w:t>
      </w:r>
      <w:r w:rsidR="00421726" w:rsidRPr="00036F93">
        <w:t xml:space="preserve">(2019), “A global multi-hazard risk analysis of road and railway infrastructure assets”, Nature Communications, Vol. 10, No. 2677, </w:t>
      </w:r>
      <w:r w:rsidR="00421726" w:rsidRPr="005D41FE">
        <w:rPr>
          <w:color w:val="0070C0"/>
          <w:u w:val="single"/>
        </w:rPr>
        <w:t xml:space="preserve">https:// </w:t>
      </w:r>
      <w:hyperlink r:id="rId10" w:history="1">
        <w:r w:rsidR="006E3C2A" w:rsidRPr="005D41FE">
          <w:rPr>
            <w:rStyle w:val="Hyperlink"/>
            <w:color w:val="0070C0"/>
            <w:u w:val="single"/>
          </w:rPr>
          <w:t>www.nature.com/articles/s41467-019-10442-3</w:t>
        </w:r>
      </w:hyperlink>
      <w:r w:rsidR="00421726" w:rsidRPr="00036F93">
        <w:t>.</w:t>
      </w:r>
    </w:p>
  </w:footnote>
  <w:footnote w:id="14">
    <w:p w14:paraId="15E2BA83" w14:textId="15A4EE5E" w:rsidR="007514F4" w:rsidRPr="00036F93" w:rsidRDefault="00322FD5" w:rsidP="000E6C04">
      <w:pPr>
        <w:pStyle w:val="FootnoteText"/>
      </w:pPr>
      <w:r w:rsidRPr="00036F93">
        <w:tab/>
      </w:r>
      <w:r w:rsidR="00421726" w:rsidRPr="00036F93">
        <w:rPr>
          <w:vertAlign w:val="superscript"/>
        </w:rPr>
        <w:footnoteRef/>
      </w:r>
      <w:r w:rsidR="00421726" w:rsidRPr="00036F93">
        <w:t xml:space="preserve"> </w:t>
      </w:r>
      <w:r w:rsidRPr="00036F93">
        <w:tab/>
      </w:r>
      <w:r w:rsidR="00421726" w:rsidRPr="00036F93">
        <w:t xml:space="preserve">S. </w:t>
      </w:r>
      <w:proofErr w:type="spellStart"/>
      <w:r w:rsidR="00421726" w:rsidRPr="00036F93">
        <w:t>Hallegatte</w:t>
      </w:r>
      <w:proofErr w:type="spellEnd"/>
      <w:r w:rsidR="00421726" w:rsidRPr="00036F93">
        <w:t xml:space="preserve">, J. Rentschler and J. </w:t>
      </w:r>
      <w:proofErr w:type="spellStart"/>
      <w:r w:rsidR="00421726" w:rsidRPr="00036F93">
        <w:t>Rozenberg</w:t>
      </w:r>
      <w:proofErr w:type="spellEnd"/>
      <w:r w:rsidR="00421726" w:rsidRPr="00036F93">
        <w:t xml:space="preserve"> (2019), “Lifelines: The Resilient Infrastructure Opportunity”, World Bank, </w:t>
      </w:r>
      <w:hyperlink r:id="rId11" w:history="1">
        <w:r w:rsidR="007514F4" w:rsidRPr="00036F93">
          <w:rPr>
            <w:rStyle w:val="Hyperlink"/>
            <w:color w:val="auto"/>
          </w:rPr>
          <w:t>https://openknowledge.worldbank.org/handle/10986/31805</w:t>
        </w:r>
      </w:hyperlink>
      <w:r w:rsidR="00421726" w:rsidRPr="00036F93">
        <w:t>.</w:t>
      </w:r>
    </w:p>
  </w:footnote>
  <w:footnote w:id="15">
    <w:p w14:paraId="4870735D" w14:textId="65977137" w:rsidR="007514F4" w:rsidRPr="00036F93" w:rsidRDefault="00322FD5" w:rsidP="000E6C04">
      <w:pPr>
        <w:pStyle w:val="FootnoteText"/>
      </w:pPr>
      <w:r w:rsidRPr="00036F93">
        <w:tab/>
      </w:r>
      <w:r w:rsidR="00421726" w:rsidRPr="00036F93">
        <w:rPr>
          <w:vertAlign w:val="superscript"/>
        </w:rPr>
        <w:footnoteRef/>
      </w:r>
      <w:r w:rsidR="00421726" w:rsidRPr="00036F93">
        <w:t xml:space="preserve"> </w:t>
      </w:r>
      <w:r w:rsidRPr="00036F93">
        <w:tab/>
      </w:r>
      <w:r w:rsidR="00421726" w:rsidRPr="00036F93">
        <w:t xml:space="preserve">Analysis from the SLOCAT Partnership on Sustainable, Low Carbon Transport (SLOCAT), based on M. </w:t>
      </w:r>
      <w:proofErr w:type="spellStart"/>
      <w:r w:rsidR="00421726" w:rsidRPr="00036F93">
        <w:t>Crippa</w:t>
      </w:r>
      <w:proofErr w:type="spellEnd"/>
      <w:r w:rsidR="00421726" w:rsidRPr="00036F93">
        <w:t xml:space="preserve"> et al. (2022), “CO</w:t>
      </w:r>
      <w:r w:rsidR="00421726" w:rsidRPr="000E6C04">
        <w:rPr>
          <w:vertAlign w:val="subscript"/>
        </w:rPr>
        <w:t>2</w:t>
      </w:r>
      <w:r w:rsidR="00421726" w:rsidRPr="00036F93">
        <w:t xml:space="preserve"> Emissions of All World Countries – 2022 Report”, </w:t>
      </w:r>
      <w:hyperlink r:id="rId12" w:history="1">
        <w:r w:rsidR="007514F4" w:rsidRPr="00036F93">
          <w:rPr>
            <w:rStyle w:val="Hyperlink"/>
            <w:color w:val="auto"/>
          </w:rPr>
          <w:t>https://edgar.jrc.ec.europa.eu/report_2022</w:t>
        </w:r>
      </w:hyperlink>
    </w:p>
  </w:footnote>
  <w:footnote w:id="16">
    <w:p w14:paraId="3C775249" w14:textId="17266C90" w:rsidR="00421726" w:rsidRPr="00036F93" w:rsidRDefault="00322FD5" w:rsidP="000E6C04">
      <w:pPr>
        <w:pStyle w:val="FootnoteText"/>
      </w:pPr>
      <w:r w:rsidRPr="00036F93">
        <w:tab/>
      </w:r>
      <w:r w:rsidR="00421726" w:rsidRPr="00036F93">
        <w:rPr>
          <w:vertAlign w:val="superscript"/>
        </w:rPr>
        <w:footnoteRef/>
      </w:r>
      <w:r w:rsidR="00421726" w:rsidRPr="00036F93">
        <w:t xml:space="preserve"> </w:t>
      </w:r>
      <w:r w:rsidRPr="00036F93">
        <w:tab/>
      </w:r>
      <w:r w:rsidR="00421726" w:rsidRPr="00036F93">
        <w:t>IEA (2022), “World CO</w:t>
      </w:r>
      <w:r w:rsidR="00421726" w:rsidRPr="000E6C04">
        <w:rPr>
          <w:vertAlign w:val="subscript"/>
        </w:rPr>
        <w:t>2</w:t>
      </w:r>
      <w:r w:rsidR="00421726" w:rsidRPr="00036F93">
        <w:t xml:space="preserve"> Emissions from Fuel Combustion”.</w:t>
      </w:r>
    </w:p>
  </w:footnote>
  <w:footnote w:id="17">
    <w:p w14:paraId="489C8140" w14:textId="77F44E37" w:rsidR="00421726" w:rsidRPr="00036F93" w:rsidRDefault="00322FD5" w:rsidP="000E6C04">
      <w:pPr>
        <w:pStyle w:val="FootnoteText"/>
      </w:pPr>
      <w:r w:rsidRPr="00036F93">
        <w:tab/>
      </w:r>
      <w:r w:rsidR="00421726" w:rsidRPr="00036F93">
        <w:rPr>
          <w:vertAlign w:val="superscript"/>
        </w:rPr>
        <w:footnoteRef/>
      </w:r>
      <w:r w:rsidR="00421726" w:rsidRPr="00036F93">
        <w:t xml:space="preserve"> </w:t>
      </w:r>
      <w:r w:rsidRPr="00036F93">
        <w:tab/>
      </w:r>
      <w:r w:rsidR="00421726" w:rsidRPr="00036F93">
        <w:t xml:space="preserve">Shell (2020), “The Energy Transformation Scenarios”, </w:t>
      </w:r>
      <w:hyperlink r:id="rId13" w:history="1">
        <w:r w:rsidR="007514F4" w:rsidRPr="00036F93">
          <w:rPr>
            <w:rStyle w:val="Hyperlink"/>
            <w:color w:val="auto"/>
          </w:rPr>
          <w:t>https://www.shell.com/energy-and-innovation/the-energy-future/scenarios/the-energy-transformation-scenarios.html</w:t>
        </w:r>
      </w:hyperlink>
      <w:r w:rsidR="00421726" w:rsidRPr="00036F93">
        <w:t xml:space="preserve">, accessed 20 August 2022. </w:t>
      </w:r>
    </w:p>
  </w:footnote>
  <w:footnote w:id="18">
    <w:p w14:paraId="37176013" w14:textId="5EA850A2" w:rsidR="00421726" w:rsidRPr="00036F93" w:rsidRDefault="00F03909" w:rsidP="000E6C04">
      <w:pPr>
        <w:pStyle w:val="FootnoteText"/>
      </w:pPr>
      <w:r w:rsidRPr="00036F93">
        <w:tab/>
      </w:r>
      <w:r w:rsidR="00421726" w:rsidRPr="00036F93">
        <w:rPr>
          <w:vertAlign w:val="superscript"/>
        </w:rPr>
        <w:footnoteRef/>
      </w:r>
      <w:r w:rsidRPr="00036F93">
        <w:tab/>
      </w:r>
      <w:r w:rsidR="00421726" w:rsidRPr="00036F93">
        <w:t xml:space="preserve">ITF (2021), “ITF Transport Outlook 2021”, </w:t>
      </w:r>
      <w:hyperlink r:id="rId14" w:history="1">
        <w:r w:rsidR="00421726" w:rsidRPr="005D41FE">
          <w:rPr>
            <w:color w:val="0070C0"/>
            <w:u w:val="single"/>
          </w:rPr>
          <w:t>https://www.itf-oecd.org/itf-transport-outlook-2021</w:t>
        </w:r>
      </w:hyperlink>
      <w:r w:rsidR="00421726" w:rsidRPr="00036F93">
        <w:t xml:space="preserve">; Shell (2020), “The Energy Transformation Scenarios”, https://www.shell.com/energy-and-innovation/the-energy-future/scenarios/the-energy-transformation-scenarios.html, accessed 20 August 2022. </w:t>
      </w:r>
    </w:p>
  </w:footnote>
  <w:footnote w:id="19">
    <w:p w14:paraId="63F41DB1" w14:textId="1D631324" w:rsidR="00421726" w:rsidRPr="00036F93" w:rsidRDefault="00F03909" w:rsidP="000E6C04">
      <w:pPr>
        <w:pStyle w:val="FootnoteText"/>
      </w:pPr>
      <w:r w:rsidRPr="00036F93">
        <w:tab/>
      </w:r>
      <w:r w:rsidR="00421726" w:rsidRPr="00036F93">
        <w:rPr>
          <w:vertAlign w:val="superscript"/>
        </w:rPr>
        <w:footnoteRef/>
      </w:r>
      <w:r w:rsidR="00421726" w:rsidRPr="00036F93">
        <w:t xml:space="preserve"> </w:t>
      </w:r>
      <w:r w:rsidRPr="00036F93">
        <w:tab/>
      </w:r>
      <w:r w:rsidR="00421726" w:rsidRPr="00036F93">
        <w:t>S.C. Anenberg et al. (2019), “The global burden of transportation tailpipe emissions on air pollution-related mortality in 2010 and 2015”, Environmental Research Letters, Vol. 14, p. 094012, https://iopscience.iop.org/article/10.1088/1748-9326/ab35fc/pdf.</w:t>
      </w:r>
    </w:p>
  </w:footnote>
  <w:footnote w:id="20">
    <w:p w14:paraId="2723EAB7" w14:textId="483159B9" w:rsidR="00421726" w:rsidRPr="00036F93" w:rsidRDefault="00F03909" w:rsidP="000E6C04">
      <w:pPr>
        <w:pStyle w:val="FootnoteText"/>
      </w:pPr>
      <w:r w:rsidRPr="00036F93">
        <w:tab/>
      </w:r>
      <w:r w:rsidR="00421726" w:rsidRPr="00036F93">
        <w:rPr>
          <w:vertAlign w:val="superscript"/>
        </w:rPr>
        <w:footnoteRef/>
      </w:r>
      <w:r w:rsidR="00421726" w:rsidRPr="00036F93">
        <w:t xml:space="preserve"> </w:t>
      </w:r>
      <w:r w:rsidRPr="00036F93">
        <w:tab/>
      </w:r>
      <w:r w:rsidR="00421726" w:rsidRPr="00036F93">
        <w:t xml:space="preserve">Income groups according to World Bank (2022), “World Bank Country and Lending Groups”, </w:t>
      </w:r>
      <w:hyperlink r:id="rId15" w:history="1">
        <w:r w:rsidR="00421726" w:rsidRPr="00036F93">
          <w:t>https://datahelpdesk.worldbank.org/knowledgebase/articles/906519</w:t>
        </w:r>
      </w:hyperlink>
      <w:r w:rsidR="00421726" w:rsidRPr="00036F93">
        <w:t>, last accessed 20 August 2022.</w:t>
      </w:r>
    </w:p>
  </w:footnote>
  <w:footnote w:id="21">
    <w:p w14:paraId="27F03909" w14:textId="18A3C8CC" w:rsidR="00421726" w:rsidRPr="00036F93" w:rsidRDefault="00F03909" w:rsidP="000E6C04">
      <w:pPr>
        <w:pStyle w:val="FootnoteText"/>
      </w:pPr>
      <w:r w:rsidRPr="00036F93">
        <w:tab/>
      </w:r>
      <w:r w:rsidR="00421726" w:rsidRPr="00036F93">
        <w:rPr>
          <w:vertAlign w:val="superscript"/>
        </w:rPr>
        <w:footnoteRef/>
      </w:r>
      <w:r w:rsidR="00421726" w:rsidRPr="00036F93">
        <w:t xml:space="preserve"> </w:t>
      </w:r>
      <w:r w:rsidRPr="00036F93">
        <w:tab/>
      </w:r>
      <w:r w:rsidR="00421726" w:rsidRPr="00036F93">
        <w:t xml:space="preserve">Analysis from SLOCAT, based on M. </w:t>
      </w:r>
      <w:proofErr w:type="spellStart"/>
      <w:r w:rsidR="00421726" w:rsidRPr="00036F93">
        <w:t>Crippa</w:t>
      </w:r>
      <w:proofErr w:type="spellEnd"/>
      <w:r w:rsidR="00421726" w:rsidRPr="00036F93">
        <w:t xml:space="preserve"> et al. (2023), “GHG emissions of all world countries – 2023 Report”, https://edgar.jrc.ec.europa.eu/report_2023</w:t>
      </w:r>
    </w:p>
  </w:footnote>
  <w:footnote w:id="22">
    <w:p w14:paraId="45C8DDD8" w14:textId="05E79A63" w:rsidR="00421726" w:rsidRPr="00036F93" w:rsidRDefault="00F03909" w:rsidP="000E6C04">
      <w:pPr>
        <w:pStyle w:val="FootnoteText"/>
      </w:pPr>
      <w:r w:rsidRPr="00036F93">
        <w:tab/>
      </w:r>
      <w:r w:rsidR="00421726" w:rsidRPr="00036F93">
        <w:rPr>
          <w:vertAlign w:val="superscript"/>
        </w:rPr>
        <w:footnoteRef/>
      </w:r>
      <w:r w:rsidR="00421726" w:rsidRPr="00036F93">
        <w:t xml:space="preserve"> </w:t>
      </w:r>
      <w:r w:rsidRPr="00036F93">
        <w:tab/>
      </w:r>
      <w:r w:rsidR="00421726" w:rsidRPr="00036F93">
        <w:t xml:space="preserve">L. </w:t>
      </w:r>
      <w:proofErr w:type="spellStart"/>
      <w:r w:rsidR="00421726" w:rsidRPr="00036F93">
        <w:t>Cozzi</w:t>
      </w:r>
      <w:proofErr w:type="spellEnd"/>
      <w:r w:rsidR="00421726" w:rsidRPr="00036F93">
        <w:t>, O. Chen and H. Kim, 2023, “The world’s top 1% of emitters produce over 1 000 times more CO</w:t>
      </w:r>
      <w:r w:rsidR="00421726" w:rsidRPr="000E6C04">
        <w:rPr>
          <w:vertAlign w:val="subscript"/>
        </w:rPr>
        <w:t>2</w:t>
      </w:r>
      <w:r w:rsidR="00421726" w:rsidRPr="00036F93">
        <w:t xml:space="preserve"> than the bottom 1%,” IEA, https://www.iea.org/commentaries/the-world-s-top-1-of-emitters-produce-over-1-000-times-more-co2-than-the-bottom-1. </w:t>
      </w:r>
    </w:p>
  </w:footnote>
  <w:footnote w:id="23">
    <w:p w14:paraId="45F37D90" w14:textId="7CE21342" w:rsidR="00421726" w:rsidRPr="00036F93" w:rsidRDefault="00F03909" w:rsidP="000E6C04">
      <w:pPr>
        <w:pStyle w:val="FootnoteText"/>
      </w:pPr>
      <w:r w:rsidRPr="00036F93">
        <w:tab/>
      </w:r>
      <w:r w:rsidR="00421726" w:rsidRPr="00036F93">
        <w:rPr>
          <w:vertAlign w:val="superscript"/>
        </w:rPr>
        <w:footnoteRef/>
      </w:r>
      <w:r w:rsidR="00421726" w:rsidRPr="00036F93">
        <w:t xml:space="preserve"> </w:t>
      </w:r>
      <w:r w:rsidRPr="00036F93">
        <w:tab/>
      </w:r>
      <w:r w:rsidR="00421726" w:rsidRPr="00036F93">
        <w:t xml:space="preserve">Analysis from SLOCAT, based on M. </w:t>
      </w:r>
      <w:proofErr w:type="spellStart"/>
      <w:r w:rsidR="00421726" w:rsidRPr="00036F93">
        <w:t>Crippa</w:t>
      </w:r>
      <w:proofErr w:type="spellEnd"/>
      <w:r w:rsidR="00421726" w:rsidRPr="00036F93">
        <w:t xml:space="preserve"> et al. (2023), “GHG emissions of all world countries – 2023 Report”, </w:t>
      </w:r>
      <w:hyperlink r:id="rId16" w:history="1">
        <w:r w:rsidR="00421726" w:rsidRPr="00036F93">
          <w:t>https://edgar.jrc.ec.europa.eu/report_2023</w:t>
        </w:r>
      </w:hyperlink>
    </w:p>
  </w:footnote>
  <w:footnote w:id="24">
    <w:p w14:paraId="2924CBD7" w14:textId="6FE01F9D" w:rsidR="00421726" w:rsidRPr="00036F93" w:rsidRDefault="00F03909" w:rsidP="000E6C04">
      <w:pPr>
        <w:pStyle w:val="FootnoteText"/>
      </w:pPr>
      <w:r w:rsidRPr="00036F93">
        <w:tab/>
      </w:r>
      <w:r w:rsidR="00421726" w:rsidRPr="00036F93">
        <w:rPr>
          <w:vertAlign w:val="superscript"/>
        </w:rPr>
        <w:footnoteRef/>
      </w:r>
      <w:r w:rsidR="00421726" w:rsidRPr="00036F93">
        <w:t xml:space="preserve"> </w:t>
      </w:r>
      <w:r w:rsidRPr="00036F93">
        <w:tab/>
      </w:r>
      <w:r w:rsidR="00421726" w:rsidRPr="00036F93">
        <w:t xml:space="preserve">Analysis from SLOCAT, based on M. </w:t>
      </w:r>
      <w:proofErr w:type="spellStart"/>
      <w:r w:rsidR="00421726" w:rsidRPr="00036F93">
        <w:t>Crippa</w:t>
      </w:r>
      <w:proofErr w:type="spellEnd"/>
      <w:r w:rsidR="00421726" w:rsidRPr="00036F93">
        <w:t xml:space="preserve"> et al. (2023), “GHG emissions of all world countries – 2023 Report”, </w:t>
      </w:r>
      <w:hyperlink r:id="rId17" w:history="1">
        <w:r w:rsidR="00421726" w:rsidRPr="000E6C04">
          <w:t>https://edgar.jrc.ec.europa.eu/report_2023</w:t>
        </w:r>
      </w:hyperlink>
    </w:p>
  </w:footnote>
  <w:footnote w:id="25">
    <w:p w14:paraId="03ACB85F" w14:textId="1BBF1A60" w:rsidR="00421726" w:rsidRPr="00036F93" w:rsidRDefault="00F03909" w:rsidP="000E6C04">
      <w:pPr>
        <w:pStyle w:val="FootnoteText"/>
      </w:pPr>
      <w:r w:rsidRPr="00036F93">
        <w:tab/>
      </w:r>
      <w:r w:rsidR="00421726" w:rsidRPr="00036F93">
        <w:rPr>
          <w:vertAlign w:val="superscript"/>
        </w:rPr>
        <w:footnoteRef/>
      </w:r>
      <w:r w:rsidR="00421726" w:rsidRPr="00036F93">
        <w:t xml:space="preserve"> </w:t>
      </w:r>
      <w:r w:rsidRPr="00036F93">
        <w:tab/>
      </w:r>
      <w:r w:rsidR="00421726" w:rsidRPr="00036F93">
        <w:t xml:space="preserve">Analysis from SLOCAT, based on M. </w:t>
      </w:r>
      <w:proofErr w:type="spellStart"/>
      <w:r w:rsidR="00421726" w:rsidRPr="00036F93">
        <w:t>Crippa</w:t>
      </w:r>
      <w:proofErr w:type="spellEnd"/>
      <w:r w:rsidR="00421726" w:rsidRPr="00036F93">
        <w:t xml:space="preserve"> et al. (2023), “GHG emissions of all world countries – 2023 Report”, </w:t>
      </w:r>
      <w:hyperlink r:id="rId18" w:history="1">
        <w:r w:rsidR="00421726" w:rsidRPr="005D41FE">
          <w:rPr>
            <w:color w:val="0070C0"/>
            <w:u w:val="single"/>
          </w:rPr>
          <w:t>https://edgar.jrc.ec.europa.eu/report_2023</w:t>
        </w:r>
      </w:hyperlink>
    </w:p>
  </w:footnote>
  <w:footnote w:id="26">
    <w:p w14:paraId="1429D002" w14:textId="79F42B3A" w:rsidR="00421726" w:rsidRPr="00036F93" w:rsidRDefault="00F03909" w:rsidP="000E6C04">
      <w:pPr>
        <w:pStyle w:val="FootnoteText"/>
      </w:pPr>
      <w:r w:rsidRPr="00036F93">
        <w:tab/>
      </w:r>
      <w:r w:rsidR="00421726" w:rsidRPr="00036F93">
        <w:rPr>
          <w:vertAlign w:val="superscript"/>
        </w:rPr>
        <w:footnoteRef/>
      </w:r>
      <w:r w:rsidR="00421726" w:rsidRPr="00036F93">
        <w:t xml:space="preserve"> </w:t>
      </w:r>
      <w:r w:rsidRPr="00036F93">
        <w:tab/>
      </w:r>
      <w:r w:rsidR="00421726" w:rsidRPr="00036F93">
        <w:t>UNEP, “Restoring Clean Air”, https://www.unep.org/regions/asia-and-pacific/regional-initiatives/restoring-clean-air, (accessed 7 July 2023).</w:t>
      </w:r>
    </w:p>
  </w:footnote>
  <w:footnote w:id="27">
    <w:p w14:paraId="231D98BF" w14:textId="50D4F6A3" w:rsidR="00421726" w:rsidRPr="00036F93" w:rsidRDefault="00F03909" w:rsidP="000E6C04">
      <w:pPr>
        <w:pStyle w:val="FootnoteText"/>
      </w:pPr>
      <w:r w:rsidRPr="00036F93">
        <w:tab/>
      </w:r>
      <w:r w:rsidR="00421726" w:rsidRPr="00036F93">
        <w:rPr>
          <w:vertAlign w:val="superscript"/>
        </w:rPr>
        <w:footnoteRef/>
      </w:r>
      <w:r w:rsidR="00421726" w:rsidRPr="00036F93">
        <w:t xml:space="preserve"> </w:t>
      </w:r>
      <w:r w:rsidRPr="00036F93">
        <w:tab/>
      </w:r>
      <w:r w:rsidR="00421726" w:rsidRPr="00036F93">
        <w:t xml:space="preserve">Analysis from SLOCAT, based on M. </w:t>
      </w:r>
      <w:proofErr w:type="spellStart"/>
      <w:r w:rsidR="00421726" w:rsidRPr="00036F93">
        <w:t>Crippa</w:t>
      </w:r>
      <w:proofErr w:type="spellEnd"/>
      <w:r w:rsidR="00421726" w:rsidRPr="00036F93">
        <w:t xml:space="preserve"> et al. (2023), “GHG emissions of all world countries – 2023 Report”,</w:t>
      </w:r>
      <w:r w:rsidR="00421726" w:rsidRPr="005D41FE">
        <w:rPr>
          <w:color w:val="0070C0"/>
          <w:u w:val="single"/>
        </w:rPr>
        <w:t xml:space="preserve"> </w:t>
      </w:r>
      <w:hyperlink r:id="rId19" w:history="1">
        <w:r w:rsidR="00421726" w:rsidRPr="005D41FE">
          <w:rPr>
            <w:color w:val="0070C0"/>
            <w:u w:val="single"/>
          </w:rPr>
          <w:t>https://edgar.jrc.ec.europa.eu/report_2023</w:t>
        </w:r>
      </w:hyperlink>
    </w:p>
  </w:footnote>
  <w:footnote w:id="28">
    <w:p w14:paraId="41799DD2" w14:textId="3BBBE189" w:rsidR="00421726" w:rsidRPr="00036F93" w:rsidRDefault="00F03909" w:rsidP="000E6C04">
      <w:pPr>
        <w:pStyle w:val="FootnoteText"/>
      </w:pPr>
      <w:r w:rsidRPr="00036F93">
        <w:tab/>
      </w:r>
      <w:r w:rsidR="00421726" w:rsidRPr="00036F93">
        <w:rPr>
          <w:vertAlign w:val="superscript"/>
        </w:rPr>
        <w:footnoteRef/>
      </w:r>
      <w:r w:rsidR="00421726" w:rsidRPr="00036F93">
        <w:t xml:space="preserve"> </w:t>
      </w:r>
      <w:r w:rsidRPr="00036F93">
        <w:tab/>
      </w:r>
      <w:proofErr w:type="spellStart"/>
      <w:r w:rsidR="00421726" w:rsidRPr="00036F93">
        <w:t>Destatis</w:t>
      </w:r>
      <w:proofErr w:type="spellEnd"/>
      <w:r w:rsidR="00421726" w:rsidRPr="00036F93">
        <w:t>, 2022, “Road Transport: Car Dominance Unbroken”, https://www.destatis.de/Europa/EN/Topic/Transport/Car.html</w:t>
      </w:r>
    </w:p>
  </w:footnote>
  <w:footnote w:id="29">
    <w:p w14:paraId="71A8513C" w14:textId="469E9B31" w:rsidR="00421726" w:rsidRPr="00036F93" w:rsidRDefault="00F03909" w:rsidP="000E6C04">
      <w:pPr>
        <w:pStyle w:val="FootnoteText"/>
      </w:pPr>
      <w:r w:rsidRPr="00036F93">
        <w:tab/>
      </w:r>
      <w:r w:rsidR="00421726" w:rsidRPr="00036F93">
        <w:rPr>
          <w:vertAlign w:val="superscript"/>
        </w:rPr>
        <w:footnoteRef/>
      </w:r>
      <w:r w:rsidR="00421726" w:rsidRPr="00036F93">
        <w:t xml:space="preserve"> </w:t>
      </w:r>
      <w:r w:rsidRPr="00036F93">
        <w:tab/>
      </w:r>
      <w:r w:rsidR="00421726" w:rsidRPr="00036F93">
        <w:t>IRF, op. cit. note 4. Figure 1 from Eurostat, 2022, “Stock of Vehicles by Category and NUTS 2 Regions”, https://ec.europa.eu/eurostat/databrowser/view/TRAN_R_VEHST__custom_3245293/default/table; Government of the United Kingdom, 2023, “Vehicles Statistics”, https://www.gov.uk/government/collections/vehicles-statistics; IRF, 2022, “World Road Statistics 2022”, https://datawarehouse.worldroadstatistics.org; E.A. Nanaki, 2018, “Measuring the Impact of Economic Crisis to the Greek Vehicle Market”, Sustainability, Vol. 10, p. 510. https://doi.org/10.3390/su10020510.</w:t>
      </w:r>
    </w:p>
  </w:footnote>
  <w:footnote w:id="30">
    <w:p w14:paraId="614163BB" w14:textId="7A74F6DD" w:rsidR="00421726" w:rsidRPr="00036F93" w:rsidRDefault="00D831E2" w:rsidP="000E6C04">
      <w:pPr>
        <w:pStyle w:val="FootnoteText"/>
      </w:pPr>
      <w:r w:rsidRPr="00036F93">
        <w:tab/>
      </w:r>
      <w:r w:rsidR="00421726" w:rsidRPr="00036F93">
        <w:rPr>
          <w:vertAlign w:val="superscript"/>
        </w:rPr>
        <w:footnoteRef/>
      </w:r>
      <w:r w:rsidR="00421726" w:rsidRPr="00036F93">
        <w:t xml:space="preserve"> </w:t>
      </w:r>
      <w:r w:rsidRPr="00036F93">
        <w:tab/>
      </w:r>
      <w:r w:rsidR="00421726" w:rsidRPr="00036F93">
        <w:t>IDB, 2021, “Logistics in Latin America and the Caribbean: Opportunities, Challenges and Courses of Action”, http://dx.doi.org/10.18235/0003278.</w:t>
      </w:r>
    </w:p>
  </w:footnote>
  <w:footnote w:id="31">
    <w:p w14:paraId="249BDD5E" w14:textId="023BDF87" w:rsidR="00421726" w:rsidRPr="00036F93" w:rsidRDefault="00D831E2" w:rsidP="000E6C04">
      <w:pPr>
        <w:pStyle w:val="FootnoteText"/>
      </w:pPr>
      <w:r w:rsidRPr="00036F93">
        <w:tab/>
      </w:r>
      <w:r w:rsidR="00421726" w:rsidRPr="00036F93">
        <w:rPr>
          <w:vertAlign w:val="superscript"/>
        </w:rPr>
        <w:footnoteRef/>
      </w:r>
      <w:r w:rsidR="00421726" w:rsidRPr="00036F93">
        <w:t xml:space="preserve"> </w:t>
      </w:r>
      <w:r w:rsidRPr="00036F93">
        <w:tab/>
      </w:r>
      <w:r w:rsidR="00421726" w:rsidRPr="00036F93">
        <w:t>International Road Federation, 2022, “World Road Statistics 2022”, https://datawarehouse.worldroadstatistics.org</w:t>
      </w:r>
    </w:p>
  </w:footnote>
  <w:footnote w:id="32">
    <w:p w14:paraId="0A883039" w14:textId="0809BA40" w:rsidR="00421726" w:rsidRPr="00036F93" w:rsidRDefault="00D831E2" w:rsidP="000E6C04">
      <w:pPr>
        <w:pStyle w:val="FootnoteText"/>
      </w:pPr>
      <w:r w:rsidRPr="00036F93">
        <w:tab/>
      </w:r>
      <w:r w:rsidR="00421726" w:rsidRPr="00036F93">
        <w:rPr>
          <w:vertAlign w:val="superscript"/>
        </w:rPr>
        <w:footnoteRef/>
      </w:r>
      <w:r w:rsidR="00421726" w:rsidRPr="00036F93">
        <w:t xml:space="preserve"> </w:t>
      </w:r>
      <w:r w:rsidRPr="00036F93">
        <w:tab/>
      </w:r>
      <w:r w:rsidR="00421726" w:rsidRPr="00036F93">
        <w:t xml:space="preserve">Analysis from SLOCAT, based on M. </w:t>
      </w:r>
      <w:proofErr w:type="spellStart"/>
      <w:r w:rsidR="00421726" w:rsidRPr="00036F93">
        <w:t>Crippa</w:t>
      </w:r>
      <w:proofErr w:type="spellEnd"/>
      <w:r w:rsidR="00421726" w:rsidRPr="00036F93">
        <w:t xml:space="preserve"> et al. (2023), “GHG emissions of all world countries – 2023 Report”, </w:t>
      </w:r>
      <w:hyperlink r:id="rId20" w:history="1">
        <w:r w:rsidR="00421726" w:rsidRPr="005D41FE">
          <w:rPr>
            <w:color w:val="0070C0"/>
            <w:u w:val="single"/>
          </w:rPr>
          <w:t>https://edgar.jrc.ec.europa.eu/report_2023</w:t>
        </w:r>
      </w:hyperlink>
    </w:p>
  </w:footnote>
  <w:footnote w:id="33">
    <w:p w14:paraId="25AEC2B7" w14:textId="4598E93B" w:rsidR="00421726" w:rsidRPr="00036F93" w:rsidRDefault="00D831E2" w:rsidP="000E6C04">
      <w:pPr>
        <w:pStyle w:val="FootnoteText"/>
      </w:pPr>
      <w:r w:rsidRPr="00036F93">
        <w:tab/>
      </w:r>
      <w:r w:rsidR="00421726" w:rsidRPr="00036F93">
        <w:rPr>
          <w:vertAlign w:val="superscript"/>
        </w:rPr>
        <w:footnoteRef/>
      </w:r>
      <w:r w:rsidR="00421726" w:rsidRPr="00036F93">
        <w:t xml:space="preserve"> </w:t>
      </w:r>
      <w:r w:rsidRPr="00036F93">
        <w:tab/>
      </w:r>
      <w:r w:rsidR="00421726" w:rsidRPr="00036F93">
        <w:t>International Road Federation (IRF), 2022, “World Road Statistics 2022”, https://datawarehouse.worldroadstatistics.org.</w:t>
      </w:r>
    </w:p>
  </w:footnote>
  <w:footnote w:id="34">
    <w:p w14:paraId="3C70AF50" w14:textId="07EDA933" w:rsidR="00421726" w:rsidRPr="00036F93" w:rsidRDefault="00D831E2" w:rsidP="000E6C04">
      <w:pPr>
        <w:pStyle w:val="FootnoteText"/>
      </w:pPr>
      <w:r w:rsidRPr="00036F93">
        <w:tab/>
      </w:r>
      <w:r w:rsidR="00421726" w:rsidRPr="00036F93">
        <w:rPr>
          <w:vertAlign w:val="superscript"/>
        </w:rPr>
        <w:footnoteRef/>
      </w:r>
      <w:r w:rsidR="00421726" w:rsidRPr="00036F93">
        <w:t xml:space="preserve"> </w:t>
      </w:r>
      <w:r w:rsidRPr="00036F93">
        <w:tab/>
      </w:r>
      <w:r w:rsidR="00421726" w:rsidRPr="00036F93">
        <w:t xml:space="preserve">IPCC (2022), “Climate Change 2022: Mitigation of Climate Change”, </w:t>
      </w:r>
      <w:hyperlink r:id="rId21" w:history="1">
        <w:r w:rsidR="00421726" w:rsidRPr="005D41FE">
          <w:rPr>
            <w:color w:val="0070C0"/>
            <w:u w:val="single"/>
          </w:rPr>
          <w:t>https://www.ipcc.ch/report/sixth-assessment-report-working-group-3</w:t>
        </w:r>
      </w:hyperlink>
      <w:r w:rsidR="00421726" w:rsidRPr="00036F93">
        <w:t xml:space="preserve">. </w:t>
      </w:r>
    </w:p>
  </w:footnote>
  <w:footnote w:id="35">
    <w:p w14:paraId="4A0258D1" w14:textId="3A8ED5CE" w:rsidR="00421726" w:rsidRPr="00036F93" w:rsidRDefault="00D831E2" w:rsidP="000E6C04">
      <w:pPr>
        <w:pStyle w:val="FootnoteText"/>
      </w:pPr>
      <w:r w:rsidRPr="00036F93">
        <w:tab/>
      </w:r>
      <w:r w:rsidR="00421726" w:rsidRPr="00036F93">
        <w:rPr>
          <w:vertAlign w:val="superscript"/>
        </w:rPr>
        <w:footnoteRef/>
      </w:r>
      <w:r w:rsidR="00421726" w:rsidRPr="00036F93">
        <w:t xml:space="preserve"> </w:t>
      </w:r>
      <w:r w:rsidRPr="00036F93">
        <w:tab/>
      </w:r>
      <w:r w:rsidR="00421726" w:rsidRPr="00036F93">
        <w:t xml:space="preserve">International Transport Forum (ITF) (2023), “ITF Transport Outlook 2023”, </w:t>
      </w:r>
      <w:hyperlink r:id="rId22" w:history="1">
        <w:r w:rsidR="00421726" w:rsidRPr="005D41FE">
          <w:rPr>
            <w:color w:val="0070C0"/>
            <w:u w:val="single"/>
          </w:rPr>
          <w:t>https://www.itf-oecd.org/itf-transport-outlook-2023</w:t>
        </w:r>
      </w:hyperlink>
      <w:r w:rsidR="00421726" w:rsidRPr="00036F93">
        <w:t xml:space="preserve"> </w:t>
      </w:r>
    </w:p>
  </w:footnote>
  <w:footnote w:id="36">
    <w:p w14:paraId="57163213" w14:textId="2F14FF15" w:rsidR="00421726" w:rsidRPr="00036F93" w:rsidRDefault="00D831E2" w:rsidP="000E6C04">
      <w:pPr>
        <w:pStyle w:val="FootnoteText"/>
      </w:pPr>
      <w:r w:rsidRPr="00036F93">
        <w:tab/>
      </w:r>
      <w:r w:rsidR="00421726" w:rsidRPr="00036F93">
        <w:rPr>
          <w:vertAlign w:val="superscript"/>
        </w:rPr>
        <w:footnoteRef/>
      </w:r>
      <w:r w:rsidR="00421726" w:rsidRPr="00036F93">
        <w:t xml:space="preserve"> </w:t>
      </w:r>
      <w:r w:rsidRPr="00036F93">
        <w:tab/>
      </w:r>
      <w:r w:rsidR="00421726" w:rsidRPr="00036F93">
        <w:t xml:space="preserve">International Transport Forum (ITF) (2023), “ITF Transport Outlook 2023”, </w:t>
      </w:r>
      <w:hyperlink r:id="rId23" w:history="1">
        <w:r w:rsidR="00421726" w:rsidRPr="005D41FE">
          <w:rPr>
            <w:color w:val="0070C0"/>
            <w:u w:val="single"/>
          </w:rPr>
          <w:t>https://www.itf-oecd.org/itf-transport-outlook-2023</w:t>
        </w:r>
      </w:hyperlink>
      <w:r w:rsidR="00421726" w:rsidRPr="00036F93">
        <w:t xml:space="preserve"> </w:t>
      </w:r>
    </w:p>
  </w:footnote>
  <w:footnote w:id="37">
    <w:p w14:paraId="098BEF2D" w14:textId="4A273D06" w:rsidR="00421726" w:rsidRPr="00036F93" w:rsidRDefault="00D831E2" w:rsidP="000E6C04">
      <w:pPr>
        <w:pStyle w:val="FootnoteText"/>
      </w:pPr>
      <w:r w:rsidRPr="00036F93">
        <w:tab/>
      </w:r>
      <w:r w:rsidR="00421726" w:rsidRPr="00036F93">
        <w:rPr>
          <w:vertAlign w:val="superscript"/>
        </w:rPr>
        <w:footnoteRef/>
      </w:r>
      <w:r w:rsidR="00421726" w:rsidRPr="00036F93">
        <w:t xml:space="preserve"> </w:t>
      </w:r>
      <w:r w:rsidRPr="00036F93">
        <w:tab/>
      </w:r>
      <w:r w:rsidR="00421726" w:rsidRPr="00036F93">
        <w:t xml:space="preserve">International Transport Forum (ITF) (2023), “ITF Transport Outlook 2023”, </w:t>
      </w:r>
      <w:hyperlink r:id="rId24" w:history="1">
        <w:r w:rsidR="00421726" w:rsidRPr="005D41FE">
          <w:rPr>
            <w:color w:val="0070C0"/>
            <w:u w:val="single"/>
          </w:rPr>
          <w:t>https://www.itf-oecd.org/itf-transport-outlook-2023</w:t>
        </w:r>
      </w:hyperlink>
      <w:r w:rsidR="00421726" w:rsidRPr="00036F93">
        <w:t xml:space="preserve"> </w:t>
      </w:r>
    </w:p>
  </w:footnote>
  <w:footnote w:id="38">
    <w:p w14:paraId="04D18103" w14:textId="40376079" w:rsidR="00BD7B2F" w:rsidRPr="000E6C04" w:rsidRDefault="00BD7B2F" w:rsidP="000E6C04">
      <w:pPr>
        <w:pStyle w:val="FootnoteText"/>
        <w:tabs>
          <w:tab w:val="clear" w:pos="1021"/>
          <w:tab w:val="right" w:pos="1020"/>
        </w:tabs>
        <w:rPr>
          <w:lang w:val="en-US"/>
        </w:rPr>
      </w:pPr>
      <w:r w:rsidRPr="00036F93">
        <w:tab/>
      </w:r>
      <w:r w:rsidRPr="00036F93">
        <w:rPr>
          <w:rStyle w:val="FootnoteReference"/>
        </w:rPr>
        <w:footnoteRef/>
      </w:r>
      <w:r w:rsidRPr="00036F93">
        <w:tab/>
      </w:r>
      <w:r w:rsidR="008460CB" w:rsidRPr="00036F93">
        <w:t>OECD-ITF (2021), “ITF Transport Outlook 2021”, Chapter 2, Figure 2.8, available at: https://www.oecd-ilibrary.org/transport/itf-transport-outlook-2021_16826a30-en</w:t>
      </w:r>
    </w:p>
  </w:footnote>
  <w:footnote w:id="39">
    <w:p w14:paraId="7608E527" w14:textId="57213E63" w:rsidR="00421726" w:rsidRPr="00036F93" w:rsidRDefault="00D831E2" w:rsidP="000E6C04">
      <w:pPr>
        <w:pStyle w:val="FootnoteText"/>
      </w:pPr>
      <w:r w:rsidRPr="00036F93">
        <w:tab/>
      </w:r>
      <w:r w:rsidR="00421726" w:rsidRPr="00036F93">
        <w:rPr>
          <w:vertAlign w:val="superscript"/>
        </w:rPr>
        <w:footnoteRef/>
      </w:r>
      <w:r w:rsidR="00421726" w:rsidRPr="00036F93">
        <w:t xml:space="preserve"> </w:t>
      </w:r>
      <w:r w:rsidRPr="00036F93">
        <w:tab/>
      </w:r>
      <w:r w:rsidR="00421726" w:rsidRPr="00036F93">
        <w:t xml:space="preserve">ITF (2021), “ITF Transport Outlook 2021”, </w:t>
      </w:r>
      <w:hyperlink r:id="rId25" w:history="1">
        <w:r w:rsidR="00421726" w:rsidRPr="005D41FE">
          <w:rPr>
            <w:color w:val="0070C0"/>
            <w:u w:val="single"/>
          </w:rPr>
          <w:t>https://www.itf-oecd.org/itf-transport-outlook-2021</w:t>
        </w:r>
      </w:hyperlink>
      <w:r w:rsidR="00421726" w:rsidRPr="00036F93">
        <w:t xml:space="preserve"> </w:t>
      </w:r>
    </w:p>
  </w:footnote>
  <w:footnote w:id="40">
    <w:p w14:paraId="4E4C0D31" w14:textId="06BA6E24" w:rsidR="00421726" w:rsidRPr="00036F93" w:rsidRDefault="00D831E2" w:rsidP="000E6C04">
      <w:pPr>
        <w:pStyle w:val="FootnoteText"/>
      </w:pPr>
      <w:r w:rsidRPr="00036F93">
        <w:tab/>
      </w:r>
      <w:r w:rsidR="00421726" w:rsidRPr="00036F93">
        <w:rPr>
          <w:vertAlign w:val="superscript"/>
        </w:rPr>
        <w:footnoteRef/>
      </w:r>
      <w:r w:rsidR="00421726" w:rsidRPr="00036F93">
        <w:t xml:space="preserve"> </w:t>
      </w:r>
      <w:r w:rsidRPr="00036F93">
        <w:tab/>
      </w:r>
      <w:r w:rsidR="00421726" w:rsidRPr="00036F93">
        <w:t xml:space="preserve">S. </w:t>
      </w:r>
      <w:proofErr w:type="spellStart"/>
      <w:r w:rsidR="00421726" w:rsidRPr="00036F93">
        <w:t>Gota</w:t>
      </w:r>
      <w:proofErr w:type="spellEnd"/>
      <w:r w:rsidR="00421726" w:rsidRPr="00036F93">
        <w:t xml:space="preserve"> and C. Huizenga (2022), “Asian Transport 2030 Outlook”, https://asiantransportoutlook.com/analytical-outputs/asian-transport-2030-outlook.</w:t>
      </w:r>
    </w:p>
  </w:footnote>
  <w:footnote w:id="41">
    <w:p w14:paraId="56A2ECBD" w14:textId="6EBE75A4" w:rsidR="00421726" w:rsidRPr="00036F93" w:rsidRDefault="00D831E2" w:rsidP="000E6C04">
      <w:pPr>
        <w:pStyle w:val="FootnoteText"/>
      </w:pPr>
      <w:r w:rsidRPr="00036F93">
        <w:tab/>
      </w:r>
      <w:r w:rsidR="00421726" w:rsidRPr="00036F93">
        <w:rPr>
          <w:vertAlign w:val="superscript"/>
        </w:rPr>
        <w:footnoteRef/>
      </w:r>
      <w:r w:rsidR="00421726" w:rsidRPr="00036F93">
        <w:t xml:space="preserve"> </w:t>
      </w:r>
      <w:r w:rsidRPr="00036F93">
        <w:tab/>
      </w:r>
      <w:r w:rsidR="00421726" w:rsidRPr="00036F93">
        <w:t xml:space="preserve">International Transport Forum (ITF) (2023), “ITF Transport Outlook 2023”, </w:t>
      </w:r>
      <w:hyperlink r:id="rId26" w:history="1">
        <w:r w:rsidR="00421726" w:rsidRPr="005D41FE">
          <w:rPr>
            <w:color w:val="0070C0"/>
            <w:u w:val="single"/>
          </w:rPr>
          <w:t>https://www.itf-oecd.org/itf-transport-outlook-2023</w:t>
        </w:r>
      </w:hyperlink>
      <w:r w:rsidR="00421726" w:rsidRPr="00036F93">
        <w:t xml:space="preserve"> </w:t>
      </w:r>
    </w:p>
  </w:footnote>
  <w:footnote w:id="42">
    <w:p w14:paraId="4360E3A1" w14:textId="190A2F41" w:rsidR="00421726" w:rsidRPr="00036F93" w:rsidRDefault="00D831E2" w:rsidP="000E6C04">
      <w:pPr>
        <w:pStyle w:val="FootnoteText"/>
      </w:pPr>
      <w:r w:rsidRPr="00036F93">
        <w:tab/>
      </w:r>
      <w:r w:rsidR="00421726" w:rsidRPr="00036F93">
        <w:rPr>
          <w:vertAlign w:val="superscript"/>
        </w:rPr>
        <w:footnoteRef/>
      </w:r>
      <w:r w:rsidR="00421726" w:rsidRPr="00036F93">
        <w:t xml:space="preserve"> </w:t>
      </w:r>
      <w:r w:rsidRPr="00036F93">
        <w:tab/>
      </w:r>
      <w:r w:rsidR="00421726" w:rsidRPr="00036F93">
        <w:t>United Nations Environment Programme (UNEP) (2022), “Emissions Gap Report 2022: The Closing Window – Climate Crisis Calls for Rapid Transformation of Societies”, https://www.unep.org/emissions-gap-report-2022.</w:t>
      </w:r>
    </w:p>
  </w:footnote>
  <w:footnote w:id="43">
    <w:p w14:paraId="77097093" w14:textId="3F5E5F7C" w:rsidR="00421726" w:rsidRPr="00036F93" w:rsidRDefault="00D831E2" w:rsidP="000E6C04">
      <w:pPr>
        <w:pStyle w:val="FootnoteText"/>
      </w:pPr>
      <w:r w:rsidRPr="00036F93">
        <w:tab/>
      </w:r>
      <w:r w:rsidR="00421726" w:rsidRPr="00036F93">
        <w:rPr>
          <w:vertAlign w:val="superscript"/>
        </w:rPr>
        <w:footnoteRef/>
      </w:r>
      <w:r w:rsidR="00421726" w:rsidRPr="00036F93">
        <w:t xml:space="preserve"> </w:t>
      </w:r>
      <w:r w:rsidRPr="00036F93">
        <w:tab/>
      </w:r>
      <w:r w:rsidR="00421726" w:rsidRPr="00036F93">
        <w:t>International Transport Forum (ITF) (2023), “ITF Transport Outlook 2023”, https://www.itf-oecd.org/itf-transport-outlook-2023</w:t>
      </w:r>
    </w:p>
  </w:footnote>
  <w:footnote w:id="44">
    <w:p w14:paraId="4030B67B" w14:textId="382AC19A" w:rsidR="00421726" w:rsidRPr="00036F93" w:rsidRDefault="00D831E2" w:rsidP="000E6C04">
      <w:pPr>
        <w:pStyle w:val="FootnoteText"/>
      </w:pPr>
      <w:r w:rsidRPr="00036F93">
        <w:tab/>
      </w:r>
      <w:r w:rsidR="00421726" w:rsidRPr="00036F93">
        <w:rPr>
          <w:vertAlign w:val="superscript"/>
        </w:rPr>
        <w:footnoteRef/>
      </w:r>
      <w:r w:rsidR="00421726" w:rsidRPr="00036F93">
        <w:t xml:space="preserve"> </w:t>
      </w:r>
      <w:r w:rsidRPr="00036F93">
        <w:tab/>
      </w:r>
      <w:r w:rsidR="00421726" w:rsidRPr="00036F93">
        <w:t xml:space="preserve">IEA (2023), “Net Zero Roadmap: A Global Pathway to Keep the 1.5 °C Goal in Reach, 2023 Update”, </w:t>
      </w:r>
      <w:hyperlink r:id="rId27" w:history="1">
        <w:r w:rsidR="00421726" w:rsidRPr="005D41FE">
          <w:rPr>
            <w:color w:val="0070C0"/>
            <w:u w:val="single"/>
          </w:rPr>
          <w:t>https://www.iea.org/reports/net-zero-roadmap-a-global-pathway-to-keep-the-15-0c-goal-in-reach</w:t>
        </w:r>
      </w:hyperlink>
      <w:r w:rsidR="00421726" w:rsidRPr="00036F93">
        <w:t xml:space="preserve"> </w:t>
      </w:r>
    </w:p>
  </w:footnote>
  <w:footnote w:id="45">
    <w:p w14:paraId="27D568EC" w14:textId="17808A98" w:rsidR="00421726" w:rsidRPr="00036F93" w:rsidRDefault="00D831E2" w:rsidP="000E6C04">
      <w:pPr>
        <w:pStyle w:val="FootnoteText"/>
      </w:pPr>
      <w:r w:rsidRPr="00036F93">
        <w:tab/>
      </w:r>
      <w:r w:rsidR="00421726" w:rsidRPr="00036F93">
        <w:rPr>
          <w:vertAlign w:val="superscript"/>
        </w:rPr>
        <w:footnoteRef/>
      </w:r>
      <w:r w:rsidR="00421726" w:rsidRPr="00036F93">
        <w:t xml:space="preserve"> </w:t>
      </w:r>
      <w:r w:rsidRPr="00036F93">
        <w:tab/>
      </w:r>
      <w:r w:rsidR="00421726" w:rsidRPr="00036F93">
        <w:t xml:space="preserve">P. Jaramillo et al. (2022), “Transport”, in IPCC (2022), “Climate Change 2022: Mitigation of Climate Change”, </w:t>
      </w:r>
      <w:hyperlink r:id="rId28" w:history="1">
        <w:r w:rsidR="00421726" w:rsidRPr="005D41FE">
          <w:rPr>
            <w:color w:val="0070C0"/>
            <w:u w:val="single"/>
          </w:rPr>
          <w:t>https://www.ipcc.ch/report/sixth-assessment-report-working-group-3</w:t>
        </w:r>
      </w:hyperlink>
      <w:r w:rsidR="00421726" w:rsidRPr="00036F93">
        <w:t xml:space="preserve">. </w:t>
      </w:r>
    </w:p>
  </w:footnote>
  <w:footnote w:id="46">
    <w:p w14:paraId="4126F037" w14:textId="28B2500B" w:rsidR="00421726" w:rsidRPr="00036F93" w:rsidRDefault="00D831E2" w:rsidP="000E6C04">
      <w:pPr>
        <w:pStyle w:val="FootnoteText"/>
      </w:pPr>
      <w:r w:rsidRPr="00036F93">
        <w:tab/>
      </w:r>
      <w:r w:rsidR="00421726" w:rsidRPr="00036F93">
        <w:rPr>
          <w:vertAlign w:val="superscript"/>
        </w:rPr>
        <w:footnoteRef/>
      </w:r>
      <w:r w:rsidR="00421726" w:rsidRPr="00036F93">
        <w:t xml:space="preserve"> </w:t>
      </w:r>
      <w:r w:rsidRPr="00036F93">
        <w:tab/>
      </w:r>
      <w:r w:rsidR="00421726" w:rsidRPr="00036F93">
        <w:t xml:space="preserve">International Renewable Energy Agency (IRENA) (2022), “World Energy Transitions Outlook 2022”, </w:t>
      </w:r>
      <w:hyperlink r:id="rId29" w:history="1">
        <w:r w:rsidR="00421726" w:rsidRPr="005D41FE">
          <w:rPr>
            <w:color w:val="0070C0"/>
            <w:u w:val="single"/>
          </w:rPr>
          <w:t>https://www.irena.org/Digital-Report/World-Energy-Transitions-Outlook-2022</w:t>
        </w:r>
      </w:hyperlink>
      <w:r w:rsidR="00421726" w:rsidRPr="00036F93">
        <w:t xml:space="preserve"> </w:t>
      </w:r>
    </w:p>
  </w:footnote>
  <w:footnote w:id="47">
    <w:p w14:paraId="0DDA3697" w14:textId="6371DB4D" w:rsidR="00421726" w:rsidRPr="00036F93" w:rsidRDefault="00D831E2" w:rsidP="000E6C04">
      <w:pPr>
        <w:pStyle w:val="FootnoteText"/>
      </w:pPr>
      <w:r w:rsidRPr="00036F93">
        <w:tab/>
      </w:r>
      <w:r w:rsidR="00421726" w:rsidRPr="00036F93">
        <w:rPr>
          <w:vertAlign w:val="superscript"/>
        </w:rPr>
        <w:footnoteRef/>
      </w:r>
      <w:r w:rsidR="00421726" w:rsidRPr="00036F93">
        <w:t xml:space="preserve"> </w:t>
      </w:r>
      <w:r w:rsidRPr="00036F93">
        <w:tab/>
      </w:r>
      <w:r w:rsidR="00421726" w:rsidRPr="00036F93">
        <w:t>P. Jaramillo et al. (2022), “Transport”, in IPCC (2022), “Climate Change 2022: Mitigation of Climate Change”, https://www.ipcc.ch/report/sixth-assessment-report-working-group-3.</w:t>
      </w:r>
    </w:p>
  </w:footnote>
  <w:footnote w:id="48">
    <w:p w14:paraId="076CF2B6" w14:textId="771CC744" w:rsidR="00421726" w:rsidRPr="003C0519" w:rsidRDefault="00D831E2" w:rsidP="000E6C04">
      <w:pPr>
        <w:pStyle w:val="FootnoteText"/>
      </w:pPr>
      <w:r w:rsidRPr="00F848BA">
        <w:tab/>
      </w:r>
      <w:r w:rsidR="00421726" w:rsidRPr="00036F93">
        <w:rPr>
          <w:vertAlign w:val="superscript"/>
        </w:rPr>
        <w:footnoteRef/>
      </w:r>
      <w:r w:rsidR="00421726" w:rsidRPr="003C0519">
        <w:t xml:space="preserve"> </w:t>
      </w:r>
      <w:r w:rsidRPr="003C0519">
        <w:tab/>
      </w:r>
      <w:r w:rsidR="00421726" w:rsidRPr="003C0519">
        <w:t>IEA (2021), “Net Zero by 2050”, https://www.iea.org/reports/net-zero-by-2050.</w:t>
      </w:r>
    </w:p>
  </w:footnote>
  <w:footnote w:id="49">
    <w:p w14:paraId="3DF4D006" w14:textId="77777777" w:rsidR="00FC614F" w:rsidRPr="003C0519" w:rsidRDefault="00FC614F" w:rsidP="00FC614F">
      <w:pPr>
        <w:pStyle w:val="FootnoteText"/>
      </w:pPr>
      <w:r w:rsidRPr="003C0519">
        <w:tab/>
      </w:r>
      <w:r w:rsidRPr="00036F93">
        <w:rPr>
          <w:vertAlign w:val="superscript"/>
        </w:rPr>
        <w:footnoteRef/>
      </w:r>
      <w:r w:rsidRPr="003C0519">
        <w:t xml:space="preserve"> </w:t>
      </w:r>
      <w:r w:rsidRPr="003C0519">
        <w:tab/>
        <w:t>IEA (2021), “Net Zero by 2050”, https://www.iea.org/reports/net-zero-by-2050.</w:t>
      </w:r>
    </w:p>
  </w:footnote>
  <w:footnote w:id="50">
    <w:p w14:paraId="3712A411" w14:textId="006DAA7E" w:rsidR="00421726" w:rsidRPr="00036F93" w:rsidRDefault="00D831E2" w:rsidP="000E6C04">
      <w:pPr>
        <w:pStyle w:val="FootnoteText"/>
      </w:pPr>
      <w:r w:rsidRPr="003C0519">
        <w:tab/>
      </w:r>
      <w:r w:rsidR="00421726" w:rsidRPr="00036F93">
        <w:rPr>
          <w:vertAlign w:val="superscript"/>
        </w:rPr>
        <w:footnoteRef/>
      </w:r>
      <w:r w:rsidR="00421726" w:rsidRPr="00036F93">
        <w:t xml:space="preserve"> </w:t>
      </w:r>
      <w:r w:rsidRPr="00036F93">
        <w:tab/>
      </w:r>
      <w:r w:rsidR="00421726" w:rsidRPr="00036F93">
        <w:t xml:space="preserve">IEA (2021), “Net Zero by 2050”, </w:t>
      </w:r>
      <w:hyperlink r:id="rId30" w:history="1">
        <w:r w:rsidR="00421726" w:rsidRPr="005D41FE">
          <w:rPr>
            <w:color w:val="0070C0"/>
            <w:u w:val="single"/>
          </w:rPr>
          <w:t>https://www.iea.org/reports/net-zero-by-2050</w:t>
        </w:r>
      </w:hyperlink>
      <w:r w:rsidR="00421726" w:rsidRPr="00036F93">
        <w:t>; IEA (2023), “Net Zero Roadmap: A Global Pathway to Keep the 1.5 °C Goal in Reach, 2023 Update”, https://www.iea.org/reports/net-zero-roadmap-a-global-pathway-to-keep-the-15-0c-goal-in-reach</w:t>
      </w:r>
    </w:p>
  </w:footnote>
  <w:footnote w:id="51">
    <w:p w14:paraId="612CF06C" w14:textId="56EBFF6C" w:rsidR="00421726" w:rsidRPr="00036F93" w:rsidRDefault="00D831E2" w:rsidP="000E6C04">
      <w:pPr>
        <w:pStyle w:val="FootnoteText"/>
      </w:pPr>
      <w:r w:rsidRPr="00036F93">
        <w:tab/>
      </w:r>
      <w:r w:rsidR="00421726" w:rsidRPr="00036F93">
        <w:rPr>
          <w:vertAlign w:val="superscript"/>
        </w:rPr>
        <w:footnoteRef/>
      </w:r>
      <w:r w:rsidR="00421726" w:rsidRPr="00036F93">
        <w:t xml:space="preserve"> </w:t>
      </w:r>
      <w:r w:rsidRPr="00036F93">
        <w:tab/>
      </w:r>
      <w:r w:rsidR="00421726" w:rsidRPr="00036F93">
        <w:t xml:space="preserve">International Transport Forum (ITF) (2023), “ITF Transport Outlook 2023”, </w:t>
      </w:r>
      <w:hyperlink r:id="rId31" w:history="1">
        <w:r w:rsidR="00421726" w:rsidRPr="004D15D4">
          <w:rPr>
            <w:color w:val="0070C0"/>
            <w:u w:val="single"/>
          </w:rPr>
          <w:t>https://www.itf-oecd.org/itf-transport-outlook-2023</w:t>
        </w:r>
      </w:hyperlink>
      <w:r w:rsidR="00421726" w:rsidRPr="00036F93">
        <w:t xml:space="preserve">. </w:t>
      </w:r>
    </w:p>
  </w:footnote>
  <w:footnote w:id="52">
    <w:p w14:paraId="14104DAF" w14:textId="4A5F167F" w:rsidR="00421726" w:rsidRPr="00036F93" w:rsidRDefault="00D831E2" w:rsidP="000E6C04">
      <w:pPr>
        <w:pStyle w:val="FootnoteText"/>
      </w:pPr>
      <w:r w:rsidRPr="00036F93">
        <w:tab/>
      </w:r>
      <w:r w:rsidR="00421726" w:rsidRPr="00036F93">
        <w:rPr>
          <w:vertAlign w:val="superscript"/>
        </w:rPr>
        <w:footnoteRef/>
      </w:r>
      <w:r w:rsidR="00421726" w:rsidRPr="00036F93">
        <w:t xml:space="preserve"> </w:t>
      </w:r>
      <w:r w:rsidRPr="00036F93">
        <w:tab/>
      </w:r>
      <w:r w:rsidR="00421726" w:rsidRPr="00036F93">
        <w:t xml:space="preserve">International Transport Forum (ITF) (2023), “ITF Transport Outlook 2023”, </w:t>
      </w:r>
      <w:hyperlink r:id="rId32" w:history="1">
        <w:r w:rsidR="002335B1" w:rsidRPr="00036F93">
          <w:rPr>
            <w:rStyle w:val="Hyperlink"/>
            <w:color w:val="auto"/>
          </w:rPr>
          <w:t>https://www.itf-oecd.org/itf-transport-outlook-2023</w:t>
        </w:r>
      </w:hyperlink>
      <w:r w:rsidR="00421726" w:rsidRPr="00036F93">
        <w:t>.</w:t>
      </w:r>
    </w:p>
  </w:footnote>
  <w:footnote w:id="53">
    <w:p w14:paraId="5080DC02" w14:textId="465ED1CC" w:rsidR="00421726" w:rsidRPr="00036F93" w:rsidRDefault="00D831E2" w:rsidP="000E6C04">
      <w:pPr>
        <w:pStyle w:val="FootnoteText"/>
      </w:pPr>
      <w:r w:rsidRPr="00036F93">
        <w:tab/>
      </w:r>
      <w:r w:rsidR="00421726" w:rsidRPr="00036F93">
        <w:rPr>
          <w:vertAlign w:val="superscript"/>
        </w:rPr>
        <w:footnoteRef/>
      </w:r>
      <w:r w:rsidR="00421726" w:rsidRPr="00036F93">
        <w:t xml:space="preserve"> </w:t>
      </w:r>
      <w:r w:rsidRPr="00036F93">
        <w:tab/>
      </w:r>
      <w:r w:rsidR="00421726" w:rsidRPr="00036F93">
        <w:t xml:space="preserve">Asian Transport Outlook, 2021, “A New Perspective on Transport and Climate Change”, </w:t>
      </w:r>
      <w:hyperlink r:id="rId33" w:history="1">
        <w:r w:rsidR="002335B1" w:rsidRPr="00036F93">
          <w:rPr>
            <w:rStyle w:val="Hyperlink"/>
            <w:color w:val="auto"/>
          </w:rPr>
          <w:t>https://asiantransportoutlook.com/analytical-outputs/climate-change-in-asia</w:t>
        </w:r>
      </w:hyperlink>
      <w:r w:rsidR="00421726" w:rsidRPr="00036F93">
        <w:t>.</w:t>
      </w:r>
    </w:p>
  </w:footnote>
  <w:footnote w:id="54">
    <w:p w14:paraId="7A8523B9" w14:textId="783AD2AF" w:rsidR="00421726" w:rsidRPr="00036F93" w:rsidRDefault="00D831E2" w:rsidP="000E6C04">
      <w:pPr>
        <w:pStyle w:val="FootnoteText"/>
      </w:pPr>
      <w:r w:rsidRPr="00036F93">
        <w:tab/>
      </w:r>
      <w:r w:rsidR="00421726" w:rsidRPr="00036F93">
        <w:rPr>
          <w:vertAlign w:val="superscript"/>
        </w:rPr>
        <w:footnoteRef/>
      </w:r>
      <w:r w:rsidR="00421726" w:rsidRPr="00036F93">
        <w:t xml:space="preserve"> </w:t>
      </w:r>
      <w:r w:rsidRPr="00036F93">
        <w:tab/>
      </w:r>
      <w:r w:rsidR="00421726" w:rsidRPr="00036F93">
        <w:t>European Environment Agency (</w:t>
      </w:r>
      <w:proofErr w:type="spellStart"/>
      <w:r w:rsidR="00421726" w:rsidRPr="00036F93">
        <w:t>nd</w:t>
      </w:r>
      <w:proofErr w:type="spellEnd"/>
      <w:r w:rsidR="00421726" w:rsidRPr="00036F93">
        <w:t xml:space="preserve">), ” Greenhouse gas emissions from transport in Europe”, </w:t>
      </w:r>
      <w:hyperlink r:id="rId34" w:history="1">
        <w:r w:rsidR="002335B1" w:rsidRPr="00036F93">
          <w:rPr>
            <w:rStyle w:val="Hyperlink"/>
            <w:color w:val="auto"/>
          </w:rPr>
          <w:t>https://www.eea.europa.eu/ims/greenhouse-gas-emissions-from-transport</w:t>
        </w:r>
      </w:hyperlink>
      <w:r w:rsidR="00421726" w:rsidRPr="00036F93">
        <w:t>, accessed 10 July 2023</w:t>
      </w:r>
    </w:p>
  </w:footnote>
  <w:footnote w:id="55">
    <w:p w14:paraId="60B858BB" w14:textId="5E34C773" w:rsidR="00421726" w:rsidRPr="00036F93" w:rsidRDefault="00D831E2" w:rsidP="000E6C04">
      <w:pPr>
        <w:pStyle w:val="FootnoteText"/>
      </w:pPr>
      <w:r w:rsidRPr="00036F93">
        <w:tab/>
      </w:r>
      <w:r w:rsidR="00421726" w:rsidRPr="00036F93">
        <w:rPr>
          <w:vertAlign w:val="superscript"/>
        </w:rPr>
        <w:footnoteRef/>
      </w:r>
      <w:r w:rsidR="00421726" w:rsidRPr="00036F93">
        <w:t xml:space="preserve"> </w:t>
      </w:r>
      <w:r w:rsidRPr="00036F93">
        <w:tab/>
      </w:r>
      <w:r w:rsidR="00421726" w:rsidRPr="00036F93">
        <w:t xml:space="preserve">P. Jaramillo et al. (2022), “Transport”, in IPCC (2022), “Climate Change 2022: Mitigation of Climate Change”, </w:t>
      </w:r>
      <w:hyperlink r:id="rId35" w:history="1">
        <w:r w:rsidR="002335B1" w:rsidRPr="00036F93">
          <w:rPr>
            <w:rStyle w:val="Hyperlink"/>
            <w:color w:val="auto"/>
          </w:rPr>
          <w:t>https://www.ipcc.ch/report/sixth-assessment-report-working-group-3</w:t>
        </w:r>
      </w:hyperlink>
      <w:r w:rsidR="00421726" w:rsidRPr="00036F93">
        <w:t>.</w:t>
      </w:r>
    </w:p>
  </w:footnote>
  <w:footnote w:id="56">
    <w:p w14:paraId="1B30E6C3" w14:textId="392DF047" w:rsidR="00421726" w:rsidRPr="00036F93" w:rsidRDefault="00D831E2" w:rsidP="00986903">
      <w:pPr>
        <w:pStyle w:val="FootnoteText"/>
      </w:pPr>
      <w:r w:rsidRPr="00F848BA">
        <w:tab/>
      </w:r>
      <w:r w:rsidR="00421726" w:rsidRPr="00036F93">
        <w:rPr>
          <w:vertAlign w:val="superscript"/>
        </w:rPr>
        <w:footnoteRef/>
      </w:r>
      <w:r w:rsidR="00421726" w:rsidRPr="00036F93">
        <w:rPr>
          <w:lang w:val="fr-CH"/>
        </w:rPr>
        <w:t xml:space="preserve"> </w:t>
      </w:r>
      <w:r w:rsidRPr="00036F93">
        <w:rPr>
          <w:lang w:val="fr-CH"/>
        </w:rPr>
        <w:tab/>
      </w:r>
      <w:r w:rsidR="00421726" w:rsidRPr="00036F93">
        <w:rPr>
          <w:lang w:val="fr-CH"/>
        </w:rPr>
        <w:t xml:space="preserve">Figure </w:t>
      </w:r>
      <w:proofErr w:type="spellStart"/>
      <w:r w:rsidR="00421726" w:rsidRPr="00036F93">
        <w:rPr>
          <w:lang w:val="fr-CH"/>
        </w:rPr>
        <w:t>based</w:t>
      </w:r>
      <w:proofErr w:type="spellEnd"/>
      <w:r w:rsidR="00421726" w:rsidRPr="00036F93">
        <w:rPr>
          <w:lang w:val="fr-CH"/>
        </w:rPr>
        <w:t xml:space="preserve"> on P. </w:t>
      </w:r>
      <w:proofErr w:type="spellStart"/>
      <w:r w:rsidR="00421726" w:rsidRPr="00036F93">
        <w:rPr>
          <w:lang w:val="fr-CH"/>
        </w:rPr>
        <w:t>Jaramillo</w:t>
      </w:r>
      <w:proofErr w:type="spellEnd"/>
      <w:r w:rsidR="00421726" w:rsidRPr="00036F93">
        <w:rPr>
          <w:lang w:val="fr-CH"/>
        </w:rPr>
        <w:t xml:space="preserve"> et al. </w:t>
      </w:r>
      <w:r w:rsidR="00421726" w:rsidRPr="00036F93">
        <w:t>(2022), “Transport”, in IPCC (2022), “Climate Change 2022: Mitigation of Climate Change”, https://www.ipcc.ch/report/sixth-assessment-report-working-group-3.</w:t>
      </w:r>
    </w:p>
  </w:footnote>
  <w:footnote w:id="57">
    <w:p w14:paraId="6C7B2013" w14:textId="35FB0968" w:rsidR="0008638B" w:rsidRDefault="00986903" w:rsidP="00986903">
      <w:pPr>
        <w:pStyle w:val="FootnoteText"/>
      </w:pPr>
      <w:r>
        <w:tab/>
      </w:r>
      <w:r w:rsidR="0008638B">
        <w:rPr>
          <w:vertAlign w:val="superscript"/>
        </w:rPr>
        <w:footnoteRef/>
      </w:r>
      <w:r w:rsidR="0008638B">
        <w:t xml:space="preserve"> </w:t>
      </w:r>
      <w:r>
        <w:tab/>
      </w:r>
      <w:r>
        <w:tab/>
      </w:r>
      <w:r w:rsidR="0008638B">
        <w:t xml:space="preserve">United Nations Framework Convention on Climate Change (2021), “Glasgow Climate Pact”, </w:t>
      </w:r>
      <w:hyperlink r:id="rId36" w:history="1">
        <w:r w:rsidR="0008638B" w:rsidRPr="004D15D4">
          <w:rPr>
            <w:color w:val="0070C0"/>
            <w:u w:val="single"/>
          </w:rPr>
          <w:t>https://unfccc.int/sites/default/files/resource/cop26_auv_2f_cover_decision.pdf</w:t>
        </w:r>
      </w:hyperlink>
    </w:p>
    <w:p w14:paraId="4A8A683F" w14:textId="77777777" w:rsidR="0008638B" w:rsidRDefault="0008638B" w:rsidP="0008638B">
      <w:pPr>
        <w:spacing w:line="240" w:lineRule="auto"/>
      </w:pPr>
    </w:p>
  </w:footnote>
  <w:footnote w:id="58">
    <w:p w14:paraId="3ACE0FBB" w14:textId="535F31F3" w:rsidR="0008638B" w:rsidRDefault="00986903" w:rsidP="00986903">
      <w:pPr>
        <w:pStyle w:val="FootnoteText"/>
      </w:pPr>
      <w:r>
        <w:tab/>
      </w:r>
      <w:r w:rsidR="0008638B">
        <w:rPr>
          <w:vertAlign w:val="superscript"/>
        </w:rPr>
        <w:footnoteRef/>
      </w:r>
      <w:r w:rsidR="0008638B">
        <w:t xml:space="preserve"> </w:t>
      </w:r>
      <w:r>
        <w:tab/>
      </w:r>
      <w:r>
        <w:tab/>
      </w:r>
      <w:r w:rsidR="0008638B">
        <w:t xml:space="preserve">SLOCAT (2022), “Are Nationally Determined Contributions aligned with the commitments and initiatives on transport announced on the occasion of COP26? A Comparative Analysis by SLOCAT”, </w:t>
      </w:r>
      <w:hyperlink r:id="rId37" w:history="1">
        <w:r w:rsidR="0008638B" w:rsidRPr="004D15D4">
          <w:rPr>
            <w:color w:val="0070C0"/>
            <w:u w:val="single"/>
          </w:rPr>
          <w:t>https://slocat.net/cop26-commitments-ndc-alignment-2022/</w:t>
        </w:r>
      </w:hyperlink>
      <w:r w:rsidR="0008638B" w:rsidRPr="004D15D4">
        <w:rPr>
          <w:color w:val="0070C0"/>
        </w:rPr>
        <w:t xml:space="preserve"> </w:t>
      </w:r>
    </w:p>
  </w:footnote>
  <w:footnote w:id="59">
    <w:p w14:paraId="0E3E406B" w14:textId="651C6D38" w:rsidR="0008638B" w:rsidRDefault="00986903" w:rsidP="00986903">
      <w:pPr>
        <w:pStyle w:val="FootnoteText"/>
      </w:pPr>
      <w:r>
        <w:tab/>
      </w:r>
      <w:r w:rsidR="0008638B">
        <w:rPr>
          <w:vertAlign w:val="superscript"/>
        </w:rPr>
        <w:footnoteRef/>
      </w:r>
      <w:r w:rsidR="0008638B">
        <w:t xml:space="preserve"> </w:t>
      </w:r>
      <w:r>
        <w:tab/>
      </w:r>
      <w:r>
        <w:tab/>
      </w:r>
      <w:r w:rsidR="0008638B">
        <w:t>https://climatechampions.unfccc.int/system/breakthrough-agenda/</w:t>
      </w:r>
    </w:p>
  </w:footnote>
  <w:footnote w:id="60">
    <w:p w14:paraId="053A074A" w14:textId="129B3A54" w:rsidR="0008638B" w:rsidRDefault="00986903" w:rsidP="00986903">
      <w:pPr>
        <w:pStyle w:val="FootnoteText"/>
      </w:pPr>
      <w:r>
        <w:tab/>
      </w:r>
      <w:r w:rsidR="0008638B">
        <w:rPr>
          <w:vertAlign w:val="superscript"/>
        </w:rPr>
        <w:footnoteRef/>
      </w:r>
      <w:r w:rsidR="0008638B">
        <w:t xml:space="preserve"> </w:t>
      </w:r>
      <w:r>
        <w:tab/>
      </w:r>
      <w:r>
        <w:tab/>
      </w:r>
      <w:r w:rsidR="0008638B">
        <w:t>https://racetozero.unfccc.int/system/breakthroughs/</w:t>
      </w:r>
    </w:p>
  </w:footnote>
  <w:footnote w:id="61">
    <w:p w14:paraId="1E366120" w14:textId="4FD17001" w:rsidR="0008638B" w:rsidRDefault="00986903" w:rsidP="00986903">
      <w:pPr>
        <w:pStyle w:val="FootnoteText"/>
      </w:pPr>
      <w:r>
        <w:tab/>
      </w:r>
      <w:r w:rsidR="0008638B">
        <w:rPr>
          <w:vertAlign w:val="superscript"/>
        </w:rPr>
        <w:footnoteRef/>
      </w:r>
      <w:r w:rsidR="0008638B">
        <w:t xml:space="preserve"> </w:t>
      </w:r>
      <w:r>
        <w:tab/>
      </w:r>
      <w:r>
        <w:tab/>
      </w:r>
      <w:r w:rsidR="0008638B">
        <w:t>IEA, IRENA and United Nations</w:t>
      </w:r>
      <w:r w:rsidR="004446C3">
        <w:t xml:space="preserve"> </w:t>
      </w:r>
      <w:r w:rsidR="0008638B">
        <w:t>Climate Change High-Level Champions (2023), “The Breakthrough Agenda Report 2023”, https://climatechampions.unfccc.int/wp-content/uploads/2023/09/THEBREAKTHROUGHAGENDAREPORT2023.pdf</w:t>
      </w:r>
    </w:p>
  </w:footnote>
  <w:footnote w:id="62">
    <w:p w14:paraId="2738C7CB" w14:textId="230C92F6" w:rsidR="0008638B" w:rsidRDefault="00986903" w:rsidP="00986903">
      <w:pPr>
        <w:pStyle w:val="FootnoteText"/>
      </w:pPr>
      <w:r>
        <w:tab/>
      </w:r>
      <w:r w:rsidR="0008638B">
        <w:rPr>
          <w:vertAlign w:val="superscript"/>
        </w:rPr>
        <w:footnoteRef/>
      </w:r>
      <w:r w:rsidR="0008638B">
        <w:t xml:space="preserve"> </w:t>
      </w:r>
      <w:r>
        <w:tab/>
      </w:r>
      <w:r>
        <w:tab/>
      </w:r>
      <w:r w:rsidR="0008638B">
        <w:t xml:space="preserve">United Nations (2021), “Secretary-General's remarks to </w:t>
      </w:r>
      <w:r w:rsidR="0008638B" w:rsidRPr="009C702E">
        <w:t>the</w:t>
      </w:r>
      <w:r w:rsidR="0008638B">
        <w:t xml:space="preserve"> Second Global Sustainable Transport Conference [as delivered]”, https://www.un.org/sg/en/content/sg/statement/2021-10-14/secretary-generals-remarks-the-second-global-sustainable-transport-conference-delivered</w:t>
      </w:r>
    </w:p>
  </w:footnote>
  <w:footnote w:id="63">
    <w:p w14:paraId="48556EF1" w14:textId="5EB69122" w:rsidR="0008638B" w:rsidRDefault="00986903" w:rsidP="00986903">
      <w:pPr>
        <w:pStyle w:val="FootnoteText"/>
      </w:pPr>
      <w:r>
        <w:tab/>
      </w:r>
      <w:r w:rsidR="0008638B">
        <w:rPr>
          <w:vertAlign w:val="superscript"/>
        </w:rPr>
        <w:footnoteRef/>
      </w:r>
      <w:r w:rsidR="0008638B">
        <w:t xml:space="preserve"> </w:t>
      </w:r>
      <w:r>
        <w:tab/>
      </w:r>
      <w:r>
        <w:tab/>
      </w:r>
      <w:r w:rsidR="0008638B">
        <w:t>Second Global Sustainable Transport Conference (2021), “Beijing Statement of the Second United Nations Global Sustainable Transport Conference”, https://www.un.org/sites/un2.un.org/files/2021/10/gstc2_beijing_statement_16_oct_2021.pdf</w:t>
      </w:r>
    </w:p>
  </w:footnote>
  <w:footnote w:id="64">
    <w:p w14:paraId="5BCF4E24" w14:textId="36679455" w:rsidR="00644D39" w:rsidRDefault="00986903" w:rsidP="00986903">
      <w:pPr>
        <w:pStyle w:val="FootnoteText"/>
      </w:pPr>
      <w:r>
        <w:tab/>
      </w:r>
      <w:r w:rsidR="00644D39">
        <w:rPr>
          <w:vertAlign w:val="superscript"/>
        </w:rPr>
        <w:footnoteRef/>
      </w:r>
      <w:r w:rsidR="00644D39">
        <w:t xml:space="preserve"> </w:t>
      </w:r>
      <w:r>
        <w:tab/>
      </w:r>
      <w:r>
        <w:tab/>
      </w:r>
      <w:r w:rsidR="00644D39">
        <w:t xml:space="preserve">B. Buchner et al. (2019), “Global Landscape of Climate Finance 2019”, Climate Policy Initiative (CPI), </w:t>
      </w:r>
      <w:hyperlink r:id="rId38" w:history="1">
        <w:r w:rsidR="00644D39" w:rsidRPr="004D15D4">
          <w:rPr>
            <w:color w:val="0070C0"/>
            <w:u w:val="single"/>
          </w:rPr>
          <w:t>https://www.climatepolicyinitiative.org/wp-content/uploads/2019/11/2019-Global-Landscape-of-Climate-Finance.pdf</w:t>
        </w:r>
      </w:hyperlink>
      <w:r w:rsidR="00644D39">
        <w:t xml:space="preserve"> </w:t>
      </w:r>
    </w:p>
  </w:footnote>
  <w:footnote w:id="65">
    <w:p w14:paraId="3AF59C69" w14:textId="76545C2E" w:rsidR="00644D39" w:rsidRDefault="00986903" w:rsidP="00986903">
      <w:pPr>
        <w:pStyle w:val="FootnoteText"/>
      </w:pPr>
      <w:r>
        <w:tab/>
      </w:r>
      <w:r w:rsidR="00644D39">
        <w:rPr>
          <w:vertAlign w:val="superscript"/>
        </w:rPr>
        <w:footnoteRef/>
      </w:r>
      <w:r w:rsidR="00644D39">
        <w:t xml:space="preserve"> </w:t>
      </w:r>
      <w:r>
        <w:tab/>
      </w:r>
      <w:r>
        <w:tab/>
      </w:r>
      <w:r w:rsidR="00644D39">
        <w:t>MIT Energy Initiative (2019), “Insights into Future Mobility”, http://energy.mit.edu/insightsintofuturemobility</w:t>
      </w:r>
    </w:p>
  </w:footnote>
  <w:footnote w:id="66">
    <w:p w14:paraId="7B7E401B" w14:textId="505457CC" w:rsidR="00644D39" w:rsidRDefault="00986903" w:rsidP="00986903">
      <w:pPr>
        <w:pStyle w:val="FootnoteText"/>
      </w:pPr>
      <w:r>
        <w:tab/>
      </w:r>
      <w:r w:rsidR="00644D39">
        <w:rPr>
          <w:vertAlign w:val="superscript"/>
        </w:rPr>
        <w:footnoteRef/>
      </w:r>
      <w:r w:rsidR="00644D39">
        <w:t xml:space="preserve"> </w:t>
      </w:r>
      <w:r>
        <w:tab/>
      </w:r>
      <w:r>
        <w:tab/>
      </w:r>
      <w:r w:rsidR="00644D39">
        <w:t>Oxford Economics (2023), “Global Infrastructure Outlook”, https://outlook.gihub.org, accessed 28 August 2023</w:t>
      </w:r>
    </w:p>
  </w:footnote>
  <w:footnote w:id="67">
    <w:p w14:paraId="356E5574" w14:textId="416D51B1" w:rsidR="00644D39" w:rsidRDefault="00986903" w:rsidP="00986903">
      <w:pPr>
        <w:pStyle w:val="FootnoteText"/>
      </w:pPr>
      <w:r>
        <w:tab/>
      </w:r>
      <w:r w:rsidR="00644D39">
        <w:rPr>
          <w:vertAlign w:val="superscript"/>
        </w:rPr>
        <w:footnoteRef/>
      </w:r>
      <w:r w:rsidR="00644D39">
        <w:t xml:space="preserve"> </w:t>
      </w:r>
      <w:r>
        <w:tab/>
      </w:r>
      <w:r>
        <w:tab/>
      </w:r>
      <w:r w:rsidR="00644D39">
        <w:t>Global Infrastructure Hub (n.d.), “Infra tracker”, https://infratracker.gihub.org, accessed 31 July 2023</w:t>
      </w:r>
    </w:p>
  </w:footnote>
  <w:footnote w:id="68">
    <w:p w14:paraId="64D1108A" w14:textId="6AEFC80F" w:rsidR="00644D39" w:rsidRDefault="00986903" w:rsidP="00986903">
      <w:pPr>
        <w:pStyle w:val="FootnoteText"/>
      </w:pPr>
      <w:r>
        <w:tab/>
      </w:r>
      <w:r w:rsidR="00644D39">
        <w:rPr>
          <w:vertAlign w:val="superscript"/>
        </w:rPr>
        <w:footnoteRef/>
      </w:r>
      <w:r w:rsidR="00644D39">
        <w:t xml:space="preserve"> </w:t>
      </w:r>
      <w:r>
        <w:tab/>
      </w:r>
      <w:r>
        <w:tab/>
      </w:r>
      <w:r w:rsidR="00644D39">
        <w:t xml:space="preserve">OECD (2023), “Government Support and Subsidies Portal”, </w:t>
      </w:r>
      <w:hyperlink r:id="rId39" w:history="1">
        <w:r w:rsidR="00644D39" w:rsidRPr="004D15D4">
          <w:rPr>
            <w:color w:val="0070C0"/>
            <w:u w:val="single"/>
          </w:rPr>
          <w:t>https://www.oecd.org/subsidies</w:t>
        </w:r>
      </w:hyperlink>
      <w:r w:rsidR="00644D39">
        <w:t>, accessed 26 August 2023</w:t>
      </w:r>
    </w:p>
  </w:footnote>
  <w:footnote w:id="69">
    <w:p w14:paraId="43747053" w14:textId="6B433C32" w:rsidR="00644D39" w:rsidRDefault="00986903" w:rsidP="00986903">
      <w:pPr>
        <w:pStyle w:val="FootnoteText"/>
      </w:pPr>
      <w:r>
        <w:tab/>
      </w:r>
      <w:r w:rsidR="00644D39">
        <w:rPr>
          <w:vertAlign w:val="superscript"/>
        </w:rPr>
        <w:footnoteRef/>
      </w:r>
      <w:r w:rsidR="00644D39">
        <w:t xml:space="preserve"> </w:t>
      </w:r>
      <w:r>
        <w:tab/>
      </w:r>
      <w:r>
        <w:tab/>
      </w:r>
      <w:r w:rsidR="00644D39">
        <w:t>GSR Spotlight 5: Capacity and Institutional Support to Achieve Sustainable, Low Carbon Transport</w:t>
      </w:r>
    </w:p>
  </w:footnote>
  <w:footnote w:id="70">
    <w:p w14:paraId="6505F319" w14:textId="2DCE0B49" w:rsidR="00644D39" w:rsidRDefault="00986903" w:rsidP="00986903">
      <w:pPr>
        <w:pStyle w:val="FootnoteText"/>
      </w:pPr>
      <w:r>
        <w:tab/>
      </w:r>
      <w:r w:rsidR="00644D39">
        <w:rPr>
          <w:vertAlign w:val="superscript"/>
        </w:rPr>
        <w:footnoteRef/>
      </w:r>
      <w:r w:rsidR="00644D39">
        <w:t xml:space="preserve"> </w:t>
      </w:r>
      <w:r>
        <w:tab/>
      </w:r>
      <w:r>
        <w:tab/>
      </w:r>
      <w:proofErr w:type="spellStart"/>
      <w:r w:rsidR="00644D39">
        <w:t>Prizzon</w:t>
      </w:r>
      <w:proofErr w:type="spellEnd"/>
      <w:r w:rsidR="00644D39">
        <w:t xml:space="preserve">, A. and </w:t>
      </w:r>
      <w:proofErr w:type="spellStart"/>
      <w:r w:rsidR="00644D39">
        <w:t>Leautier</w:t>
      </w:r>
      <w:proofErr w:type="spellEnd"/>
      <w:r w:rsidR="00644D39">
        <w:t>, F. (2022), “Multilateral development banks need a bolder vision and urgent reform to tackle the climate crisis”, https://odi.org/en/insights/multilateral-development-banks-need-a-bolder-vision-and-urgent-reform-to-tackle-the-climate-crisis/</w:t>
      </w:r>
    </w:p>
  </w:footnote>
  <w:footnote w:id="71">
    <w:p w14:paraId="304BE2D8" w14:textId="6EEC37C7" w:rsidR="00644D39" w:rsidRDefault="00986903" w:rsidP="00986903">
      <w:pPr>
        <w:pStyle w:val="FootnoteText"/>
      </w:pPr>
      <w:r>
        <w:tab/>
      </w:r>
      <w:r w:rsidR="00644D39">
        <w:rPr>
          <w:vertAlign w:val="superscript"/>
        </w:rPr>
        <w:footnoteRef/>
      </w:r>
      <w:r w:rsidR="00644D39">
        <w:t xml:space="preserve"> </w:t>
      </w:r>
      <w:r>
        <w:tab/>
      </w:r>
      <w:r>
        <w:tab/>
      </w:r>
      <w:r w:rsidR="00644D39">
        <w:t>Carbon Brief (2022), “Explainer: How can climate finance be increased from ‘billions to trillions’?”</w:t>
      </w:r>
    </w:p>
    <w:p w14:paraId="6A4A4D5C" w14:textId="5A708CEF" w:rsidR="00644D39" w:rsidRDefault="00986903" w:rsidP="00986903">
      <w:pPr>
        <w:pStyle w:val="FootnoteText"/>
      </w:pPr>
      <w:r>
        <w:tab/>
      </w:r>
      <w:r>
        <w:tab/>
      </w:r>
      <w:r w:rsidR="00644D39">
        <w:t>https://www.carbonbrief.org/explainer-how-can-climate-finance-be-increased-from-billions-to-trillions/</w:t>
      </w:r>
    </w:p>
  </w:footnote>
  <w:footnote w:id="72">
    <w:p w14:paraId="3F86BAE8" w14:textId="522B4F59" w:rsidR="00644D39" w:rsidRDefault="00986903" w:rsidP="00986903">
      <w:pPr>
        <w:pStyle w:val="FootnoteText"/>
      </w:pPr>
      <w:r>
        <w:tab/>
      </w:r>
      <w:r w:rsidR="00644D39">
        <w:rPr>
          <w:vertAlign w:val="superscript"/>
        </w:rPr>
        <w:footnoteRef/>
      </w:r>
      <w:r w:rsidR="00644D39">
        <w:t xml:space="preserve"> </w:t>
      </w:r>
      <w:r>
        <w:tab/>
      </w:r>
      <w:r>
        <w:tab/>
      </w:r>
      <w:r w:rsidR="00644D39">
        <w:t>World Resources Institute (2018), “Towards Paris Alignment. How the Multilateral Development Banks Can Better Support the Paris Agreement.”</w:t>
      </w:r>
    </w:p>
  </w:footnote>
  <w:footnote w:id="73">
    <w:p w14:paraId="2EBD331E" w14:textId="701E435B" w:rsidR="00644D39" w:rsidRDefault="00986903" w:rsidP="00986903">
      <w:pPr>
        <w:pStyle w:val="FootnoteText"/>
      </w:pPr>
      <w:r>
        <w:tab/>
      </w:r>
      <w:r w:rsidR="00644D39">
        <w:rPr>
          <w:vertAlign w:val="superscript"/>
        </w:rPr>
        <w:footnoteRef/>
      </w:r>
      <w:r w:rsidR="00644D39">
        <w:t xml:space="preserve"> </w:t>
      </w:r>
      <w:r>
        <w:tab/>
      </w:r>
      <w:r>
        <w:tab/>
      </w:r>
      <w:r w:rsidR="00644D39">
        <w:t>CDP (2023), “Are companies developing credible climate transition plans?” https://www.cdp.net/en/articles/climate/new-cdp-data-shows-companies-are-recognizing-the-need-for-climate-transition-plans-but-are-not-moving-fast-enough-amidst-incoming-mandatory-disclosure</w:t>
      </w:r>
    </w:p>
  </w:footnote>
  <w:footnote w:id="74">
    <w:p w14:paraId="2B5EE1C3" w14:textId="48EFFF11" w:rsidR="00644D39" w:rsidRDefault="00986903" w:rsidP="00986903">
      <w:pPr>
        <w:pStyle w:val="FootnoteText"/>
      </w:pPr>
      <w:r>
        <w:tab/>
      </w:r>
      <w:r w:rsidR="00644D39">
        <w:rPr>
          <w:vertAlign w:val="superscript"/>
        </w:rPr>
        <w:footnoteRef/>
      </w:r>
      <w:r w:rsidR="00644D39">
        <w:t xml:space="preserve"> </w:t>
      </w:r>
      <w:r>
        <w:tab/>
      </w:r>
      <w:r>
        <w:tab/>
      </w:r>
      <w:r w:rsidR="00644D39">
        <w:t>Science Based Targets, op. cit. note 2; Science Based Targets (n.d.), "Transport", https://sciencebasedtargets.org/sectors/transport#our-updated-oems-policy, accessed 25 February 2023.</w:t>
      </w:r>
    </w:p>
  </w:footnote>
  <w:footnote w:id="75">
    <w:p w14:paraId="7207C3D6" w14:textId="714D0C88" w:rsidR="00644D39" w:rsidRDefault="00986903" w:rsidP="00986903">
      <w:pPr>
        <w:pStyle w:val="FootnoteText"/>
      </w:pPr>
      <w:r>
        <w:tab/>
      </w:r>
      <w:r w:rsidR="00644D39">
        <w:rPr>
          <w:vertAlign w:val="superscript"/>
        </w:rPr>
        <w:footnoteRef/>
      </w:r>
      <w:r w:rsidR="00644D39">
        <w:t xml:space="preserve"> </w:t>
      </w:r>
      <w:r>
        <w:tab/>
      </w:r>
      <w:r>
        <w:tab/>
      </w:r>
      <w:r w:rsidR="00644D39">
        <w:t>World Benchmarking Alliance (WBA) (2021), “2021 Automotive Benchmark”, Climate and Energy Benchmark, https://www.worldbenchmarkingalliance.org/publication/automotive.</w:t>
      </w:r>
    </w:p>
  </w:footnote>
  <w:footnote w:id="76">
    <w:p w14:paraId="2EF0EC51" w14:textId="68D177EE" w:rsidR="00644D39" w:rsidRDefault="00986903" w:rsidP="00986903">
      <w:pPr>
        <w:pStyle w:val="FootnoteText"/>
      </w:pPr>
      <w:r>
        <w:tab/>
      </w:r>
      <w:r w:rsidR="00644D39">
        <w:rPr>
          <w:vertAlign w:val="superscript"/>
        </w:rPr>
        <w:footnoteRef/>
      </w:r>
      <w:r w:rsidR="00644D39">
        <w:t xml:space="preserve"> </w:t>
      </w:r>
      <w:r>
        <w:tab/>
      </w:r>
      <w:r>
        <w:tab/>
      </w:r>
      <w:r w:rsidR="00644D39">
        <w:t>L. Paoli, A. Dasgupta and S. McBain (2022), "Electric Vehicles", International Energy Agency (IEA),</w:t>
      </w:r>
      <w:hyperlink r:id="rId40" w:history="1">
        <w:r w:rsidR="00644D39">
          <w:t xml:space="preserve"> </w:t>
        </w:r>
      </w:hyperlink>
      <w:hyperlink r:id="rId41" w:history="1">
        <w:r w:rsidR="00644D39" w:rsidRPr="004D15D4">
          <w:rPr>
            <w:color w:val="0070C0"/>
            <w:u w:val="single"/>
          </w:rPr>
          <w:t>https://www.iea.org/reports/electric-vehicles</w:t>
        </w:r>
      </w:hyperlink>
      <w:r w:rsidR="00644D39">
        <w:t>.</w:t>
      </w:r>
    </w:p>
  </w:footnote>
  <w:footnote w:id="77">
    <w:p w14:paraId="6BA6B7C4" w14:textId="6114BCFB" w:rsidR="00644D39" w:rsidRDefault="004446C3" w:rsidP="00986903">
      <w:pPr>
        <w:pStyle w:val="FootnoteText"/>
      </w:pPr>
      <w:r>
        <w:tab/>
      </w:r>
      <w:r w:rsidR="00644D39">
        <w:rPr>
          <w:vertAlign w:val="superscript"/>
        </w:rPr>
        <w:footnoteRef/>
      </w:r>
      <w:r w:rsidR="00644D39">
        <w:t xml:space="preserve"> </w:t>
      </w:r>
      <w:r>
        <w:tab/>
      </w:r>
      <w:r>
        <w:tab/>
      </w:r>
      <w:proofErr w:type="spellStart"/>
      <w:r w:rsidR="00644D39">
        <w:t>InfluenceMap</w:t>
      </w:r>
      <w:proofErr w:type="spellEnd"/>
      <w:r w:rsidR="00644D39">
        <w:t xml:space="preserve"> (2023), “Automotive Climate Tool”, https://automotive.influencemap.org, updated January 2023.</w:t>
      </w:r>
    </w:p>
  </w:footnote>
  <w:footnote w:id="78">
    <w:p w14:paraId="75E4B9F5" w14:textId="06E67CD3" w:rsidR="00644D39" w:rsidRDefault="00986903" w:rsidP="00986903">
      <w:pPr>
        <w:pStyle w:val="FootnoteText"/>
      </w:pPr>
      <w:r>
        <w:tab/>
      </w:r>
      <w:r w:rsidR="00644D39">
        <w:rPr>
          <w:vertAlign w:val="superscript"/>
        </w:rPr>
        <w:footnoteRef/>
      </w:r>
      <w:r w:rsidR="00644D39">
        <w:t xml:space="preserve"> </w:t>
      </w:r>
      <w:r>
        <w:tab/>
      </w:r>
      <w:r>
        <w:tab/>
      </w:r>
      <w:r w:rsidR="00644D39">
        <w:t xml:space="preserve">We Mean Business Coalition et al. (2022), “Climate Transition Action Plans – Activate your journey to climate leadership”, </w:t>
      </w:r>
      <w:hyperlink r:id="rId42" w:history="1">
        <w:r w:rsidR="00644D39" w:rsidRPr="004D15D4">
          <w:rPr>
            <w:color w:val="0070C0"/>
            <w:u w:val="single"/>
          </w:rPr>
          <w:t>https://www.wemeanbusinesscoalition.org/blog/climate-transition-action-plans-activate-your-journey-to-climate-leadership</w:t>
        </w:r>
      </w:hyperlink>
      <w:r w:rsidR="00644D39">
        <w:t xml:space="preserve">. </w:t>
      </w:r>
    </w:p>
  </w:footnote>
  <w:footnote w:id="79">
    <w:p w14:paraId="62BEF199" w14:textId="72AE8861" w:rsidR="00644D39" w:rsidRDefault="00986903" w:rsidP="00986903">
      <w:pPr>
        <w:pStyle w:val="FootnoteText"/>
      </w:pPr>
      <w:r>
        <w:tab/>
      </w:r>
      <w:r w:rsidR="00644D39">
        <w:rPr>
          <w:vertAlign w:val="superscript"/>
        </w:rPr>
        <w:footnoteRef/>
      </w:r>
      <w:r w:rsidR="00644D39">
        <w:t xml:space="preserve"> </w:t>
      </w:r>
      <w:r>
        <w:tab/>
      </w:r>
      <w:r>
        <w:tab/>
      </w:r>
      <w:r w:rsidR="00644D39">
        <w:t xml:space="preserve">Science based Target Initiative (2023), “Ambitious corporate climate action”, https://sciencebasedtargets.org/; International Financial Reporting Standards Foundation (n.d.), "About the International Sustainability Standards Board”, https://www.ifrs.org/groups/international-sustainability-standards-board Council of the EU (2022), “Council gives final green light to corporate sustainability reporting directive” </w:t>
      </w:r>
      <w:hyperlink r:id="rId43" w:history="1">
        <w:r w:rsidR="00644D39" w:rsidRPr="004D15D4">
          <w:rPr>
            <w:color w:val="0070C0"/>
            <w:u w:val="single"/>
          </w:rPr>
          <w:t>https://www.consilium.europa.eu/en/press/press-releases/2022/11/28/council-gives-final-green-light-to-corporate-sustainability-reporting-directive</w:t>
        </w:r>
      </w:hyperlink>
      <w:r w:rsidR="00644D39" w:rsidRPr="004D15D4">
        <w:rPr>
          <w:color w:val="0070C0"/>
        </w:rPr>
        <w:t xml:space="preserve"> </w:t>
      </w:r>
    </w:p>
  </w:footnote>
  <w:footnote w:id="80">
    <w:p w14:paraId="524775B0" w14:textId="1E3FE6F1" w:rsidR="00644D39" w:rsidRDefault="00986903" w:rsidP="00986903">
      <w:pPr>
        <w:pStyle w:val="FootnoteText"/>
      </w:pPr>
      <w:r>
        <w:tab/>
      </w:r>
      <w:r w:rsidR="00644D39">
        <w:rPr>
          <w:vertAlign w:val="superscript"/>
        </w:rPr>
        <w:footnoteRef/>
      </w:r>
      <w:r w:rsidR="00644D39">
        <w:t xml:space="preserve"> </w:t>
      </w:r>
      <w:r>
        <w:tab/>
      </w:r>
      <w:r>
        <w:tab/>
      </w:r>
      <w:r w:rsidR="00644D39">
        <w:t>United Nations High Level Expert Group (HLEG) on the Net Zero Emissions Commitments of Non-State Entities (2022), “Integrity Matters: Net zero commitments by businesses, financial institutions, cities and regions”, https://www.un.org/sites/un2.un.org/files/high-level_expert_group_n7b.pdf</w:t>
      </w:r>
    </w:p>
  </w:footnote>
  <w:footnote w:id="81">
    <w:p w14:paraId="1A7ACB7D" w14:textId="467EFA11" w:rsidR="00644D39" w:rsidRDefault="00986903" w:rsidP="00986903">
      <w:pPr>
        <w:pStyle w:val="FootnoteText"/>
      </w:pPr>
      <w:r>
        <w:tab/>
      </w:r>
      <w:r w:rsidR="00644D39">
        <w:rPr>
          <w:vertAlign w:val="superscript"/>
        </w:rPr>
        <w:footnoteRef/>
      </w:r>
      <w:r w:rsidR="00644D39">
        <w:t xml:space="preserve"> </w:t>
      </w:r>
      <w:r>
        <w:tab/>
      </w:r>
      <w:r>
        <w:tab/>
      </w:r>
      <w:r w:rsidR="00644D39">
        <w:t>United Nations High Level Expert Group (HLEG) on the Net Zero Emissions Commitments of Non-State Entities (2022), “Integrity Matters: Net zero commitments by businesses, financial institutions, cities and regions”, https://www.un.org/sites/un2.un.org/files/high-level_expert_group_n7b.pdf</w:t>
      </w:r>
    </w:p>
  </w:footnote>
  <w:footnote w:id="82">
    <w:p w14:paraId="3E117EBD" w14:textId="70FCBC29" w:rsidR="00421726" w:rsidRPr="00036F93" w:rsidRDefault="001205BA" w:rsidP="000E6C04">
      <w:pPr>
        <w:pStyle w:val="FootnoteText"/>
      </w:pPr>
      <w:r w:rsidRPr="00036F93">
        <w:tab/>
      </w:r>
      <w:r w:rsidR="00421726" w:rsidRPr="00036F93">
        <w:rPr>
          <w:vertAlign w:val="superscript"/>
        </w:rPr>
        <w:footnoteRef/>
      </w:r>
      <w:r w:rsidR="00421726" w:rsidRPr="00036F93">
        <w:t xml:space="preserve"> </w:t>
      </w:r>
      <w:r w:rsidRPr="00036F93">
        <w:tab/>
      </w:r>
      <w:r w:rsidR="00421726" w:rsidRPr="00036F93">
        <w:t>SLOCAT (2021), “Avoid-Shift-Improve Refocusing”, https://slocat.net/asi/</w:t>
      </w:r>
    </w:p>
  </w:footnote>
  <w:footnote w:id="83">
    <w:p w14:paraId="4037DF78" w14:textId="62775FC8" w:rsidR="00421726" w:rsidRPr="00036F93" w:rsidRDefault="001205BA" w:rsidP="000E6C04">
      <w:pPr>
        <w:pStyle w:val="FootnoteText"/>
      </w:pPr>
      <w:r w:rsidRPr="00036F93">
        <w:tab/>
      </w:r>
      <w:r w:rsidR="00421726" w:rsidRPr="00036F93">
        <w:rPr>
          <w:vertAlign w:val="superscript"/>
        </w:rPr>
        <w:footnoteRef/>
      </w:r>
      <w:r w:rsidR="00421726" w:rsidRPr="00036F93">
        <w:t xml:space="preserve"> </w:t>
      </w:r>
      <w:r w:rsidRPr="00036F93">
        <w:tab/>
      </w:r>
      <w:r w:rsidR="00421726" w:rsidRPr="00036F93">
        <w:t xml:space="preserve">F. </w:t>
      </w:r>
      <w:proofErr w:type="spellStart"/>
      <w:r w:rsidR="00421726" w:rsidRPr="00036F93">
        <w:t>Creutzig</w:t>
      </w:r>
      <w:proofErr w:type="spellEnd"/>
      <w:r w:rsidR="00421726" w:rsidRPr="00036F93">
        <w:t xml:space="preserve"> et al. (2022), “Demand-side solutions to climate change mitigation consistent with high levels of well-being”, Nature Climate Change, Vol. 12, pp. 36-46, https://doi.org/10.1038/s41558-021-01219-y.</w:t>
      </w:r>
    </w:p>
  </w:footnote>
  <w:footnote w:id="84">
    <w:p w14:paraId="3A84CB05" w14:textId="5BC64FB2" w:rsidR="00421726" w:rsidRPr="003C0519" w:rsidRDefault="001205BA" w:rsidP="000E6C04">
      <w:pPr>
        <w:pStyle w:val="FootnoteText"/>
        <w:rPr>
          <w:lang w:val="en-US"/>
        </w:rPr>
      </w:pPr>
      <w:r w:rsidRPr="00F848BA">
        <w:rPr>
          <w:lang w:val="en-US"/>
        </w:rPr>
        <w:tab/>
      </w:r>
      <w:r w:rsidR="00421726" w:rsidRPr="00036F93">
        <w:rPr>
          <w:vertAlign w:val="superscript"/>
        </w:rPr>
        <w:footnoteRef/>
      </w:r>
      <w:r w:rsidR="00421726" w:rsidRPr="003C0519">
        <w:rPr>
          <w:lang w:val="en-US"/>
        </w:rPr>
        <w:t xml:space="preserve"> </w:t>
      </w:r>
      <w:r w:rsidRPr="003C0519">
        <w:rPr>
          <w:lang w:val="en-US"/>
        </w:rPr>
        <w:tab/>
      </w:r>
      <w:r w:rsidR="00421726" w:rsidRPr="003C0519">
        <w:rPr>
          <w:lang w:val="en-US"/>
        </w:rPr>
        <w:t>IEA (2021), “Net Zero by 2050”, https://www.iea.org/reports/net-zero-by-2050.</w:t>
      </w:r>
    </w:p>
  </w:footnote>
  <w:footnote w:id="85">
    <w:p w14:paraId="59D2B8AC" w14:textId="6373499C" w:rsidR="0091689F" w:rsidRPr="000E6C04" w:rsidRDefault="0091689F">
      <w:pPr>
        <w:pStyle w:val="FootnoteText"/>
        <w:rPr>
          <w:lang w:val="en-US"/>
        </w:rPr>
      </w:pPr>
      <w:r w:rsidRPr="00EB586A">
        <w:rPr>
          <w:rStyle w:val="FootnoteReference"/>
        </w:rPr>
        <w:tab/>
      </w:r>
      <w:r w:rsidRPr="000E6C04">
        <w:rPr>
          <w:rStyle w:val="FootnoteReference"/>
          <w:sz w:val="20"/>
          <w:vertAlign w:val="baseline"/>
        </w:rPr>
        <w:t>*</w:t>
      </w:r>
      <w:r w:rsidRPr="00036F93">
        <w:rPr>
          <w:rStyle w:val="FootnoteReference"/>
          <w:sz w:val="20"/>
          <w:vertAlign w:val="baseline"/>
        </w:rPr>
        <w:tab/>
      </w:r>
      <w:r w:rsidRPr="00036F93">
        <w:t>Based on United Nations Statistics Division M49 regional codes: https://unstats.un.org/unsd/methodology/m49/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73F9" w14:textId="4B405A46" w:rsidR="00C02976" w:rsidRPr="00C02976" w:rsidRDefault="00C02976">
    <w:pPr>
      <w:pStyle w:val="Header"/>
    </w:pPr>
    <w:r>
      <w:t>ECE/TRANS/202</w:t>
    </w:r>
    <w:r w:rsidR="009F6999">
      <w:t>4</w:t>
    </w:r>
    <w:r>
      <w:t>/</w:t>
    </w:r>
    <w:r w:rsidR="005F7A38">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162B" w14:textId="25CB00E1" w:rsidR="00C02976" w:rsidRPr="00C02976" w:rsidRDefault="00C02976" w:rsidP="00C02976">
    <w:pPr>
      <w:pStyle w:val="Header"/>
      <w:jc w:val="right"/>
    </w:pPr>
    <w:r>
      <w:t>ECE/TRANS/202</w:t>
    </w:r>
    <w:r w:rsidR="009F6999">
      <w:t>4</w:t>
    </w:r>
    <w:r>
      <w:t>/</w:t>
    </w:r>
    <w:r w:rsidR="005F7A38">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542"/>
    <w:multiLevelType w:val="hybridMultilevel"/>
    <w:tmpl w:val="5AF251B8"/>
    <w:lvl w:ilvl="0" w:tplc="100C0001">
      <w:start w:val="1"/>
      <w:numFmt w:val="bullet"/>
      <w:lvlText w:val=""/>
      <w:lvlJc w:val="left"/>
      <w:pPr>
        <w:ind w:left="1494" w:hanging="360"/>
      </w:pPr>
      <w:rPr>
        <w:rFonts w:ascii="Symbol" w:hAnsi="Symbol" w:hint="default"/>
      </w:rPr>
    </w:lvl>
    <w:lvl w:ilvl="1" w:tplc="100C0003" w:tentative="1">
      <w:start w:val="1"/>
      <w:numFmt w:val="bullet"/>
      <w:lvlText w:val="o"/>
      <w:lvlJc w:val="left"/>
      <w:pPr>
        <w:ind w:left="2214" w:hanging="360"/>
      </w:pPr>
      <w:rPr>
        <w:rFonts w:ascii="Courier New" w:hAnsi="Courier New" w:cs="Courier New" w:hint="default"/>
      </w:rPr>
    </w:lvl>
    <w:lvl w:ilvl="2" w:tplc="100C0005" w:tentative="1">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cs="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cs="Courier New" w:hint="default"/>
      </w:rPr>
    </w:lvl>
    <w:lvl w:ilvl="8" w:tplc="100C0005" w:tentative="1">
      <w:start w:val="1"/>
      <w:numFmt w:val="bullet"/>
      <w:lvlText w:val=""/>
      <w:lvlJc w:val="left"/>
      <w:pPr>
        <w:ind w:left="7254" w:hanging="360"/>
      </w:pPr>
      <w:rPr>
        <w:rFonts w:ascii="Wingdings" w:hAnsi="Wingdings" w:hint="default"/>
      </w:rPr>
    </w:lvl>
  </w:abstractNum>
  <w:abstractNum w:abstractNumId="1" w15:restartNumberingAfterBreak="0">
    <w:nsid w:val="01C06305"/>
    <w:multiLevelType w:val="hybridMultilevel"/>
    <w:tmpl w:val="19CC1A7A"/>
    <w:lvl w:ilvl="0" w:tplc="08090001">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2" w15:restartNumberingAfterBreak="0">
    <w:nsid w:val="07F73771"/>
    <w:multiLevelType w:val="hybridMultilevel"/>
    <w:tmpl w:val="36943656"/>
    <w:lvl w:ilvl="0" w:tplc="100C0001">
      <w:start w:val="1"/>
      <w:numFmt w:val="bullet"/>
      <w:lvlText w:val=""/>
      <w:lvlJc w:val="left"/>
      <w:pPr>
        <w:ind w:left="1494" w:hanging="360"/>
      </w:pPr>
      <w:rPr>
        <w:rFonts w:ascii="Symbol" w:hAnsi="Symbol" w:hint="default"/>
      </w:rPr>
    </w:lvl>
    <w:lvl w:ilvl="1" w:tplc="100C0003" w:tentative="1">
      <w:start w:val="1"/>
      <w:numFmt w:val="bullet"/>
      <w:lvlText w:val="o"/>
      <w:lvlJc w:val="left"/>
      <w:pPr>
        <w:ind w:left="2214" w:hanging="360"/>
      </w:pPr>
      <w:rPr>
        <w:rFonts w:ascii="Courier New" w:hAnsi="Courier New" w:cs="Courier New" w:hint="default"/>
      </w:rPr>
    </w:lvl>
    <w:lvl w:ilvl="2" w:tplc="100C0005" w:tentative="1">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cs="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cs="Courier New" w:hint="default"/>
      </w:rPr>
    </w:lvl>
    <w:lvl w:ilvl="8" w:tplc="100C0005" w:tentative="1">
      <w:start w:val="1"/>
      <w:numFmt w:val="bullet"/>
      <w:lvlText w:val=""/>
      <w:lvlJc w:val="left"/>
      <w:pPr>
        <w:ind w:left="7254" w:hanging="360"/>
      </w:pPr>
      <w:rPr>
        <w:rFonts w:ascii="Wingdings" w:hAnsi="Wingdings" w:hint="default"/>
      </w:rPr>
    </w:lvl>
  </w:abstractNum>
  <w:abstractNum w:abstractNumId="3" w15:restartNumberingAfterBreak="0">
    <w:nsid w:val="0B2E2228"/>
    <w:multiLevelType w:val="hybridMultilevel"/>
    <w:tmpl w:val="18225486"/>
    <w:lvl w:ilvl="0" w:tplc="100C0001">
      <w:start w:val="1"/>
      <w:numFmt w:val="bullet"/>
      <w:lvlText w:val=""/>
      <w:lvlJc w:val="left"/>
      <w:pPr>
        <w:ind w:left="1494" w:hanging="360"/>
      </w:pPr>
      <w:rPr>
        <w:rFonts w:ascii="Symbol" w:hAnsi="Symbol" w:hint="default"/>
      </w:rPr>
    </w:lvl>
    <w:lvl w:ilvl="1" w:tplc="100C0003" w:tentative="1">
      <w:start w:val="1"/>
      <w:numFmt w:val="bullet"/>
      <w:lvlText w:val="o"/>
      <w:lvlJc w:val="left"/>
      <w:pPr>
        <w:ind w:left="2214" w:hanging="360"/>
      </w:pPr>
      <w:rPr>
        <w:rFonts w:ascii="Courier New" w:hAnsi="Courier New" w:cs="Courier New" w:hint="default"/>
      </w:rPr>
    </w:lvl>
    <w:lvl w:ilvl="2" w:tplc="100C0005" w:tentative="1">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cs="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cs="Courier New" w:hint="default"/>
      </w:rPr>
    </w:lvl>
    <w:lvl w:ilvl="8" w:tplc="100C0005" w:tentative="1">
      <w:start w:val="1"/>
      <w:numFmt w:val="bullet"/>
      <w:lvlText w:val=""/>
      <w:lvlJc w:val="left"/>
      <w:pPr>
        <w:ind w:left="7254" w:hanging="360"/>
      </w:pPr>
      <w:rPr>
        <w:rFonts w:ascii="Wingdings" w:hAnsi="Wingdings" w:hint="default"/>
      </w:rPr>
    </w:lvl>
  </w:abstractNum>
  <w:abstractNum w:abstractNumId="4" w15:restartNumberingAfterBreak="0">
    <w:nsid w:val="0C746DEA"/>
    <w:multiLevelType w:val="hybridMultilevel"/>
    <w:tmpl w:val="D27681D6"/>
    <w:lvl w:ilvl="0" w:tplc="100C0001">
      <w:start w:val="1"/>
      <w:numFmt w:val="bullet"/>
      <w:lvlText w:val=""/>
      <w:lvlJc w:val="left"/>
      <w:pPr>
        <w:ind w:left="1494" w:hanging="360"/>
      </w:pPr>
      <w:rPr>
        <w:rFonts w:ascii="Symbol" w:hAnsi="Symbol" w:hint="default"/>
      </w:rPr>
    </w:lvl>
    <w:lvl w:ilvl="1" w:tplc="100C0003" w:tentative="1">
      <w:start w:val="1"/>
      <w:numFmt w:val="bullet"/>
      <w:lvlText w:val="o"/>
      <w:lvlJc w:val="left"/>
      <w:pPr>
        <w:ind w:left="2214" w:hanging="360"/>
      </w:pPr>
      <w:rPr>
        <w:rFonts w:ascii="Courier New" w:hAnsi="Courier New" w:cs="Courier New" w:hint="default"/>
      </w:rPr>
    </w:lvl>
    <w:lvl w:ilvl="2" w:tplc="100C0005">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cs="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cs="Courier New" w:hint="default"/>
      </w:rPr>
    </w:lvl>
    <w:lvl w:ilvl="8" w:tplc="100C0005" w:tentative="1">
      <w:start w:val="1"/>
      <w:numFmt w:val="bullet"/>
      <w:lvlText w:val=""/>
      <w:lvlJc w:val="left"/>
      <w:pPr>
        <w:ind w:left="7254" w:hanging="360"/>
      </w:pPr>
      <w:rPr>
        <w:rFonts w:ascii="Wingdings" w:hAnsi="Wingdings" w:hint="default"/>
      </w:rPr>
    </w:lvl>
  </w:abstractNum>
  <w:abstractNum w:abstractNumId="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2B25FC1"/>
    <w:multiLevelType w:val="hybridMultilevel"/>
    <w:tmpl w:val="900A33F8"/>
    <w:lvl w:ilvl="0" w:tplc="100C0001">
      <w:start w:val="1"/>
      <w:numFmt w:val="bullet"/>
      <w:lvlText w:val=""/>
      <w:lvlJc w:val="left"/>
      <w:pPr>
        <w:ind w:left="1494" w:hanging="360"/>
      </w:pPr>
      <w:rPr>
        <w:rFonts w:ascii="Symbol" w:hAnsi="Symbol" w:hint="default"/>
      </w:rPr>
    </w:lvl>
    <w:lvl w:ilvl="1" w:tplc="100C0003" w:tentative="1">
      <w:start w:val="1"/>
      <w:numFmt w:val="bullet"/>
      <w:lvlText w:val="o"/>
      <w:lvlJc w:val="left"/>
      <w:pPr>
        <w:ind w:left="2214" w:hanging="360"/>
      </w:pPr>
      <w:rPr>
        <w:rFonts w:ascii="Courier New" w:hAnsi="Courier New" w:cs="Courier New" w:hint="default"/>
      </w:rPr>
    </w:lvl>
    <w:lvl w:ilvl="2" w:tplc="100C0005" w:tentative="1">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cs="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cs="Courier New" w:hint="default"/>
      </w:rPr>
    </w:lvl>
    <w:lvl w:ilvl="8" w:tplc="100C0005" w:tentative="1">
      <w:start w:val="1"/>
      <w:numFmt w:val="bullet"/>
      <w:lvlText w:val=""/>
      <w:lvlJc w:val="left"/>
      <w:pPr>
        <w:ind w:left="7254" w:hanging="360"/>
      </w:pPr>
      <w:rPr>
        <w:rFonts w:ascii="Wingdings" w:hAnsi="Wingdings" w:hint="default"/>
      </w:rPr>
    </w:lvl>
  </w:abstractNum>
  <w:abstractNum w:abstractNumId="7" w15:restartNumberingAfterBreak="0">
    <w:nsid w:val="14A11D7E"/>
    <w:multiLevelType w:val="hybridMultilevel"/>
    <w:tmpl w:val="E0106B9E"/>
    <w:lvl w:ilvl="0" w:tplc="15C0DD9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15EE05C2"/>
    <w:multiLevelType w:val="multilevel"/>
    <w:tmpl w:val="77AEBFCE"/>
    <w:lvl w:ilvl="0">
      <w:start w:val="1"/>
      <w:numFmt w:val="bullet"/>
      <w:lvlText w:val=""/>
      <w:lvlJc w:val="left"/>
      <w:pPr>
        <w:ind w:left="1495" w:hanging="360"/>
      </w:pPr>
      <w:rPr>
        <w:rFonts w:ascii="Symbol" w:hAnsi="Symbol" w:hint="default"/>
        <w:u w:val="none"/>
      </w:rPr>
    </w:lvl>
    <w:lvl w:ilvl="1">
      <w:start w:val="1"/>
      <w:numFmt w:val="bullet"/>
      <w:lvlText w:val="○"/>
      <w:lvlJc w:val="left"/>
      <w:pPr>
        <w:ind w:left="1647" w:hanging="360"/>
      </w:pPr>
      <w:rPr>
        <w:u w:val="none"/>
      </w:rPr>
    </w:lvl>
    <w:lvl w:ilvl="2">
      <w:start w:val="1"/>
      <w:numFmt w:val="bullet"/>
      <w:lvlText w:val="■"/>
      <w:lvlJc w:val="left"/>
      <w:pPr>
        <w:ind w:left="2367" w:hanging="360"/>
      </w:pPr>
      <w:rPr>
        <w:u w:val="none"/>
      </w:rPr>
    </w:lvl>
    <w:lvl w:ilvl="3">
      <w:start w:val="1"/>
      <w:numFmt w:val="bullet"/>
      <w:lvlText w:val="●"/>
      <w:lvlJc w:val="left"/>
      <w:pPr>
        <w:ind w:left="3087" w:hanging="360"/>
      </w:pPr>
      <w:rPr>
        <w:u w:val="none"/>
      </w:rPr>
    </w:lvl>
    <w:lvl w:ilvl="4">
      <w:start w:val="1"/>
      <w:numFmt w:val="bullet"/>
      <w:lvlText w:val="○"/>
      <w:lvlJc w:val="left"/>
      <w:pPr>
        <w:ind w:left="3807" w:hanging="360"/>
      </w:pPr>
      <w:rPr>
        <w:u w:val="none"/>
      </w:rPr>
    </w:lvl>
    <w:lvl w:ilvl="5">
      <w:start w:val="1"/>
      <w:numFmt w:val="bullet"/>
      <w:lvlText w:val="■"/>
      <w:lvlJc w:val="left"/>
      <w:pPr>
        <w:ind w:left="4527" w:hanging="360"/>
      </w:pPr>
      <w:rPr>
        <w:u w:val="none"/>
      </w:rPr>
    </w:lvl>
    <w:lvl w:ilvl="6">
      <w:start w:val="1"/>
      <w:numFmt w:val="bullet"/>
      <w:lvlText w:val="●"/>
      <w:lvlJc w:val="left"/>
      <w:pPr>
        <w:ind w:left="5247" w:hanging="360"/>
      </w:pPr>
      <w:rPr>
        <w:u w:val="none"/>
      </w:rPr>
    </w:lvl>
    <w:lvl w:ilvl="7">
      <w:start w:val="1"/>
      <w:numFmt w:val="bullet"/>
      <w:lvlText w:val="○"/>
      <w:lvlJc w:val="left"/>
      <w:pPr>
        <w:ind w:left="5967" w:hanging="360"/>
      </w:pPr>
      <w:rPr>
        <w:u w:val="none"/>
      </w:rPr>
    </w:lvl>
    <w:lvl w:ilvl="8">
      <w:start w:val="1"/>
      <w:numFmt w:val="bullet"/>
      <w:lvlText w:val="■"/>
      <w:lvlJc w:val="left"/>
      <w:pPr>
        <w:ind w:left="6687" w:hanging="360"/>
      </w:pPr>
      <w:rPr>
        <w:u w:val="none"/>
      </w:rPr>
    </w:lvl>
  </w:abstractNum>
  <w:abstractNum w:abstractNumId="9" w15:restartNumberingAfterBreak="0">
    <w:nsid w:val="16E63138"/>
    <w:multiLevelType w:val="hybridMultilevel"/>
    <w:tmpl w:val="A4FAB5E4"/>
    <w:lvl w:ilvl="0" w:tplc="100C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10" w15:restartNumberingAfterBreak="0">
    <w:nsid w:val="1B8B507F"/>
    <w:multiLevelType w:val="hybridMultilevel"/>
    <w:tmpl w:val="CE3C605E"/>
    <w:styleLink w:val="CurrentList1"/>
    <w:lvl w:ilvl="0" w:tplc="42122B18">
      <w:start w:val="3"/>
      <w:numFmt w:val="decimal"/>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1" w15:restartNumberingAfterBreak="0">
    <w:nsid w:val="2B602BA4"/>
    <w:multiLevelType w:val="hybridMultilevel"/>
    <w:tmpl w:val="EB943488"/>
    <w:lvl w:ilvl="0" w:tplc="100C0001">
      <w:start w:val="1"/>
      <w:numFmt w:val="bullet"/>
      <w:lvlText w:val=""/>
      <w:lvlJc w:val="left"/>
      <w:pPr>
        <w:ind w:left="1494" w:hanging="360"/>
      </w:pPr>
      <w:rPr>
        <w:rFonts w:ascii="Symbol" w:hAnsi="Symbol" w:hint="default"/>
      </w:rPr>
    </w:lvl>
    <w:lvl w:ilvl="1" w:tplc="100C0003" w:tentative="1">
      <w:start w:val="1"/>
      <w:numFmt w:val="bullet"/>
      <w:lvlText w:val="o"/>
      <w:lvlJc w:val="left"/>
      <w:pPr>
        <w:ind w:left="2214" w:hanging="360"/>
      </w:pPr>
      <w:rPr>
        <w:rFonts w:ascii="Courier New" w:hAnsi="Courier New" w:cs="Courier New" w:hint="default"/>
      </w:rPr>
    </w:lvl>
    <w:lvl w:ilvl="2" w:tplc="100C0005" w:tentative="1">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cs="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cs="Courier New" w:hint="default"/>
      </w:rPr>
    </w:lvl>
    <w:lvl w:ilvl="8" w:tplc="100C0005" w:tentative="1">
      <w:start w:val="1"/>
      <w:numFmt w:val="bullet"/>
      <w:lvlText w:val=""/>
      <w:lvlJc w:val="left"/>
      <w:pPr>
        <w:ind w:left="7254" w:hanging="360"/>
      </w:pPr>
      <w:rPr>
        <w:rFonts w:ascii="Wingdings" w:hAnsi="Wingdings" w:hint="default"/>
      </w:rPr>
    </w:lvl>
  </w:abstractNum>
  <w:abstractNum w:abstractNumId="12" w15:restartNumberingAfterBreak="0">
    <w:nsid w:val="2F1870C4"/>
    <w:multiLevelType w:val="hybridMultilevel"/>
    <w:tmpl w:val="B5F2A422"/>
    <w:lvl w:ilvl="0" w:tplc="100C0001">
      <w:start w:val="1"/>
      <w:numFmt w:val="bullet"/>
      <w:lvlText w:val=""/>
      <w:lvlJc w:val="left"/>
      <w:pPr>
        <w:ind w:left="1494" w:hanging="360"/>
      </w:pPr>
      <w:rPr>
        <w:rFonts w:ascii="Symbol" w:hAnsi="Symbol" w:hint="default"/>
      </w:rPr>
    </w:lvl>
    <w:lvl w:ilvl="1" w:tplc="100C0003" w:tentative="1">
      <w:start w:val="1"/>
      <w:numFmt w:val="bullet"/>
      <w:lvlText w:val="o"/>
      <w:lvlJc w:val="left"/>
      <w:pPr>
        <w:ind w:left="2214" w:hanging="360"/>
      </w:pPr>
      <w:rPr>
        <w:rFonts w:ascii="Courier New" w:hAnsi="Courier New" w:cs="Courier New" w:hint="default"/>
      </w:rPr>
    </w:lvl>
    <w:lvl w:ilvl="2" w:tplc="100C0005" w:tentative="1">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cs="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cs="Courier New" w:hint="default"/>
      </w:rPr>
    </w:lvl>
    <w:lvl w:ilvl="8" w:tplc="100C0005" w:tentative="1">
      <w:start w:val="1"/>
      <w:numFmt w:val="bullet"/>
      <w:lvlText w:val=""/>
      <w:lvlJc w:val="left"/>
      <w:pPr>
        <w:ind w:left="7254" w:hanging="360"/>
      </w:pPr>
      <w:rPr>
        <w:rFonts w:ascii="Wingdings" w:hAnsi="Wingdings" w:hint="default"/>
      </w:rPr>
    </w:lvl>
  </w:abstractNum>
  <w:abstractNum w:abstractNumId="13" w15:restartNumberingAfterBreak="0">
    <w:nsid w:val="32D37F32"/>
    <w:multiLevelType w:val="hybridMultilevel"/>
    <w:tmpl w:val="C9BE38BC"/>
    <w:lvl w:ilvl="0" w:tplc="100C0001">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14" w15:restartNumberingAfterBreak="0">
    <w:nsid w:val="34043310"/>
    <w:multiLevelType w:val="hybridMultilevel"/>
    <w:tmpl w:val="55504E1A"/>
    <w:lvl w:ilvl="0" w:tplc="100C0001">
      <w:start w:val="1"/>
      <w:numFmt w:val="bullet"/>
      <w:lvlText w:val=""/>
      <w:lvlJc w:val="left"/>
      <w:pPr>
        <w:ind w:left="1494" w:hanging="360"/>
      </w:pPr>
      <w:rPr>
        <w:rFonts w:ascii="Symbol" w:hAnsi="Symbol" w:hint="default"/>
      </w:rPr>
    </w:lvl>
    <w:lvl w:ilvl="1" w:tplc="100C0003" w:tentative="1">
      <w:start w:val="1"/>
      <w:numFmt w:val="bullet"/>
      <w:lvlText w:val="o"/>
      <w:lvlJc w:val="left"/>
      <w:pPr>
        <w:ind w:left="2214" w:hanging="360"/>
      </w:pPr>
      <w:rPr>
        <w:rFonts w:ascii="Courier New" w:hAnsi="Courier New" w:cs="Courier New" w:hint="default"/>
      </w:rPr>
    </w:lvl>
    <w:lvl w:ilvl="2" w:tplc="100C0005" w:tentative="1">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cs="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cs="Courier New" w:hint="default"/>
      </w:rPr>
    </w:lvl>
    <w:lvl w:ilvl="8" w:tplc="100C0005" w:tentative="1">
      <w:start w:val="1"/>
      <w:numFmt w:val="bullet"/>
      <w:lvlText w:val=""/>
      <w:lvlJc w:val="left"/>
      <w:pPr>
        <w:ind w:left="7254" w:hanging="360"/>
      </w:pPr>
      <w:rPr>
        <w:rFonts w:ascii="Wingdings" w:hAnsi="Wingdings" w:hint="default"/>
      </w:rPr>
    </w:lvl>
  </w:abstractNum>
  <w:abstractNum w:abstractNumId="15" w15:restartNumberingAfterBreak="0">
    <w:nsid w:val="354F56E7"/>
    <w:multiLevelType w:val="hybridMultilevel"/>
    <w:tmpl w:val="5578482E"/>
    <w:lvl w:ilvl="0" w:tplc="100C0001">
      <w:start w:val="1"/>
      <w:numFmt w:val="bullet"/>
      <w:lvlText w:val=""/>
      <w:lvlJc w:val="left"/>
      <w:pPr>
        <w:ind w:left="1494" w:hanging="360"/>
      </w:pPr>
      <w:rPr>
        <w:rFonts w:ascii="Symbol" w:hAnsi="Symbol" w:hint="default"/>
      </w:rPr>
    </w:lvl>
    <w:lvl w:ilvl="1" w:tplc="100C0003" w:tentative="1">
      <w:start w:val="1"/>
      <w:numFmt w:val="bullet"/>
      <w:lvlText w:val="o"/>
      <w:lvlJc w:val="left"/>
      <w:pPr>
        <w:ind w:left="2214" w:hanging="360"/>
      </w:pPr>
      <w:rPr>
        <w:rFonts w:ascii="Courier New" w:hAnsi="Courier New" w:cs="Courier New" w:hint="default"/>
      </w:rPr>
    </w:lvl>
    <w:lvl w:ilvl="2" w:tplc="100C0005" w:tentative="1">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cs="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cs="Courier New" w:hint="default"/>
      </w:rPr>
    </w:lvl>
    <w:lvl w:ilvl="8" w:tplc="100C0005" w:tentative="1">
      <w:start w:val="1"/>
      <w:numFmt w:val="bullet"/>
      <w:lvlText w:val=""/>
      <w:lvlJc w:val="left"/>
      <w:pPr>
        <w:ind w:left="7254" w:hanging="360"/>
      </w:pPr>
      <w:rPr>
        <w:rFonts w:ascii="Wingdings" w:hAnsi="Wingdings" w:hint="default"/>
      </w:rPr>
    </w:lvl>
  </w:abstractNum>
  <w:abstractNum w:abstractNumId="16" w15:restartNumberingAfterBreak="0">
    <w:nsid w:val="373236C0"/>
    <w:multiLevelType w:val="hybridMultilevel"/>
    <w:tmpl w:val="3E7A217C"/>
    <w:lvl w:ilvl="0" w:tplc="100C0001">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17" w15:restartNumberingAfterBreak="0">
    <w:nsid w:val="394F3862"/>
    <w:multiLevelType w:val="hybridMultilevel"/>
    <w:tmpl w:val="30B4CC88"/>
    <w:lvl w:ilvl="0" w:tplc="BE44DA16">
      <w:start w:val="1"/>
      <w:numFmt w:val="upperLetter"/>
      <w:lvlText w:val="%1."/>
      <w:lvlJc w:val="left"/>
      <w:pPr>
        <w:ind w:left="1500" w:hanging="360"/>
      </w:pPr>
      <w:rPr>
        <w:rFonts w:hint="default"/>
      </w:rPr>
    </w:lvl>
    <w:lvl w:ilvl="1" w:tplc="100C0019" w:tentative="1">
      <w:start w:val="1"/>
      <w:numFmt w:val="lowerLetter"/>
      <w:lvlText w:val="%2."/>
      <w:lvlJc w:val="left"/>
      <w:pPr>
        <w:ind w:left="2220" w:hanging="360"/>
      </w:pPr>
    </w:lvl>
    <w:lvl w:ilvl="2" w:tplc="100C001B" w:tentative="1">
      <w:start w:val="1"/>
      <w:numFmt w:val="lowerRoman"/>
      <w:lvlText w:val="%3."/>
      <w:lvlJc w:val="right"/>
      <w:pPr>
        <w:ind w:left="2940" w:hanging="180"/>
      </w:pPr>
    </w:lvl>
    <w:lvl w:ilvl="3" w:tplc="100C000F" w:tentative="1">
      <w:start w:val="1"/>
      <w:numFmt w:val="decimal"/>
      <w:lvlText w:val="%4."/>
      <w:lvlJc w:val="left"/>
      <w:pPr>
        <w:ind w:left="3660" w:hanging="360"/>
      </w:pPr>
    </w:lvl>
    <w:lvl w:ilvl="4" w:tplc="100C0019" w:tentative="1">
      <w:start w:val="1"/>
      <w:numFmt w:val="lowerLetter"/>
      <w:lvlText w:val="%5."/>
      <w:lvlJc w:val="left"/>
      <w:pPr>
        <w:ind w:left="4380" w:hanging="360"/>
      </w:pPr>
    </w:lvl>
    <w:lvl w:ilvl="5" w:tplc="100C001B" w:tentative="1">
      <w:start w:val="1"/>
      <w:numFmt w:val="lowerRoman"/>
      <w:lvlText w:val="%6."/>
      <w:lvlJc w:val="right"/>
      <w:pPr>
        <w:ind w:left="5100" w:hanging="180"/>
      </w:pPr>
    </w:lvl>
    <w:lvl w:ilvl="6" w:tplc="100C000F" w:tentative="1">
      <w:start w:val="1"/>
      <w:numFmt w:val="decimal"/>
      <w:lvlText w:val="%7."/>
      <w:lvlJc w:val="left"/>
      <w:pPr>
        <w:ind w:left="5820" w:hanging="360"/>
      </w:pPr>
    </w:lvl>
    <w:lvl w:ilvl="7" w:tplc="100C0019" w:tentative="1">
      <w:start w:val="1"/>
      <w:numFmt w:val="lowerLetter"/>
      <w:lvlText w:val="%8."/>
      <w:lvlJc w:val="left"/>
      <w:pPr>
        <w:ind w:left="6540" w:hanging="360"/>
      </w:pPr>
    </w:lvl>
    <w:lvl w:ilvl="8" w:tplc="100C001B" w:tentative="1">
      <w:start w:val="1"/>
      <w:numFmt w:val="lowerRoman"/>
      <w:lvlText w:val="%9."/>
      <w:lvlJc w:val="right"/>
      <w:pPr>
        <w:ind w:left="7260" w:hanging="180"/>
      </w:pPr>
    </w:lvl>
  </w:abstractNum>
  <w:abstractNum w:abstractNumId="18" w15:restartNumberingAfterBreak="0">
    <w:nsid w:val="3A9E74F4"/>
    <w:multiLevelType w:val="hybridMultilevel"/>
    <w:tmpl w:val="FB241A62"/>
    <w:lvl w:ilvl="0" w:tplc="100C0001">
      <w:start w:val="1"/>
      <w:numFmt w:val="bullet"/>
      <w:lvlText w:val=""/>
      <w:lvlJc w:val="left"/>
      <w:pPr>
        <w:ind w:left="1494" w:hanging="360"/>
      </w:pPr>
      <w:rPr>
        <w:rFonts w:ascii="Symbol" w:hAnsi="Symbol" w:hint="default"/>
      </w:rPr>
    </w:lvl>
    <w:lvl w:ilvl="1" w:tplc="100C0003" w:tentative="1">
      <w:start w:val="1"/>
      <w:numFmt w:val="bullet"/>
      <w:lvlText w:val="o"/>
      <w:lvlJc w:val="left"/>
      <w:pPr>
        <w:ind w:left="2214" w:hanging="360"/>
      </w:pPr>
      <w:rPr>
        <w:rFonts w:ascii="Courier New" w:hAnsi="Courier New" w:cs="Courier New" w:hint="default"/>
      </w:rPr>
    </w:lvl>
    <w:lvl w:ilvl="2" w:tplc="100C0005" w:tentative="1">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cs="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cs="Courier New" w:hint="default"/>
      </w:rPr>
    </w:lvl>
    <w:lvl w:ilvl="8" w:tplc="100C0005" w:tentative="1">
      <w:start w:val="1"/>
      <w:numFmt w:val="bullet"/>
      <w:lvlText w:val=""/>
      <w:lvlJc w:val="left"/>
      <w:pPr>
        <w:ind w:left="7254" w:hanging="360"/>
      </w:pPr>
      <w:rPr>
        <w:rFonts w:ascii="Wingdings" w:hAnsi="Wingdings" w:hint="default"/>
      </w:rPr>
    </w:lvl>
  </w:abstractNum>
  <w:abstractNum w:abstractNumId="19" w15:restartNumberingAfterBreak="0">
    <w:nsid w:val="42630457"/>
    <w:multiLevelType w:val="multilevel"/>
    <w:tmpl w:val="74B0179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0" w15:restartNumberingAfterBreak="0">
    <w:nsid w:val="45340C83"/>
    <w:multiLevelType w:val="hybridMultilevel"/>
    <w:tmpl w:val="63A2CCDC"/>
    <w:lvl w:ilvl="0" w:tplc="100C0001">
      <w:start w:val="1"/>
      <w:numFmt w:val="bullet"/>
      <w:lvlText w:val=""/>
      <w:lvlJc w:val="left"/>
      <w:pPr>
        <w:ind w:left="1494" w:hanging="360"/>
      </w:pPr>
      <w:rPr>
        <w:rFonts w:ascii="Symbol" w:hAnsi="Symbol" w:hint="default"/>
      </w:rPr>
    </w:lvl>
    <w:lvl w:ilvl="1" w:tplc="100C0003" w:tentative="1">
      <w:start w:val="1"/>
      <w:numFmt w:val="bullet"/>
      <w:lvlText w:val="o"/>
      <w:lvlJc w:val="left"/>
      <w:pPr>
        <w:ind w:left="2214" w:hanging="360"/>
      </w:pPr>
      <w:rPr>
        <w:rFonts w:ascii="Courier New" w:hAnsi="Courier New" w:cs="Courier New" w:hint="default"/>
      </w:rPr>
    </w:lvl>
    <w:lvl w:ilvl="2" w:tplc="100C0005">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cs="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cs="Courier New" w:hint="default"/>
      </w:rPr>
    </w:lvl>
    <w:lvl w:ilvl="8" w:tplc="100C0005" w:tentative="1">
      <w:start w:val="1"/>
      <w:numFmt w:val="bullet"/>
      <w:lvlText w:val=""/>
      <w:lvlJc w:val="left"/>
      <w:pPr>
        <w:ind w:left="7254" w:hanging="360"/>
      </w:pPr>
      <w:rPr>
        <w:rFonts w:ascii="Wingdings" w:hAnsi="Wingdings" w:hint="default"/>
      </w:rPr>
    </w:lvl>
  </w:abstractNum>
  <w:abstractNum w:abstractNumId="21" w15:restartNumberingAfterBreak="0">
    <w:nsid w:val="48D37F15"/>
    <w:multiLevelType w:val="hybridMultilevel"/>
    <w:tmpl w:val="15CEFA02"/>
    <w:lvl w:ilvl="0" w:tplc="100C0001">
      <w:start w:val="1"/>
      <w:numFmt w:val="bullet"/>
      <w:lvlText w:val=""/>
      <w:lvlJc w:val="left"/>
      <w:pPr>
        <w:ind w:left="1494" w:hanging="360"/>
      </w:pPr>
      <w:rPr>
        <w:rFonts w:ascii="Symbol" w:hAnsi="Symbol" w:hint="default"/>
      </w:rPr>
    </w:lvl>
    <w:lvl w:ilvl="1" w:tplc="100C0003" w:tentative="1">
      <w:start w:val="1"/>
      <w:numFmt w:val="bullet"/>
      <w:lvlText w:val="o"/>
      <w:lvlJc w:val="left"/>
      <w:pPr>
        <w:ind w:left="2214" w:hanging="360"/>
      </w:pPr>
      <w:rPr>
        <w:rFonts w:ascii="Courier New" w:hAnsi="Courier New" w:cs="Courier New" w:hint="default"/>
      </w:rPr>
    </w:lvl>
    <w:lvl w:ilvl="2" w:tplc="100C0005" w:tentative="1">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cs="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cs="Courier New" w:hint="default"/>
      </w:rPr>
    </w:lvl>
    <w:lvl w:ilvl="8" w:tplc="100C0005" w:tentative="1">
      <w:start w:val="1"/>
      <w:numFmt w:val="bullet"/>
      <w:lvlText w:val=""/>
      <w:lvlJc w:val="left"/>
      <w:pPr>
        <w:ind w:left="7254" w:hanging="360"/>
      </w:pPr>
      <w:rPr>
        <w:rFonts w:ascii="Wingdings" w:hAnsi="Wingdings" w:hint="default"/>
      </w:rPr>
    </w:lvl>
  </w:abstractNum>
  <w:abstractNum w:abstractNumId="22" w15:restartNumberingAfterBreak="0">
    <w:nsid w:val="4BAC4365"/>
    <w:multiLevelType w:val="hybridMultilevel"/>
    <w:tmpl w:val="6B54D002"/>
    <w:lvl w:ilvl="0" w:tplc="100C0001">
      <w:start w:val="1"/>
      <w:numFmt w:val="bullet"/>
      <w:lvlText w:val=""/>
      <w:lvlJc w:val="left"/>
      <w:pPr>
        <w:ind w:left="1494" w:hanging="360"/>
      </w:pPr>
      <w:rPr>
        <w:rFonts w:ascii="Symbol" w:hAnsi="Symbol" w:hint="default"/>
      </w:rPr>
    </w:lvl>
    <w:lvl w:ilvl="1" w:tplc="100C0003" w:tentative="1">
      <w:start w:val="1"/>
      <w:numFmt w:val="bullet"/>
      <w:lvlText w:val="o"/>
      <w:lvlJc w:val="left"/>
      <w:pPr>
        <w:ind w:left="2214" w:hanging="360"/>
      </w:pPr>
      <w:rPr>
        <w:rFonts w:ascii="Courier New" w:hAnsi="Courier New" w:cs="Courier New" w:hint="default"/>
      </w:rPr>
    </w:lvl>
    <w:lvl w:ilvl="2" w:tplc="100C0005">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cs="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cs="Courier New" w:hint="default"/>
      </w:rPr>
    </w:lvl>
    <w:lvl w:ilvl="8" w:tplc="100C0005" w:tentative="1">
      <w:start w:val="1"/>
      <w:numFmt w:val="bullet"/>
      <w:lvlText w:val=""/>
      <w:lvlJc w:val="left"/>
      <w:pPr>
        <w:ind w:left="7254" w:hanging="360"/>
      </w:pPr>
      <w:rPr>
        <w:rFonts w:ascii="Wingdings" w:hAnsi="Wingdings" w:hint="default"/>
      </w:rPr>
    </w:lvl>
  </w:abstractNum>
  <w:abstractNum w:abstractNumId="23" w15:restartNumberingAfterBreak="0">
    <w:nsid w:val="4ED504AC"/>
    <w:multiLevelType w:val="hybridMultilevel"/>
    <w:tmpl w:val="CE68F75A"/>
    <w:lvl w:ilvl="0" w:tplc="100C0001">
      <w:start w:val="1"/>
      <w:numFmt w:val="bullet"/>
      <w:lvlText w:val=""/>
      <w:lvlJc w:val="left"/>
      <w:pPr>
        <w:ind w:left="1494" w:hanging="360"/>
      </w:pPr>
      <w:rPr>
        <w:rFonts w:ascii="Symbol" w:hAnsi="Symbol" w:hint="default"/>
      </w:rPr>
    </w:lvl>
    <w:lvl w:ilvl="1" w:tplc="100C0003" w:tentative="1">
      <w:start w:val="1"/>
      <w:numFmt w:val="bullet"/>
      <w:lvlText w:val="o"/>
      <w:lvlJc w:val="left"/>
      <w:pPr>
        <w:ind w:left="2214" w:hanging="360"/>
      </w:pPr>
      <w:rPr>
        <w:rFonts w:ascii="Courier New" w:hAnsi="Courier New" w:cs="Courier New" w:hint="default"/>
      </w:rPr>
    </w:lvl>
    <w:lvl w:ilvl="2" w:tplc="100C0005" w:tentative="1">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cs="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cs="Courier New" w:hint="default"/>
      </w:rPr>
    </w:lvl>
    <w:lvl w:ilvl="8" w:tplc="100C0005" w:tentative="1">
      <w:start w:val="1"/>
      <w:numFmt w:val="bullet"/>
      <w:lvlText w:val=""/>
      <w:lvlJc w:val="left"/>
      <w:pPr>
        <w:ind w:left="7254" w:hanging="360"/>
      </w:pPr>
      <w:rPr>
        <w:rFonts w:ascii="Wingdings" w:hAnsi="Wingdings" w:hint="default"/>
      </w:rPr>
    </w:lvl>
  </w:abstractNum>
  <w:abstractNum w:abstractNumId="24" w15:restartNumberingAfterBreak="0">
    <w:nsid w:val="582555DB"/>
    <w:multiLevelType w:val="hybridMultilevel"/>
    <w:tmpl w:val="F8B01492"/>
    <w:lvl w:ilvl="0" w:tplc="9E2A1C66">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59BC4F33"/>
    <w:multiLevelType w:val="hybridMultilevel"/>
    <w:tmpl w:val="21FE8F1C"/>
    <w:lvl w:ilvl="0" w:tplc="100C0001">
      <w:start w:val="1"/>
      <w:numFmt w:val="bullet"/>
      <w:lvlText w:val=""/>
      <w:lvlJc w:val="left"/>
      <w:pPr>
        <w:ind w:left="1494" w:hanging="360"/>
      </w:pPr>
      <w:rPr>
        <w:rFonts w:ascii="Symbol" w:hAnsi="Symbol" w:hint="default"/>
      </w:rPr>
    </w:lvl>
    <w:lvl w:ilvl="1" w:tplc="100C0003" w:tentative="1">
      <w:start w:val="1"/>
      <w:numFmt w:val="bullet"/>
      <w:lvlText w:val="o"/>
      <w:lvlJc w:val="left"/>
      <w:pPr>
        <w:ind w:left="2214" w:hanging="360"/>
      </w:pPr>
      <w:rPr>
        <w:rFonts w:ascii="Courier New" w:hAnsi="Courier New" w:cs="Courier New" w:hint="default"/>
      </w:rPr>
    </w:lvl>
    <w:lvl w:ilvl="2" w:tplc="100C0005" w:tentative="1">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cs="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cs="Courier New" w:hint="default"/>
      </w:rPr>
    </w:lvl>
    <w:lvl w:ilvl="8" w:tplc="100C0005" w:tentative="1">
      <w:start w:val="1"/>
      <w:numFmt w:val="bullet"/>
      <w:lvlText w:val=""/>
      <w:lvlJc w:val="left"/>
      <w:pPr>
        <w:ind w:left="7254" w:hanging="360"/>
      </w:pPr>
      <w:rPr>
        <w:rFonts w:ascii="Wingdings" w:hAnsi="Wingdings" w:hint="default"/>
      </w:rPr>
    </w:lvl>
  </w:abstractNum>
  <w:abstractNum w:abstractNumId="26" w15:restartNumberingAfterBreak="0">
    <w:nsid w:val="60531A12"/>
    <w:multiLevelType w:val="hybridMultilevel"/>
    <w:tmpl w:val="9ED28F0C"/>
    <w:lvl w:ilvl="0" w:tplc="FFFFFFFF">
      <w:start w:val="1"/>
      <w:numFmt w:val="bullet"/>
      <w:lvlText w:val=""/>
      <w:lvlJc w:val="left"/>
      <w:pPr>
        <w:ind w:left="1494" w:hanging="360"/>
      </w:pPr>
      <w:rPr>
        <w:rFonts w:ascii="Symbol" w:hAnsi="Symbol" w:hint="default"/>
      </w:rPr>
    </w:lvl>
    <w:lvl w:ilvl="1" w:tplc="FFFFFFFF" w:tentative="1">
      <w:start w:val="1"/>
      <w:numFmt w:val="bullet"/>
      <w:lvlText w:val="o"/>
      <w:lvlJc w:val="left"/>
      <w:pPr>
        <w:ind w:left="2214" w:hanging="360"/>
      </w:pPr>
      <w:rPr>
        <w:rFonts w:ascii="Courier New" w:hAnsi="Courier New" w:cs="Courier New" w:hint="default"/>
      </w:rPr>
    </w:lvl>
    <w:lvl w:ilvl="2" w:tplc="100C0001">
      <w:start w:val="1"/>
      <w:numFmt w:val="bullet"/>
      <w:lvlText w:val=""/>
      <w:lvlJc w:val="left"/>
      <w:pPr>
        <w:ind w:left="1494" w:hanging="360"/>
      </w:pPr>
      <w:rPr>
        <w:rFonts w:ascii="Symbol" w:hAnsi="Symbol"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850274"/>
    <w:multiLevelType w:val="hybridMultilevel"/>
    <w:tmpl w:val="96E4483E"/>
    <w:lvl w:ilvl="0" w:tplc="100C0001">
      <w:start w:val="1"/>
      <w:numFmt w:val="bullet"/>
      <w:lvlText w:val=""/>
      <w:lvlJc w:val="left"/>
      <w:pPr>
        <w:ind w:left="1494" w:hanging="360"/>
      </w:pPr>
      <w:rPr>
        <w:rFonts w:ascii="Symbol" w:hAnsi="Symbol" w:hint="default"/>
      </w:rPr>
    </w:lvl>
    <w:lvl w:ilvl="1" w:tplc="100C0003" w:tentative="1">
      <w:start w:val="1"/>
      <w:numFmt w:val="bullet"/>
      <w:lvlText w:val="o"/>
      <w:lvlJc w:val="left"/>
      <w:pPr>
        <w:ind w:left="2214" w:hanging="360"/>
      </w:pPr>
      <w:rPr>
        <w:rFonts w:ascii="Courier New" w:hAnsi="Courier New" w:cs="Courier New" w:hint="default"/>
      </w:rPr>
    </w:lvl>
    <w:lvl w:ilvl="2" w:tplc="100C0005" w:tentative="1">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cs="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cs="Courier New" w:hint="default"/>
      </w:rPr>
    </w:lvl>
    <w:lvl w:ilvl="8" w:tplc="100C0005" w:tentative="1">
      <w:start w:val="1"/>
      <w:numFmt w:val="bullet"/>
      <w:lvlText w:val=""/>
      <w:lvlJc w:val="left"/>
      <w:pPr>
        <w:ind w:left="7254" w:hanging="360"/>
      </w:pPr>
      <w:rPr>
        <w:rFonts w:ascii="Wingdings" w:hAnsi="Wingdings" w:hint="default"/>
      </w:rPr>
    </w:lvl>
  </w:abstractNum>
  <w:abstractNum w:abstractNumId="29" w15:restartNumberingAfterBreak="0">
    <w:nsid w:val="759D1D71"/>
    <w:multiLevelType w:val="hybridMultilevel"/>
    <w:tmpl w:val="259881B2"/>
    <w:lvl w:ilvl="0" w:tplc="EB62BAB4">
      <w:start w:val="1"/>
      <w:numFmt w:val="decimal"/>
      <w:lvlText w:val="%1."/>
      <w:lvlJc w:val="left"/>
      <w:pPr>
        <w:ind w:left="720" w:hanging="360"/>
      </w:pPr>
    </w:lvl>
    <w:lvl w:ilvl="1" w:tplc="1F96020E">
      <w:start w:val="1"/>
      <w:numFmt w:val="lowerLetter"/>
      <w:lvlText w:val="(%2)"/>
      <w:lvlJc w:val="left"/>
      <w:pPr>
        <w:ind w:left="1440" w:hanging="360"/>
      </w:pPr>
    </w:lvl>
    <w:lvl w:ilvl="2" w:tplc="27DEDDC6">
      <w:start w:val="1"/>
      <w:numFmt w:val="lowerRoman"/>
      <w:lvlText w:val="%3."/>
      <w:lvlJc w:val="right"/>
      <w:pPr>
        <w:ind w:left="2160" w:hanging="180"/>
      </w:pPr>
    </w:lvl>
    <w:lvl w:ilvl="3" w:tplc="80DE46A6">
      <w:start w:val="1"/>
      <w:numFmt w:val="decimal"/>
      <w:lvlText w:val="%4."/>
      <w:lvlJc w:val="left"/>
      <w:pPr>
        <w:ind w:left="2880" w:hanging="360"/>
      </w:pPr>
    </w:lvl>
    <w:lvl w:ilvl="4" w:tplc="E110A466">
      <w:start w:val="1"/>
      <w:numFmt w:val="lowerLetter"/>
      <w:lvlText w:val="%5."/>
      <w:lvlJc w:val="left"/>
      <w:pPr>
        <w:ind w:left="3600" w:hanging="360"/>
      </w:pPr>
    </w:lvl>
    <w:lvl w:ilvl="5" w:tplc="4B90583C">
      <w:start w:val="1"/>
      <w:numFmt w:val="lowerRoman"/>
      <w:lvlText w:val="%6."/>
      <w:lvlJc w:val="right"/>
      <w:pPr>
        <w:ind w:left="4320" w:hanging="180"/>
      </w:pPr>
    </w:lvl>
    <w:lvl w:ilvl="6" w:tplc="71369CD4">
      <w:start w:val="1"/>
      <w:numFmt w:val="decimal"/>
      <w:lvlText w:val="%7."/>
      <w:lvlJc w:val="left"/>
      <w:pPr>
        <w:ind w:left="5040" w:hanging="360"/>
      </w:pPr>
    </w:lvl>
    <w:lvl w:ilvl="7" w:tplc="217E43DE">
      <w:start w:val="1"/>
      <w:numFmt w:val="lowerLetter"/>
      <w:lvlText w:val="%8."/>
      <w:lvlJc w:val="left"/>
      <w:pPr>
        <w:ind w:left="5760" w:hanging="360"/>
      </w:pPr>
    </w:lvl>
    <w:lvl w:ilvl="8" w:tplc="1048E114">
      <w:start w:val="1"/>
      <w:numFmt w:val="lowerRoman"/>
      <w:lvlText w:val="%9."/>
      <w:lvlJc w:val="right"/>
      <w:pPr>
        <w:ind w:left="6480" w:hanging="180"/>
      </w:p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9920FB"/>
    <w:multiLevelType w:val="hybridMultilevel"/>
    <w:tmpl w:val="0A8614B8"/>
    <w:lvl w:ilvl="0" w:tplc="100C0001">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32" w15:restartNumberingAfterBreak="0">
    <w:nsid w:val="78617236"/>
    <w:multiLevelType w:val="hybridMultilevel"/>
    <w:tmpl w:val="AFAA9452"/>
    <w:lvl w:ilvl="0" w:tplc="100C0001">
      <w:start w:val="1"/>
      <w:numFmt w:val="bullet"/>
      <w:lvlText w:val=""/>
      <w:lvlJc w:val="left"/>
      <w:pPr>
        <w:ind w:left="1494" w:hanging="360"/>
      </w:pPr>
      <w:rPr>
        <w:rFonts w:ascii="Symbol" w:hAnsi="Symbol" w:hint="default"/>
      </w:rPr>
    </w:lvl>
    <w:lvl w:ilvl="1" w:tplc="100C0003" w:tentative="1">
      <w:start w:val="1"/>
      <w:numFmt w:val="bullet"/>
      <w:lvlText w:val="o"/>
      <w:lvlJc w:val="left"/>
      <w:pPr>
        <w:ind w:left="2214" w:hanging="360"/>
      </w:pPr>
      <w:rPr>
        <w:rFonts w:ascii="Courier New" w:hAnsi="Courier New" w:cs="Courier New" w:hint="default"/>
      </w:rPr>
    </w:lvl>
    <w:lvl w:ilvl="2" w:tplc="100C0005" w:tentative="1">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cs="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cs="Courier New" w:hint="default"/>
      </w:rPr>
    </w:lvl>
    <w:lvl w:ilvl="8" w:tplc="100C0005" w:tentative="1">
      <w:start w:val="1"/>
      <w:numFmt w:val="bullet"/>
      <w:lvlText w:val=""/>
      <w:lvlJc w:val="left"/>
      <w:pPr>
        <w:ind w:left="7254" w:hanging="360"/>
      </w:pPr>
      <w:rPr>
        <w:rFonts w:ascii="Wingdings" w:hAnsi="Wingdings" w:hint="default"/>
      </w:rPr>
    </w:lvl>
  </w:abstractNum>
  <w:abstractNum w:abstractNumId="33" w15:restartNumberingAfterBreak="0">
    <w:nsid w:val="7C9E16D4"/>
    <w:multiLevelType w:val="hybridMultilevel"/>
    <w:tmpl w:val="FFE6A980"/>
    <w:lvl w:ilvl="0" w:tplc="4CC0F21E">
      <w:start w:val="1"/>
      <w:numFmt w:val="upperRoman"/>
      <w:lvlText w:val="%1."/>
      <w:lvlJc w:val="left"/>
      <w:pPr>
        <w:ind w:left="2083" w:hanging="720"/>
      </w:pPr>
      <w:rPr>
        <w:rFonts w:hint="default"/>
      </w:rPr>
    </w:lvl>
    <w:lvl w:ilvl="1" w:tplc="100C0019" w:tentative="1">
      <w:start w:val="1"/>
      <w:numFmt w:val="lowerLetter"/>
      <w:lvlText w:val="%2."/>
      <w:lvlJc w:val="left"/>
      <w:pPr>
        <w:ind w:left="2443" w:hanging="360"/>
      </w:pPr>
    </w:lvl>
    <w:lvl w:ilvl="2" w:tplc="100C001B" w:tentative="1">
      <w:start w:val="1"/>
      <w:numFmt w:val="lowerRoman"/>
      <w:lvlText w:val="%3."/>
      <w:lvlJc w:val="right"/>
      <w:pPr>
        <w:ind w:left="3163" w:hanging="180"/>
      </w:pPr>
    </w:lvl>
    <w:lvl w:ilvl="3" w:tplc="100C000F" w:tentative="1">
      <w:start w:val="1"/>
      <w:numFmt w:val="decimal"/>
      <w:lvlText w:val="%4."/>
      <w:lvlJc w:val="left"/>
      <w:pPr>
        <w:ind w:left="3883" w:hanging="360"/>
      </w:pPr>
    </w:lvl>
    <w:lvl w:ilvl="4" w:tplc="100C0019" w:tentative="1">
      <w:start w:val="1"/>
      <w:numFmt w:val="lowerLetter"/>
      <w:lvlText w:val="%5."/>
      <w:lvlJc w:val="left"/>
      <w:pPr>
        <w:ind w:left="4603" w:hanging="360"/>
      </w:pPr>
    </w:lvl>
    <w:lvl w:ilvl="5" w:tplc="100C001B" w:tentative="1">
      <w:start w:val="1"/>
      <w:numFmt w:val="lowerRoman"/>
      <w:lvlText w:val="%6."/>
      <w:lvlJc w:val="right"/>
      <w:pPr>
        <w:ind w:left="5323" w:hanging="180"/>
      </w:pPr>
    </w:lvl>
    <w:lvl w:ilvl="6" w:tplc="100C000F" w:tentative="1">
      <w:start w:val="1"/>
      <w:numFmt w:val="decimal"/>
      <w:lvlText w:val="%7."/>
      <w:lvlJc w:val="left"/>
      <w:pPr>
        <w:ind w:left="6043" w:hanging="360"/>
      </w:pPr>
    </w:lvl>
    <w:lvl w:ilvl="7" w:tplc="100C0019" w:tentative="1">
      <w:start w:val="1"/>
      <w:numFmt w:val="lowerLetter"/>
      <w:lvlText w:val="%8."/>
      <w:lvlJc w:val="left"/>
      <w:pPr>
        <w:ind w:left="6763" w:hanging="360"/>
      </w:pPr>
    </w:lvl>
    <w:lvl w:ilvl="8" w:tplc="100C001B" w:tentative="1">
      <w:start w:val="1"/>
      <w:numFmt w:val="lowerRoman"/>
      <w:lvlText w:val="%9."/>
      <w:lvlJc w:val="right"/>
      <w:pPr>
        <w:ind w:left="7483" w:hanging="180"/>
      </w:pPr>
    </w:lvl>
  </w:abstractNum>
  <w:abstractNum w:abstractNumId="34" w15:restartNumberingAfterBreak="0">
    <w:nsid w:val="7E3C11C7"/>
    <w:multiLevelType w:val="hybridMultilevel"/>
    <w:tmpl w:val="8092DA9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67258864">
    <w:abstractNumId w:val="27"/>
  </w:num>
  <w:num w:numId="2" w16cid:durableId="496842885">
    <w:abstractNumId w:val="30"/>
  </w:num>
  <w:num w:numId="3" w16cid:durableId="1000432298">
    <w:abstractNumId w:val="5"/>
  </w:num>
  <w:num w:numId="4" w16cid:durableId="158932212">
    <w:abstractNumId w:val="33"/>
  </w:num>
  <w:num w:numId="5" w16cid:durableId="1745493899">
    <w:abstractNumId w:val="17"/>
  </w:num>
  <w:num w:numId="6" w16cid:durableId="1063143949">
    <w:abstractNumId w:val="24"/>
  </w:num>
  <w:num w:numId="7" w16cid:durableId="354156771">
    <w:abstractNumId w:val="10"/>
  </w:num>
  <w:num w:numId="8" w16cid:durableId="1388450899">
    <w:abstractNumId w:val="8"/>
  </w:num>
  <w:num w:numId="9" w16cid:durableId="1053775138">
    <w:abstractNumId w:val="16"/>
  </w:num>
  <w:num w:numId="10" w16cid:durableId="866917066">
    <w:abstractNumId w:val="14"/>
  </w:num>
  <w:num w:numId="11" w16cid:durableId="1800217986">
    <w:abstractNumId w:val="26"/>
  </w:num>
  <w:num w:numId="12" w16cid:durableId="674847188">
    <w:abstractNumId w:val="15"/>
  </w:num>
  <w:num w:numId="13" w16cid:durableId="1749763790">
    <w:abstractNumId w:val="28"/>
  </w:num>
  <w:num w:numId="14" w16cid:durableId="31617343">
    <w:abstractNumId w:val="13"/>
  </w:num>
  <w:num w:numId="15" w16cid:durableId="1155221322">
    <w:abstractNumId w:val="21"/>
  </w:num>
  <w:num w:numId="16" w16cid:durableId="332806957">
    <w:abstractNumId w:val="11"/>
  </w:num>
  <w:num w:numId="17" w16cid:durableId="925844627">
    <w:abstractNumId w:val="9"/>
  </w:num>
  <w:num w:numId="18" w16cid:durableId="1501122000">
    <w:abstractNumId w:val="19"/>
  </w:num>
  <w:num w:numId="19" w16cid:durableId="1859806244">
    <w:abstractNumId w:val="1"/>
  </w:num>
  <w:num w:numId="20" w16cid:durableId="1018238211">
    <w:abstractNumId w:val="18"/>
  </w:num>
  <w:num w:numId="21" w16cid:durableId="166097911">
    <w:abstractNumId w:val="6"/>
  </w:num>
  <w:num w:numId="22" w16cid:durableId="175727781">
    <w:abstractNumId w:val="23"/>
  </w:num>
  <w:num w:numId="23" w16cid:durableId="405035475">
    <w:abstractNumId w:val="12"/>
  </w:num>
  <w:num w:numId="24" w16cid:durableId="1162892486">
    <w:abstractNumId w:val="0"/>
  </w:num>
  <w:num w:numId="25" w16cid:durableId="475953669">
    <w:abstractNumId w:val="25"/>
  </w:num>
  <w:num w:numId="26" w16cid:durableId="276839901">
    <w:abstractNumId w:val="3"/>
  </w:num>
  <w:num w:numId="27" w16cid:durableId="1174419826">
    <w:abstractNumId w:val="32"/>
  </w:num>
  <w:num w:numId="28" w16cid:durableId="1835413183">
    <w:abstractNumId w:val="2"/>
  </w:num>
  <w:num w:numId="29" w16cid:durableId="2063822668">
    <w:abstractNumId w:val="34"/>
  </w:num>
  <w:num w:numId="30" w16cid:durableId="1220630708">
    <w:abstractNumId w:val="22"/>
  </w:num>
  <w:num w:numId="31" w16cid:durableId="2068675131">
    <w:abstractNumId w:val="4"/>
  </w:num>
  <w:num w:numId="32" w16cid:durableId="1867135891">
    <w:abstractNumId w:val="20"/>
  </w:num>
  <w:num w:numId="33" w16cid:durableId="1609966360">
    <w:abstractNumId w:val="31"/>
  </w:num>
  <w:num w:numId="34" w16cid:durableId="1677419953">
    <w:abstractNumId w:val="7"/>
  </w:num>
  <w:num w:numId="35" w16cid:durableId="1282497082">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CH" w:vendorID="64" w:dllVersion="0" w:nlCheck="1" w:checkStyle="0"/>
  <w:activeWritingStyle w:appName="MSWord" w:lang="en-GB" w:vendorID="64" w:dllVersion="0" w:nlCheck="1" w:checkStyle="0"/>
  <w:activeWritingStyle w:appName="MSWord" w:lang="es-ES" w:vendorID="64" w:dllVersion="0" w:nlCheck="1" w:checkStyle="0"/>
  <w:activeWritingStyle w:appName="MSWord" w:lang="de-CH" w:vendorID="64" w:dllVersion="0" w:nlCheck="1" w:checkStyle="0"/>
  <w:activeWritingStyle w:appName="MSWord" w:lang="en-US"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76"/>
    <w:rsid w:val="00000110"/>
    <w:rsid w:val="00002A7D"/>
    <w:rsid w:val="000038A8"/>
    <w:rsid w:val="000060B4"/>
    <w:rsid w:val="00006790"/>
    <w:rsid w:val="000150AC"/>
    <w:rsid w:val="00017271"/>
    <w:rsid w:val="0001791B"/>
    <w:rsid w:val="00020CF1"/>
    <w:rsid w:val="00024761"/>
    <w:rsid w:val="000247E7"/>
    <w:rsid w:val="00027624"/>
    <w:rsid w:val="00027DD6"/>
    <w:rsid w:val="00034BC1"/>
    <w:rsid w:val="00035990"/>
    <w:rsid w:val="00036D81"/>
    <w:rsid w:val="00036F93"/>
    <w:rsid w:val="000422A9"/>
    <w:rsid w:val="000436D7"/>
    <w:rsid w:val="00046784"/>
    <w:rsid w:val="00047F44"/>
    <w:rsid w:val="00050F6B"/>
    <w:rsid w:val="00052852"/>
    <w:rsid w:val="00054B6A"/>
    <w:rsid w:val="00054D80"/>
    <w:rsid w:val="000600A7"/>
    <w:rsid w:val="00063B2A"/>
    <w:rsid w:val="000646B7"/>
    <w:rsid w:val="00065363"/>
    <w:rsid w:val="000678CD"/>
    <w:rsid w:val="00070A4A"/>
    <w:rsid w:val="00072C8C"/>
    <w:rsid w:val="00077668"/>
    <w:rsid w:val="00080FB6"/>
    <w:rsid w:val="00081940"/>
    <w:rsid w:val="00081CE0"/>
    <w:rsid w:val="00083AC8"/>
    <w:rsid w:val="000846B9"/>
    <w:rsid w:val="00084D30"/>
    <w:rsid w:val="0008638B"/>
    <w:rsid w:val="00086DD3"/>
    <w:rsid w:val="000876CF"/>
    <w:rsid w:val="00090320"/>
    <w:rsid w:val="000907AB"/>
    <w:rsid w:val="00091B84"/>
    <w:rsid w:val="00091CE7"/>
    <w:rsid w:val="000920EE"/>
    <w:rsid w:val="00092DCC"/>
    <w:rsid w:val="000931C0"/>
    <w:rsid w:val="00093561"/>
    <w:rsid w:val="0009509C"/>
    <w:rsid w:val="0009775B"/>
    <w:rsid w:val="000A1E37"/>
    <w:rsid w:val="000A2E09"/>
    <w:rsid w:val="000A68C8"/>
    <w:rsid w:val="000B175B"/>
    <w:rsid w:val="000B344A"/>
    <w:rsid w:val="000B3A0F"/>
    <w:rsid w:val="000B45A1"/>
    <w:rsid w:val="000C11FD"/>
    <w:rsid w:val="000C1E4A"/>
    <w:rsid w:val="000C3B63"/>
    <w:rsid w:val="000C6878"/>
    <w:rsid w:val="000D3BFA"/>
    <w:rsid w:val="000D5E24"/>
    <w:rsid w:val="000D66C9"/>
    <w:rsid w:val="000E0415"/>
    <w:rsid w:val="000E0913"/>
    <w:rsid w:val="000E0E4C"/>
    <w:rsid w:val="000E39EA"/>
    <w:rsid w:val="000E6C04"/>
    <w:rsid w:val="000E7227"/>
    <w:rsid w:val="000F2BB0"/>
    <w:rsid w:val="000F7715"/>
    <w:rsid w:val="00101D4F"/>
    <w:rsid w:val="00107593"/>
    <w:rsid w:val="00110172"/>
    <w:rsid w:val="00113352"/>
    <w:rsid w:val="00113B49"/>
    <w:rsid w:val="001205BA"/>
    <w:rsid w:val="00122041"/>
    <w:rsid w:val="00125992"/>
    <w:rsid w:val="00134997"/>
    <w:rsid w:val="00150DD2"/>
    <w:rsid w:val="00151F2B"/>
    <w:rsid w:val="00152ADF"/>
    <w:rsid w:val="00154884"/>
    <w:rsid w:val="00155F58"/>
    <w:rsid w:val="00156B99"/>
    <w:rsid w:val="00163891"/>
    <w:rsid w:val="0016562C"/>
    <w:rsid w:val="00166124"/>
    <w:rsid w:val="001774C1"/>
    <w:rsid w:val="0018100B"/>
    <w:rsid w:val="00184DDA"/>
    <w:rsid w:val="001877BA"/>
    <w:rsid w:val="001900CD"/>
    <w:rsid w:val="00190D26"/>
    <w:rsid w:val="00191271"/>
    <w:rsid w:val="00196FE7"/>
    <w:rsid w:val="001A0452"/>
    <w:rsid w:val="001A4DD5"/>
    <w:rsid w:val="001A561E"/>
    <w:rsid w:val="001A6477"/>
    <w:rsid w:val="001AA892"/>
    <w:rsid w:val="001B4B04"/>
    <w:rsid w:val="001B5875"/>
    <w:rsid w:val="001B747C"/>
    <w:rsid w:val="001B7B0A"/>
    <w:rsid w:val="001C031E"/>
    <w:rsid w:val="001C0A42"/>
    <w:rsid w:val="001C0DC9"/>
    <w:rsid w:val="001C11A5"/>
    <w:rsid w:val="001C11AF"/>
    <w:rsid w:val="001C4B9C"/>
    <w:rsid w:val="001C5E0C"/>
    <w:rsid w:val="001C6663"/>
    <w:rsid w:val="001C7895"/>
    <w:rsid w:val="001D1B63"/>
    <w:rsid w:val="001D2329"/>
    <w:rsid w:val="001D26DF"/>
    <w:rsid w:val="001D5172"/>
    <w:rsid w:val="001E1DB6"/>
    <w:rsid w:val="001E3493"/>
    <w:rsid w:val="001E3839"/>
    <w:rsid w:val="001E6A6F"/>
    <w:rsid w:val="001E7BE1"/>
    <w:rsid w:val="001F1599"/>
    <w:rsid w:val="001F19C4"/>
    <w:rsid w:val="001F1C81"/>
    <w:rsid w:val="001F3CBD"/>
    <w:rsid w:val="001F4428"/>
    <w:rsid w:val="00202EF4"/>
    <w:rsid w:val="002043F0"/>
    <w:rsid w:val="00207654"/>
    <w:rsid w:val="00211E0B"/>
    <w:rsid w:val="00214284"/>
    <w:rsid w:val="002158C6"/>
    <w:rsid w:val="00217216"/>
    <w:rsid w:val="0022393A"/>
    <w:rsid w:val="00232575"/>
    <w:rsid w:val="002335B1"/>
    <w:rsid w:val="00233E60"/>
    <w:rsid w:val="00235691"/>
    <w:rsid w:val="00242A3D"/>
    <w:rsid w:val="00244F1C"/>
    <w:rsid w:val="002456FC"/>
    <w:rsid w:val="00247258"/>
    <w:rsid w:val="002532E6"/>
    <w:rsid w:val="00257CAC"/>
    <w:rsid w:val="00265BC1"/>
    <w:rsid w:val="00270E1F"/>
    <w:rsid w:val="0027237A"/>
    <w:rsid w:val="00273DD7"/>
    <w:rsid w:val="00277310"/>
    <w:rsid w:val="00280468"/>
    <w:rsid w:val="0028088C"/>
    <w:rsid w:val="00285381"/>
    <w:rsid w:val="00287033"/>
    <w:rsid w:val="00287272"/>
    <w:rsid w:val="002937D8"/>
    <w:rsid w:val="002974E9"/>
    <w:rsid w:val="002978EC"/>
    <w:rsid w:val="002A4A15"/>
    <w:rsid w:val="002A7F94"/>
    <w:rsid w:val="002B109A"/>
    <w:rsid w:val="002B27D9"/>
    <w:rsid w:val="002B702C"/>
    <w:rsid w:val="002C6D45"/>
    <w:rsid w:val="002C7258"/>
    <w:rsid w:val="002D2D5B"/>
    <w:rsid w:val="002D4048"/>
    <w:rsid w:val="002D6E53"/>
    <w:rsid w:val="002E1925"/>
    <w:rsid w:val="002E62A6"/>
    <w:rsid w:val="002F046D"/>
    <w:rsid w:val="002F0487"/>
    <w:rsid w:val="002F3023"/>
    <w:rsid w:val="002F70BB"/>
    <w:rsid w:val="00301764"/>
    <w:rsid w:val="003047E7"/>
    <w:rsid w:val="00304F59"/>
    <w:rsid w:val="00313BE1"/>
    <w:rsid w:val="00316820"/>
    <w:rsid w:val="00320C6E"/>
    <w:rsid w:val="003229D8"/>
    <w:rsid w:val="00322FD5"/>
    <w:rsid w:val="00327398"/>
    <w:rsid w:val="00335014"/>
    <w:rsid w:val="00336085"/>
    <w:rsid w:val="00336C97"/>
    <w:rsid w:val="003371C8"/>
    <w:rsid w:val="00337CB9"/>
    <w:rsid w:val="00337F88"/>
    <w:rsid w:val="00340658"/>
    <w:rsid w:val="00340954"/>
    <w:rsid w:val="00342432"/>
    <w:rsid w:val="00346C03"/>
    <w:rsid w:val="00347E58"/>
    <w:rsid w:val="00347FEA"/>
    <w:rsid w:val="00350575"/>
    <w:rsid w:val="0035223F"/>
    <w:rsid w:val="00352D4B"/>
    <w:rsid w:val="0035638C"/>
    <w:rsid w:val="0035645E"/>
    <w:rsid w:val="00363B07"/>
    <w:rsid w:val="00366F96"/>
    <w:rsid w:val="00367D98"/>
    <w:rsid w:val="003722F7"/>
    <w:rsid w:val="00373AFB"/>
    <w:rsid w:val="00375E7D"/>
    <w:rsid w:val="0038235D"/>
    <w:rsid w:val="00383A47"/>
    <w:rsid w:val="00383DA8"/>
    <w:rsid w:val="00383F65"/>
    <w:rsid w:val="00386D46"/>
    <w:rsid w:val="00386FDF"/>
    <w:rsid w:val="00392372"/>
    <w:rsid w:val="0039269B"/>
    <w:rsid w:val="00393BCA"/>
    <w:rsid w:val="003A1E21"/>
    <w:rsid w:val="003A46BB"/>
    <w:rsid w:val="003A474C"/>
    <w:rsid w:val="003A4EC7"/>
    <w:rsid w:val="003A6FB8"/>
    <w:rsid w:val="003A7295"/>
    <w:rsid w:val="003B0506"/>
    <w:rsid w:val="003B1F60"/>
    <w:rsid w:val="003C0519"/>
    <w:rsid w:val="003C2795"/>
    <w:rsid w:val="003C2CC4"/>
    <w:rsid w:val="003C359D"/>
    <w:rsid w:val="003C4BBC"/>
    <w:rsid w:val="003D0B2D"/>
    <w:rsid w:val="003D0E4B"/>
    <w:rsid w:val="003D4B23"/>
    <w:rsid w:val="003E278A"/>
    <w:rsid w:val="003E561A"/>
    <w:rsid w:val="003F0B61"/>
    <w:rsid w:val="003F189C"/>
    <w:rsid w:val="003F3CB3"/>
    <w:rsid w:val="003F68BC"/>
    <w:rsid w:val="003F6BE1"/>
    <w:rsid w:val="00413520"/>
    <w:rsid w:val="004203C5"/>
    <w:rsid w:val="00421726"/>
    <w:rsid w:val="00423540"/>
    <w:rsid w:val="004277B1"/>
    <w:rsid w:val="004325CB"/>
    <w:rsid w:val="00433308"/>
    <w:rsid w:val="00436035"/>
    <w:rsid w:val="00436638"/>
    <w:rsid w:val="00440A07"/>
    <w:rsid w:val="004446C3"/>
    <w:rsid w:val="00444DD8"/>
    <w:rsid w:val="004459F4"/>
    <w:rsid w:val="00445A9E"/>
    <w:rsid w:val="00447AEA"/>
    <w:rsid w:val="00450BEF"/>
    <w:rsid w:val="00454313"/>
    <w:rsid w:val="0045642F"/>
    <w:rsid w:val="00462880"/>
    <w:rsid w:val="00466F1E"/>
    <w:rsid w:val="00471255"/>
    <w:rsid w:val="004713CE"/>
    <w:rsid w:val="00476F24"/>
    <w:rsid w:val="004770DB"/>
    <w:rsid w:val="004819B9"/>
    <w:rsid w:val="00486736"/>
    <w:rsid w:val="004923A8"/>
    <w:rsid w:val="0049646F"/>
    <w:rsid w:val="00496804"/>
    <w:rsid w:val="00496FBA"/>
    <w:rsid w:val="00497407"/>
    <w:rsid w:val="00497817"/>
    <w:rsid w:val="00497EEC"/>
    <w:rsid w:val="004A5024"/>
    <w:rsid w:val="004A632F"/>
    <w:rsid w:val="004B02B9"/>
    <w:rsid w:val="004B54A5"/>
    <w:rsid w:val="004C0527"/>
    <w:rsid w:val="004C225A"/>
    <w:rsid w:val="004C55B0"/>
    <w:rsid w:val="004C5828"/>
    <w:rsid w:val="004D15D4"/>
    <w:rsid w:val="004D1847"/>
    <w:rsid w:val="004D5EAA"/>
    <w:rsid w:val="004D7D88"/>
    <w:rsid w:val="004E2AD5"/>
    <w:rsid w:val="004E3AEB"/>
    <w:rsid w:val="004E4BEF"/>
    <w:rsid w:val="004E7A0D"/>
    <w:rsid w:val="004F552A"/>
    <w:rsid w:val="004F6BA0"/>
    <w:rsid w:val="00502021"/>
    <w:rsid w:val="00503A70"/>
    <w:rsid w:val="00503BEA"/>
    <w:rsid w:val="00504493"/>
    <w:rsid w:val="00506BD0"/>
    <w:rsid w:val="0051123A"/>
    <w:rsid w:val="00512A91"/>
    <w:rsid w:val="00513707"/>
    <w:rsid w:val="005167AC"/>
    <w:rsid w:val="00520B04"/>
    <w:rsid w:val="005259C0"/>
    <w:rsid w:val="00527045"/>
    <w:rsid w:val="005301F4"/>
    <w:rsid w:val="00531054"/>
    <w:rsid w:val="00533616"/>
    <w:rsid w:val="00535ABA"/>
    <w:rsid w:val="00535C07"/>
    <w:rsid w:val="0053768B"/>
    <w:rsid w:val="00542068"/>
    <w:rsid w:val="005420F2"/>
    <w:rsid w:val="0054285C"/>
    <w:rsid w:val="00546EA3"/>
    <w:rsid w:val="0057578C"/>
    <w:rsid w:val="00577433"/>
    <w:rsid w:val="00584173"/>
    <w:rsid w:val="00584F90"/>
    <w:rsid w:val="00590D07"/>
    <w:rsid w:val="00592081"/>
    <w:rsid w:val="005950A7"/>
    <w:rsid w:val="00595520"/>
    <w:rsid w:val="005A077D"/>
    <w:rsid w:val="005A09A3"/>
    <w:rsid w:val="005A0AB9"/>
    <w:rsid w:val="005A44B9"/>
    <w:rsid w:val="005B07F0"/>
    <w:rsid w:val="005B0BAE"/>
    <w:rsid w:val="005B12E2"/>
    <w:rsid w:val="005B1BA0"/>
    <w:rsid w:val="005B3DB3"/>
    <w:rsid w:val="005B4D78"/>
    <w:rsid w:val="005B5F69"/>
    <w:rsid w:val="005B6626"/>
    <w:rsid w:val="005B6A68"/>
    <w:rsid w:val="005C3AAB"/>
    <w:rsid w:val="005C5905"/>
    <w:rsid w:val="005D15CA"/>
    <w:rsid w:val="005D41FE"/>
    <w:rsid w:val="005D716F"/>
    <w:rsid w:val="005E16FA"/>
    <w:rsid w:val="005E4FCD"/>
    <w:rsid w:val="005F08DF"/>
    <w:rsid w:val="005F3066"/>
    <w:rsid w:val="005F3B7E"/>
    <w:rsid w:val="005F3E61"/>
    <w:rsid w:val="005F7A38"/>
    <w:rsid w:val="00602172"/>
    <w:rsid w:val="00604DDD"/>
    <w:rsid w:val="006058DB"/>
    <w:rsid w:val="00610674"/>
    <w:rsid w:val="006115CC"/>
    <w:rsid w:val="0061184C"/>
    <w:rsid w:val="00611C17"/>
    <w:rsid w:val="00611FC4"/>
    <w:rsid w:val="0061436C"/>
    <w:rsid w:val="006176FB"/>
    <w:rsid w:val="00620F69"/>
    <w:rsid w:val="0062271E"/>
    <w:rsid w:val="00624733"/>
    <w:rsid w:val="00626E36"/>
    <w:rsid w:val="00626EE6"/>
    <w:rsid w:val="00630E08"/>
    <w:rsid w:val="00630FCB"/>
    <w:rsid w:val="006327FA"/>
    <w:rsid w:val="006337A1"/>
    <w:rsid w:val="006337E5"/>
    <w:rsid w:val="00633C0B"/>
    <w:rsid w:val="00635165"/>
    <w:rsid w:val="00636015"/>
    <w:rsid w:val="006370F1"/>
    <w:rsid w:val="00640B26"/>
    <w:rsid w:val="00644D39"/>
    <w:rsid w:val="00650AAB"/>
    <w:rsid w:val="00652810"/>
    <w:rsid w:val="00652BC8"/>
    <w:rsid w:val="00654B01"/>
    <w:rsid w:val="0065516B"/>
    <w:rsid w:val="0065708F"/>
    <w:rsid w:val="0065766B"/>
    <w:rsid w:val="00661280"/>
    <w:rsid w:val="0066220B"/>
    <w:rsid w:val="0067009B"/>
    <w:rsid w:val="00672044"/>
    <w:rsid w:val="006740DB"/>
    <w:rsid w:val="0067503E"/>
    <w:rsid w:val="006770B2"/>
    <w:rsid w:val="006801DA"/>
    <w:rsid w:val="00680DB4"/>
    <w:rsid w:val="00686A48"/>
    <w:rsid w:val="00690882"/>
    <w:rsid w:val="00692F70"/>
    <w:rsid w:val="006939BB"/>
    <w:rsid w:val="006940E1"/>
    <w:rsid w:val="00695CDA"/>
    <w:rsid w:val="006A27EA"/>
    <w:rsid w:val="006A3C72"/>
    <w:rsid w:val="006A7392"/>
    <w:rsid w:val="006B03A1"/>
    <w:rsid w:val="006B67D9"/>
    <w:rsid w:val="006C39F3"/>
    <w:rsid w:val="006C5535"/>
    <w:rsid w:val="006C5752"/>
    <w:rsid w:val="006C5784"/>
    <w:rsid w:val="006D0463"/>
    <w:rsid w:val="006D0589"/>
    <w:rsid w:val="006D0EBF"/>
    <w:rsid w:val="006E0173"/>
    <w:rsid w:val="006E1124"/>
    <w:rsid w:val="006E3796"/>
    <w:rsid w:val="006E3C2A"/>
    <w:rsid w:val="006E564B"/>
    <w:rsid w:val="006E7154"/>
    <w:rsid w:val="006F136A"/>
    <w:rsid w:val="006F2A02"/>
    <w:rsid w:val="006F3325"/>
    <w:rsid w:val="007003CD"/>
    <w:rsid w:val="0070701E"/>
    <w:rsid w:val="00707730"/>
    <w:rsid w:val="007114B5"/>
    <w:rsid w:val="00715BEF"/>
    <w:rsid w:val="0071725E"/>
    <w:rsid w:val="0072016B"/>
    <w:rsid w:val="0072601F"/>
    <w:rsid w:val="0072632A"/>
    <w:rsid w:val="00727950"/>
    <w:rsid w:val="00731062"/>
    <w:rsid w:val="007317B7"/>
    <w:rsid w:val="007358E8"/>
    <w:rsid w:val="007367ED"/>
    <w:rsid w:val="00736ECE"/>
    <w:rsid w:val="0074533B"/>
    <w:rsid w:val="007514F4"/>
    <w:rsid w:val="00756CDA"/>
    <w:rsid w:val="00763466"/>
    <w:rsid w:val="00763FE9"/>
    <w:rsid w:val="007643BC"/>
    <w:rsid w:val="00766072"/>
    <w:rsid w:val="00770CE7"/>
    <w:rsid w:val="00780C68"/>
    <w:rsid w:val="00783FCF"/>
    <w:rsid w:val="007858B0"/>
    <w:rsid w:val="00787707"/>
    <w:rsid w:val="007959FE"/>
    <w:rsid w:val="007A0CF1"/>
    <w:rsid w:val="007A2669"/>
    <w:rsid w:val="007A4DE9"/>
    <w:rsid w:val="007A587F"/>
    <w:rsid w:val="007A657B"/>
    <w:rsid w:val="007A7A95"/>
    <w:rsid w:val="007B0670"/>
    <w:rsid w:val="007B2627"/>
    <w:rsid w:val="007B623E"/>
    <w:rsid w:val="007B6BA5"/>
    <w:rsid w:val="007B7803"/>
    <w:rsid w:val="007B79FD"/>
    <w:rsid w:val="007C3390"/>
    <w:rsid w:val="007C3BBF"/>
    <w:rsid w:val="007C42D8"/>
    <w:rsid w:val="007C43DC"/>
    <w:rsid w:val="007C4785"/>
    <w:rsid w:val="007C4F4B"/>
    <w:rsid w:val="007D225F"/>
    <w:rsid w:val="007D2E84"/>
    <w:rsid w:val="007D3116"/>
    <w:rsid w:val="007D62A2"/>
    <w:rsid w:val="007D65F5"/>
    <w:rsid w:val="007D7007"/>
    <w:rsid w:val="007D7362"/>
    <w:rsid w:val="007E52CA"/>
    <w:rsid w:val="007E5F6F"/>
    <w:rsid w:val="007E79F2"/>
    <w:rsid w:val="007F14FC"/>
    <w:rsid w:val="007F176E"/>
    <w:rsid w:val="007F1AAD"/>
    <w:rsid w:val="007F2E18"/>
    <w:rsid w:val="007F4EA5"/>
    <w:rsid w:val="007F5CE2"/>
    <w:rsid w:val="007F6611"/>
    <w:rsid w:val="007F6DBC"/>
    <w:rsid w:val="00802997"/>
    <w:rsid w:val="008077F3"/>
    <w:rsid w:val="00807993"/>
    <w:rsid w:val="00810BAC"/>
    <w:rsid w:val="00815316"/>
    <w:rsid w:val="00816080"/>
    <w:rsid w:val="008175E9"/>
    <w:rsid w:val="00817E05"/>
    <w:rsid w:val="00821795"/>
    <w:rsid w:val="00822345"/>
    <w:rsid w:val="008227D0"/>
    <w:rsid w:val="008242D7"/>
    <w:rsid w:val="008248DF"/>
    <w:rsid w:val="00825704"/>
    <w:rsid w:val="0082577B"/>
    <w:rsid w:val="00825897"/>
    <w:rsid w:val="00825FF2"/>
    <w:rsid w:val="00827AAC"/>
    <w:rsid w:val="008304E1"/>
    <w:rsid w:val="008312DD"/>
    <w:rsid w:val="0083205D"/>
    <w:rsid w:val="008320EA"/>
    <w:rsid w:val="0083513A"/>
    <w:rsid w:val="00841361"/>
    <w:rsid w:val="008460CB"/>
    <w:rsid w:val="00853C65"/>
    <w:rsid w:val="00854EB0"/>
    <w:rsid w:val="00856F57"/>
    <w:rsid w:val="008611D8"/>
    <w:rsid w:val="008633AF"/>
    <w:rsid w:val="0086372E"/>
    <w:rsid w:val="00863D69"/>
    <w:rsid w:val="00866893"/>
    <w:rsid w:val="00866F02"/>
    <w:rsid w:val="00867D18"/>
    <w:rsid w:val="00871EF1"/>
    <w:rsid w:val="00871F9A"/>
    <w:rsid w:val="00871FD5"/>
    <w:rsid w:val="00872C94"/>
    <w:rsid w:val="00873E81"/>
    <w:rsid w:val="008775D6"/>
    <w:rsid w:val="0088172E"/>
    <w:rsid w:val="00881EFA"/>
    <w:rsid w:val="008879CB"/>
    <w:rsid w:val="00890131"/>
    <w:rsid w:val="00895256"/>
    <w:rsid w:val="00896817"/>
    <w:rsid w:val="00896E1B"/>
    <w:rsid w:val="008979B1"/>
    <w:rsid w:val="008A03A2"/>
    <w:rsid w:val="008A0D15"/>
    <w:rsid w:val="008A6B25"/>
    <w:rsid w:val="008A6C4F"/>
    <w:rsid w:val="008B00CA"/>
    <w:rsid w:val="008B23D6"/>
    <w:rsid w:val="008B389E"/>
    <w:rsid w:val="008C2E79"/>
    <w:rsid w:val="008C3A14"/>
    <w:rsid w:val="008C6230"/>
    <w:rsid w:val="008D045E"/>
    <w:rsid w:val="008D1DF7"/>
    <w:rsid w:val="008D3411"/>
    <w:rsid w:val="008D3F25"/>
    <w:rsid w:val="008D47B8"/>
    <w:rsid w:val="008D4D82"/>
    <w:rsid w:val="008D73FC"/>
    <w:rsid w:val="008D788D"/>
    <w:rsid w:val="008E0E46"/>
    <w:rsid w:val="008E0F5E"/>
    <w:rsid w:val="008E4A8E"/>
    <w:rsid w:val="008E5D08"/>
    <w:rsid w:val="008E7116"/>
    <w:rsid w:val="008E7B2C"/>
    <w:rsid w:val="008F143B"/>
    <w:rsid w:val="008F19D4"/>
    <w:rsid w:val="008F3882"/>
    <w:rsid w:val="008F4B7C"/>
    <w:rsid w:val="0090015F"/>
    <w:rsid w:val="00901E41"/>
    <w:rsid w:val="009024AC"/>
    <w:rsid w:val="00907761"/>
    <w:rsid w:val="009133E8"/>
    <w:rsid w:val="00913963"/>
    <w:rsid w:val="0091689F"/>
    <w:rsid w:val="00925C09"/>
    <w:rsid w:val="00926E47"/>
    <w:rsid w:val="0092764D"/>
    <w:rsid w:val="009314E4"/>
    <w:rsid w:val="009328F6"/>
    <w:rsid w:val="00936CF9"/>
    <w:rsid w:val="00940C0A"/>
    <w:rsid w:val="00943748"/>
    <w:rsid w:val="00947162"/>
    <w:rsid w:val="00947C14"/>
    <w:rsid w:val="00947DF4"/>
    <w:rsid w:val="0095424F"/>
    <w:rsid w:val="00955B91"/>
    <w:rsid w:val="00956BF6"/>
    <w:rsid w:val="00960121"/>
    <w:rsid w:val="009606F0"/>
    <w:rsid w:val="009610D0"/>
    <w:rsid w:val="0096375C"/>
    <w:rsid w:val="00965D06"/>
    <w:rsid w:val="009662E6"/>
    <w:rsid w:val="00967533"/>
    <w:rsid w:val="0097095E"/>
    <w:rsid w:val="00972D1E"/>
    <w:rsid w:val="00975681"/>
    <w:rsid w:val="00983D75"/>
    <w:rsid w:val="0098592B"/>
    <w:rsid w:val="00985FC4"/>
    <w:rsid w:val="00986903"/>
    <w:rsid w:val="00986AF7"/>
    <w:rsid w:val="00990766"/>
    <w:rsid w:val="00991261"/>
    <w:rsid w:val="009964C4"/>
    <w:rsid w:val="009A1A3A"/>
    <w:rsid w:val="009A473E"/>
    <w:rsid w:val="009A62DF"/>
    <w:rsid w:val="009A7B81"/>
    <w:rsid w:val="009A7FD3"/>
    <w:rsid w:val="009C4876"/>
    <w:rsid w:val="009C4D1B"/>
    <w:rsid w:val="009D01C0"/>
    <w:rsid w:val="009D6A08"/>
    <w:rsid w:val="009E0260"/>
    <w:rsid w:val="009E0A16"/>
    <w:rsid w:val="009E10B3"/>
    <w:rsid w:val="009E4428"/>
    <w:rsid w:val="009E47CE"/>
    <w:rsid w:val="009E6CB7"/>
    <w:rsid w:val="009E7970"/>
    <w:rsid w:val="009F0DE3"/>
    <w:rsid w:val="009F2EAC"/>
    <w:rsid w:val="009F4054"/>
    <w:rsid w:val="009F57E3"/>
    <w:rsid w:val="009F6999"/>
    <w:rsid w:val="00A01353"/>
    <w:rsid w:val="00A01462"/>
    <w:rsid w:val="00A072A5"/>
    <w:rsid w:val="00A10703"/>
    <w:rsid w:val="00A10F4F"/>
    <w:rsid w:val="00A11067"/>
    <w:rsid w:val="00A122A4"/>
    <w:rsid w:val="00A12390"/>
    <w:rsid w:val="00A15AFF"/>
    <w:rsid w:val="00A1704A"/>
    <w:rsid w:val="00A1712C"/>
    <w:rsid w:val="00A172B4"/>
    <w:rsid w:val="00A179F7"/>
    <w:rsid w:val="00A2023D"/>
    <w:rsid w:val="00A21254"/>
    <w:rsid w:val="00A276A7"/>
    <w:rsid w:val="00A32068"/>
    <w:rsid w:val="00A322A3"/>
    <w:rsid w:val="00A425EB"/>
    <w:rsid w:val="00A50F6F"/>
    <w:rsid w:val="00A516BD"/>
    <w:rsid w:val="00A56D92"/>
    <w:rsid w:val="00A60597"/>
    <w:rsid w:val="00A632B5"/>
    <w:rsid w:val="00A638B2"/>
    <w:rsid w:val="00A63D76"/>
    <w:rsid w:val="00A67645"/>
    <w:rsid w:val="00A70ADF"/>
    <w:rsid w:val="00A71254"/>
    <w:rsid w:val="00A72F22"/>
    <w:rsid w:val="00A733BC"/>
    <w:rsid w:val="00A748A6"/>
    <w:rsid w:val="00A760E2"/>
    <w:rsid w:val="00A769AB"/>
    <w:rsid w:val="00A76A69"/>
    <w:rsid w:val="00A80B62"/>
    <w:rsid w:val="00A8142A"/>
    <w:rsid w:val="00A879A4"/>
    <w:rsid w:val="00A9168D"/>
    <w:rsid w:val="00A97504"/>
    <w:rsid w:val="00A97A5C"/>
    <w:rsid w:val="00AA01A0"/>
    <w:rsid w:val="00AA0FF8"/>
    <w:rsid w:val="00AA4CDF"/>
    <w:rsid w:val="00AB69CD"/>
    <w:rsid w:val="00AB6B67"/>
    <w:rsid w:val="00AC0F2C"/>
    <w:rsid w:val="00AC502A"/>
    <w:rsid w:val="00AD0F60"/>
    <w:rsid w:val="00AD18C3"/>
    <w:rsid w:val="00AD6AB4"/>
    <w:rsid w:val="00AD759C"/>
    <w:rsid w:val="00AE5D20"/>
    <w:rsid w:val="00AF03B9"/>
    <w:rsid w:val="00AF52BD"/>
    <w:rsid w:val="00AF58C1"/>
    <w:rsid w:val="00B02FFE"/>
    <w:rsid w:val="00B04A3F"/>
    <w:rsid w:val="00B06643"/>
    <w:rsid w:val="00B06CC8"/>
    <w:rsid w:val="00B0789F"/>
    <w:rsid w:val="00B117E8"/>
    <w:rsid w:val="00B13720"/>
    <w:rsid w:val="00B149E7"/>
    <w:rsid w:val="00B15055"/>
    <w:rsid w:val="00B15F7F"/>
    <w:rsid w:val="00B20551"/>
    <w:rsid w:val="00B2237B"/>
    <w:rsid w:val="00B23C58"/>
    <w:rsid w:val="00B30179"/>
    <w:rsid w:val="00B33FC7"/>
    <w:rsid w:val="00B35DC9"/>
    <w:rsid w:val="00B37B15"/>
    <w:rsid w:val="00B42E1F"/>
    <w:rsid w:val="00B43900"/>
    <w:rsid w:val="00B45C02"/>
    <w:rsid w:val="00B4766B"/>
    <w:rsid w:val="00B5496F"/>
    <w:rsid w:val="00B56E83"/>
    <w:rsid w:val="00B57A5F"/>
    <w:rsid w:val="00B632CA"/>
    <w:rsid w:val="00B6548D"/>
    <w:rsid w:val="00B65916"/>
    <w:rsid w:val="00B67903"/>
    <w:rsid w:val="00B7095F"/>
    <w:rsid w:val="00B70B63"/>
    <w:rsid w:val="00B70FA1"/>
    <w:rsid w:val="00B72A1E"/>
    <w:rsid w:val="00B74184"/>
    <w:rsid w:val="00B74995"/>
    <w:rsid w:val="00B81727"/>
    <w:rsid w:val="00B81E12"/>
    <w:rsid w:val="00B82832"/>
    <w:rsid w:val="00B961DA"/>
    <w:rsid w:val="00BA0489"/>
    <w:rsid w:val="00BA0930"/>
    <w:rsid w:val="00BA0FA1"/>
    <w:rsid w:val="00BA339B"/>
    <w:rsid w:val="00BA525A"/>
    <w:rsid w:val="00BA5FAE"/>
    <w:rsid w:val="00BA69D8"/>
    <w:rsid w:val="00BB0A86"/>
    <w:rsid w:val="00BB1496"/>
    <w:rsid w:val="00BB21C6"/>
    <w:rsid w:val="00BB23CC"/>
    <w:rsid w:val="00BB27F5"/>
    <w:rsid w:val="00BB297E"/>
    <w:rsid w:val="00BC1E7E"/>
    <w:rsid w:val="00BC3C89"/>
    <w:rsid w:val="00BC74E9"/>
    <w:rsid w:val="00BD04CC"/>
    <w:rsid w:val="00BD7A9B"/>
    <w:rsid w:val="00BD7B2F"/>
    <w:rsid w:val="00BE36A9"/>
    <w:rsid w:val="00BE5D03"/>
    <w:rsid w:val="00BE618E"/>
    <w:rsid w:val="00BE75FB"/>
    <w:rsid w:val="00BE7BEC"/>
    <w:rsid w:val="00BE7C89"/>
    <w:rsid w:val="00BF0A5A"/>
    <w:rsid w:val="00BF0E63"/>
    <w:rsid w:val="00BF12A3"/>
    <w:rsid w:val="00BF16D7"/>
    <w:rsid w:val="00BF2359"/>
    <w:rsid w:val="00BF2373"/>
    <w:rsid w:val="00BF3BAC"/>
    <w:rsid w:val="00BF4190"/>
    <w:rsid w:val="00BF5682"/>
    <w:rsid w:val="00C00C03"/>
    <w:rsid w:val="00C01BE0"/>
    <w:rsid w:val="00C02976"/>
    <w:rsid w:val="00C044E2"/>
    <w:rsid w:val="00C047A0"/>
    <w:rsid w:val="00C048CB"/>
    <w:rsid w:val="00C05E34"/>
    <w:rsid w:val="00C066F3"/>
    <w:rsid w:val="00C108A1"/>
    <w:rsid w:val="00C1326D"/>
    <w:rsid w:val="00C14AA3"/>
    <w:rsid w:val="00C206D6"/>
    <w:rsid w:val="00C26D8C"/>
    <w:rsid w:val="00C27B6A"/>
    <w:rsid w:val="00C32DAC"/>
    <w:rsid w:val="00C333FF"/>
    <w:rsid w:val="00C37FE1"/>
    <w:rsid w:val="00C404CE"/>
    <w:rsid w:val="00C463DD"/>
    <w:rsid w:val="00C47DA5"/>
    <w:rsid w:val="00C55909"/>
    <w:rsid w:val="00C611DF"/>
    <w:rsid w:val="00C64001"/>
    <w:rsid w:val="00C673F7"/>
    <w:rsid w:val="00C72EB8"/>
    <w:rsid w:val="00C73902"/>
    <w:rsid w:val="00C745C3"/>
    <w:rsid w:val="00C74E56"/>
    <w:rsid w:val="00C76172"/>
    <w:rsid w:val="00C803B5"/>
    <w:rsid w:val="00C839D2"/>
    <w:rsid w:val="00C84AAE"/>
    <w:rsid w:val="00C853D7"/>
    <w:rsid w:val="00C854E8"/>
    <w:rsid w:val="00C85C88"/>
    <w:rsid w:val="00C86887"/>
    <w:rsid w:val="00C91C9A"/>
    <w:rsid w:val="00C942DD"/>
    <w:rsid w:val="00C978F5"/>
    <w:rsid w:val="00C97968"/>
    <w:rsid w:val="00CA24A4"/>
    <w:rsid w:val="00CA27C5"/>
    <w:rsid w:val="00CA32D5"/>
    <w:rsid w:val="00CB2D64"/>
    <w:rsid w:val="00CB348D"/>
    <w:rsid w:val="00CB6C0D"/>
    <w:rsid w:val="00CB77B9"/>
    <w:rsid w:val="00CC0AF7"/>
    <w:rsid w:val="00CD42C0"/>
    <w:rsid w:val="00CD46F5"/>
    <w:rsid w:val="00CE27FC"/>
    <w:rsid w:val="00CE4A8F"/>
    <w:rsid w:val="00CF071D"/>
    <w:rsid w:val="00CF2583"/>
    <w:rsid w:val="00CF331B"/>
    <w:rsid w:val="00CF7C82"/>
    <w:rsid w:val="00D0123D"/>
    <w:rsid w:val="00D02340"/>
    <w:rsid w:val="00D12475"/>
    <w:rsid w:val="00D15B04"/>
    <w:rsid w:val="00D200B8"/>
    <w:rsid w:val="00D2031B"/>
    <w:rsid w:val="00D25FE2"/>
    <w:rsid w:val="00D26765"/>
    <w:rsid w:val="00D355DB"/>
    <w:rsid w:val="00D37DA9"/>
    <w:rsid w:val="00D406A7"/>
    <w:rsid w:val="00D419F4"/>
    <w:rsid w:val="00D43252"/>
    <w:rsid w:val="00D44680"/>
    <w:rsid w:val="00D44D86"/>
    <w:rsid w:val="00D47AF4"/>
    <w:rsid w:val="00D50B7D"/>
    <w:rsid w:val="00D52012"/>
    <w:rsid w:val="00D52879"/>
    <w:rsid w:val="00D6290D"/>
    <w:rsid w:val="00D642CC"/>
    <w:rsid w:val="00D704E5"/>
    <w:rsid w:val="00D71FB3"/>
    <w:rsid w:val="00D72727"/>
    <w:rsid w:val="00D77CA4"/>
    <w:rsid w:val="00D82C3E"/>
    <w:rsid w:val="00D831E2"/>
    <w:rsid w:val="00D83863"/>
    <w:rsid w:val="00D92AAD"/>
    <w:rsid w:val="00D92C25"/>
    <w:rsid w:val="00D9501D"/>
    <w:rsid w:val="00D978C6"/>
    <w:rsid w:val="00DA0956"/>
    <w:rsid w:val="00DA357F"/>
    <w:rsid w:val="00DA3E12"/>
    <w:rsid w:val="00DA4ACF"/>
    <w:rsid w:val="00DA5EC9"/>
    <w:rsid w:val="00DB1D43"/>
    <w:rsid w:val="00DB311C"/>
    <w:rsid w:val="00DC18AD"/>
    <w:rsid w:val="00DC222A"/>
    <w:rsid w:val="00DC6AB5"/>
    <w:rsid w:val="00DD522E"/>
    <w:rsid w:val="00DD5279"/>
    <w:rsid w:val="00DD7932"/>
    <w:rsid w:val="00DE1ABB"/>
    <w:rsid w:val="00DF0053"/>
    <w:rsid w:val="00DF0CF7"/>
    <w:rsid w:val="00DF1C8A"/>
    <w:rsid w:val="00DF59A1"/>
    <w:rsid w:val="00DF7CAE"/>
    <w:rsid w:val="00E1133C"/>
    <w:rsid w:val="00E11EAB"/>
    <w:rsid w:val="00E120D3"/>
    <w:rsid w:val="00E135D9"/>
    <w:rsid w:val="00E14F4D"/>
    <w:rsid w:val="00E15ECB"/>
    <w:rsid w:val="00E21F12"/>
    <w:rsid w:val="00E22239"/>
    <w:rsid w:val="00E266D7"/>
    <w:rsid w:val="00E27022"/>
    <w:rsid w:val="00E3187A"/>
    <w:rsid w:val="00E319EF"/>
    <w:rsid w:val="00E32FDD"/>
    <w:rsid w:val="00E423C0"/>
    <w:rsid w:val="00E434F1"/>
    <w:rsid w:val="00E43930"/>
    <w:rsid w:val="00E452C6"/>
    <w:rsid w:val="00E476E8"/>
    <w:rsid w:val="00E53265"/>
    <w:rsid w:val="00E604F0"/>
    <w:rsid w:val="00E63860"/>
    <w:rsid w:val="00E6414C"/>
    <w:rsid w:val="00E65587"/>
    <w:rsid w:val="00E65938"/>
    <w:rsid w:val="00E7260F"/>
    <w:rsid w:val="00E76F79"/>
    <w:rsid w:val="00E802D5"/>
    <w:rsid w:val="00E82C9D"/>
    <w:rsid w:val="00E8702D"/>
    <w:rsid w:val="00E905F4"/>
    <w:rsid w:val="00E912CE"/>
    <w:rsid w:val="00E916A9"/>
    <w:rsid w:val="00E916DE"/>
    <w:rsid w:val="00E920E6"/>
    <w:rsid w:val="00E925AD"/>
    <w:rsid w:val="00E96630"/>
    <w:rsid w:val="00EB1CE9"/>
    <w:rsid w:val="00EB346B"/>
    <w:rsid w:val="00EB586A"/>
    <w:rsid w:val="00EC4112"/>
    <w:rsid w:val="00ED02DB"/>
    <w:rsid w:val="00ED18DC"/>
    <w:rsid w:val="00ED2FB9"/>
    <w:rsid w:val="00ED4112"/>
    <w:rsid w:val="00ED4978"/>
    <w:rsid w:val="00ED4E78"/>
    <w:rsid w:val="00ED6201"/>
    <w:rsid w:val="00ED75CE"/>
    <w:rsid w:val="00ED7A2A"/>
    <w:rsid w:val="00EE0DD2"/>
    <w:rsid w:val="00EF1D7F"/>
    <w:rsid w:val="00EF6BB4"/>
    <w:rsid w:val="00EF7A00"/>
    <w:rsid w:val="00F0137E"/>
    <w:rsid w:val="00F02756"/>
    <w:rsid w:val="00F03909"/>
    <w:rsid w:val="00F05167"/>
    <w:rsid w:val="00F05DE7"/>
    <w:rsid w:val="00F06950"/>
    <w:rsid w:val="00F124B1"/>
    <w:rsid w:val="00F1267C"/>
    <w:rsid w:val="00F1406B"/>
    <w:rsid w:val="00F21786"/>
    <w:rsid w:val="00F21B33"/>
    <w:rsid w:val="00F241DF"/>
    <w:rsid w:val="00F32286"/>
    <w:rsid w:val="00F338E9"/>
    <w:rsid w:val="00F3742B"/>
    <w:rsid w:val="00F41FDB"/>
    <w:rsid w:val="00F42E6A"/>
    <w:rsid w:val="00F46D22"/>
    <w:rsid w:val="00F55101"/>
    <w:rsid w:val="00F55632"/>
    <w:rsid w:val="00F55B32"/>
    <w:rsid w:val="00F56BB5"/>
    <w:rsid w:val="00F56D63"/>
    <w:rsid w:val="00F571DD"/>
    <w:rsid w:val="00F57B1D"/>
    <w:rsid w:val="00F609A9"/>
    <w:rsid w:val="00F65DBA"/>
    <w:rsid w:val="00F73952"/>
    <w:rsid w:val="00F7411F"/>
    <w:rsid w:val="00F752C2"/>
    <w:rsid w:val="00F77BB5"/>
    <w:rsid w:val="00F80C99"/>
    <w:rsid w:val="00F848BA"/>
    <w:rsid w:val="00F867EC"/>
    <w:rsid w:val="00F86936"/>
    <w:rsid w:val="00F91B2B"/>
    <w:rsid w:val="00F937CA"/>
    <w:rsid w:val="00F94807"/>
    <w:rsid w:val="00FA1571"/>
    <w:rsid w:val="00FA5204"/>
    <w:rsid w:val="00FB085B"/>
    <w:rsid w:val="00FB4BF2"/>
    <w:rsid w:val="00FC03CD"/>
    <w:rsid w:val="00FC057F"/>
    <w:rsid w:val="00FC0646"/>
    <w:rsid w:val="00FC3A05"/>
    <w:rsid w:val="00FC4B32"/>
    <w:rsid w:val="00FC614F"/>
    <w:rsid w:val="00FC68B7"/>
    <w:rsid w:val="00FD62F8"/>
    <w:rsid w:val="00FE4064"/>
    <w:rsid w:val="00FE6985"/>
    <w:rsid w:val="00FE6B87"/>
    <w:rsid w:val="00FF2D8C"/>
    <w:rsid w:val="0183CB08"/>
    <w:rsid w:val="02AE2B16"/>
    <w:rsid w:val="02EE611F"/>
    <w:rsid w:val="03FE860B"/>
    <w:rsid w:val="045C0F49"/>
    <w:rsid w:val="054D50CB"/>
    <w:rsid w:val="060560B0"/>
    <w:rsid w:val="0644D264"/>
    <w:rsid w:val="0652CCDB"/>
    <w:rsid w:val="066F7206"/>
    <w:rsid w:val="06FB2679"/>
    <w:rsid w:val="071846E5"/>
    <w:rsid w:val="072487FB"/>
    <w:rsid w:val="0734FE1C"/>
    <w:rsid w:val="07980D5F"/>
    <w:rsid w:val="07A9BF7F"/>
    <w:rsid w:val="07CBB376"/>
    <w:rsid w:val="07E5296A"/>
    <w:rsid w:val="08099F46"/>
    <w:rsid w:val="087E4CBD"/>
    <w:rsid w:val="0920306D"/>
    <w:rsid w:val="09301516"/>
    <w:rsid w:val="093EC9A6"/>
    <w:rsid w:val="094AA162"/>
    <w:rsid w:val="0997771B"/>
    <w:rsid w:val="09BD30EE"/>
    <w:rsid w:val="09CA2C26"/>
    <w:rsid w:val="0AF3D5C8"/>
    <w:rsid w:val="0B43C7B0"/>
    <w:rsid w:val="0B74CE6E"/>
    <w:rsid w:val="0B970922"/>
    <w:rsid w:val="0C33983E"/>
    <w:rsid w:val="0C5777E7"/>
    <w:rsid w:val="0D480752"/>
    <w:rsid w:val="0ED08C3A"/>
    <w:rsid w:val="0EE6DD23"/>
    <w:rsid w:val="0EF75A3F"/>
    <w:rsid w:val="0F2F8EA4"/>
    <w:rsid w:val="0F3633A3"/>
    <w:rsid w:val="0F893FC2"/>
    <w:rsid w:val="0F9E0714"/>
    <w:rsid w:val="103BE015"/>
    <w:rsid w:val="1064CC58"/>
    <w:rsid w:val="1091A0E0"/>
    <w:rsid w:val="1138DB56"/>
    <w:rsid w:val="11796D64"/>
    <w:rsid w:val="11D7B076"/>
    <w:rsid w:val="124C6939"/>
    <w:rsid w:val="126943E0"/>
    <w:rsid w:val="12C712B3"/>
    <w:rsid w:val="1310C223"/>
    <w:rsid w:val="13516606"/>
    <w:rsid w:val="13C6137D"/>
    <w:rsid w:val="13DEFDA4"/>
    <w:rsid w:val="142600D6"/>
    <w:rsid w:val="14D4434D"/>
    <w:rsid w:val="1540E7B7"/>
    <w:rsid w:val="15A309F9"/>
    <w:rsid w:val="15E1D9B0"/>
    <w:rsid w:val="162D930A"/>
    <w:rsid w:val="16461B8A"/>
    <w:rsid w:val="16ECA058"/>
    <w:rsid w:val="17A81CDA"/>
    <w:rsid w:val="17E070A4"/>
    <w:rsid w:val="1810F478"/>
    <w:rsid w:val="185B6260"/>
    <w:rsid w:val="1944E95A"/>
    <w:rsid w:val="198B0A19"/>
    <w:rsid w:val="19985365"/>
    <w:rsid w:val="19DCA469"/>
    <w:rsid w:val="1A87068B"/>
    <w:rsid w:val="1AE9621D"/>
    <w:rsid w:val="1B078C74"/>
    <w:rsid w:val="1B6D57E5"/>
    <w:rsid w:val="1D656094"/>
    <w:rsid w:val="1D76344D"/>
    <w:rsid w:val="1DEFB2EC"/>
    <w:rsid w:val="1E4375DC"/>
    <w:rsid w:val="1EBFA806"/>
    <w:rsid w:val="1F09B084"/>
    <w:rsid w:val="1F0CC6A3"/>
    <w:rsid w:val="1F2F6670"/>
    <w:rsid w:val="1FB42ADE"/>
    <w:rsid w:val="212BD7F5"/>
    <w:rsid w:val="21C0004C"/>
    <w:rsid w:val="2200AFBC"/>
    <w:rsid w:val="2284E1DE"/>
    <w:rsid w:val="22E257A0"/>
    <w:rsid w:val="22F6DAF2"/>
    <w:rsid w:val="232CB37E"/>
    <w:rsid w:val="239A53B4"/>
    <w:rsid w:val="23F9D673"/>
    <w:rsid w:val="2495465D"/>
    <w:rsid w:val="257E8F7C"/>
    <w:rsid w:val="260D3930"/>
    <w:rsid w:val="262230D9"/>
    <w:rsid w:val="2664356C"/>
    <w:rsid w:val="267FC362"/>
    <w:rsid w:val="276C64FC"/>
    <w:rsid w:val="279BDFF9"/>
    <w:rsid w:val="282BCC70"/>
    <w:rsid w:val="2897EF71"/>
    <w:rsid w:val="289F8F38"/>
    <w:rsid w:val="29008C9F"/>
    <w:rsid w:val="29145B33"/>
    <w:rsid w:val="291670AC"/>
    <w:rsid w:val="2962FAAA"/>
    <w:rsid w:val="298D7C45"/>
    <w:rsid w:val="299BC900"/>
    <w:rsid w:val="299BD62E"/>
    <w:rsid w:val="2A983766"/>
    <w:rsid w:val="2AE5F203"/>
    <w:rsid w:val="2B5D19B6"/>
    <w:rsid w:val="2BB6C23C"/>
    <w:rsid w:val="2BD07BFC"/>
    <w:rsid w:val="2BF15517"/>
    <w:rsid w:val="2C2D63AE"/>
    <w:rsid w:val="2C9F5DE5"/>
    <w:rsid w:val="2CA4AE4D"/>
    <w:rsid w:val="2CA9594B"/>
    <w:rsid w:val="2CC7E404"/>
    <w:rsid w:val="2D027A97"/>
    <w:rsid w:val="2D625C01"/>
    <w:rsid w:val="2D6F994D"/>
    <w:rsid w:val="2E6CF7D9"/>
    <w:rsid w:val="2E881477"/>
    <w:rsid w:val="2EB7E8A3"/>
    <w:rsid w:val="2F44B56C"/>
    <w:rsid w:val="2F45645E"/>
    <w:rsid w:val="2F7776E1"/>
    <w:rsid w:val="2FE99335"/>
    <w:rsid w:val="2FE9D308"/>
    <w:rsid w:val="307D2BBE"/>
    <w:rsid w:val="316E0C8F"/>
    <w:rsid w:val="31A7AFE5"/>
    <w:rsid w:val="31AD4EB9"/>
    <w:rsid w:val="32A2151C"/>
    <w:rsid w:val="32CD57C9"/>
    <w:rsid w:val="3309DCF0"/>
    <w:rsid w:val="354E259B"/>
    <w:rsid w:val="359F5782"/>
    <w:rsid w:val="3604F88B"/>
    <w:rsid w:val="36576242"/>
    <w:rsid w:val="3691F75D"/>
    <w:rsid w:val="36F3A8F1"/>
    <w:rsid w:val="376C41BB"/>
    <w:rsid w:val="37D26E62"/>
    <w:rsid w:val="37D91F06"/>
    <w:rsid w:val="37E90F6F"/>
    <w:rsid w:val="385647F3"/>
    <w:rsid w:val="38BF0740"/>
    <w:rsid w:val="38F9E80C"/>
    <w:rsid w:val="3974EF67"/>
    <w:rsid w:val="39D2A8FC"/>
    <w:rsid w:val="39E52AFE"/>
    <w:rsid w:val="39F34744"/>
    <w:rsid w:val="3A763B9A"/>
    <w:rsid w:val="3B4D6F22"/>
    <w:rsid w:val="3BF54641"/>
    <w:rsid w:val="3BF570A9"/>
    <w:rsid w:val="3C2283B6"/>
    <w:rsid w:val="3C743A0F"/>
    <w:rsid w:val="3D0E9391"/>
    <w:rsid w:val="3D2FB8F6"/>
    <w:rsid w:val="3D5597AF"/>
    <w:rsid w:val="3D639C4C"/>
    <w:rsid w:val="3E581A2C"/>
    <w:rsid w:val="3E772F39"/>
    <w:rsid w:val="3E917719"/>
    <w:rsid w:val="3EE58D3D"/>
    <w:rsid w:val="3F8016D7"/>
    <w:rsid w:val="3FC5B217"/>
    <w:rsid w:val="4057E817"/>
    <w:rsid w:val="40AA8D0D"/>
    <w:rsid w:val="40F5214A"/>
    <w:rsid w:val="411C88E3"/>
    <w:rsid w:val="422420BD"/>
    <w:rsid w:val="42324559"/>
    <w:rsid w:val="425DCED0"/>
    <w:rsid w:val="42AF05E7"/>
    <w:rsid w:val="42DD1262"/>
    <w:rsid w:val="43549B23"/>
    <w:rsid w:val="43AB7A8C"/>
    <w:rsid w:val="43C73938"/>
    <w:rsid w:val="43D5C4CB"/>
    <w:rsid w:val="44561A35"/>
    <w:rsid w:val="445665C1"/>
    <w:rsid w:val="447F4BF4"/>
    <w:rsid w:val="448F0202"/>
    <w:rsid w:val="44E770FC"/>
    <w:rsid w:val="4560D099"/>
    <w:rsid w:val="45FE064A"/>
    <w:rsid w:val="461B1C55"/>
    <w:rsid w:val="462309DB"/>
    <w:rsid w:val="46D776C5"/>
    <w:rsid w:val="478248DA"/>
    <w:rsid w:val="48655413"/>
    <w:rsid w:val="48CE0C73"/>
    <w:rsid w:val="4A483035"/>
    <w:rsid w:val="4A9AA367"/>
    <w:rsid w:val="4AD7BF92"/>
    <w:rsid w:val="4BABFA05"/>
    <w:rsid w:val="4C00066D"/>
    <w:rsid w:val="4C024722"/>
    <w:rsid w:val="4C1AEFB1"/>
    <w:rsid w:val="4C924B5F"/>
    <w:rsid w:val="4CB0951D"/>
    <w:rsid w:val="4CCE99BF"/>
    <w:rsid w:val="4D3BE2E4"/>
    <w:rsid w:val="4DC6CF4A"/>
    <w:rsid w:val="4E0257C6"/>
    <w:rsid w:val="4E373BBD"/>
    <w:rsid w:val="4EE39AC7"/>
    <w:rsid w:val="4F2B57C9"/>
    <w:rsid w:val="4F34477F"/>
    <w:rsid w:val="4F6A3C0C"/>
    <w:rsid w:val="4F9C4CFC"/>
    <w:rsid w:val="4F9E2827"/>
    <w:rsid w:val="4FC9AE69"/>
    <w:rsid w:val="502BA708"/>
    <w:rsid w:val="517E3BCB"/>
    <w:rsid w:val="518BFB6E"/>
    <w:rsid w:val="51A523CB"/>
    <w:rsid w:val="53018CE3"/>
    <w:rsid w:val="5327CBCF"/>
    <w:rsid w:val="5340DF0F"/>
    <w:rsid w:val="53449CD4"/>
    <w:rsid w:val="53999C9E"/>
    <w:rsid w:val="53CDCEB5"/>
    <w:rsid w:val="540C900D"/>
    <w:rsid w:val="541E93DE"/>
    <w:rsid w:val="54B8BB75"/>
    <w:rsid w:val="54C39C30"/>
    <w:rsid w:val="55A2AE3A"/>
    <w:rsid w:val="5675E976"/>
    <w:rsid w:val="569F564F"/>
    <w:rsid w:val="58915876"/>
    <w:rsid w:val="58E7DD24"/>
    <w:rsid w:val="59970D53"/>
    <w:rsid w:val="59A77573"/>
    <w:rsid w:val="59BECAD3"/>
    <w:rsid w:val="5A26E513"/>
    <w:rsid w:val="5A2D28D7"/>
    <w:rsid w:val="5A72999D"/>
    <w:rsid w:val="5BD325D5"/>
    <w:rsid w:val="5BE6DB9B"/>
    <w:rsid w:val="5C1B3462"/>
    <w:rsid w:val="5C2244E3"/>
    <w:rsid w:val="5C983DEB"/>
    <w:rsid w:val="5CD3A418"/>
    <w:rsid w:val="5CD9D667"/>
    <w:rsid w:val="5CF56F76"/>
    <w:rsid w:val="5CF66B95"/>
    <w:rsid w:val="5D1A98B0"/>
    <w:rsid w:val="5DA7041A"/>
    <w:rsid w:val="5DAD8520"/>
    <w:rsid w:val="5E1937D7"/>
    <w:rsid w:val="5E9B8A15"/>
    <w:rsid w:val="5EBE122F"/>
    <w:rsid w:val="5F35028D"/>
    <w:rsid w:val="5F6E3725"/>
    <w:rsid w:val="5FD45927"/>
    <w:rsid w:val="60155518"/>
    <w:rsid w:val="607F8272"/>
    <w:rsid w:val="60F3FB6B"/>
    <w:rsid w:val="611665AF"/>
    <w:rsid w:val="621DBC31"/>
    <w:rsid w:val="6234A1D8"/>
    <w:rsid w:val="633DEF99"/>
    <w:rsid w:val="635AD5A1"/>
    <w:rsid w:val="63B573BF"/>
    <w:rsid w:val="64965796"/>
    <w:rsid w:val="650632D1"/>
    <w:rsid w:val="656257AA"/>
    <w:rsid w:val="65E374E1"/>
    <w:rsid w:val="6627D672"/>
    <w:rsid w:val="66B3C580"/>
    <w:rsid w:val="66E4906F"/>
    <w:rsid w:val="66F63770"/>
    <w:rsid w:val="6729EC05"/>
    <w:rsid w:val="67912835"/>
    <w:rsid w:val="67B4E368"/>
    <w:rsid w:val="68D21BE2"/>
    <w:rsid w:val="68D6A180"/>
    <w:rsid w:val="69156E60"/>
    <w:rsid w:val="693CF7BD"/>
    <w:rsid w:val="694D2BA1"/>
    <w:rsid w:val="699EAB33"/>
    <w:rsid w:val="69E343FF"/>
    <w:rsid w:val="6A35C8CD"/>
    <w:rsid w:val="6B25B85D"/>
    <w:rsid w:val="6B29047C"/>
    <w:rsid w:val="6BB870D1"/>
    <w:rsid w:val="6BEFB8BE"/>
    <w:rsid w:val="6C3C818A"/>
    <w:rsid w:val="6D147CE5"/>
    <w:rsid w:val="6D2DC434"/>
    <w:rsid w:val="6D544132"/>
    <w:rsid w:val="6DD71BCB"/>
    <w:rsid w:val="6DEC3B4A"/>
    <w:rsid w:val="6DECE1D4"/>
    <w:rsid w:val="6E93AD94"/>
    <w:rsid w:val="6E9C7668"/>
    <w:rsid w:val="6EC84B7F"/>
    <w:rsid w:val="6ED097B8"/>
    <w:rsid w:val="6EDE0A29"/>
    <w:rsid w:val="6EE4C924"/>
    <w:rsid w:val="6EF9FC83"/>
    <w:rsid w:val="6F746533"/>
    <w:rsid w:val="6F810F75"/>
    <w:rsid w:val="6F81FE37"/>
    <w:rsid w:val="6FB77F8F"/>
    <w:rsid w:val="6FD5C609"/>
    <w:rsid w:val="6FF4ABBD"/>
    <w:rsid w:val="70AA6C52"/>
    <w:rsid w:val="70D0CE4B"/>
    <w:rsid w:val="70DE3FE4"/>
    <w:rsid w:val="70F70D37"/>
    <w:rsid w:val="71A2B4DB"/>
    <w:rsid w:val="71D35F99"/>
    <w:rsid w:val="729BBCD2"/>
    <w:rsid w:val="72A3D89E"/>
    <w:rsid w:val="73001000"/>
    <w:rsid w:val="7317727B"/>
    <w:rsid w:val="7371B4A3"/>
    <w:rsid w:val="73783089"/>
    <w:rsid w:val="73FBD8D0"/>
    <w:rsid w:val="74183672"/>
    <w:rsid w:val="7433B4B7"/>
    <w:rsid w:val="74C72D66"/>
    <w:rsid w:val="7506666D"/>
    <w:rsid w:val="750D8504"/>
    <w:rsid w:val="7631B07F"/>
    <w:rsid w:val="76FB2378"/>
    <w:rsid w:val="77AE56AD"/>
    <w:rsid w:val="79021F1C"/>
    <w:rsid w:val="7904D70B"/>
    <w:rsid w:val="79273918"/>
    <w:rsid w:val="7A77B091"/>
    <w:rsid w:val="7A824A61"/>
    <w:rsid w:val="7AEDD4DB"/>
    <w:rsid w:val="7CCFD24A"/>
    <w:rsid w:val="7D0743E5"/>
    <w:rsid w:val="7D0B3877"/>
    <w:rsid w:val="7D2671A2"/>
    <w:rsid w:val="7D4B0BE4"/>
    <w:rsid w:val="7E39DDD9"/>
    <w:rsid w:val="7E449053"/>
    <w:rsid w:val="7F69D50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9101"/>
  <w15:docId w15:val="{149C16EC-ECD7-4C16-A3BB-EA3CBFE6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tref,16 Point,Superscript 6 Point,Ref,de nota al pie,Fußnotenzeichen DISS,fr,Numbering - Footnote,-E Fußnotenzeichen,Odwołanie przypisu,Times 10 Point,Exposant 3 Point,Footnote symbol,Footnote reference number,number"/>
    <w:basedOn w:val="DefaultParagraphFont"/>
    <w:uiPriority w:val="99"/>
    <w:qFormat/>
    <w:rsid w:val="00E925AD"/>
    <w:rPr>
      <w:rFonts w:ascii="Times New Roman" w:hAnsi="Times New Roman"/>
      <w:sz w:val="18"/>
      <w:vertAlign w:val="superscript"/>
    </w:rPr>
  </w:style>
  <w:style w:type="paragraph" w:styleId="FootnoteText">
    <w:name w:val="footnote text"/>
    <w:aliases w:val="5_G,5_GR,Footnote Creatin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3"/>
      </w:numPr>
      <w:suppressAutoHyphens w:val="0"/>
    </w:pPr>
  </w:style>
  <w:style w:type="character" w:customStyle="1" w:styleId="HChGChar">
    <w:name w:val="_ H _Ch_G Char"/>
    <w:link w:val="HChG"/>
    <w:rsid w:val="00502021"/>
    <w:rPr>
      <w:b/>
      <w:sz w:val="28"/>
      <w:lang w:val="en-GB"/>
    </w:rPr>
  </w:style>
  <w:style w:type="character" w:customStyle="1" w:styleId="SingleTxtGChar">
    <w:name w:val="_ Single Txt_G Char"/>
    <w:link w:val="SingleTxtG"/>
    <w:qFormat/>
    <w:rsid w:val="00316820"/>
    <w:rPr>
      <w:lang w:val="en-GB"/>
    </w:rPr>
  </w:style>
  <w:style w:type="character" w:customStyle="1" w:styleId="H1GChar">
    <w:name w:val="_ H_1_G Char"/>
    <w:link w:val="H1G"/>
    <w:rsid w:val="00316820"/>
    <w:rPr>
      <w:b/>
      <w:sz w:val="24"/>
      <w:lang w:val="en-GB"/>
    </w:rPr>
  </w:style>
  <w:style w:type="character" w:customStyle="1" w:styleId="FootnoteTextChar">
    <w:name w:val="Footnote Text Char"/>
    <w:aliases w:val="5_G Char,5_GR Char,Footnote Creating Char"/>
    <w:link w:val="FootnoteText"/>
    <w:uiPriority w:val="99"/>
    <w:rsid w:val="00316820"/>
    <w:rPr>
      <w:sz w:val="18"/>
      <w:lang w:val="en-GB"/>
    </w:rPr>
  </w:style>
  <w:style w:type="character" w:styleId="CommentReference">
    <w:name w:val="annotation reference"/>
    <w:basedOn w:val="DefaultParagraphFont"/>
    <w:semiHidden/>
    <w:unhideWhenUsed/>
    <w:rsid w:val="0067503E"/>
    <w:rPr>
      <w:sz w:val="16"/>
      <w:szCs w:val="16"/>
    </w:rPr>
  </w:style>
  <w:style w:type="paragraph" w:styleId="CommentText">
    <w:name w:val="annotation text"/>
    <w:basedOn w:val="Normal"/>
    <w:link w:val="CommentTextChar"/>
    <w:unhideWhenUsed/>
    <w:rsid w:val="0067503E"/>
    <w:pPr>
      <w:spacing w:line="240" w:lineRule="auto"/>
    </w:pPr>
  </w:style>
  <w:style w:type="character" w:customStyle="1" w:styleId="CommentTextChar">
    <w:name w:val="Comment Text Char"/>
    <w:basedOn w:val="DefaultParagraphFont"/>
    <w:link w:val="CommentText"/>
    <w:rsid w:val="0067503E"/>
    <w:rPr>
      <w:lang w:val="en-GB"/>
    </w:rPr>
  </w:style>
  <w:style w:type="paragraph" w:styleId="CommentSubject">
    <w:name w:val="annotation subject"/>
    <w:basedOn w:val="CommentText"/>
    <w:next w:val="CommentText"/>
    <w:link w:val="CommentSubjectChar"/>
    <w:semiHidden/>
    <w:unhideWhenUsed/>
    <w:rsid w:val="0067503E"/>
    <w:rPr>
      <w:b/>
      <w:bCs/>
    </w:rPr>
  </w:style>
  <w:style w:type="character" w:customStyle="1" w:styleId="CommentSubjectChar">
    <w:name w:val="Comment Subject Char"/>
    <w:basedOn w:val="CommentTextChar"/>
    <w:link w:val="CommentSubject"/>
    <w:semiHidden/>
    <w:rsid w:val="0067503E"/>
    <w:rPr>
      <w:b/>
      <w:bCs/>
      <w:lang w:val="en-GB"/>
    </w:rPr>
  </w:style>
  <w:style w:type="paragraph" w:styleId="Revision">
    <w:name w:val="Revision"/>
    <w:hidden/>
    <w:uiPriority w:val="99"/>
    <w:semiHidden/>
    <w:rsid w:val="00C206D6"/>
    <w:rPr>
      <w:lang w:val="en-GB"/>
    </w:rPr>
  </w:style>
  <w:style w:type="paragraph" w:styleId="ListParagraph">
    <w:name w:val="List Paragraph"/>
    <w:basedOn w:val="Normal"/>
    <w:uiPriority w:val="34"/>
    <w:semiHidden/>
    <w:qFormat/>
    <w:rsid w:val="009314E4"/>
    <w:pPr>
      <w:ind w:left="720"/>
      <w:contextualSpacing/>
    </w:pPr>
  </w:style>
  <w:style w:type="numbering" w:customStyle="1" w:styleId="CurrentList1">
    <w:name w:val="Current List1"/>
    <w:uiPriority w:val="99"/>
    <w:rsid w:val="009314E4"/>
    <w:pPr>
      <w:numPr>
        <w:numId w:val="7"/>
      </w:numPr>
    </w:pPr>
  </w:style>
  <w:style w:type="character" w:styleId="UnresolvedMention">
    <w:name w:val="Unresolved Mention"/>
    <w:basedOn w:val="DefaultParagraphFont"/>
    <w:uiPriority w:val="99"/>
    <w:semiHidden/>
    <w:unhideWhenUsed/>
    <w:rsid w:val="00F03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globaldrivetozero.org/mou-nation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racetozero.unfccc.int/system/breakthrough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cceleratingtozero.org/signatories-view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cop27.eg/assets/files/initiatives/LOTUS-BR-01-EGY-10-22-EN.pdf"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unstats.un.org/sdgs/report/2023/" TargetMode="External"/><Relationship Id="rId13" Type="http://schemas.openxmlformats.org/officeDocument/2006/relationships/hyperlink" Target="https://www.shell.com/energy-and-innovation/the-energy-future/scenarios/the-energy-transformation-scenarios.html" TargetMode="External"/><Relationship Id="rId18" Type="http://schemas.openxmlformats.org/officeDocument/2006/relationships/hyperlink" Target="https://edgar.jrc.ec.europa.eu/report_2023" TargetMode="External"/><Relationship Id="rId26" Type="http://schemas.openxmlformats.org/officeDocument/2006/relationships/hyperlink" Target="https://www.itf-oecd.org/itf-transport-outlook-2023" TargetMode="External"/><Relationship Id="rId39" Type="http://schemas.openxmlformats.org/officeDocument/2006/relationships/hyperlink" Target="https://www.oecd.org/subsidies" TargetMode="External"/><Relationship Id="rId3" Type="http://schemas.openxmlformats.org/officeDocument/2006/relationships/hyperlink" Target="https://edgar.jrc.ec.europa.eu/report_2023" TargetMode="External"/><Relationship Id="rId21" Type="http://schemas.openxmlformats.org/officeDocument/2006/relationships/hyperlink" Target="https://www.ipcc.ch/report/sixth-assessment-report-working-group-3" TargetMode="External"/><Relationship Id="rId34" Type="http://schemas.openxmlformats.org/officeDocument/2006/relationships/hyperlink" Target="https://www.eea.europa.eu/ims/greenhouse-gas-emissions-from-transport" TargetMode="External"/><Relationship Id="rId42" Type="http://schemas.openxmlformats.org/officeDocument/2006/relationships/hyperlink" Target="https://www.wemeanbusinesscoalition.org/blog/climate-transition-action-plans-activate-your-journey-to-climate-leadership" TargetMode="External"/><Relationship Id="rId7" Type="http://schemas.openxmlformats.org/officeDocument/2006/relationships/hyperlink" Target="https://tcc-gsr.com/takeways-for-decision-makers/" TargetMode="External"/><Relationship Id="rId12" Type="http://schemas.openxmlformats.org/officeDocument/2006/relationships/hyperlink" Target="https://edgar.jrc.ec.europa.eu/report_2022" TargetMode="External"/><Relationship Id="rId17" Type="http://schemas.openxmlformats.org/officeDocument/2006/relationships/hyperlink" Target="https://edgar.jrc.ec.europa.eu/report_2023" TargetMode="External"/><Relationship Id="rId25" Type="http://schemas.openxmlformats.org/officeDocument/2006/relationships/hyperlink" Target="https://www.itf-oecd.org/itf-transport-outlook-2021" TargetMode="External"/><Relationship Id="rId33" Type="http://schemas.openxmlformats.org/officeDocument/2006/relationships/hyperlink" Target="https://asiantransportoutlook.com/analytical-outputs/climate-change-in-asia" TargetMode="External"/><Relationship Id="rId38" Type="http://schemas.openxmlformats.org/officeDocument/2006/relationships/hyperlink" Target="https://www.climatepolicyinitiative.org/wp-content/uploads/2019/11/2019-Global-Landscape-of-Climate-Finance.pdf" TargetMode="External"/><Relationship Id="rId2" Type="http://schemas.openxmlformats.org/officeDocument/2006/relationships/hyperlink" Target="https://data.giss.nasa.gov/gistemp/graphs_v4" TargetMode="External"/><Relationship Id="rId16" Type="http://schemas.openxmlformats.org/officeDocument/2006/relationships/hyperlink" Target="https://edgar.jrc.ec.europa.eu/report_2023" TargetMode="External"/><Relationship Id="rId20" Type="http://schemas.openxmlformats.org/officeDocument/2006/relationships/hyperlink" Target="https://edgar.jrc.ec.europa.eu/report_2023" TargetMode="External"/><Relationship Id="rId29" Type="http://schemas.openxmlformats.org/officeDocument/2006/relationships/hyperlink" Target="https://www.irena.org/Digital-Report/World-Energy-Transitions-Outlook-2022" TargetMode="External"/><Relationship Id="rId41" Type="http://schemas.openxmlformats.org/officeDocument/2006/relationships/hyperlink" Target="https://www.iea.org/reports/electric-vehicles" TargetMode="External"/><Relationship Id="rId1" Type="http://schemas.openxmlformats.org/officeDocument/2006/relationships/hyperlink" Target="https://www.ipcc.ch/report/ar6/wg3/downloads/report/IPCC_AR6_WGIII_SPM.pdf" TargetMode="External"/><Relationship Id="rId6" Type="http://schemas.openxmlformats.org/officeDocument/2006/relationships/hyperlink" Target="https://bit.ly/3qtgdQT" TargetMode="External"/><Relationship Id="rId11" Type="http://schemas.openxmlformats.org/officeDocument/2006/relationships/hyperlink" Target="https://openknowledge.worldbank.org/handle/10986/31805" TargetMode="External"/><Relationship Id="rId24" Type="http://schemas.openxmlformats.org/officeDocument/2006/relationships/hyperlink" Target="https://www.itf-oecd.org/itf-transport-outlook-2023" TargetMode="External"/><Relationship Id="rId32" Type="http://schemas.openxmlformats.org/officeDocument/2006/relationships/hyperlink" Target="https://www.itf-oecd.org/itf-transport-outlook-2023" TargetMode="External"/><Relationship Id="rId37" Type="http://schemas.openxmlformats.org/officeDocument/2006/relationships/hyperlink" Target="https://slocat.net/cop26-commitments-ndc-alignment-2022/" TargetMode="External"/><Relationship Id="rId40" Type="http://schemas.openxmlformats.org/officeDocument/2006/relationships/hyperlink" Target="https://www.iea.org/reports/electric-vehicles" TargetMode="External"/><Relationship Id="rId5" Type="http://schemas.openxmlformats.org/officeDocument/2006/relationships/hyperlink" Target="https://systemschangelab.org/transport" TargetMode="External"/><Relationship Id="rId15" Type="http://schemas.openxmlformats.org/officeDocument/2006/relationships/hyperlink" Target="https://datahelpdesk.worldbank.org/knowledgebase/articles/906519" TargetMode="External"/><Relationship Id="rId23" Type="http://schemas.openxmlformats.org/officeDocument/2006/relationships/hyperlink" Target="https://www.itf-oecd.org/itf-transport-outlook-2023" TargetMode="External"/><Relationship Id="rId28" Type="http://schemas.openxmlformats.org/officeDocument/2006/relationships/hyperlink" Target="https://www.ipcc.ch/report/sixth-assessment-report-working-group-3" TargetMode="External"/><Relationship Id="rId36" Type="http://schemas.openxmlformats.org/officeDocument/2006/relationships/hyperlink" Target="https://unfccc.int/sites/default/files/resource/cop26_auv_2f_cover_decision.pdf" TargetMode="External"/><Relationship Id="rId10" Type="http://schemas.openxmlformats.org/officeDocument/2006/relationships/hyperlink" Target="http://www.nature.com/articles/s41467-019-10442-3" TargetMode="External"/><Relationship Id="rId19" Type="http://schemas.openxmlformats.org/officeDocument/2006/relationships/hyperlink" Target="https://edgar.jrc.ec.europa.eu/report_2023" TargetMode="External"/><Relationship Id="rId31" Type="http://schemas.openxmlformats.org/officeDocument/2006/relationships/hyperlink" Target="https://www.itf-oecd.org/itf-transport-outlook-2023" TargetMode="External"/><Relationship Id="rId4" Type="http://schemas.openxmlformats.org/officeDocument/2006/relationships/hyperlink" Target="https://edgar.jrc.ec.europa.eu/report_2023" TargetMode="External"/><Relationship Id="rId9" Type="http://schemas.openxmlformats.org/officeDocument/2006/relationships/hyperlink" Target="https://unctad.org/system/files/official-document/osginf2022d2_en.pdf" TargetMode="External"/><Relationship Id="rId14" Type="http://schemas.openxmlformats.org/officeDocument/2006/relationships/hyperlink" Target="https://www.itf-oecd.org/itf-transport-outlook-2021" TargetMode="External"/><Relationship Id="rId22" Type="http://schemas.openxmlformats.org/officeDocument/2006/relationships/hyperlink" Target="https://www.itf-oecd.org/itf-transport-outlook-2023" TargetMode="External"/><Relationship Id="rId27" Type="http://schemas.openxmlformats.org/officeDocument/2006/relationships/hyperlink" Target="https://www.iea.org/reports/net-zero-roadmap-a-global-pathway-to-keep-the-15-0c-goal-in-reach" TargetMode="External"/><Relationship Id="rId30" Type="http://schemas.openxmlformats.org/officeDocument/2006/relationships/hyperlink" Target="https://www.iea.org/reports/net-zero-by-2050" TargetMode="External"/><Relationship Id="rId35" Type="http://schemas.openxmlformats.org/officeDocument/2006/relationships/hyperlink" Target="https://www.ipcc.ch/report/sixth-assessment-report-working-group-3" TargetMode="External"/><Relationship Id="rId43" Type="http://schemas.openxmlformats.org/officeDocument/2006/relationships/hyperlink" Target="https://www.consilium.europa.eu/en/press/press-releases/2022/11/28/council-gives-final-green-light-to-corporate-sustainability-reporting-directiv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Juhui Oh</DisplayName>
        <AccountId>1681</AccountId>
        <AccountType/>
      </UserInfo>
      <UserInfo>
        <DisplayName>Franziska Hirsch</DisplayName>
        <AccountId>1339</AccountId>
        <AccountType/>
      </UserInfo>
      <UserInfo>
        <DisplayName>Christine Seifert</DisplayName>
        <AccountId>941</AccountId>
        <AccountType/>
      </UserInfo>
      <UserInfo>
        <DisplayName>Salvatore Consolo</DisplayName>
        <AccountId>1610</AccountId>
        <AccountType/>
      </UserInfo>
      <UserInfo>
        <DisplayName>Francois Cuenot</DisplayName>
        <AccountId>59</AccountId>
        <AccountType/>
      </UserInfo>
      <UserInfo>
        <DisplayName>Romain Hubert</DisplayName>
        <AccountId>40</AccountId>
        <AccountType/>
      </UserInfo>
      <UserInfo>
        <DisplayName>Yuwei Li</DisplayName>
        <AccountId>42</AccountId>
        <AccountType/>
      </UserInfo>
      <UserInfo>
        <DisplayName>Walter Nissler</DisplayName>
        <AccountId>27</AccountId>
        <AccountType/>
      </UserInfo>
      <UserInfo>
        <DisplayName>Anastasia Barinova</DisplayName>
        <AccountId>19</AccountId>
        <AccountType/>
      </UserInfo>
    </SharedWithUsers>
  </documentManagement>
</p:properties>
</file>

<file path=customXml/itemProps1.xml><?xml version="1.0" encoding="utf-8"?>
<ds:datastoreItem xmlns:ds="http://schemas.openxmlformats.org/officeDocument/2006/customXml" ds:itemID="{31A93BC4-A4F7-461E-B73B-AF12C394F791}">
  <ds:schemaRefs>
    <ds:schemaRef ds:uri="http://schemas.microsoft.com/sharepoint/v3/contenttype/forms"/>
  </ds:schemaRefs>
</ds:datastoreItem>
</file>

<file path=customXml/itemProps2.xml><?xml version="1.0" encoding="utf-8"?>
<ds:datastoreItem xmlns:ds="http://schemas.openxmlformats.org/officeDocument/2006/customXml" ds:itemID="{333EA0AF-003C-4052-8A5E-87E834B409C1}">
  <ds:schemaRefs>
    <ds:schemaRef ds:uri="http://schemas.openxmlformats.org/officeDocument/2006/bibliography"/>
  </ds:schemaRefs>
</ds:datastoreItem>
</file>

<file path=customXml/itemProps3.xml><?xml version="1.0" encoding="utf-8"?>
<ds:datastoreItem xmlns:ds="http://schemas.openxmlformats.org/officeDocument/2006/customXml" ds:itemID="{39571A90-9DB5-4521-A408-634E5B1B4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253B3C-790D-434B-9E00-7DC6BED99AB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acccb6d4-dbe5-46d2-b4d3-5733603d8cc6"/>
    <ds:schemaRef ds:uri="http://schemas.openxmlformats.org/package/2006/metadata/core-properties"/>
    <ds:schemaRef ds:uri="985ec44e-1bab-4c0b-9df0-6ba128686fc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22</Pages>
  <Words>6930</Words>
  <Characters>38603</Characters>
  <Application>Microsoft Office Word</Application>
  <DocSecurity>0</DocSecurity>
  <Lines>756</Lines>
  <Paragraphs>288</Paragraphs>
  <ScaleCrop>false</ScaleCrop>
  <HeadingPairs>
    <vt:vector size="2" baseType="variant">
      <vt:variant>
        <vt:lpstr>Title</vt:lpstr>
      </vt:variant>
      <vt:variant>
        <vt:i4>1</vt:i4>
      </vt:variant>
    </vt:vector>
  </HeadingPairs>
  <TitlesOfParts>
    <vt:vector size="1" baseType="lpstr">
      <vt:lpstr>ECE/TRANS/2023/1</vt:lpstr>
    </vt:vector>
  </TitlesOfParts>
  <Company>CSD</Company>
  <LinksUpToDate>false</LinksUpToDate>
  <CharactersWithSpaces>45245</CharactersWithSpaces>
  <SharedDoc>false</SharedDoc>
  <HLinks>
    <vt:vector size="282" baseType="variant">
      <vt:variant>
        <vt:i4>7471138</vt:i4>
      </vt:variant>
      <vt:variant>
        <vt:i4>9</vt:i4>
      </vt:variant>
      <vt:variant>
        <vt:i4>0</vt:i4>
      </vt:variant>
      <vt:variant>
        <vt:i4>5</vt:i4>
      </vt:variant>
      <vt:variant>
        <vt:lpwstr>https://cop27.eg/assets/files/initiatives/LOTUS-BR-01-EGY-10-22-EN.pdf</vt:lpwstr>
      </vt:variant>
      <vt:variant>
        <vt:lpwstr/>
      </vt:variant>
      <vt:variant>
        <vt:i4>7536690</vt:i4>
      </vt:variant>
      <vt:variant>
        <vt:i4>6</vt:i4>
      </vt:variant>
      <vt:variant>
        <vt:i4>0</vt:i4>
      </vt:variant>
      <vt:variant>
        <vt:i4>5</vt:i4>
      </vt:variant>
      <vt:variant>
        <vt:lpwstr>https://globaldrivetozero.org/mou-nations/</vt:lpwstr>
      </vt:variant>
      <vt:variant>
        <vt:lpwstr/>
      </vt:variant>
      <vt:variant>
        <vt:i4>7340082</vt:i4>
      </vt:variant>
      <vt:variant>
        <vt:i4>3</vt:i4>
      </vt:variant>
      <vt:variant>
        <vt:i4>0</vt:i4>
      </vt:variant>
      <vt:variant>
        <vt:i4>5</vt:i4>
      </vt:variant>
      <vt:variant>
        <vt:lpwstr>https://racetozero.unfccc.int/system/breakthroughs/</vt:lpwstr>
      </vt:variant>
      <vt:variant>
        <vt:lpwstr/>
      </vt:variant>
      <vt:variant>
        <vt:i4>1048606</vt:i4>
      </vt:variant>
      <vt:variant>
        <vt:i4>0</vt:i4>
      </vt:variant>
      <vt:variant>
        <vt:i4>0</vt:i4>
      </vt:variant>
      <vt:variant>
        <vt:i4>5</vt:i4>
      </vt:variant>
      <vt:variant>
        <vt:lpwstr>https://acceleratingtozero.org/signatories-views/</vt:lpwstr>
      </vt:variant>
      <vt:variant>
        <vt:lpwstr/>
      </vt:variant>
      <vt:variant>
        <vt:i4>3866750</vt:i4>
      </vt:variant>
      <vt:variant>
        <vt:i4>126</vt:i4>
      </vt:variant>
      <vt:variant>
        <vt:i4>0</vt:i4>
      </vt:variant>
      <vt:variant>
        <vt:i4>5</vt:i4>
      </vt:variant>
      <vt:variant>
        <vt:lpwstr>https://www.consilium.europa.eu/en/press/press-releases/2022/11/28/council-gives-final-green-light-to-corporate-sustainability-reporting-directive</vt:lpwstr>
      </vt:variant>
      <vt:variant>
        <vt:lpwstr/>
      </vt:variant>
      <vt:variant>
        <vt:i4>5308490</vt:i4>
      </vt:variant>
      <vt:variant>
        <vt:i4>123</vt:i4>
      </vt:variant>
      <vt:variant>
        <vt:i4>0</vt:i4>
      </vt:variant>
      <vt:variant>
        <vt:i4>5</vt:i4>
      </vt:variant>
      <vt:variant>
        <vt:lpwstr>https://www.wemeanbusinesscoalition.org/blog/climate-transition-action-plans-activate-your-journey-to-climate-leadership</vt:lpwstr>
      </vt:variant>
      <vt:variant>
        <vt:lpwstr/>
      </vt:variant>
      <vt:variant>
        <vt:i4>589843</vt:i4>
      </vt:variant>
      <vt:variant>
        <vt:i4>120</vt:i4>
      </vt:variant>
      <vt:variant>
        <vt:i4>0</vt:i4>
      </vt:variant>
      <vt:variant>
        <vt:i4>5</vt:i4>
      </vt:variant>
      <vt:variant>
        <vt:lpwstr>https://www.iea.org/reports/electric-vehicles</vt:lpwstr>
      </vt:variant>
      <vt:variant>
        <vt:lpwstr/>
      </vt:variant>
      <vt:variant>
        <vt:i4>589843</vt:i4>
      </vt:variant>
      <vt:variant>
        <vt:i4>117</vt:i4>
      </vt:variant>
      <vt:variant>
        <vt:i4>0</vt:i4>
      </vt:variant>
      <vt:variant>
        <vt:i4>5</vt:i4>
      </vt:variant>
      <vt:variant>
        <vt:lpwstr>https://www.iea.org/reports/electric-vehicles</vt:lpwstr>
      </vt:variant>
      <vt:variant>
        <vt:lpwstr/>
      </vt:variant>
      <vt:variant>
        <vt:i4>2293816</vt:i4>
      </vt:variant>
      <vt:variant>
        <vt:i4>114</vt:i4>
      </vt:variant>
      <vt:variant>
        <vt:i4>0</vt:i4>
      </vt:variant>
      <vt:variant>
        <vt:i4>5</vt:i4>
      </vt:variant>
      <vt:variant>
        <vt:lpwstr>https://www.oecd.org/subsidies</vt:lpwstr>
      </vt:variant>
      <vt:variant>
        <vt:lpwstr/>
      </vt:variant>
      <vt:variant>
        <vt:i4>2228320</vt:i4>
      </vt:variant>
      <vt:variant>
        <vt:i4>111</vt:i4>
      </vt:variant>
      <vt:variant>
        <vt:i4>0</vt:i4>
      </vt:variant>
      <vt:variant>
        <vt:i4>5</vt:i4>
      </vt:variant>
      <vt:variant>
        <vt:lpwstr>https://www.climatepolicyinitiative.org/wp-content/uploads/2019/11/2019-Global-Landscape-of-Climate-Finance.pdf</vt:lpwstr>
      </vt:variant>
      <vt:variant>
        <vt:lpwstr/>
      </vt:variant>
      <vt:variant>
        <vt:i4>1507341</vt:i4>
      </vt:variant>
      <vt:variant>
        <vt:i4>108</vt:i4>
      </vt:variant>
      <vt:variant>
        <vt:i4>0</vt:i4>
      </vt:variant>
      <vt:variant>
        <vt:i4>5</vt:i4>
      </vt:variant>
      <vt:variant>
        <vt:lpwstr>https://slocat.net/cop26-commitments-ndc-alignment-2022/</vt:lpwstr>
      </vt:variant>
      <vt:variant>
        <vt:lpwstr/>
      </vt:variant>
      <vt:variant>
        <vt:i4>2883700</vt:i4>
      </vt:variant>
      <vt:variant>
        <vt:i4>105</vt:i4>
      </vt:variant>
      <vt:variant>
        <vt:i4>0</vt:i4>
      </vt:variant>
      <vt:variant>
        <vt:i4>5</vt:i4>
      </vt:variant>
      <vt:variant>
        <vt:lpwstr>https://unfccc.int/sites/default/files/resource/cop26_auv_2f_cover_decision.pdf</vt:lpwstr>
      </vt:variant>
      <vt:variant>
        <vt:lpwstr/>
      </vt:variant>
      <vt:variant>
        <vt:i4>8060967</vt:i4>
      </vt:variant>
      <vt:variant>
        <vt:i4>102</vt:i4>
      </vt:variant>
      <vt:variant>
        <vt:i4>0</vt:i4>
      </vt:variant>
      <vt:variant>
        <vt:i4>5</vt:i4>
      </vt:variant>
      <vt:variant>
        <vt:lpwstr>https://www.ipcc.ch/report/sixth-assessment-report-working-group-3</vt:lpwstr>
      </vt:variant>
      <vt:variant>
        <vt:lpwstr/>
      </vt:variant>
      <vt:variant>
        <vt:i4>5374033</vt:i4>
      </vt:variant>
      <vt:variant>
        <vt:i4>99</vt:i4>
      </vt:variant>
      <vt:variant>
        <vt:i4>0</vt:i4>
      </vt:variant>
      <vt:variant>
        <vt:i4>5</vt:i4>
      </vt:variant>
      <vt:variant>
        <vt:lpwstr>https://www.eea.europa.eu/ims/greenhouse-gas-emissions-from-transport</vt:lpwstr>
      </vt:variant>
      <vt:variant>
        <vt:lpwstr/>
      </vt:variant>
      <vt:variant>
        <vt:i4>2228263</vt:i4>
      </vt:variant>
      <vt:variant>
        <vt:i4>96</vt:i4>
      </vt:variant>
      <vt:variant>
        <vt:i4>0</vt:i4>
      </vt:variant>
      <vt:variant>
        <vt:i4>5</vt:i4>
      </vt:variant>
      <vt:variant>
        <vt:lpwstr>https://asiantransportoutlook.com/analytical-outputs/climate-change-in-asia</vt:lpwstr>
      </vt:variant>
      <vt:variant>
        <vt:lpwstr/>
      </vt:variant>
      <vt:variant>
        <vt:i4>7667761</vt:i4>
      </vt:variant>
      <vt:variant>
        <vt:i4>93</vt:i4>
      </vt:variant>
      <vt:variant>
        <vt:i4>0</vt:i4>
      </vt:variant>
      <vt:variant>
        <vt:i4>5</vt:i4>
      </vt:variant>
      <vt:variant>
        <vt:lpwstr>https://www.itf-oecd.org/itf-transport-outlook-2023</vt:lpwstr>
      </vt:variant>
      <vt:variant>
        <vt:lpwstr/>
      </vt:variant>
      <vt:variant>
        <vt:i4>7667761</vt:i4>
      </vt:variant>
      <vt:variant>
        <vt:i4>90</vt:i4>
      </vt:variant>
      <vt:variant>
        <vt:i4>0</vt:i4>
      </vt:variant>
      <vt:variant>
        <vt:i4>5</vt:i4>
      </vt:variant>
      <vt:variant>
        <vt:lpwstr>https://www.itf-oecd.org/itf-transport-outlook-2023</vt:lpwstr>
      </vt:variant>
      <vt:variant>
        <vt:lpwstr/>
      </vt:variant>
      <vt:variant>
        <vt:i4>131074</vt:i4>
      </vt:variant>
      <vt:variant>
        <vt:i4>87</vt:i4>
      </vt:variant>
      <vt:variant>
        <vt:i4>0</vt:i4>
      </vt:variant>
      <vt:variant>
        <vt:i4>5</vt:i4>
      </vt:variant>
      <vt:variant>
        <vt:lpwstr>https://www.iea.org/reports/net-zero-by-2050</vt:lpwstr>
      </vt:variant>
      <vt:variant>
        <vt:lpwstr/>
      </vt:variant>
      <vt:variant>
        <vt:i4>3670075</vt:i4>
      </vt:variant>
      <vt:variant>
        <vt:i4>84</vt:i4>
      </vt:variant>
      <vt:variant>
        <vt:i4>0</vt:i4>
      </vt:variant>
      <vt:variant>
        <vt:i4>5</vt:i4>
      </vt:variant>
      <vt:variant>
        <vt:lpwstr>https://www.irena.org/Digital-Report/World-Energy-Transitions-Outlook-2022</vt:lpwstr>
      </vt:variant>
      <vt:variant>
        <vt:lpwstr/>
      </vt:variant>
      <vt:variant>
        <vt:i4>8060967</vt:i4>
      </vt:variant>
      <vt:variant>
        <vt:i4>81</vt:i4>
      </vt:variant>
      <vt:variant>
        <vt:i4>0</vt:i4>
      </vt:variant>
      <vt:variant>
        <vt:i4>5</vt:i4>
      </vt:variant>
      <vt:variant>
        <vt:lpwstr>https://www.ipcc.ch/report/sixth-assessment-report-working-group-3</vt:lpwstr>
      </vt:variant>
      <vt:variant>
        <vt:lpwstr/>
      </vt:variant>
      <vt:variant>
        <vt:i4>4390922</vt:i4>
      </vt:variant>
      <vt:variant>
        <vt:i4>78</vt:i4>
      </vt:variant>
      <vt:variant>
        <vt:i4>0</vt:i4>
      </vt:variant>
      <vt:variant>
        <vt:i4>5</vt:i4>
      </vt:variant>
      <vt:variant>
        <vt:lpwstr>https://www.iea.org/reports/net-zero-roadmap-a-global-pathway-to-keep-the-15-0c-goal-in-reach</vt:lpwstr>
      </vt:variant>
      <vt:variant>
        <vt:lpwstr/>
      </vt:variant>
      <vt:variant>
        <vt:i4>7667761</vt:i4>
      </vt:variant>
      <vt:variant>
        <vt:i4>75</vt:i4>
      </vt:variant>
      <vt:variant>
        <vt:i4>0</vt:i4>
      </vt:variant>
      <vt:variant>
        <vt:i4>5</vt:i4>
      </vt:variant>
      <vt:variant>
        <vt:lpwstr>https://www.itf-oecd.org/itf-transport-outlook-2023</vt:lpwstr>
      </vt:variant>
      <vt:variant>
        <vt:lpwstr/>
      </vt:variant>
      <vt:variant>
        <vt:i4>7667761</vt:i4>
      </vt:variant>
      <vt:variant>
        <vt:i4>72</vt:i4>
      </vt:variant>
      <vt:variant>
        <vt:i4>0</vt:i4>
      </vt:variant>
      <vt:variant>
        <vt:i4>5</vt:i4>
      </vt:variant>
      <vt:variant>
        <vt:lpwstr>https://www.itf-oecd.org/itf-transport-outlook-2021</vt:lpwstr>
      </vt:variant>
      <vt:variant>
        <vt:lpwstr/>
      </vt:variant>
      <vt:variant>
        <vt:i4>7667761</vt:i4>
      </vt:variant>
      <vt:variant>
        <vt:i4>69</vt:i4>
      </vt:variant>
      <vt:variant>
        <vt:i4>0</vt:i4>
      </vt:variant>
      <vt:variant>
        <vt:i4>5</vt:i4>
      </vt:variant>
      <vt:variant>
        <vt:lpwstr>https://www.itf-oecd.org/itf-transport-outlook-2023</vt:lpwstr>
      </vt:variant>
      <vt:variant>
        <vt:lpwstr/>
      </vt:variant>
      <vt:variant>
        <vt:i4>7667761</vt:i4>
      </vt:variant>
      <vt:variant>
        <vt:i4>66</vt:i4>
      </vt:variant>
      <vt:variant>
        <vt:i4>0</vt:i4>
      </vt:variant>
      <vt:variant>
        <vt:i4>5</vt:i4>
      </vt:variant>
      <vt:variant>
        <vt:lpwstr>https://www.itf-oecd.org/itf-transport-outlook-2023</vt:lpwstr>
      </vt:variant>
      <vt:variant>
        <vt:lpwstr/>
      </vt:variant>
      <vt:variant>
        <vt:i4>7667761</vt:i4>
      </vt:variant>
      <vt:variant>
        <vt:i4>63</vt:i4>
      </vt:variant>
      <vt:variant>
        <vt:i4>0</vt:i4>
      </vt:variant>
      <vt:variant>
        <vt:i4>5</vt:i4>
      </vt:variant>
      <vt:variant>
        <vt:lpwstr>https://www.itf-oecd.org/itf-transport-outlook-2023</vt:lpwstr>
      </vt:variant>
      <vt:variant>
        <vt:lpwstr/>
      </vt:variant>
      <vt:variant>
        <vt:i4>8060967</vt:i4>
      </vt:variant>
      <vt:variant>
        <vt:i4>60</vt:i4>
      </vt:variant>
      <vt:variant>
        <vt:i4>0</vt:i4>
      </vt:variant>
      <vt:variant>
        <vt:i4>5</vt:i4>
      </vt:variant>
      <vt:variant>
        <vt:lpwstr>https://www.ipcc.ch/report/sixth-assessment-report-working-group-3</vt:lpwstr>
      </vt:variant>
      <vt:variant>
        <vt:lpwstr/>
      </vt:variant>
      <vt:variant>
        <vt:i4>1376317</vt:i4>
      </vt:variant>
      <vt:variant>
        <vt:i4>57</vt:i4>
      </vt:variant>
      <vt:variant>
        <vt:i4>0</vt:i4>
      </vt:variant>
      <vt:variant>
        <vt:i4>5</vt:i4>
      </vt:variant>
      <vt:variant>
        <vt:lpwstr>https://edgar.jrc.ec.europa.eu/report_2023</vt:lpwstr>
      </vt:variant>
      <vt:variant>
        <vt:lpwstr/>
      </vt:variant>
      <vt:variant>
        <vt:i4>1376317</vt:i4>
      </vt:variant>
      <vt:variant>
        <vt:i4>54</vt:i4>
      </vt:variant>
      <vt:variant>
        <vt:i4>0</vt:i4>
      </vt:variant>
      <vt:variant>
        <vt:i4>5</vt:i4>
      </vt:variant>
      <vt:variant>
        <vt:lpwstr>https://edgar.jrc.ec.europa.eu/report_2023</vt:lpwstr>
      </vt:variant>
      <vt:variant>
        <vt:lpwstr/>
      </vt:variant>
      <vt:variant>
        <vt:i4>1376317</vt:i4>
      </vt:variant>
      <vt:variant>
        <vt:i4>51</vt:i4>
      </vt:variant>
      <vt:variant>
        <vt:i4>0</vt:i4>
      </vt:variant>
      <vt:variant>
        <vt:i4>5</vt:i4>
      </vt:variant>
      <vt:variant>
        <vt:lpwstr>https://edgar.jrc.ec.europa.eu/report_2023</vt:lpwstr>
      </vt:variant>
      <vt:variant>
        <vt:lpwstr/>
      </vt:variant>
      <vt:variant>
        <vt:i4>1376317</vt:i4>
      </vt:variant>
      <vt:variant>
        <vt:i4>48</vt:i4>
      </vt:variant>
      <vt:variant>
        <vt:i4>0</vt:i4>
      </vt:variant>
      <vt:variant>
        <vt:i4>5</vt:i4>
      </vt:variant>
      <vt:variant>
        <vt:lpwstr>https://edgar.jrc.ec.europa.eu/report_2023</vt:lpwstr>
      </vt:variant>
      <vt:variant>
        <vt:lpwstr/>
      </vt:variant>
      <vt:variant>
        <vt:i4>1376317</vt:i4>
      </vt:variant>
      <vt:variant>
        <vt:i4>45</vt:i4>
      </vt:variant>
      <vt:variant>
        <vt:i4>0</vt:i4>
      </vt:variant>
      <vt:variant>
        <vt:i4>5</vt:i4>
      </vt:variant>
      <vt:variant>
        <vt:lpwstr>https://edgar.jrc.ec.europa.eu/report_2023</vt:lpwstr>
      </vt:variant>
      <vt:variant>
        <vt:lpwstr/>
      </vt:variant>
      <vt:variant>
        <vt:i4>262158</vt:i4>
      </vt:variant>
      <vt:variant>
        <vt:i4>42</vt:i4>
      </vt:variant>
      <vt:variant>
        <vt:i4>0</vt:i4>
      </vt:variant>
      <vt:variant>
        <vt:i4>5</vt:i4>
      </vt:variant>
      <vt:variant>
        <vt:lpwstr>https://datahelpdesk.worldbank.org/knowledgebase/articles/906519</vt:lpwstr>
      </vt:variant>
      <vt:variant>
        <vt:lpwstr/>
      </vt:variant>
      <vt:variant>
        <vt:i4>7667761</vt:i4>
      </vt:variant>
      <vt:variant>
        <vt:i4>39</vt:i4>
      </vt:variant>
      <vt:variant>
        <vt:i4>0</vt:i4>
      </vt:variant>
      <vt:variant>
        <vt:i4>5</vt:i4>
      </vt:variant>
      <vt:variant>
        <vt:lpwstr>https://www.itf-oecd.org/itf-transport-outlook-2021</vt:lpwstr>
      </vt:variant>
      <vt:variant>
        <vt:lpwstr/>
      </vt:variant>
      <vt:variant>
        <vt:i4>196692</vt:i4>
      </vt:variant>
      <vt:variant>
        <vt:i4>36</vt:i4>
      </vt:variant>
      <vt:variant>
        <vt:i4>0</vt:i4>
      </vt:variant>
      <vt:variant>
        <vt:i4>5</vt:i4>
      </vt:variant>
      <vt:variant>
        <vt:lpwstr>https://www.shell.com/energy-and-innovation/the-energy-future/scenarios/the-energy-transformation-scenarios.html</vt:lpwstr>
      </vt:variant>
      <vt:variant>
        <vt:lpwstr/>
      </vt:variant>
      <vt:variant>
        <vt:i4>1310781</vt:i4>
      </vt:variant>
      <vt:variant>
        <vt:i4>33</vt:i4>
      </vt:variant>
      <vt:variant>
        <vt:i4>0</vt:i4>
      </vt:variant>
      <vt:variant>
        <vt:i4>5</vt:i4>
      </vt:variant>
      <vt:variant>
        <vt:lpwstr>https://edgar.jrc.ec.europa.eu/report_2022</vt:lpwstr>
      </vt:variant>
      <vt:variant>
        <vt:lpwstr/>
      </vt:variant>
      <vt:variant>
        <vt:i4>2490403</vt:i4>
      </vt:variant>
      <vt:variant>
        <vt:i4>30</vt:i4>
      </vt:variant>
      <vt:variant>
        <vt:i4>0</vt:i4>
      </vt:variant>
      <vt:variant>
        <vt:i4>5</vt:i4>
      </vt:variant>
      <vt:variant>
        <vt:lpwstr>https://openknowledge.worldbank.org/handle/10986/31805</vt:lpwstr>
      </vt:variant>
      <vt:variant>
        <vt:lpwstr/>
      </vt:variant>
      <vt:variant>
        <vt:i4>4522010</vt:i4>
      </vt:variant>
      <vt:variant>
        <vt:i4>27</vt:i4>
      </vt:variant>
      <vt:variant>
        <vt:i4>0</vt:i4>
      </vt:variant>
      <vt:variant>
        <vt:i4>5</vt:i4>
      </vt:variant>
      <vt:variant>
        <vt:lpwstr>http://www.nature.com/articles/s41467-019-10442-3</vt:lpwstr>
      </vt:variant>
      <vt:variant>
        <vt:lpwstr/>
      </vt:variant>
      <vt:variant>
        <vt:i4>4980787</vt:i4>
      </vt:variant>
      <vt:variant>
        <vt:i4>24</vt:i4>
      </vt:variant>
      <vt:variant>
        <vt:i4>0</vt:i4>
      </vt:variant>
      <vt:variant>
        <vt:i4>5</vt:i4>
      </vt:variant>
      <vt:variant>
        <vt:lpwstr>https://unctad.org/system/files/official-document/osginf2022d2_en.pdf</vt:lpwstr>
      </vt:variant>
      <vt:variant>
        <vt:lpwstr/>
      </vt:variant>
      <vt:variant>
        <vt:i4>6094873</vt:i4>
      </vt:variant>
      <vt:variant>
        <vt:i4>21</vt:i4>
      </vt:variant>
      <vt:variant>
        <vt:i4>0</vt:i4>
      </vt:variant>
      <vt:variant>
        <vt:i4>5</vt:i4>
      </vt:variant>
      <vt:variant>
        <vt:lpwstr>https://unstats.un.org/sdgs/report/2023/</vt:lpwstr>
      </vt:variant>
      <vt:variant>
        <vt:lpwstr/>
      </vt:variant>
      <vt:variant>
        <vt:i4>65613</vt:i4>
      </vt:variant>
      <vt:variant>
        <vt:i4>18</vt:i4>
      </vt:variant>
      <vt:variant>
        <vt:i4>0</vt:i4>
      </vt:variant>
      <vt:variant>
        <vt:i4>5</vt:i4>
      </vt:variant>
      <vt:variant>
        <vt:lpwstr>https://tcc-gsr.com/takeways-for-decision-makers/</vt:lpwstr>
      </vt:variant>
      <vt:variant>
        <vt:lpwstr/>
      </vt:variant>
      <vt:variant>
        <vt:i4>7864434</vt:i4>
      </vt:variant>
      <vt:variant>
        <vt:i4>15</vt:i4>
      </vt:variant>
      <vt:variant>
        <vt:i4>0</vt:i4>
      </vt:variant>
      <vt:variant>
        <vt:i4>5</vt:i4>
      </vt:variant>
      <vt:variant>
        <vt:lpwstr>https://bit.ly/3qtgdQT</vt:lpwstr>
      </vt:variant>
      <vt:variant>
        <vt:lpwstr/>
      </vt:variant>
      <vt:variant>
        <vt:i4>7274553</vt:i4>
      </vt:variant>
      <vt:variant>
        <vt:i4>12</vt:i4>
      </vt:variant>
      <vt:variant>
        <vt:i4>0</vt:i4>
      </vt:variant>
      <vt:variant>
        <vt:i4>5</vt:i4>
      </vt:variant>
      <vt:variant>
        <vt:lpwstr>https://systemschangelab.org/transport</vt:lpwstr>
      </vt:variant>
      <vt:variant>
        <vt:lpwstr/>
      </vt:variant>
      <vt:variant>
        <vt:i4>1376317</vt:i4>
      </vt:variant>
      <vt:variant>
        <vt:i4>9</vt:i4>
      </vt:variant>
      <vt:variant>
        <vt:i4>0</vt:i4>
      </vt:variant>
      <vt:variant>
        <vt:i4>5</vt:i4>
      </vt:variant>
      <vt:variant>
        <vt:lpwstr>https://edgar.jrc.ec.europa.eu/report_2023</vt:lpwstr>
      </vt:variant>
      <vt:variant>
        <vt:lpwstr/>
      </vt:variant>
      <vt:variant>
        <vt:i4>1376317</vt:i4>
      </vt:variant>
      <vt:variant>
        <vt:i4>6</vt:i4>
      </vt:variant>
      <vt:variant>
        <vt:i4>0</vt:i4>
      </vt:variant>
      <vt:variant>
        <vt:i4>5</vt:i4>
      </vt:variant>
      <vt:variant>
        <vt:lpwstr>https://edgar.jrc.ec.europa.eu/report_2023</vt:lpwstr>
      </vt:variant>
      <vt:variant>
        <vt:lpwstr/>
      </vt:variant>
      <vt:variant>
        <vt:i4>4063311</vt:i4>
      </vt:variant>
      <vt:variant>
        <vt:i4>3</vt:i4>
      </vt:variant>
      <vt:variant>
        <vt:i4>0</vt:i4>
      </vt:variant>
      <vt:variant>
        <vt:i4>5</vt:i4>
      </vt:variant>
      <vt:variant>
        <vt:lpwstr>https://data.giss.nasa.gov/gistemp/graphs_v4</vt:lpwstr>
      </vt:variant>
      <vt:variant>
        <vt:lpwstr/>
      </vt:variant>
      <vt:variant>
        <vt:i4>7536654</vt:i4>
      </vt:variant>
      <vt:variant>
        <vt:i4>0</vt:i4>
      </vt:variant>
      <vt:variant>
        <vt:i4>0</vt:i4>
      </vt:variant>
      <vt:variant>
        <vt:i4>5</vt:i4>
      </vt:variant>
      <vt:variant>
        <vt:lpwstr>https://www.ipcc.ch/report/ar6/wg3/downloads/report/IPCC_AR6_WGIII_SPM.pdf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ECE/TRANS/2023/1</dc:title>
  <dc:subject>2227884</dc:subject>
  <dc:creator>ECE/TRANS/315/Add.1</dc:creator>
  <cp:keywords/>
  <dc:description/>
  <cp:lastModifiedBy>Anastasia Barinova</cp:lastModifiedBy>
  <cp:revision>12</cp:revision>
  <cp:lastPrinted>2023-12-08T02:22:00Z</cp:lastPrinted>
  <dcterms:created xsi:type="dcterms:W3CDTF">2023-12-10T23:04:00Z</dcterms:created>
  <dcterms:modified xsi:type="dcterms:W3CDTF">2023-12-11T11:21:00Z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gba66df640194346a5267c50f24d4797">
    <vt:lpwstr/>
  </property>
  <property fmtid="{D5CDD505-2E9C-101B-9397-08002B2CF9AE}" pid="4" name="Office_x0020_of_x0020_Origin">
    <vt:lpwstr/>
  </property>
  <property fmtid="{D5CDD505-2E9C-101B-9397-08002B2CF9AE}" pid="5" name="MediaServiceImageTags">
    <vt:lpwstr/>
  </property>
  <property fmtid="{D5CDD505-2E9C-101B-9397-08002B2CF9AE}" pid="6" name="Office of Origin">
    <vt:lpwstr/>
  </property>
</Properties>
</file>