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635AD" w14:paraId="2CD6C16F" w14:textId="77777777" w:rsidTr="00B20551">
        <w:trPr>
          <w:cantSplit/>
          <w:trHeight w:hRule="exact" w:val="851"/>
        </w:trPr>
        <w:tc>
          <w:tcPr>
            <w:tcW w:w="1276" w:type="dxa"/>
            <w:tcBorders>
              <w:bottom w:val="single" w:sz="4" w:space="0" w:color="auto"/>
            </w:tcBorders>
            <w:vAlign w:val="bottom"/>
          </w:tcPr>
          <w:p w14:paraId="3DE8A57C" w14:textId="1D27BF87" w:rsidR="009E6CB7" w:rsidRPr="00C635AD" w:rsidRDefault="009E6CB7" w:rsidP="00B20551">
            <w:pPr>
              <w:spacing w:after="80"/>
            </w:pPr>
          </w:p>
        </w:tc>
        <w:tc>
          <w:tcPr>
            <w:tcW w:w="2268" w:type="dxa"/>
            <w:tcBorders>
              <w:bottom w:val="single" w:sz="4" w:space="0" w:color="auto"/>
            </w:tcBorders>
            <w:vAlign w:val="bottom"/>
          </w:tcPr>
          <w:p w14:paraId="21216968" w14:textId="77777777" w:rsidR="009E6CB7" w:rsidRPr="00C635AD" w:rsidRDefault="009E6CB7" w:rsidP="00B20551">
            <w:pPr>
              <w:spacing w:after="80" w:line="300" w:lineRule="exact"/>
              <w:rPr>
                <w:b/>
                <w:sz w:val="24"/>
                <w:szCs w:val="24"/>
              </w:rPr>
            </w:pPr>
            <w:r w:rsidRPr="00C635AD">
              <w:rPr>
                <w:sz w:val="28"/>
                <w:szCs w:val="28"/>
              </w:rPr>
              <w:t>United Nations</w:t>
            </w:r>
          </w:p>
        </w:tc>
        <w:tc>
          <w:tcPr>
            <w:tcW w:w="6095" w:type="dxa"/>
            <w:gridSpan w:val="2"/>
            <w:tcBorders>
              <w:bottom w:val="single" w:sz="4" w:space="0" w:color="auto"/>
            </w:tcBorders>
            <w:vAlign w:val="bottom"/>
          </w:tcPr>
          <w:p w14:paraId="19D5742E" w14:textId="29B58873" w:rsidR="009E6CB7" w:rsidRPr="00C635AD" w:rsidRDefault="00E86F59" w:rsidP="00C02976">
            <w:pPr>
              <w:jc w:val="right"/>
            </w:pPr>
            <w:r w:rsidRPr="00C635AD">
              <w:rPr>
                <w:sz w:val="40"/>
              </w:rPr>
              <w:t>ECE</w:t>
            </w:r>
            <w:r w:rsidRPr="00C635AD">
              <w:t>/TRANS/2024/1</w:t>
            </w:r>
          </w:p>
        </w:tc>
      </w:tr>
      <w:tr w:rsidR="009E6CB7" w:rsidRPr="00C635AD"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C635AD" w:rsidRDefault="00686A48" w:rsidP="00B20551">
            <w:pPr>
              <w:spacing w:before="120"/>
            </w:pPr>
            <w:r w:rsidRPr="009A1C14">
              <w:rPr>
                <w:noProof/>
                <w:lang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C635AD" w:rsidRDefault="009E6CB7" w:rsidP="00B20551">
            <w:pPr>
              <w:spacing w:before="120" w:line="420" w:lineRule="exact"/>
              <w:rPr>
                <w:sz w:val="40"/>
                <w:szCs w:val="40"/>
              </w:rPr>
            </w:pPr>
            <w:r w:rsidRPr="00C635AD">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C635AD" w:rsidRDefault="00C02976" w:rsidP="00C02976">
            <w:pPr>
              <w:spacing w:before="240" w:line="240" w:lineRule="exact"/>
            </w:pPr>
            <w:r w:rsidRPr="00C635AD">
              <w:t>Distr.: General</w:t>
            </w:r>
          </w:p>
          <w:p w14:paraId="1B69B993" w14:textId="38D67F6A" w:rsidR="00C02976" w:rsidRPr="00C635AD" w:rsidRDefault="00F168A1" w:rsidP="00C02976">
            <w:pPr>
              <w:spacing w:line="240" w:lineRule="exact"/>
            </w:pPr>
            <w:r>
              <w:t>8</w:t>
            </w:r>
            <w:r w:rsidR="002E5DD3" w:rsidRPr="00C635AD">
              <w:t xml:space="preserve"> December</w:t>
            </w:r>
            <w:r w:rsidR="00C02976" w:rsidRPr="00C635AD">
              <w:t xml:space="preserve"> 202</w:t>
            </w:r>
            <w:r w:rsidR="00BD2A5B" w:rsidRPr="00C635AD">
              <w:t>3</w:t>
            </w:r>
          </w:p>
          <w:p w14:paraId="384A448F" w14:textId="77777777" w:rsidR="00C02976" w:rsidRPr="00C635AD" w:rsidRDefault="00C02976" w:rsidP="00C02976">
            <w:pPr>
              <w:spacing w:line="240" w:lineRule="exact"/>
            </w:pPr>
          </w:p>
          <w:p w14:paraId="3BD256BB" w14:textId="1434F26D" w:rsidR="00C02976" w:rsidRPr="00C635AD" w:rsidRDefault="00C02976" w:rsidP="00C02976">
            <w:pPr>
              <w:spacing w:line="240" w:lineRule="exact"/>
            </w:pPr>
            <w:r w:rsidRPr="00C635AD">
              <w:t>Original: English</w:t>
            </w:r>
          </w:p>
        </w:tc>
      </w:tr>
    </w:tbl>
    <w:p w14:paraId="76F1B8E4" w14:textId="77777777" w:rsidR="00943748" w:rsidRPr="00C635AD" w:rsidRDefault="00943748" w:rsidP="00943748">
      <w:pPr>
        <w:spacing w:before="120"/>
        <w:rPr>
          <w:b/>
          <w:bCs/>
          <w:sz w:val="28"/>
          <w:szCs w:val="28"/>
        </w:rPr>
      </w:pPr>
      <w:r w:rsidRPr="00C635AD">
        <w:rPr>
          <w:b/>
          <w:bCs/>
          <w:sz w:val="28"/>
          <w:szCs w:val="28"/>
        </w:rPr>
        <w:t>Economic Commission for Europe</w:t>
      </w:r>
    </w:p>
    <w:p w14:paraId="324EF3BF" w14:textId="77777777" w:rsidR="00943748" w:rsidRPr="00C635AD" w:rsidRDefault="00943748" w:rsidP="00943748">
      <w:pPr>
        <w:spacing w:before="120"/>
        <w:rPr>
          <w:sz w:val="28"/>
          <w:szCs w:val="28"/>
        </w:rPr>
      </w:pPr>
      <w:r w:rsidRPr="00C635AD">
        <w:rPr>
          <w:sz w:val="28"/>
          <w:szCs w:val="28"/>
        </w:rPr>
        <w:t>Inland Transport Committee</w:t>
      </w:r>
    </w:p>
    <w:p w14:paraId="19E9B60A" w14:textId="3BC55C1D" w:rsidR="00943748" w:rsidRPr="009A1C14" w:rsidRDefault="008312DD" w:rsidP="00943748">
      <w:pPr>
        <w:spacing w:before="120"/>
        <w:rPr>
          <w:b/>
          <w:bCs/>
        </w:rPr>
      </w:pPr>
      <w:r w:rsidRPr="00C635AD">
        <w:rPr>
          <w:b/>
          <w:bCs/>
        </w:rPr>
        <w:t>Eighty-</w:t>
      </w:r>
      <w:r w:rsidR="00BD2A5B" w:rsidRPr="00C635AD">
        <w:rPr>
          <w:b/>
          <w:bCs/>
        </w:rPr>
        <w:t>sixth</w:t>
      </w:r>
      <w:r w:rsidR="00943748" w:rsidRPr="009A1C14">
        <w:rPr>
          <w:b/>
          <w:bCs/>
        </w:rPr>
        <w:t xml:space="preserve"> session</w:t>
      </w:r>
    </w:p>
    <w:p w14:paraId="35F95455" w14:textId="310FC954" w:rsidR="00943748" w:rsidRPr="00C635AD" w:rsidRDefault="00943748" w:rsidP="00943748">
      <w:r w:rsidRPr="00C635AD">
        <w:t xml:space="preserve">Geneva, </w:t>
      </w:r>
      <w:r w:rsidR="008312DD" w:rsidRPr="00C635AD">
        <w:t>2</w:t>
      </w:r>
      <w:r w:rsidR="00BD2A5B" w:rsidRPr="00C635AD">
        <w:t>0</w:t>
      </w:r>
      <w:r w:rsidR="00A53DC6">
        <w:t>-</w:t>
      </w:r>
      <w:r w:rsidR="00191441">
        <w:t>23</w:t>
      </w:r>
      <w:r w:rsidR="008312DD" w:rsidRPr="00C635AD">
        <w:t xml:space="preserve"> February 202</w:t>
      </w:r>
      <w:r w:rsidR="00BD2A5B" w:rsidRPr="00C635AD">
        <w:t>4</w:t>
      </w:r>
    </w:p>
    <w:p w14:paraId="4E5AA5F2" w14:textId="4D93F766" w:rsidR="001C6663" w:rsidRPr="00C635AD" w:rsidRDefault="00943748" w:rsidP="00C02976">
      <w:r w:rsidRPr="00C635AD">
        <w:t>Item</w:t>
      </w:r>
      <w:r w:rsidR="003D47F2" w:rsidRPr="00C635AD">
        <w:t xml:space="preserve"> </w:t>
      </w:r>
      <w:r w:rsidR="005A3ED8" w:rsidRPr="00C635AD">
        <w:t>2</w:t>
      </w:r>
      <w:r w:rsidR="00831796" w:rsidRPr="00C635AD">
        <w:t xml:space="preserve"> </w:t>
      </w:r>
      <w:r w:rsidRPr="00C635AD">
        <w:t>of the provisional agenda</w:t>
      </w:r>
    </w:p>
    <w:p w14:paraId="36FFEDF6" w14:textId="6DD9AD62" w:rsidR="00757AA5" w:rsidRPr="00C635AD" w:rsidRDefault="00684583" w:rsidP="00833FC6">
      <w:pPr>
        <w:rPr>
          <w:b/>
          <w:bCs/>
        </w:rPr>
      </w:pPr>
      <w:r w:rsidRPr="00C635AD">
        <w:rPr>
          <w:b/>
          <w:bCs/>
        </w:rPr>
        <w:t>Theme: Taking ambitious climate action -</w:t>
      </w:r>
      <w:r w:rsidR="00833FC6" w:rsidRPr="00C635AD">
        <w:rPr>
          <w:b/>
          <w:bCs/>
        </w:rPr>
        <w:t xml:space="preserve"> </w:t>
      </w:r>
      <w:r w:rsidR="00833FC6" w:rsidRPr="00C635AD">
        <w:rPr>
          <w:b/>
          <w:bCs/>
        </w:rPr>
        <w:br/>
      </w:r>
      <w:r w:rsidRPr="00C635AD">
        <w:rPr>
          <w:b/>
          <w:bCs/>
        </w:rPr>
        <w:t>Moving towards decarbonized inland transport</w:t>
      </w:r>
      <w:r w:rsidR="00833FC6" w:rsidRPr="00C635AD">
        <w:rPr>
          <w:b/>
          <w:bCs/>
        </w:rPr>
        <w:t xml:space="preserve"> </w:t>
      </w:r>
      <w:r w:rsidR="00833FC6" w:rsidRPr="00C635AD">
        <w:rPr>
          <w:b/>
          <w:bCs/>
        </w:rPr>
        <w:br/>
      </w:r>
      <w:r w:rsidRPr="00C635AD">
        <w:rPr>
          <w:b/>
          <w:bCs/>
        </w:rPr>
        <w:t>by 2050</w:t>
      </w:r>
    </w:p>
    <w:p w14:paraId="778DB249" w14:textId="2B5AC4A9" w:rsidR="00B15265" w:rsidRPr="00C635AD" w:rsidRDefault="004209A5" w:rsidP="00F40D70">
      <w:pPr>
        <w:pStyle w:val="HChG"/>
      </w:pPr>
      <w:r w:rsidRPr="00C635AD">
        <w:tab/>
      </w:r>
      <w:r w:rsidRPr="00C635AD">
        <w:tab/>
      </w:r>
      <w:r w:rsidR="00B15265" w:rsidRPr="00C635AD">
        <w:t xml:space="preserve">Concept </w:t>
      </w:r>
      <w:r w:rsidR="00F6671E" w:rsidRPr="00C635AD">
        <w:t>N</w:t>
      </w:r>
      <w:r w:rsidR="00B15265" w:rsidRPr="00C635AD">
        <w:t xml:space="preserve">ote </w:t>
      </w:r>
      <w:r w:rsidR="009537F3" w:rsidRPr="00C635AD">
        <w:t xml:space="preserve">of the High-level </w:t>
      </w:r>
      <w:r w:rsidR="00750181" w:rsidRPr="00C635AD">
        <w:t>S</w:t>
      </w:r>
      <w:r w:rsidR="009537F3" w:rsidRPr="00C635AD">
        <w:t>egment “Taking ambitious climate action – Moving towards decarbonized inland transport by 2050”</w:t>
      </w:r>
    </w:p>
    <w:p w14:paraId="096BC95C" w14:textId="0E06AF71" w:rsidR="007149D7" w:rsidRPr="00C635AD" w:rsidRDefault="004209A5" w:rsidP="007149D7">
      <w:pPr>
        <w:pStyle w:val="H1G"/>
      </w:pPr>
      <w:r w:rsidRPr="00C635AD">
        <w:tab/>
      </w:r>
      <w:r w:rsidRPr="00C635AD">
        <w:tab/>
      </w:r>
      <w:r w:rsidR="00B15265" w:rsidRPr="00C635AD">
        <w:t xml:space="preserve">Note by the </w:t>
      </w:r>
      <w:r w:rsidR="00191441">
        <w:t>s</w:t>
      </w:r>
      <w:r w:rsidR="00B15265" w:rsidRPr="00C635AD">
        <w:t>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E72EA" w:rsidRPr="00C635AD" w14:paraId="12920D6A" w14:textId="77777777" w:rsidTr="000E72EA">
        <w:trPr>
          <w:jc w:val="center"/>
        </w:trPr>
        <w:tc>
          <w:tcPr>
            <w:tcW w:w="9629" w:type="dxa"/>
            <w:shd w:val="clear" w:color="auto" w:fill="auto"/>
          </w:tcPr>
          <w:p w14:paraId="522C8FB6" w14:textId="77777777" w:rsidR="000E72EA" w:rsidRPr="00C635AD" w:rsidRDefault="000E72EA" w:rsidP="006E5E26">
            <w:pPr>
              <w:spacing w:before="240" w:after="120"/>
              <w:ind w:left="255"/>
              <w:rPr>
                <w:i/>
                <w:sz w:val="24"/>
              </w:rPr>
            </w:pPr>
            <w:r w:rsidRPr="00C635AD">
              <w:rPr>
                <w:i/>
                <w:sz w:val="24"/>
              </w:rPr>
              <w:t>Summary</w:t>
            </w:r>
          </w:p>
        </w:tc>
      </w:tr>
      <w:tr w:rsidR="000E72EA" w:rsidRPr="00C635AD" w14:paraId="4FF4B454" w14:textId="77777777" w:rsidTr="000E72EA">
        <w:trPr>
          <w:jc w:val="center"/>
        </w:trPr>
        <w:tc>
          <w:tcPr>
            <w:tcW w:w="9629" w:type="dxa"/>
            <w:shd w:val="clear" w:color="auto" w:fill="auto"/>
          </w:tcPr>
          <w:p w14:paraId="08195C40" w14:textId="0007D8B7" w:rsidR="000E72EA" w:rsidRPr="00C635AD" w:rsidRDefault="000E72EA" w:rsidP="006E5E26">
            <w:pPr>
              <w:pStyle w:val="SingleTxtG"/>
            </w:pPr>
            <w:r w:rsidRPr="00C635AD">
              <w:tab/>
            </w:r>
            <w:r w:rsidRPr="00C635AD">
              <w:tab/>
              <w:t xml:space="preserve">This document outlines the concept and main themes of the </w:t>
            </w:r>
            <w:r w:rsidR="006640CE" w:rsidRPr="00C635AD">
              <w:t>h</w:t>
            </w:r>
            <w:r w:rsidRPr="00C635AD">
              <w:t xml:space="preserve">igh-level segment organized around </w:t>
            </w:r>
            <w:r w:rsidR="006640CE" w:rsidRPr="00C635AD">
              <w:t>t</w:t>
            </w:r>
            <w:r w:rsidRPr="00C635AD">
              <w:t xml:space="preserve">aking ambitious climate action – Moving towards decarbonized inland transport by 2050. This document also contains information on planned activities. The Bureau of the Inland Transport Committee (ITC), at its June 2023 meeting, agreed that the themes of the panels of the first day of the eighty-sixth session of the Committee would focus on this topic. The </w:t>
            </w:r>
            <w:r w:rsidR="005E077F">
              <w:t>h</w:t>
            </w:r>
            <w:r w:rsidRPr="00C635AD">
              <w:t xml:space="preserve">igh-level segment will conclude with the endorsement of the High-level Statement of Support to the adoption of the ITC Strategy on Reducing Greenhouse Gas Emissions from Inland Transport (ECE/TRANS/2024/2) by Ministers and </w:t>
            </w:r>
            <w:r w:rsidR="008E2A02" w:rsidRPr="00C635AD">
              <w:t>H</w:t>
            </w:r>
            <w:r w:rsidRPr="00C635AD">
              <w:t>eads of Delegation of United Nations Member States attending the eighty-sixth session of the Committee.</w:t>
            </w:r>
          </w:p>
        </w:tc>
      </w:tr>
      <w:tr w:rsidR="000E72EA" w:rsidRPr="00C635AD" w14:paraId="75D81A69" w14:textId="77777777" w:rsidTr="000E72EA">
        <w:trPr>
          <w:jc w:val="center"/>
        </w:trPr>
        <w:tc>
          <w:tcPr>
            <w:tcW w:w="9629" w:type="dxa"/>
            <w:shd w:val="clear" w:color="auto" w:fill="auto"/>
          </w:tcPr>
          <w:p w14:paraId="79B6D361" w14:textId="77777777" w:rsidR="000E72EA" w:rsidRPr="00C635AD" w:rsidRDefault="000E72EA" w:rsidP="006E5E26"/>
        </w:tc>
      </w:tr>
    </w:tbl>
    <w:p w14:paraId="1EB30033" w14:textId="77777777" w:rsidR="009537F3" w:rsidRPr="00C635AD" w:rsidRDefault="009537F3" w:rsidP="000E72EA"/>
    <w:p w14:paraId="67BDD56B" w14:textId="41ADDCEC" w:rsidR="00A35C7B" w:rsidRPr="00C635AD" w:rsidRDefault="003D0D85" w:rsidP="00270CD6">
      <w:pPr>
        <w:pStyle w:val="HChG"/>
        <w:jc w:val="both"/>
        <w:rPr>
          <w:b w:val="0"/>
        </w:rPr>
      </w:pPr>
      <w:r w:rsidRPr="00C635AD">
        <w:tab/>
      </w:r>
      <w:r w:rsidR="00A35C7B" w:rsidRPr="00C635AD">
        <w:br w:type="page"/>
      </w:r>
    </w:p>
    <w:p w14:paraId="060363F1" w14:textId="38A0B698" w:rsidR="00A35C7B" w:rsidRPr="00C635AD" w:rsidRDefault="00A35C7B" w:rsidP="00A35C7B">
      <w:pPr>
        <w:pStyle w:val="HChG"/>
        <w:jc w:val="both"/>
      </w:pPr>
      <w:r w:rsidRPr="00C635AD">
        <w:lastRenderedPageBreak/>
        <w:tab/>
        <w:t>I.</w:t>
      </w:r>
      <w:r w:rsidRPr="00C635AD">
        <w:tab/>
        <w:t>Background and Policy Context</w:t>
      </w:r>
    </w:p>
    <w:p w14:paraId="4B1DD8BC" w14:textId="5BABBF9D" w:rsidR="00A35C7B" w:rsidRPr="00C635AD" w:rsidRDefault="00A35C7B" w:rsidP="008C5209">
      <w:pPr>
        <w:pStyle w:val="SingleTxtG"/>
      </w:pPr>
      <w:r w:rsidRPr="00C635AD">
        <w:t>1.</w:t>
      </w:r>
      <w:r w:rsidRPr="00C635AD">
        <w:tab/>
        <w:t>At the twenty-seventh meeting of the U</w:t>
      </w:r>
      <w:r w:rsidR="0069631B">
        <w:t xml:space="preserve">nited </w:t>
      </w:r>
      <w:r w:rsidRPr="00C635AD">
        <w:t>N</w:t>
      </w:r>
      <w:r w:rsidR="0069631B">
        <w:t>ations</w:t>
      </w:r>
      <w:r w:rsidRPr="00C635AD">
        <w:t xml:space="preserve"> Framework Convention for Climate Change (UNFCCC) (CoP-27, Sharm-</w:t>
      </w:r>
      <w:proofErr w:type="spellStart"/>
      <w:r w:rsidRPr="00C635AD">
        <w:t>el</w:t>
      </w:r>
      <w:proofErr w:type="spellEnd"/>
      <w:r w:rsidRPr="00C635AD">
        <w:t xml:space="preserve">-Sheik, </w:t>
      </w:r>
      <w:r w:rsidR="00C8657F">
        <w:t xml:space="preserve">Egypt, </w:t>
      </w:r>
      <w:r w:rsidRPr="00C635AD">
        <w:t>6</w:t>
      </w:r>
      <w:r w:rsidR="00206125" w:rsidRPr="00C635AD">
        <w:t>–</w:t>
      </w:r>
      <w:r w:rsidRPr="00C635AD">
        <w:t>20 November 2022), the Parties re-affirmed their commitment under the Paris Agreement</w:t>
      </w:r>
      <w:r w:rsidRPr="00C635AD">
        <w:rPr>
          <w:rStyle w:val="FootnoteReference"/>
        </w:rPr>
        <w:footnoteReference w:id="2"/>
      </w:r>
      <w:r w:rsidRPr="00C635AD">
        <w:t xml:space="preserve"> of pursuing efforts to limit the temperature increase to 1.5°C above and holding the increase in the global average temperature to well below 2°C above pre-industrial levels, recognizing the need to reduce the risks and impacts of climate change.</w:t>
      </w:r>
      <w:r w:rsidRPr="00C635AD">
        <w:rPr>
          <w:vertAlign w:val="superscript"/>
        </w:rPr>
        <w:footnoteReference w:id="3"/>
      </w:r>
      <w:r w:rsidRPr="00C635AD">
        <w:t xml:space="preserve"> They resolved to implement “ambitious, just, equitable and inclusive transitions to low-emission and climate-resilient development,” acknowledging that limiting global warming to 1.5°C requires rapid, deep and sustained reductions in </w:t>
      </w:r>
      <w:r w:rsidR="003F7446" w:rsidRPr="00C635AD">
        <w:t xml:space="preserve">Global Greenhouse Gas </w:t>
      </w:r>
      <w:r w:rsidRPr="00C635AD">
        <w:t>(GHG) emissions of 43 per cent by 2030 relative to the 2019 level.</w:t>
      </w:r>
    </w:p>
    <w:p w14:paraId="53108960" w14:textId="758F99A9" w:rsidR="00A35C7B" w:rsidRPr="00C635AD" w:rsidRDefault="00A35C7B" w:rsidP="00A35C7B">
      <w:pPr>
        <w:pStyle w:val="SingleTxtG"/>
        <w:rPr>
          <w:highlight w:val="yellow"/>
        </w:rPr>
      </w:pPr>
      <w:r w:rsidRPr="00C635AD">
        <w:t>2.</w:t>
      </w:r>
      <w:r w:rsidRPr="00C635AD">
        <w:tab/>
        <w:t>The United Nations Secretary-General has made achieving net zero by 2050 the world’s most urgent mission, having called before the twenty-sixth meeting of the Conference of the Parties to UNFCCC in Glasgow (CoP-26, 31 October–13 November 2021) on “every country, city, financial institution and company to adopt plans for net zero”, to cut global emissions by 45 per cent by 2030 compared with 2010 levels.</w:t>
      </w:r>
      <w:r w:rsidRPr="00C635AD">
        <w:rPr>
          <w:vertAlign w:val="superscript"/>
        </w:rPr>
        <w:footnoteReference w:id="4"/>
      </w:r>
    </w:p>
    <w:p w14:paraId="3C7302FD" w14:textId="06FB4970" w:rsidR="00A35C7B" w:rsidRPr="00C635AD" w:rsidRDefault="00A35C7B" w:rsidP="00A35C7B">
      <w:pPr>
        <w:pStyle w:val="SingleTxtG"/>
      </w:pPr>
      <w:r w:rsidRPr="00C635AD">
        <w:t>3.</w:t>
      </w:r>
      <w:r w:rsidRPr="00C635AD">
        <w:tab/>
        <w:t>Tragically, the ambitions declared by Member States within the framework of the UNFCCC are in stark contrast to current realities and trajectories.</w:t>
      </w:r>
      <w:r w:rsidR="003A356E" w:rsidRPr="00C635AD">
        <w:rPr>
          <w:vertAlign w:val="superscript"/>
        </w:rPr>
        <w:t xml:space="preserve"> </w:t>
      </w:r>
      <w:r w:rsidRPr="00C635AD">
        <w:t>In 2019, inland transport accounted for 72 per cent of global transport GHG emissions, with 69 per cent originating from road transport, 2 per cent from inland shipping and 1 per cent from rail.</w:t>
      </w:r>
      <w:r w:rsidRPr="00C635AD">
        <w:rPr>
          <w:rStyle w:val="FootnoteReference"/>
        </w:rPr>
        <w:footnoteReference w:id="5"/>
      </w:r>
      <w:r w:rsidRPr="00C635AD">
        <w:t xml:space="preserve"> The International Transport Forum (ITF) predicts that passenger demand will increase by 79 per cent by 2050 compared to 2019, while freight demand will roughly double under the current trajectory.</w:t>
      </w:r>
      <w:r w:rsidRPr="00C635AD">
        <w:rPr>
          <w:vertAlign w:val="superscript"/>
        </w:rPr>
        <w:footnoteReference w:id="6"/>
      </w:r>
    </w:p>
    <w:p w14:paraId="234678F5" w14:textId="4BE1E87F" w:rsidR="00A35C7B" w:rsidRPr="00C635AD" w:rsidRDefault="00A35C7B" w:rsidP="00A35C7B">
      <w:pPr>
        <w:pStyle w:val="SingleTxtG"/>
      </w:pPr>
      <w:r w:rsidRPr="00C635AD">
        <w:t>4.</w:t>
      </w:r>
      <w:r w:rsidRPr="00C635AD">
        <w:tab/>
        <w:t>While there has been an increased commitment to transport decarbonization over the years and most countries mention transport in their Nationally Determined Contributions (NDCs) under the Paris Agreement, few draw on the full range of available solutions, and less than a fifth specify quantitative targets for transport. For instance, 84 per cent of the 192 signatory countries of the Paris Agreement include transport measures in their NDCs, but only 18 per cent of the NDCs set concrete CO</w:t>
      </w:r>
      <w:r w:rsidRPr="00C635AD">
        <w:rPr>
          <w:vertAlign w:val="subscript"/>
        </w:rPr>
        <w:t>2</w:t>
      </w:r>
      <w:r w:rsidRPr="00C635AD">
        <w:t xml:space="preserve"> emission reduction targets.</w:t>
      </w:r>
      <w:r w:rsidRPr="00C635AD">
        <w:rPr>
          <w:vertAlign w:val="superscript"/>
        </w:rPr>
        <w:footnoteReference w:id="7"/>
      </w:r>
      <w:r w:rsidRPr="00C635AD">
        <w:rPr>
          <w:vertAlign w:val="superscript"/>
        </w:rPr>
        <w:t xml:space="preserve"> </w:t>
      </w:r>
      <w:r w:rsidRPr="00C635AD">
        <w:t xml:space="preserve">Most NDCs do not specify measures to avoid unnecessary travel </w:t>
      </w:r>
      <w:r w:rsidR="00045FEE">
        <w:t>by</w:t>
      </w:r>
      <w:r w:rsidRPr="00C635AD">
        <w:t xml:space="preserve"> carbon-intensive modes</w:t>
      </w:r>
      <w:r w:rsidR="00045FEE">
        <w:t xml:space="preserve"> of transpor</w:t>
      </w:r>
      <w:r w:rsidR="00B22735">
        <w:t>t,</w:t>
      </w:r>
      <w:r w:rsidR="00F45F80">
        <w:t xml:space="preserve"> </w:t>
      </w:r>
      <w:r w:rsidRPr="00C635AD">
        <w:t>shift to low-carbon modes of transport such as public transport</w:t>
      </w:r>
      <w:r w:rsidR="00B22735">
        <w:t xml:space="preserve"> or cycling</w:t>
      </w:r>
      <w:r w:rsidRPr="00C635AD">
        <w:t xml:space="preserve"> and improv</w:t>
      </w:r>
      <w:r w:rsidR="004E668D">
        <w:t>e</w:t>
      </w:r>
      <w:r w:rsidRPr="00C635AD">
        <w:t xml:space="preserve"> vehicle technology, particularly through electrification or fuel efficiency. NDCs prioritize "Improve" over "Avoid-Shift" solutions, and within the "Improve" category, only a small share address electrification and rarely mention freight. Furthermore, the NDCs do not sufficiently link transport to national policies and strategies, align with national transport plans or strategies, enable local and national city planning policies, and work with other sectors such as health and urban development.</w:t>
      </w:r>
      <w:r w:rsidRPr="00C635AD">
        <w:rPr>
          <w:vertAlign w:val="superscript"/>
        </w:rPr>
        <w:footnoteReference w:id="8"/>
      </w:r>
    </w:p>
    <w:p w14:paraId="619B08B2" w14:textId="540630B9" w:rsidR="00A35C7B" w:rsidRPr="00C635AD" w:rsidRDefault="00A35C7B" w:rsidP="00A35C7B">
      <w:pPr>
        <w:pStyle w:val="SingleTxtG"/>
      </w:pPr>
      <w:r w:rsidRPr="00C635AD">
        <w:t>5.</w:t>
      </w:r>
      <w:r w:rsidRPr="00C635AD">
        <w:tab/>
        <w:t>Several ECE and other United Nations Member States have set aspirational national visions and targets on GHG emission reductions in the transport sector through the introduction of low and zero emission vehicles and fuels (biofuels, hydrogen, and e-fuels).</w:t>
      </w:r>
      <w:r w:rsidRPr="00C635AD">
        <w:rPr>
          <w:strike/>
        </w:rPr>
        <w:t xml:space="preserve"> </w:t>
      </w:r>
      <w:r w:rsidRPr="00C635AD">
        <w:t xml:space="preserve">However, ITF predicts that, even if current policies and commitments are implemented which </w:t>
      </w:r>
      <w:r w:rsidRPr="00C635AD">
        <w:lastRenderedPageBreak/>
        <w:t>will eventually lead to transport CO</w:t>
      </w:r>
      <w:r w:rsidRPr="00C635AD">
        <w:rPr>
          <w:vertAlign w:val="subscript"/>
        </w:rPr>
        <w:t>2</w:t>
      </w:r>
      <w:r w:rsidRPr="00C635AD">
        <w:t xml:space="preserve"> emissions falling slightly by 2050, it will not</w:t>
      </w:r>
      <w:r w:rsidR="000C738D">
        <w:t xml:space="preserve"> sufficiently reduce</w:t>
      </w:r>
      <w:r w:rsidRPr="00C635AD">
        <w:t xml:space="preserve"> the transport sector’s CO</w:t>
      </w:r>
      <w:r w:rsidRPr="00C635AD">
        <w:rPr>
          <w:vertAlign w:val="subscript"/>
        </w:rPr>
        <w:t>2</w:t>
      </w:r>
      <w:r w:rsidRPr="00C635AD">
        <w:t xml:space="preserve"> emissions to deliver against the Paris Agreement goals.</w:t>
      </w:r>
      <w:r w:rsidRPr="00C635AD">
        <w:rPr>
          <w:rStyle w:val="FootnoteReference"/>
        </w:rPr>
        <w:footnoteReference w:id="9"/>
      </w:r>
    </w:p>
    <w:p w14:paraId="13A98FA0" w14:textId="77777777" w:rsidR="00A35C7B" w:rsidRPr="00C635AD" w:rsidRDefault="00A35C7B" w:rsidP="00A35C7B">
      <w:pPr>
        <w:pStyle w:val="SingleTxtG"/>
      </w:pPr>
      <w:r w:rsidRPr="00C635AD">
        <w:t>6.</w:t>
      </w:r>
      <w:r w:rsidRPr="00C635AD">
        <w:tab/>
        <w:t xml:space="preserve">The Committee can play a key role in bringing to the forefront Member States taking ambitious climate action and discussing necessary policy, regulatory and institutional approaches to move towards a large scale of decarbonization by 2050, the necessary means and partnerships, as such, inspiring the taking of more ambitious action by others. For 77 years, the Inland Transport Committee has provided a framework for intergovernmental cooperation and concerted action to facilitate international transport while improving its sustainability and environmental performance. The main results of this work are reflected in the </w:t>
      </w:r>
      <w:r w:rsidRPr="008852EE">
        <w:t>60</w:t>
      </w:r>
      <w:r w:rsidRPr="00C635AD">
        <w:t xml:space="preserve"> United Nations inland transport legal instruments under the purview of the Committee and its subsidiary bodies which provide the international policy, legal and technical platform for the development of international road, rail, inland waterway and combined transport.</w:t>
      </w:r>
    </w:p>
    <w:p w14:paraId="6AF7A35F" w14:textId="77777777" w:rsidR="00A35C7B" w:rsidRPr="00C635AD" w:rsidRDefault="00A35C7B" w:rsidP="00A35C7B">
      <w:pPr>
        <w:pStyle w:val="SingleTxtG"/>
      </w:pPr>
      <w:r w:rsidRPr="00C635AD">
        <w:t>7.</w:t>
      </w:r>
      <w:r w:rsidRPr="00C635AD">
        <w:tab/>
        <w:t>At the eighty-first session of the Committee in 2019, the Committee adopted its Strategy until 2030, establishing it as the United Nations platform for inland transport, performing functions comparable to the International Civil Aviation Organization (ICAO) and the International Maritime Organization (IMO). Both ICAO and IMO have set specific goals and adopted strategies or specific measures for the reduction of CO</w:t>
      </w:r>
      <w:r w:rsidRPr="00C635AD">
        <w:rPr>
          <w:vertAlign w:val="subscript"/>
        </w:rPr>
        <w:t>2</w:t>
      </w:r>
      <w:r w:rsidRPr="00C635AD">
        <w:t xml:space="preserve"> emissions from civil aviation and maritime transport respectively. The time is ripe for the inland transport sector to follow suit.</w:t>
      </w:r>
    </w:p>
    <w:p w14:paraId="394360D5" w14:textId="089BBF58" w:rsidR="00A35C7B" w:rsidRPr="00C635AD" w:rsidRDefault="00A35C7B" w:rsidP="00A35C7B">
      <w:pPr>
        <w:pStyle w:val="SingleTxtG"/>
      </w:pPr>
      <w:r w:rsidRPr="00C635AD">
        <w:t>8.</w:t>
      </w:r>
      <w:r w:rsidRPr="00C635AD">
        <w:tab/>
        <w:t>At its eighty-fifth annual session, ITC expressed its concern for the worsening situation globally due to the increasing frequency and severity of impacts from climate change and recognized the urgent need for inland transport to become part of the solution</w:t>
      </w:r>
      <w:r w:rsidR="001C68F4">
        <w:t>’</w:t>
      </w:r>
      <w:r w:rsidRPr="00C635AD">
        <w:t>s mix. The Committee requested the secretariat, in close cooperation with the ITC Bureau and relevant subsidiary bodies, to develop an ambitious strategy document for reducing GHG emissions in inland transport (the ITC Strategy for Reducing Greenhouse Gas Emissions from Inland Transport (ECE/TRANS/2024/2)) (ECE/TRANS/328, para</w:t>
      </w:r>
      <w:r w:rsidR="00D86976">
        <w:t>graphs</w:t>
      </w:r>
      <w:r w:rsidRPr="00C635AD">
        <w:t xml:space="preserve"> 58 and 60 (a)).</w:t>
      </w:r>
    </w:p>
    <w:p w14:paraId="68E6A5D1" w14:textId="0A464496" w:rsidR="00A35C7B" w:rsidRPr="00C635AD" w:rsidRDefault="00A35C7B" w:rsidP="00A35C7B">
      <w:pPr>
        <w:pStyle w:val="SingleTxtG"/>
      </w:pPr>
      <w:r w:rsidRPr="00C635AD">
        <w:t>9.</w:t>
      </w:r>
      <w:r w:rsidRPr="00C635AD">
        <w:tab/>
        <w:t xml:space="preserve">The Committee also requested the secretariat to align its work programme to the Ministerial Declaration “Harnessing the full potential of inland transport solutions in the global fight against climate change”, which was endorsed by the Committee at its eighty-fifth session and </w:t>
      </w:r>
      <w:r w:rsidR="00411D85">
        <w:t xml:space="preserve">to </w:t>
      </w:r>
      <w:r w:rsidRPr="00C635AD">
        <w:t xml:space="preserve">accord priority to its </w:t>
      </w:r>
      <w:r w:rsidRPr="00C635AD">
        <w:rPr>
          <w:rFonts w:eastAsia="Calibri"/>
        </w:rPr>
        <w:t>implementation</w:t>
      </w:r>
      <w:r w:rsidRPr="00C635AD">
        <w:t xml:space="preserve"> (ECE/TRANS/328, </w:t>
      </w:r>
      <w:r w:rsidRPr="00411D85">
        <w:t>para</w:t>
      </w:r>
      <w:r w:rsidR="00411D85" w:rsidRPr="00411D85">
        <w:t>graph</w:t>
      </w:r>
      <w:r w:rsidRPr="00C635AD">
        <w:t xml:space="preserve"> 60</w:t>
      </w:r>
      <w:r w:rsidR="00411D85">
        <w:t> </w:t>
      </w:r>
      <w:r w:rsidR="001C08A0" w:rsidRPr="00C635AD">
        <w:t>(</w:t>
      </w:r>
      <w:r w:rsidRPr="00C635AD">
        <w:t xml:space="preserve">h)). By endorsing the Ministerial Declaration, 29 Ministers and other </w:t>
      </w:r>
      <w:r w:rsidR="00411D85">
        <w:t>H</w:t>
      </w:r>
      <w:r w:rsidRPr="00C635AD">
        <w:t xml:space="preserve">eads of </w:t>
      </w:r>
      <w:r w:rsidR="00411D85">
        <w:t>D</w:t>
      </w:r>
      <w:r w:rsidRPr="00C635AD">
        <w:t>elegations also declared their “steadfast support for the goals and objectives of the 2030 Agenda and, inter alia, the UNFCCC and the Paris Agreement, to deliver on our climate change solutions and to accelerate the transition to decarbonized mobility and net zero or low emissions in the inland transport sector”, “fully supporting efforts to limit the temperature increase to 1.5 degree C above pre-industrial level,” with a “grave concern on the continued rise of GHG emissions in the transport sector.”</w:t>
      </w:r>
    </w:p>
    <w:p w14:paraId="737425FA" w14:textId="4F6F44B7" w:rsidR="00A35C7B" w:rsidRPr="00C635AD" w:rsidRDefault="00A35C7B" w:rsidP="00A35C7B">
      <w:pPr>
        <w:pStyle w:val="SingleTxtG"/>
      </w:pPr>
      <w:r w:rsidRPr="00C635AD">
        <w:t>1</w:t>
      </w:r>
      <w:r w:rsidR="00324F82" w:rsidRPr="00C635AD">
        <w:t>0</w:t>
      </w:r>
      <w:r w:rsidRPr="00C635AD">
        <w:t>.</w:t>
      </w:r>
      <w:r w:rsidRPr="00C635AD">
        <w:tab/>
        <w:t>ITC will “maintain regular high-level policy dialogues at future Committee sessions on new targets, strategies, plans, challenges and solutions aimed at reducing GHG emissions the inland transport sector to ensure that the Committee addresses this topic in a systematic way,” as called for by the above-mentioned Ministerial Declaration. Among others, member States will be able to discuss opportunities to enhance NDCs via transport: accelerating electrification while addressing fuel economy; strengthening “avoid and shift” measures that support travel by low-carbon modes; and seizing new opportunities to address freight emissions via electrification.</w:t>
      </w:r>
    </w:p>
    <w:p w14:paraId="49E1ECF8" w14:textId="4497886E" w:rsidR="00A35C7B" w:rsidRPr="00C635AD" w:rsidRDefault="00A35C7B" w:rsidP="00BC7092">
      <w:pPr>
        <w:pStyle w:val="SingleTxtG"/>
        <w:rPr>
          <w:strike/>
          <w:highlight w:val="yellow"/>
        </w:rPr>
      </w:pPr>
      <w:r w:rsidRPr="00C635AD">
        <w:t>11.</w:t>
      </w:r>
      <w:r w:rsidRPr="00C635AD">
        <w:tab/>
        <w:t xml:space="preserve">The high-level policy segment of the eighty-sixth plenary session of ITC </w:t>
      </w:r>
      <w:r w:rsidR="00A275A4">
        <w:t>can potentially</w:t>
      </w:r>
      <w:r w:rsidRPr="00C635AD">
        <w:t xml:space="preserve"> capitalize on the important mandates and ITC decisions generated at the Committee’s eighty-fifth session to help turn aspirational visions and targets into concrete action and outcomes. This theme aims to address the hard questions: How can inland transport be turned into a catalyst of climate change mitigation? What ambitious actions are needed and what role can ITC </w:t>
      </w:r>
      <w:r w:rsidR="0060365A" w:rsidRPr="00C635AD">
        <w:t xml:space="preserve">as the United Nations platform for inland transport </w:t>
      </w:r>
      <w:r w:rsidRPr="00C635AD">
        <w:t xml:space="preserve">play in </w:t>
      </w:r>
      <w:r w:rsidRPr="00C635AD">
        <w:lastRenderedPageBreak/>
        <w:t>achieving this? To answer these questions, the panels will explore the topic of climate change and the necessity of reducing GHG emissions in the inland transport sector</w:t>
      </w:r>
      <w:r w:rsidR="00C04DBF" w:rsidRPr="00C635AD">
        <w:t>.</w:t>
      </w:r>
    </w:p>
    <w:p w14:paraId="7B4CB763" w14:textId="5676C4DA" w:rsidR="00A35C7B" w:rsidRPr="00C635AD" w:rsidRDefault="00A35C7B" w:rsidP="00A35C7B">
      <w:pPr>
        <w:pStyle w:val="SingleTxtG"/>
        <w:rPr>
          <w:b/>
          <w:bCs/>
        </w:rPr>
      </w:pPr>
      <w:r w:rsidRPr="00C635AD">
        <w:t>12.</w:t>
      </w:r>
      <w:r w:rsidRPr="00C635AD">
        <w:tab/>
        <w:t>Furthermore, the panels will focus on the technological, financial and regulatory innovations needed to efficiently address challenges arising from climate change. They will explore policy responses to technological changes and the conditions for creating an open and enabling environment for innovations. The panels will also explore how the Committee and its subsidiary bodies can provide international regulatory support to enable a more rapid transition to greener forms of transport not only on roads, but also in other inland modes, such as through the increased use of automated driving and autonomous vehicles, intelligent transport systems and information and communication technologies.</w:t>
      </w:r>
    </w:p>
    <w:p w14:paraId="4924543D" w14:textId="4F718FC1" w:rsidR="00A35C7B" w:rsidRPr="00C635AD" w:rsidRDefault="00A35C7B" w:rsidP="00A35C7B">
      <w:pPr>
        <w:pStyle w:val="SingleTxtG"/>
        <w:rPr>
          <w:strike/>
        </w:rPr>
      </w:pPr>
      <w:r w:rsidRPr="00C635AD">
        <w:t>13.</w:t>
      </w:r>
      <w:r w:rsidRPr="00C635AD">
        <w:tab/>
        <w:t xml:space="preserve">The </w:t>
      </w:r>
      <w:r w:rsidR="000F19B6" w:rsidRPr="00C635AD">
        <w:t>h</w:t>
      </w:r>
      <w:r w:rsidRPr="00C635AD">
        <w:t>igh-level segment will also set the scene for the envisaged adoption of the ITC Strategy on Reducing Greenhouse Gas Emissions from Inland Transport</w:t>
      </w:r>
      <w:r w:rsidR="00BB57B9" w:rsidRPr="00C635AD">
        <w:t xml:space="preserve"> (ECE/TRANS/2024/3)</w:t>
      </w:r>
      <w:r w:rsidRPr="00C635AD">
        <w:t xml:space="preserve"> during the restricted session for government delegates on the second day of the eighty-sixth session of the Committee.</w:t>
      </w:r>
    </w:p>
    <w:p w14:paraId="11C08AFE" w14:textId="5FB86A32" w:rsidR="00A35C7B" w:rsidRPr="00C635AD" w:rsidRDefault="00A35C7B" w:rsidP="00A35C7B">
      <w:pPr>
        <w:pStyle w:val="HChG"/>
        <w:jc w:val="both"/>
      </w:pPr>
      <w:r w:rsidRPr="00C635AD">
        <w:tab/>
        <w:t>II.</w:t>
      </w:r>
      <w:r w:rsidRPr="00C635AD">
        <w:tab/>
        <w:t xml:space="preserve">High-level </w:t>
      </w:r>
      <w:r w:rsidR="00B601AB" w:rsidRPr="00C635AD">
        <w:t>S</w:t>
      </w:r>
      <w:r w:rsidRPr="00C635AD">
        <w:t>egment</w:t>
      </w:r>
    </w:p>
    <w:p w14:paraId="22A0FC28" w14:textId="55878228" w:rsidR="00A35C7B" w:rsidRPr="00C635AD" w:rsidRDefault="00A35C7B" w:rsidP="008C5209">
      <w:pPr>
        <w:pStyle w:val="SingleTxtG"/>
      </w:pPr>
      <w:r w:rsidRPr="00C635AD">
        <w:t>14.</w:t>
      </w:r>
      <w:r w:rsidRPr="00C635AD">
        <w:tab/>
        <w:t xml:space="preserve">Building on recommendations </w:t>
      </w:r>
      <w:r w:rsidR="00A275A4">
        <w:t>from</w:t>
      </w:r>
      <w:r w:rsidRPr="00C635AD">
        <w:t xml:space="preserve"> ITC and Bureau debates, the general theme of the policy segment will be on Taking ambitious climate action </w:t>
      </w:r>
      <w:r w:rsidR="00D93524" w:rsidRPr="00C635AD">
        <w:t>–</w:t>
      </w:r>
      <w:r w:rsidRPr="00C635AD">
        <w:t xml:space="preserve"> Moving towards decarbonized inland transport by 2050. This theme will provide an opportunity to reflect on the unique assets of the Committee, highlighting its value added and underlining its future potential in curbing </w:t>
      </w:r>
      <w:r w:rsidR="00973AAE" w:rsidRPr="00C635AD">
        <w:t xml:space="preserve">GHG </w:t>
      </w:r>
      <w:r w:rsidRPr="00C635AD">
        <w:t>emissions from inland transport and mitigating social and economic costs of climate change, both regionally and globally.</w:t>
      </w:r>
    </w:p>
    <w:p w14:paraId="14F641C2" w14:textId="77777777" w:rsidR="00A35C7B" w:rsidRPr="00C635AD" w:rsidRDefault="00A35C7B" w:rsidP="00A35C7B">
      <w:pPr>
        <w:pStyle w:val="SingleTxtG"/>
      </w:pPr>
      <w:r w:rsidRPr="00C635AD">
        <w:t>15.</w:t>
      </w:r>
      <w:r w:rsidRPr="00C635AD">
        <w:tab/>
        <w:t>The draft programme on Tuesday, 20 February 2024, includes:</w:t>
      </w:r>
    </w:p>
    <w:p w14:paraId="46455DEF" w14:textId="3AA3F603" w:rsidR="00A35C7B" w:rsidRPr="00C635AD" w:rsidRDefault="008C5209" w:rsidP="008C5209">
      <w:pPr>
        <w:pStyle w:val="SingleTxtG"/>
        <w:ind w:firstLine="567"/>
      </w:pPr>
      <w:r w:rsidRPr="00C635AD">
        <w:t>(a)</w:t>
      </w:r>
      <w:r w:rsidRPr="00C635AD">
        <w:tab/>
      </w:r>
      <w:r w:rsidR="00A35C7B" w:rsidRPr="00C635AD">
        <w:t>Opening statements;</w:t>
      </w:r>
    </w:p>
    <w:p w14:paraId="6E3164FA" w14:textId="6AA57732" w:rsidR="00A35C7B" w:rsidRPr="00C635AD" w:rsidRDefault="008C5209" w:rsidP="008C5209">
      <w:pPr>
        <w:pStyle w:val="SingleTxtG"/>
        <w:ind w:firstLine="567"/>
      </w:pPr>
      <w:r w:rsidRPr="00C635AD">
        <w:t>(b)</w:t>
      </w:r>
      <w:r w:rsidRPr="00C635AD">
        <w:tab/>
      </w:r>
      <w:r w:rsidR="00A35C7B" w:rsidRPr="00C635AD">
        <w:t>Two keynote speeches on the importance and urgency of ambitious climate action, harnessing the full potential of inland transport solutions and the role of the Committee as a catalyst for action and delivery;</w:t>
      </w:r>
    </w:p>
    <w:p w14:paraId="77FBABC6" w14:textId="289ECCFD" w:rsidR="00A35C7B" w:rsidRPr="00C635AD" w:rsidRDefault="008C5209" w:rsidP="008C5209">
      <w:pPr>
        <w:pStyle w:val="SingleTxtG"/>
        <w:ind w:firstLine="567"/>
      </w:pPr>
      <w:r w:rsidRPr="00C635AD">
        <w:t>(c)</w:t>
      </w:r>
      <w:r w:rsidRPr="00C635AD">
        <w:tab/>
      </w:r>
      <w:r w:rsidR="00A35C7B" w:rsidRPr="00C635AD">
        <w:t>Three thematic panel debates with up to four panellists each and followed by scheduled interventions from the floor;</w:t>
      </w:r>
    </w:p>
    <w:p w14:paraId="0CF9CCEF" w14:textId="0B4082C4" w:rsidR="00A35C7B" w:rsidRPr="00C635AD" w:rsidRDefault="008C5209" w:rsidP="008C5209">
      <w:pPr>
        <w:pStyle w:val="SingleTxtG"/>
        <w:ind w:firstLine="567"/>
      </w:pPr>
      <w:r w:rsidRPr="00C635AD">
        <w:t>(d)</w:t>
      </w:r>
      <w:r w:rsidRPr="00C635AD">
        <w:tab/>
      </w:r>
      <w:r w:rsidR="00A35C7B" w:rsidRPr="00C635AD">
        <w:t xml:space="preserve">A high-level </w:t>
      </w:r>
      <w:r w:rsidR="00335EDC" w:rsidRPr="00C635AD">
        <w:t xml:space="preserve">side </w:t>
      </w:r>
      <w:r w:rsidR="00A35C7B" w:rsidRPr="00C635AD">
        <w:t>event of the ITC Road Safety Forum</w:t>
      </w:r>
      <w:r w:rsidR="00F55D17">
        <w:t xml:space="preserve"> (ECE/TRANS/2024/7)</w:t>
      </w:r>
      <w:r w:rsidR="002A2EC5" w:rsidRPr="00C635AD">
        <w:t>;</w:t>
      </w:r>
    </w:p>
    <w:p w14:paraId="6637A5FE" w14:textId="6E5E3075" w:rsidR="00A35C7B" w:rsidRPr="00C635AD" w:rsidRDefault="008C5209" w:rsidP="008C5209">
      <w:pPr>
        <w:pStyle w:val="SingleTxtG"/>
        <w:ind w:firstLine="567"/>
      </w:pPr>
      <w:r w:rsidRPr="00C635AD">
        <w:t>(e)</w:t>
      </w:r>
      <w:r w:rsidRPr="00C635AD">
        <w:tab/>
      </w:r>
      <w:r w:rsidR="00A35C7B" w:rsidRPr="00C635AD">
        <w:t xml:space="preserve">The conference will conclude with the opportunity for </w:t>
      </w:r>
      <w:r w:rsidR="004418DE" w:rsidRPr="00C635AD">
        <w:t xml:space="preserve">attending </w:t>
      </w:r>
      <w:r w:rsidR="00A35C7B" w:rsidRPr="00C635AD">
        <w:t xml:space="preserve">Ministers and Heads of Delegations </w:t>
      </w:r>
      <w:r w:rsidR="004418DE" w:rsidRPr="00C635AD">
        <w:t xml:space="preserve">of United Nations Member States </w:t>
      </w:r>
      <w:r w:rsidR="00A35C7B" w:rsidRPr="00C635AD">
        <w:t xml:space="preserve">to </w:t>
      </w:r>
      <w:r w:rsidR="00946A5B" w:rsidRPr="00C635AD">
        <w:t>endorse the High-level Statement of Support to the adoption of</w:t>
      </w:r>
      <w:r w:rsidR="00A35C7B" w:rsidRPr="00C635AD">
        <w:t xml:space="preserve"> the ITC Strategy on Reducing Greenhouse Gas Emissions from Inland Transport</w:t>
      </w:r>
      <w:r w:rsidR="00946A5B" w:rsidRPr="00C635AD">
        <w:t xml:space="preserve"> (ECE/TRANS/2024/2)</w:t>
      </w:r>
      <w:r w:rsidR="00A35C7B" w:rsidRPr="00C635AD">
        <w:t>.</w:t>
      </w:r>
    </w:p>
    <w:p w14:paraId="7FE7F1D0" w14:textId="0C888318" w:rsidR="00A35C7B" w:rsidRPr="00C635AD" w:rsidRDefault="00A35C7B" w:rsidP="00A35C7B">
      <w:pPr>
        <w:pStyle w:val="H1G"/>
        <w:jc w:val="both"/>
        <w:rPr>
          <w:b w:val="0"/>
          <w:sz w:val="20"/>
        </w:rPr>
      </w:pPr>
      <w:r w:rsidRPr="00C635AD">
        <w:tab/>
        <w:t>A.</w:t>
      </w:r>
      <w:r w:rsidRPr="00C635AD">
        <w:tab/>
        <w:t xml:space="preserve">Opening and </w:t>
      </w:r>
      <w:r w:rsidR="00F168A1">
        <w:t>K</w:t>
      </w:r>
      <w:r w:rsidRPr="00C635AD">
        <w:t xml:space="preserve">eynote </w:t>
      </w:r>
      <w:r w:rsidR="00F168A1">
        <w:t>Sp</w:t>
      </w:r>
      <w:r w:rsidRPr="00C635AD">
        <w:t>eech</w:t>
      </w:r>
    </w:p>
    <w:p w14:paraId="009E5498" w14:textId="304DCBDF" w:rsidR="00A35C7B" w:rsidRPr="00C635AD" w:rsidRDefault="00A35C7B" w:rsidP="008C5209">
      <w:pPr>
        <w:pStyle w:val="SingleTxtG"/>
        <w:rPr>
          <w:highlight w:val="yellow"/>
        </w:rPr>
      </w:pPr>
      <w:r w:rsidRPr="00C635AD">
        <w:t>16.</w:t>
      </w:r>
      <w:r w:rsidRPr="00C635AD">
        <w:tab/>
        <w:t>The traditional opening statements will be followed by two keynote speeches from major recognizable leaders in the global fight against climate change</w:t>
      </w:r>
      <w:r w:rsidR="00DF7F92">
        <w:t>. The keynote speeches will focus</w:t>
      </w:r>
      <w:r w:rsidRPr="00C635AD">
        <w:t xml:space="preserve"> on the vital need of taking ambitious and effective action and finding solutions to enable governments around the world to learn, improve and deliver on their climate commitments. A key factor for a successful way forward, in addition to member States setting ambitious targets, is the preparedness of the international regulatory system to provide mature solutions to support member States in their efforts and in reaching their targets. Thus, the keynotes will also place an emphasis on the strategic role of the Committee in providing a comprehensive cooperation platform to forge concerted solutions and enhance international collaboration.</w:t>
      </w:r>
    </w:p>
    <w:p w14:paraId="551FF87A" w14:textId="2A28AE1A" w:rsidR="00A35C7B" w:rsidRPr="00C635AD" w:rsidRDefault="00A35C7B" w:rsidP="00A35C7B">
      <w:pPr>
        <w:pStyle w:val="H1G"/>
        <w:jc w:val="both"/>
      </w:pPr>
      <w:r w:rsidRPr="00C635AD">
        <w:lastRenderedPageBreak/>
        <w:tab/>
        <w:t>B.</w:t>
      </w:r>
      <w:r w:rsidRPr="00C635AD">
        <w:tab/>
        <w:t xml:space="preserve">Panel </w:t>
      </w:r>
      <w:r w:rsidR="00F168A1">
        <w:t>D</w:t>
      </w:r>
      <w:r w:rsidRPr="00C635AD">
        <w:t>ebates</w:t>
      </w:r>
    </w:p>
    <w:p w14:paraId="468C3D71" w14:textId="77777777" w:rsidR="00A35C7B" w:rsidRPr="00C635AD" w:rsidRDefault="00A35C7B" w:rsidP="00A35C7B">
      <w:pPr>
        <w:pStyle w:val="SingleTxtG"/>
      </w:pPr>
      <w:r w:rsidRPr="00C635AD">
        <w:t>17.</w:t>
      </w:r>
      <w:r w:rsidRPr="00C635AD">
        <w:tab/>
        <w:t>Three high-level panel debates will follow, with themes on critical policy and regulatory issues of direct relevance to the challenge of tackling climate change for ITC, its subsidiary bodies and member States. The panel themes are:</w:t>
      </w:r>
    </w:p>
    <w:p w14:paraId="0D1E0467" w14:textId="7C56FC23" w:rsidR="00A35C7B" w:rsidRPr="00C635AD" w:rsidRDefault="00A77FEA" w:rsidP="00BC7092">
      <w:pPr>
        <w:pStyle w:val="SingleTxtG"/>
        <w:ind w:firstLine="397"/>
      </w:pPr>
      <w:r w:rsidRPr="00C635AD">
        <w:t>(a)</w:t>
      </w:r>
      <w:r w:rsidRPr="00C635AD">
        <w:tab/>
      </w:r>
      <w:r w:rsidR="00A35C7B" w:rsidRPr="00C635AD">
        <w:t>National visions and policy ambitions to move towards decarbonized inland transport by 2050;</w:t>
      </w:r>
    </w:p>
    <w:p w14:paraId="0D2A391E" w14:textId="509A4A7D" w:rsidR="00A35C7B" w:rsidRPr="00C635AD" w:rsidRDefault="00A77FEA" w:rsidP="00A77FEA">
      <w:pPr>
        <w:pStyle w:val="SingleTxtG"/>
        <w:ind w:firstLine="397"/>
      </w:pPr>
      <w:r w:rsidRPr="00C635AD">
        <w:t>(b)</w:t>
      </w:r>
      <w:r w:rsidRPr="00C635AD">
        <w:tab/>
      </w:r>
      <w:r w:rsidR="00A35C7B" w:rsidRPr="00C635AD">
        <w:t>Accelerating climate change mitigation in inland transport: Reaping synergies with urban development, environment and energy policies;</w:t>
      </w:r>
    </w:p>
    <w:p w14:paraId="0DA00D07" w14:textId="5E05A700" w:rsidR="00A35C7B" w:rsidRPr="00C635AD" w:rsidRDefault="00A77FEA" w:rsidP="00A77FEA">
      <w:pPr>
        <w:pStyle w:val="SingleTxtG"/>
        <w:ind w:firstLine="397"/>
      </w:pPr>
      <w:r w:rsidRPr="00C635AD">
        <w:t>(c)</w:t>
      </w:r>
      <w:r w:rsidRPr="00C635AD">
        <w:tab/>
      </w:r>
      <w:r w:rsidR="00A35C7B" w:rsidRPr="00C635AD">
        <w:t>International cooperation, intergovernmental support and partnerships for climate action.</w:t>
      </w:r>
    </w:p>
    <w:p w14:paraId="4D19694C" w14:textId="13660886" w:rsidR="00793B17" w:rsidRPr="00C635AD" w:rsidRDefault="00A35C7B" w:rsidP="00A35C7B">
      <w:pPr>
        <w:pStyle w:val="SingleTxtG"/>
      </w:pPr>
      <w:r w:rsidRPr="00C635AD">
        <w:t>18.</w:t>
      </w:r>
      <w:r w:rsidRPr="00C635AD">
        <w:tab/>
      </w:r>
      <w:r w:rsidR="00793B17" w:rsidRPr="00C635AD">
        <w:t>The panels will, inter alia, address the following questions: What are national visions, policy ambitions</w:t>
      </w:r>
      <w:r w:rsidR="003F04DA" w:rsidRPr="00C635AD">
        <w:t xml:space="preserve"> and </w:t>
      </w:r>
      <w:r w:rsidR="00793B17" w:rsidRPr="00C635AD">
        <w:t xml:space="preserve">best practices to reduce GHG emissions in the inland transport sector? </w:t>
      </w:r>
      <w:r w:rsidR="00184FD1" w:rsidRPr="00C635AD">
        <w:t xml:space="preserve">What challenges and opportunities </w:t>
      </w:r>
      <w:r w:rsidR="003F04DA" w:rsidRPr="00C635AD">
        <w:t xml:space="preserve">does the transition to sustainable inland transport entail? </w:t>
      </w:r>
      <w:r w:rsidR="00793B17" w:rsidRPr="00C635AD">
        <w:t>What</w:t>
      </w:r>
      <w:r w:rsidR="003F04DA" w:rsidRPr="00C635AD">
        <w:t xml:space="preserve"> </w:t>
      </w:r>
      <w:r w:rsidR="00793B17" w:rsidRPr="00C635AD">
        <w:t>role</w:t>
      </w:r>
      <w:r w:rsidR="003F04DA" w:rsidRPr="00C635AD">
        <w:t xml:space="preserve"> do</w:t>
      </w:r>
      <w:r w:rsidR="00793B17" w:rsidRPr="00C635AD">
        <w:t xml:space="preserve"> strategic partnerships and international cooperation</w:t>
      </w:r>
      <w:r w:rsidR="003F04DA" w:rsidRPr="00C635AD">
        <w:t xml:space="preserve"> play</w:t>
      </w:r>
      <w:r w:rsidR="00793B17" w:rsidRPr="00C635AD">
        <w:t xml:space="preserve">, and how can they foster a just </w:t>
      </w:r>
      <w:r w:rsidR="0099430C" w:rsidRPr="00C635AD">
        <w:t xml:space="preserve">and equitable </w:t>
      </w:r>
      <w:r w:rsidR="00793B17" w:rsidRPr="00C635AD">
        <w:t xml:space="preserve">transition? How can ITC support ambitious climate action and help ensure compatibility </w:t>
      </w:r>
      <w:r w:rsidR="0049742E" w:rsidRPr="00C635AD">
        <w:t xml:space="preserve">of </w:t>
      </w:r>
      <w:r w:rsidR="00793B17" w:rsidRPr="00C635AD">
        <w:t>actions aimed at decreasing GHG emissions and actions prioritizing transport affordability, safety, security and inclusion?</w:t>
      </w:r>
    </w:p>
    <w:p w14:paraId="133F2C7F" w14:textId="53661207" w:rsidR="00A35C7B" w:rsidRPr="00C635AD" w:rsidRDefault="0049742E" w:rsidP="00A35C7B">
      <w:pPr>
        <w:pStyle w:val="SingleTxtG"/>
      </w:pPr>
      <w:r w:rsidRPr="00C635AD">
        <w:t>19.</w:t>
      </w:r>
      <w:r w:rsidRPr="00C635AD">
        <w:tab/>
      </w:r>
      <w:r w:rsidR="00A35C7B" w:rsidRPr="00C635AD">
        <w:t>Each panel debate will accommodate up to four high-level panellists.</w:t>
      </w:r>
    </w:p>
    <w:p w14:paraId="799AB6B6" w14:textId="02D12460" w:rsidR="00A35C7B" w:rsidRPr="00C635AD" w:rsidRDefault="0049742E" w:rsidP="00A35C7B">
      <w:pPr>
        <w:pStyle w:val="SingleTxtG"/>
      </w:pPr>
      <w:r w:rsidRPr="00C635AD">
        <w:t>20</w:t>
      </w:r>
      <w:r w:rsidR="00A35C7B" w:rsidRPr="00C635AD">
        <w:t>.</w:t>
      </w:r>
      <w:r w:rsidR="00A35C7B" w:rsidRPr="00C635AD">
        <w:tab/>
        <w:t>Each debate will be moderated starting with short statements by the panellists, followed by scheduled high-level interventions from the floor and an open discussion.</w:t>
      </w:r>
    </w:p>
    <w:p w14:paraId="3F605542" w14:textId="1D579C3F" w:rsidR="00A35C7B" w:rsidRPr="00C635AD" w:rsidRDefault="00A35C7B" w:rsidP="00A35C7B">
      <w:pPr>
        <w:pStyle w:val="H1G"/>
      </w:pPr>
      <w:r w:rsidRPr="00C635AD">
        <w:tab/>
        <w:t>C.</w:t>
      </w:r>
      <w:r w:rsidRPr="00C635AD">
        <w:tab/>
      </w:r>
      <w:r w:rsidR="00793B17" w:rsidRPr="00C635AD">
        <w:t>Endorsing the Adoption of</w:t>
      </w:r>
      <w:r w:rsidRPr="00C635AD">
        <w:t xml:space="preserve"> the I</w:t>
      </w:r>
      <w:r w:rsidR="00793B17" w:rsidRPr="00C635AD">
        <w:t xml:space="preserve">nland Transport Committee </w:t>
      </w:r>
      <w:r w:rsidRPr="00C635AD">
        <w:t>Strategy on Reducing Greenhouse Gas Emissions from Inland Transport</w:t>
      </w:r>
    </w:p>
    <w:p w14:paraId="6DB3A99A" w14:textId="75A656DE" w:rsidR="00A35C7B" w:rsidRPr="00C635AD" w:rsidRDefault="00A35C7B" w:rsidP="00A35C7B">
      <w:pPr>
        <w:pStyle w:val="SingleTxtG"/>
      </w:pPr>
      <w:r w:rsidRPr="00C635AD">
        <w:t>2</w:t>
      </w:r>
      <w:r w:rsidR="0049742E" w:rsidRPr="00C635AD">
        <w:t>1</w:t>
      </w:r>
      <w:r w:rsidRPr="00C635AD">
        <w:t>.</w:t>
      </w:r>
      <w:r w:rsidRPr="00C635AD">
        <w:tab/>
        <w:t xml:space="preserve">At the end of the meeting, Ministers and Heads of Delegations of </w:t>
      </w:r>
      <w:r w:rsidR="00534771" w:rsidRPr="00C635AD">
        <w:t xml:space="preserve">United Nations </w:t>
      </w:r>
      <w:r w:rsidRPr="00C635AD">
        <w:t xml:space="preserve">Member States will be invited to </w:t>
      </w:r>
      <w:r w:rsidR="00534771" w:rsidRPr="00C635AD">
        <w:t>endorse</w:t>
      </w:r>
      <w:r w:rsidRPr="00C635AD">
        <w:t xml:space="preserve"> the </w:t>
      </w:r>
      <w:r w:rsidR="00534771" w:rsidRPr="00C635AD">
        <w:t xml:space="preserve">High-level Statement of Support to the adoption of the </w:t>
      </w:r>
      <w:r w:rsidRPr="00C635AD">
        <w:t>ITC Strategy on Reducing Greenhouse Gas Emissions from Inland Transport (ECE/TRANS/2024/2)</w:t>
      </w:r>
      <w:r w:rsidR="00534771" w:rsidRPr="00C635AD">
        <w:t>. The Strategy</w:t>
      </w:r>
      <w:r w:rsidR="00A936E4" w:rsidRPr="00C635AD">
        <w:t>, as contained in ECE/TRANS/2024/3, includes</w:t>
      </w:r>
      <w:r w:rsidRPr="00C635AD">
        <w:t xml:space="preserve"> the aspirational goal of net zero GHG emissions from inland transport by 2050. The Strategy was </w:t>
      </w:r>
      <w:r w:rsidR="00D443AC" w:rsidRPr="00C635AD">
        <w:t>elaborated</w:t>
      </w:r>
      <w:r w:rsidRPr="00C635AD">
        <w:t xml:space="preserve"> following the Committee’s request at its eighty-fifth session (ECE/TRANS/328, para</w:t>
      </w:r>
      <w:r w:rsidR="00F94027">
        <w:t>graph</w:t>
      </w:r>
      <w:r w:rsidRPr="00C635AD">
        <w:t xml:space="preserve"> 60 (a)). It is focused primarily on climate change mitigation and sets out priority actions for the Committee and its subsidiary bodies, including an ambitious </w:t>
      </w:r>
      <w:r w:rsidR="00A936E4" w:rsidRPr="00C635AD">
        <w:t xml:space="preserve">initial </w:t>
      </w:r>
      <w:r w:rsidR="00D443AC" w:rsidRPr="00C635AD">
        <w:t xml:space="preserve">climate </w:t>
      </w:r>
      <w:r w:rsidRPr="00C635AD">
        <w:t>action plan with milestones. The Strategy will be reviewed and potentially adopted by the Committee during the restricted session for Government representatives only on 21</w:t>
      </w:r>
      <w:r w:rsidR="00206125" w:rsidRPr="00C635AD">
        <w:t xml:space="preserve"> </w:t>
      </w:r>
      <w:r w:rsidRPr="00C635AD">
        <w:t xml:space="preserve">February </w:t>
      </w:r>
      <w:r w:rsidRPr="00F94027">
        <w:t>202</w:t>
      </w:r>
      <w:r w:rsidR="00F94027" w:rsidRPr="00F94027">
        <w:t>4</w:t>
      </w:r>
      <w:r w:rsidRPr="00F94027">
        <w:t>.</w:t>
      </w:r>
    </w:p>
    <w:p w14:paraId="207E76FA" w14:textId="3B685947" w:rsidR="00A35C7B" w:rsidRPr="00C635AD" w:rsidRDefault="00A35C7B" w:rsidP="00A35C7B">
      <w:pPr>
        <w:pStyle w:val="SingleTxtG"/>
      </w:pPr>
      <w:r w:rsidRPr="00C635AD">
        <w:t>2</w:t>
      </w:r>
      <w:r w:rsidR="0049742E" w:rsidRPr="00C635AD">
        <w:t>2</w:t>
      </w:r>
      <w:r w:rsidRPr="00C635AD">
        <w:t>.</w:t>
      </w:r>
      <w:r w:rsidRPr="00C635AD">
        <w:tab/>
        <w:t xml:space="preserve">The deliberations of the high-level segment can be captured </w:t>
      </w:r>
      <w:r w:rsidR="00206125" w:rsidRPr="00C635AD">
        <w:t>(</w:t>
      </w:r>
      <w:r w:rsidRPr="00C635AD">
        <w:t xml:space="preserve">a) either directly in the meeting report, in line with previous practice, or </w:t>
      </w:r>
      <w:r w:rsidR="00206125" w:rsidRPr="00C635AD">
        <w:t>(</w:t>
      </w:r>
      <w:r w:rsidRPr="00C635AD">
        <w:t>b) in a Chair’s summary to be annexed to the meeting report.</w:t>
      </w:r>
    </w:p>
    <w:p w14:paraId="2EA71C61" w14:textId="4BB8CED7" w:rsidR="00A35C7B" w:rsidRPr="00C635AD" w:rsidRDefault="00A35C7B" w:rsidP="00A35C7B">
      <w:pPr>
        <w:pStyle w:val="HChG"/>
        <w:jc w:val="both"/>
      </w:pPr>
      <w:r w:rsidRPr="00C635AD">
        <w:tab/>
        <w:t>III.</w:t>
      </w:r>
      <w:r w:rsidRPr="00C635AD">
        <w:tab/>
        <w:t xml:space="preserve">Scheduled </w:t>
      </w:r>
      <w:r w:rsidR="00AD300B" w:rsidRPr="00C635AD">
        <w:t>H</w:t>
      </w:r>
      <w:r w:rsidRPr="00C635AD">
        <w:t xml:space="preserve">igh-level </w:t>
      </w:r>
      <w:r w:rsidR="00AD300B" w:rsidRPr="00C635AD">
        <w:t>S</w:t>
      </w:r>
      <w:r w:rsidRPr="00C635AD">
        <w:t xml:space="preserve">ide </w:t>
      </w:r>
      <w:r w:rsidR="00AD300B" w:rsidRPr="00C635AD">
        <w:t>E</w:t>
      </w:r>
      <w:r w:rsidRPr="00C635AD">
        <w:t>vents</w:t>
      </w:r>
    </w:p>
    <w:p w14:paraId="5BF87A9F" w14:textId="56136A32" w:rsidR="00A35C7B" w:rsidRPr="00C635AD" w:rsidRDefault="00A35C7B" w:rsidP="00A35C7B">
      <w:pPr>
        <w:pStyle w:val="H1G"/>
      </w:pPr>
      <w:r w:rsidRPr="00C635AD">
        <w:tab/>
        <w:t>A.</w:t>
      </w:r>
      <w:r w:rsidRPr="00C635AD">
        <w:tab/>
        <w:t xml:space="preserve">High-level </w:t>
      </w:r>
      <w:r w:rsidR="00AD300B" w:rsidRPr="00C635AD">
        <w:t>Side E</w:t>
      </w:r>
      <w:r w:rsidRPr="00C635AD">
        <w:t>vent of the I</w:t>
      </w:r>
      <w:r w:rsidR="008C4E94">
        <w:t xml:space="preserve">nland </w:t>
      </w:r>
      <w:r w:rsidRPr="00C635AD">
        <w:t>T</w:t>
      </w:r>
      <w:r w:rsidR="008C4E94">
        <w:t xml:space="preserve">ransport </w:t>
      </w:r>
      <w:r w:rsidRPr="00C635AD">
        <w:t>C</w:t>
      </w:r>
      <w:r w:rsidR="008C4E94">
        <w:t>ommittee</w:t>
      </w:r>
      <w:r w:rsidRPr="00C635AD">
        <w:t xml:space="preserve"> Road Safety Forum</w:t>
      </w:r>
    </w:p>
    <w:p w14:paraId="6685073E" w14:textId="046887D4" w:rsidR="00A35C7B" w:rsidRPr="00C635AD" w:rsidRDefault="00A35C7B" w:rsidP="00A35C7B">
      <w:pPr>
        <w:pStyle w:val="SingleTxtG"/>
      </w:pPr>
      <w:r w:rsidRPr="00C635AD">
        <w:tab/>
        <w:t>2</w:t>
      </w:r>
      <w:r w:rsidR="0049742E" w:rsidRPr="00C635AD">
        <w:t>3</w:t>
      </w:r>
      <w:r w:rsidRPr="00C635AD">
        <w:t>.</w:t>
      </w:r>
      <w:r w:rsidRPr="00C635AD">
        <w:tab/>
        <w:t xml:space="preserve">Despite strong and consistent efforts by Member States, the international community was not able to achieve by 2020 the target of the Sustainable Development Goals on road safety as evidenced by increasing, rather than decreasing, road fatalities and injuries globally. In response, the General Assembly adopted on 31 August 2020, resolution 74/299 on Improving global road safety, inaugurating the second Decade of Action for Road Safety, setting new ambitious goals, supported by the launch in 2021 of a new Global Plan of Action as a guiding document to support the implementation of its objectives. Both milestones recognize the unique and critical role of ECE and ITC. </w:t>
      </w:r>
    </w:p>
    <w:p w14:paraId="1873BB6E" w14:textId="69C07B15" w:rsidR="00A35C7B" w:rsidRPr="00C635AD" w:rsidRDefault="00A35C7B" w:rsidP="00A35C7B">
      <w:pPr>
        <w:pStyle w:val="SingleTxtG"/>
        <w:rPr>
          <w:highlight w:val="yellow"/>
        </w:rPr>
      </w:pPr>
      <w:r w:rsidRPr="00C635AD">
        <w:lastRenderedPageBreak/>
        <w:t>2</w:t>
      </w:r>
      <w:r w:rsidR="0049742E" w:rsidRPr="00C635AD">
        <w:t>4</w:t>
      </w:r>
      <w:r w:rsidRPr="00C635AD">
        <w:t>.</w:t>
      </w:r>
      <w:r w:rsidRPr="00C635AD">
        <w:tab/>
        <w:t>The Inland Transport Committee Road Safety Forum’s objective is to provide a structured platform that will bring together key worldwide stakeholders for a regular and strategic discussion on progress achieved, remaining challenges and the way forward for the success of the second Decade of Action and the implementation of its Global Plan of Action (ECE/TRANS/2023/36). Th</w:t>
      </w:r>
      <w:r w:rsidR="00431897">
        <w:t>e</w:t>
      </w:r>
      <w:r w:rsidRPr="00C635AD">
        <w:t xml:space="preserve"> Road Safety Forum will capitalize on the key directions of the High-level Road Safety Forum Side Event in the areas of Road Safety Management and of Road Safety Financing (ECE/TRANS/2024/</w:t>
      </w:r>
      <w:r w:rsidR="00D443AC" w:rsidRPr="00C635AD">
        <w:t>7</w:t>
      </w:r>
      <w:r w:rsidRPr="00C635AD">
        <w:t>). This event will be organized in conjunction with the High-level Segment of the eighty-six</w:t>
      </w:r>
      <w:r w:rsidR="00AD0C29" w:rsidRPr="00C635AD">
        <w:t>th</w:t>
      </w:r>
      <w:r w:rsidRPr="00C635AD">
        <w:t xml:space="preserve"> plenary session of ITC.</w:t>
      </w:r>
    </w:p>
    <w:p w14:paraId="2AEA1FA3" w14:textId="324CA828" w:rsidR="00A35C7B" w:rsidRPr="00C635AD" w:rsidRDefault="00A35C7B" w:rsidP="00A35C7B">
      <w:pPr>
        <w:pStyle w:val="SingleTxtG"/>
      </w:pPr>
      <w:r w:rsidRPr="00C635AD">
        <w:t>2</w:t>
      </w:r>
      <w:r w:rsidR="0049742E" w:rsidRPr="00C635AD">
        <w:t>5</w:t>
      </w:r>
      <w:r w:rsidRPr="00C635AD">
        <w:t>.</w:t>
      </w:r>
      <w:r w:rsidRPr="00C635AD">
        <w:tab/>
        <w:t>Th</w:t>
      </w:r>
      <w:r w:rsidR="00F36B79">
        <w:t>e</w:t>
      </w:r>
      <w:r w:rsidRPr="00C635AD">
        <w:t xml:space="preserve"> </w:t>
      </w:r>
      <w:r w:rsidR="003224B5">
        <w:t>h</w:t>
      </w:r>
      <w:r w:rsidR="003224B5" w:rsidRPr="00C635AD">
        <w:t>igh</w:t>
      </w:r>
      <w:r w:rsidRPr="00C635AD">
        <w:t>-level side event will bring together key worldwide stakeholders for a strategic discussion on the new course of action that is needed in order to make definitive progress in successfully addressing the continuing crisis</w:t>
      </w:r>
      <w:r w:rsidR="00F36B79">
        <w:t>. It</w:t>
      </w:r>
      <w:r w:rsidRPr="00C635AD">
        <w:t xml:space="preserve"> will provide key directions and high-level insights for the ITC Road Safety Forum.</w:t>
      </w:r>
    </w:p>
    <w:p w14:paraId="72CC7E4A" w14:textId="77777777" w:rsidR="00A35C7B" w:rsidRPr="00C635AD" w:rsidRDefault="00A35C7B" w:rsidP="00A35C7B">
      <w:pPr>
        <w:suppressAutoHyphens w:val="0"/>
        <w:spacing w:line="240" w:lineRule="auto"/>
      </w:pPr>
      <w:r w:rsidRPr="00C635AD">
        <w:br w:type="page"/>
      </w:r>
    </w:p>
    <w:p w14:paraId="2A15C110" w14:textId="77777777" w:rsidR="00A35C7B" w:rsidRPr="00C635AD" w:rsidRDefault="00A35C7B" w:rsidP="00A35C7B">
      <w:pPr>
        <w:pStyle w:val="HChG"/>
      </w:pPr>
      <w:r w:rsidRPr="00C635AD">
        <w:lastRenderedPageBreak/>
        <w:t>Annex I</w:t>
      </w:r>
    </w:p>
    <w:p w14:paraId="1F9C571C" w14:textId="55BD9E3D" w:rsidR="00A35C7B" w:rsidRPr="00C635AD" w:rsidRDefault="00A35C7B" w:rsidP="00A35C7B">
      <w:pPr>
        <w:pStyle w:val="HChG"/>
      </w:pPr>
      <w:r w:rsidRPr="00C635AD">
        <w:tab/>
      </w:r>
      <w:r w:rsidRPr="00C635AD">
        <w:tab/>
        <w:t xml:space="preserve">Draft </w:t>
      </w:r>
      <w:r w:rsidR="00D9671E" w:rsidRPr="00C635AD">
        <w:t>P</w:t>
      </w:r>
      <w:r w:rsidRPr="00C635AD">
        <w:t>rogramme (19–23 February 2024)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701"/>
        <w:gridCol w:w="3271"/>
        <w:gridCol w:w="3272"/>
      </w:tblGrid>
      <w:tr w:rsidR="00A35C7B" w:rsidRPr="00C635AD" w14:paraId="7E24E2BA" w14:textId="77777777" w:rsidTr="00B17A5F">
        <w:trPr>
          <w:trHeight w:val="630"/>
        </w:trPr>
        <w:tc>
          <w:tcPr>
            <w:tcW w:w="1395" w:type="dxa"/>
            <w:shd w:val="clear" w:color="auto" w:fill="auto"/>
            <w:vAlign w:val="center"/>
            <w:hideMark/>
          </w:tcPr>
          <w:p w14:paraId="4BC68DE9"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bookmarkStart w:id="0" w:name="RANGE!A1:F15"/>
            <w:r w:rsidRPr="00C635AD">
              <w:rPr>
                <w:rFonts w:asciiTheme="majorBidi" w:hAnsiTheme="majorBidi" w:cstheme="majorBidi"/>
                <w:b/>
                <w:bCs/>
                <w:color w:val="000000"/>
                <w:sz w:val="22"/>
                <w:szCs w:val="22"/>
                <w:lang w:eastAsia="zh-CN"/>
              </w:rPr>
              <w:t xml:space="preserve">Monday </w:t>
            </w:r>
            <w:r w:rsidRPr="00C635AD">
              <w:rPr>
                <w:rFonts w:asciiTheme="majorBidi" w:hAnsiTheme="majorBidi" w:cstheme="majorBidi"/>
                <w:b/>
                <w:bCs/>
                <w:color w:val="000000"/>
                <w:sz w:val="22"/>
                <w:szCs w:val="22"/>
                <w:lang w:eastAsia="zh-CN"/>
              </w:rPr>
              <w:br/>
              <w:t>19 February</w:t>
            </w:r>
            <w:bookmarkEnd w:id="0"/>
          </w:p>
        </w:tc>
        <w:tc>
          <w:tcPr>
            <w:tcW w:w="1701" w:type="dxa"/>
            <w:shd w:val="clear" w:color="auto" w:fill="auto"/>
            <w:vAlign w:val="center"/>
            <w:hideMark/>
          </w:tcPr>
          <w:p w14:paraId="1B3EFB17" w14:textId="610FC244"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10 a.m.–6 p.m.</w:t>
            </w:r>
          </w:p>
        </w:tc>
        <w:tc>
          <w:tcPr>
            <w:tcW w:w="6543" w:type="dxa"/>
            <w:gridSpan w:val="2"/>
            <w:shd w:val="clear" w:color="000000" w:fill="92D050"/>
            <w:vAlign w:val="center"/>
            <w:hideMark/>
          </w:tcPr>
          <w:p w14:paraId="5A3353DB"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ITC Bureau meeting</w:t>
            </w:r>
          </w:p>
        </w:tc>
      </w:tr>
      <w:tr w:rsidR="00A35C7B" w:rsidRPr="00C635AD" w14:paraId="21C28490" w14:textId="77777777" w:rsidTr="00B17A5F">
        <w:trPr>
          <w:trHeight w:val="660"/>
        </w:trPr>
        <w:tc>
          <w:tcPr>
            <w:tcW w:w="1395" w:type="dxa"/>
            <w:vMerge w:val="restart"/>
            <w:shd w:val="clear" w:color="auto" w:fill="auto"/>
            <w:vAlign w:val="center"/>
            <w:hideMark/>
          </w:tcPr>
          <w:p w14:paraId="681B0888"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 xml:space="preserve">Tuesday </w:t>
            </w:r>
            <w:r w:rsidRPr="00C635AD">
              <w:rPr>
                <w:rFonts w:asciiTheme="majorBidi" w:hAnsiTheme="majorBidi" w:cstheme="majorBidi"/>
                <w:b/>
                <w:bCs/>
                <w:color w:val="000000"/>
                <w:sz w:val="22"/>
                <w:szCs w:val="22"/>
                <w:lang w:eastAsia="zh-CN"/>
              </w:rPr>
              <w:br/>
              <w:t>20 February</w:t>
            </w:r>
          </w:p>
        </w:tc>
        <w:tc>
          <w:tcPr>
            <w:tcW w:w="1701" w:type="dxa"/>
            <w:shd w:val="clear" w:color="auto" w:fill="auto"/>
            <w:vAlign w:val="center"/>
            <w:hideMark/>
          </w:tcPr>
          <w:p w14:paraId="7023391F" w14:textId="769517A3"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10 a.m.–1 p.m.</w:t>
            </w:r>
          </w:p>
        </w:tc>
        <w:tc>
          <w:tcPr>
            <w:tcW w:w="6543" w:type="dxa"/>
            <w:gridSpan w:val="2"/>
            <w:shd w:val="clear" w:color="auto" w:fill="9BC2E6"/>
            <w:vAlign w:val="center"/>
            <w:hideMark/>
          </w:tcPr>
          <w:p w14:paraId="125353CC"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ITC High-level segment</w:t>
            </w:r>
            <w:r w:rsidRPr="00C635AD">
              <w:rPr>
                <w:rFonts w:asciiTheme="majorBidi" w:hAnsiTheme="majorBidi" w:cstheme="majorBidi"/>
                <w:b/>
                <w:bCs/>
                <w:color w:val="000000"/>
                <w:sz w:val="22"/>
                <w:szCs w:val="22"/>
                <w:lang w:eastAsia="zh-CN"/>
              </w:rPr>
              <w:br/>
              <w:t>Salle XIX</w:t>
            </w:r>
          </w:p>
        </w:tc>
      </w:tr>
      <w:tr w:rsidR="00A35C7B" w:rsidRPr="00C635AD" w14:paraId="49E045EF" w14:textId="77777777" w:rsidTr="00B17A5F">
        <w:trPr>
          <w:trHeight w:val="585"/>
        </w:trPr>
        <w:tc>
          <w:tcPr>
            <w:tcW w:w="1395" w:type="dxa"/>
            <w:vMerge/>
            <w:shd w:val="clear" w:color="auto" w:fill="auto"/>
            <w:vAlign w:val="center"/>
            <w:hideMark/>
          </w:tcPr>
          <w:p w14:paraId="3E645EC8"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2B94E9A9" w14:textId="57F11074"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1–2 p.m.</w:t>
            </w:r>
          </w:p>
        </w:tc>
        <w:tc>
          <w:tcPr>
            <w:tcW w:w="6543" w:type="dxa"/>
            <w:gridSpan w:val="2"/>
            <w:shd w:val="clear" w:color="auto" w:fill="9BC2E6"/>
            <w:vAlign w:val="center"/>
            <w:hideMark/>
          </w:tcPr>
          <w:p w14:paraId="0AD4CB6B"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ITC Road Safety Forum</w:t>
            </w:r>
          </w:p>
          <w:p w14:paraId="208C853D"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Salle XIX</w:t>
            </w:r>
          </w:p>
        </w:tc>
      </w:tr>
      <w:tr w:rsidR="00A35C7B" w:rsidRPr="00C635AD" w14:paraId="6E38020C" w14:textId="77777777" w:rsidTr="00B17A5F">
        <w:trPr>
          <w:trHeight w:val="585"/>
        </w:trPr>
        <w:tc>
          <w:tcPr>
            <w:tcW w:w="1395" w:type="dxa"/>
            <w:vMerge/>
            <w:shd w:val="clear" w:color="auto" w:fill="auto"/>
            <w:vAlign w:val="center"/>
          </w:tcPr>
          <w:p w14:paraId="3BE7B452"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tcPr>
          <w:p w14:paraId="42FD871B" w14:textId="67BA85B5"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 xml:space="preserve">2–3 p.m. </w:t>
            </w:r>
          </w:p>
        </w:tc>
        <w:tc>
          <w:tcPr>
            <w:tcW w:w="6543" w:type="dxa"/>
            <w:gridSpan w:val="2"/>
            <w:shd w:val="clear" w:color="auto" w:fill="auto"/>
            <w:vAlign w:val="center"/>
          </w:tcPr>
          <w:p w14:paraId="1334DE12" w14:textId="77777777" w:rsidR="00A35C7B" w:rsidRPr="00C635AD" w:rsidRDefault="00A35C7B" w:rsidP="00B17A5F">
            <w:pPr>
              <w:suppressAutoHyphens w:val="0"/>
              <w:spacing w:line="240" w:lineRule="auto"/>
              <w:jc w:val="center"/>
              <w:rPr>
                <w:rFonts w:asciiTheme="majorBidi" w:hAnsiTheme="majorBidi" w:cstheme="majorBidi"/>
                <w:b/>
                <w:bCs/>
                <w:i/>
                <w:iCs/>
                <w:color w:val="000000"/>
                <w:sz w:val="22"/>
                <w:szCs w:val="22"/>
                <w:lang w:eastAsia="zh-CN"/>
              </w:rPr>
            </w:pPr>
            <w:r w:rsidRPr="00C635AD">
              <w:rPr>
                <w:rFonts w:asciiTheme="majorBidi" w:hAnsiTheme="majorBidi" w:cstheme="majorBidi"/>
                <w:b/>
                <w:bCs/>
                <w:i/>
                <w:iCs/>
                <w:color w:val="000000"/>
                <w:sz w:val="22"/>
                <w:szCs w:val="22"/>
                <w:lang w:eastAsia="zh-CN"/>
              </w:rPr>
              <w:t>Lunch Break</w:t>
            </w:r>
          </w:p>
        </w:tc>
      </w:tr>
      <w:tr w:rsidR="00A35C7B" w:rsidRPr="00C635AD" w14:paraId="08251FA7" w14:textId="77777777" w:rsidTr="00B17A5F">
        <w:trPr>
          <w:trHeight w:val="675"/>
        </w:trPr>
        <w:tc>
          <w:tcPr>
            <w:tcW w:w="1395" w:type="dxa"/>
            <w:vMerge/>
            <w:shd w:val="clear" w:color="auto" w:fill="auto"/>
            <w:vAlign w:val="center"/>
            <w:hideMark/>
          </w:tcPr>
          <w:p w14:paraId="75B37853"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011BECA3" w14:textId="40B7B75A"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3</w:t>
            </w:r>
            <w:r w:rsidR="00E14873" w:rsidRPr="00064A4F">
              <w:rPr>
                <w:rFonts w:asciiTheme="majorBidi" w:hAnsiTheme="majorBidi" w:cstheme="majorBidi"/>
                <w:b/>
                <w:bCs/>
                <w:color w:val="000000"/>
                <w:sz w:val="22"/>
                <w:szCs w:val="22"/>
                <w:lang w:eastAsia="zh-CN"/>
              </w:rPr>
              <w:t>–</w:t>
            </w:r>
            <w:r w:rsidRPr="00C635AD">
              <w:rPr>
                <w:rFonts w:asciiTheme="majorBidi" w:hAnsiTheme="majorBidi" w:cstheme="majorBidi"/>
                <w:b/>
                <w:bCs/>
                <w:color w:val="000000"/>
                <w:sz w:val="22"/>
                <w:szCs w:val="22"/>
                <w:lang w:eastAsia="zh-CN"/>
              </w:rPr>
              <w:t>6 p.m.</w:t>
            </w:r>
          </w:p>
        </w:tc>
        <w:tc>
          <w:tcPr>
            <w:tcW w:w="6543" w:type="dxa"/>
            <w:gridSpan w:val="2"/>
            <w:shd w:val="clear" w:color="000000" w:fill="9BC2E6"/>
            <w:vAlign w:val="center"/>
          </w:tcPr>
          <w:p w14:paraId="2751CCA8" w14:textId="60B56421"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ITC High-level segment (</w:t>
            </w:r>
            <w:r w:rsidR="00F47A1E">
              <w:rPr>
                <w:rFonts w:asciiTheme="majorBidi" w:hAnsiTheme="majorBidi" w:cstheme="majorBidi"/>
                <w:b/>
                <w:bCs/>
                <w:color w:val="000000"/>
                <w:sz w:val="22"/>
                <w:szCs w:val="22"/>
                <w:lang w:eastAsia="zh-CN"/>
              </w:rPr>
              <w:t>c</w:t>
            </w:r>
            <w:r w:rsidR="00F47A1E" w:rsidRPr="00C635AD">
              <w:rPr>
                <w:rFonts w:asciiTheme="majorBidi" w:hAnsiTheme="majorBidi" w:cstheme="majorBidi"/>
                <w:b/>
                <w:bCs/>
                <w:color w:val="000000"/>
                <w:sz w:val="22"/>
                <w:szCs w:val="22"/>
                <w:lang w:eastAsia="zh-CN"/>
              </w:rPr>
              <w:t>ont’d</w:t>
            </w:r>
            <w:r w:rsidRPr="00C635AD">
              <w:rPr>
                <w:rFonts w:asciiTheme="majorBidi" w:hAnsiTheme="majorBidi" w:cstheme="majorBidi"/>
                <w:b/>
                <w:bCs/>
                <w:color w:val="000000"/>
                <w:sz w:val="22"/>
                <w:szCs w:val="22"/>
                <w:lang w:eastAsia="zh-CN"/>
              </w:rPr>
              <w:t>)</w:t>
            </w:r>
            <w:r w:rsidRPr="00C635AD">
              <w:rPr>
                <w:rFonts w:asciiTheme="majorBidi" w:hAnsiTheme="majorBidi" w:cstheme="majorBidi"/>
                <w:b/>
                <w:bCs/>
                <w:color w:val="000000"/>
                <w:sz w:val="22"/>
                <w:szCs w:val="22"/>
                <w:lang w:eastAsia="zh-CN"/>
              </w:rPr>
              <w:br/>
              <w:t>Salle XIX</w:t>
            </w:r>
          </w:p>
        </w:tc>
      </w:tr>
      <w:tr w:rsidR="00A35C7B" w:rsidRPr="007370E8" w14:paraId="084B6A05" w14:textId="77777777" w:rsidTr="00B17A5F">
        <w:trPr>
          <w:trHeight w:val="315"/>
        </w:trPr>
        <w:tc>
          <w:tcPr>
            <w:tcW w:w="1395" w:type="dxa"/>
            <w:vMerge/>
            <w:shd w:val="clear" w:color="auto" w:fill="auto"/>
            <w:vAlign w:val="center"/>
            <w:hideMark/>
          </w:tcPr>
          <w:p w14:paraId="133C07C0"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010203D1" w14:textId="58B07C5A"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6–8 p.m.</w:t>
            </w:r>
          </w:p>
        </w:tc>
        <w:tc>
          <w:tcPr>
            <w:tcW w:w="6543" w:type="dxa"/>
            <w:gridSpan w:val="2"/>
            <w:shd w:val="clear" w:color="000000" w:fill="FFC000"/>
            <w:vAlign w:val="center"/>
            <w:hideMark/>
          </w:tcPr>
          <w:p w14:paraId="45592774" w14:textId="77777777" w:rsidR="00A35C7B" w:rsidRPr="009A1C14" w:rsidRDefault="00A35C7B" w:rsidP="00B17A5F">
            <w:pPr>
              <w:suppressAutoHyphens w:val="0"/>
              <w:spacing w:line="240" w:lineRule="auto"/>
              <w:jc w:val="center"/>
              <w:rPr>
                <w:rFonts w:asciiTheme="majorBidi" w:hAnsiTheme="majorBidi" w:cstheme="majorBidi"/>
                <w:b/>
                <w:bCs/>
                <w:color w:val="000000"/>
                <w:sz w:val="22"/>
                <w:szCs w:val="22"/>
                <w:lang w:val="fr-CH" w:eastAsia="zh-CN"/>
              </w:rPr>
            </w:pPr>
            <w:r w:rsidRPr="009A1C14">
              <w:rPr>
                <w:rFonts w:asciiTheme="majorBidi" w:hAnsiTheme="majorBidi" w:cstheme="majorBidi"/>
                <w:b/>
                <w:bCs/>
                <w:color w:val="000000"/>
                <w:sz w:val="22"/>
                <w:szCs w:val="22"/>
                <w:lang w:val="fr-CH" w:eastAsia="zh-CN"/>
              </w:rPr>
              <w:t>Cocktail/</w:t>
            </w:r>
            <w:proofErr w:type="spellStart"/>
            <w:r w:rsidRPr="009A1C14">
              <w:rPr>
                <w:rFonts w:asciiTheme="majorBidi" w:hAnsiTheme="majorBidi" w:cstheme="majorBidi"/>
                <w:b/>
                <w:bCs/>
                <w:color w:val="000000"/>
                <w:sz w:val="22"/>
                <w:szCs w:val="22"/>
                <w:lang w:val="fr-CH" w:eastAsia="zh-CN"/>
              </w:rPr>
              <w:t>Reception</w:t>
            </w:r>
            <w:proofErr w:type="spellEnd"/>
            <w:r w:rsidRPr="009A1C14">
              <w:rPr>
                <w:rFonts w:asciiTheme="majorBidi" w:hAnsiTheme="majorBidi" w:cstheme="majorBidi"/>
                <w:b/>
                <w:bCs/>
                <w:color w:val="000000"/>
                <w:sz w:val="22"/>
                <w:szCs w:val="22"/>
                <w:lang w:val="fr-CH" w:eastAsia="zh-CN"/>
              </w:rPr>
              <w:t xml:space="preserve"> (Palais des Nations) (</w:t>
            </w:r>
            <w:proofErr w:type="spellStart"/>
            <w:r w:rsidRPr="009A1C14">
              <w:rPr>
                <w:rFonts w:asciiTheme="majorBidi" w:hAnsiTheme="majorBidi" w:cstheme="majorBidi"/>
                <w:b/>
                <w:bCs/>
                <w:color w:val="FF0000"/>
                <w:sz w:val="22"/>
                <w:szCs w:val="22"/>
                <w:lang w:val="fr-CH" w:eastAsia="zh-CN"/>
              </w:rPr>
              <w:t>tbc</w:t>
            </w:r>
            <w:proofErr w:type="spellEnd"/>
            <w:r w:rsidRPr="009A1C14">
              <w:rPr>
                <w:rFonts w:asciiTheme="majorBidi" w:hAnsiTheme="majorBidi" w:cstheme="majorBidi"/>
                <w:b/>
                <w:bCs/>
                <w:color w:val="000000"/>
                <w:sz w:val="22"/>
                <w:szCs w:val="22"/>
                <w:lang w:val="fr-CH" w:eastAsia="zh-CN"/>
              </w:rPr>
              <w:t>)</w:t>
            </w:r>
          </w:p>
        </w:tc>
      </w:tr>
      <w:tr w:rsidR="00A35C7B" w:rsidRPr="00C635AD" w14:paraId="67E6882F" w14:textId="77777777" w:rsidTr="00B17A5F">
        <w:trPr>
          <w:trHeight w:val="975"/>
        </w:trPr>
        <w:tc>
          <w:tcPr>
            <w:tcW w:w="1395" w:type="dxa"/>
            <w:vMerge w:val="restart"/>
            <w:shd w:val="clear" w:color="auto" w:fill="auto"/>
            <w:vAlign w:val="center"/>
            <w:hideMark/>
          </w:tcPr>
          <w:p w14:paraId="502EF31E"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Wednesday</w:t>
            </w:r>
            <w:r w:rsidRPr="00C635AD">
              <w:rPr>
                <w:rFonts w:asciiTheme="majorBidi" w:hAnsiTheme="majorBidi" w:cstheme="majorBidi"/>
                <w:b/>
                <w:bCs/>
                <w:color w:val="000000"/>
                <w:sz w:val="22"/>
                <w:szCs w:val="22"/>
                <w:lang w:eastAsia="zh-CN"/>
              </w:rPr>
              <w:br/>
              <w:t>21 February</w:t>
            </w:r>
          </w:p>
        </w:tc>
        <w:tc>
          <w:tcPr>
            <w:tcW w:w="1701" w:type="dxa"/>
            <w:shd w:val="clear" w:color="auto" w:fill="auto"/>
            <w:vAlign w:val="center"/>
            <w:hideMark/>
          </w:tcPr>
          <w:p w14:paraId="3431B3AB"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10 a.m.–1 p.m.</w:t>
            </w:r>
          </w:p>
        </w:tc>
        <w:tc>
          <w:tcPr>
            <w:tcW w:w="6543" w:type="dxa"/>
            <w:gridSpan w:val="2"/>
            <w:shd w:val="clear" w:color="000000" w:fill="9BC2E6"/>
            <w:vAlign w:val="center"/>
            <w:hideMark/>
          </w:tcPr>
          <w:p w14:paraId="71C684EE"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ITC Annual Session – Restricted session* Salle XIX (*Government representatives only)</w:t>
            </w:r>
          </w:p>
        </w:tc>
      </w:tr>
      <w:tr w:rsidR="00A35C7B" w:rsidRPr="00C635AD" w14:paraId="16822AFE" w14:textId="77777777" w:rsidTr="00B17A5F">
        <w:trPr>
          <w:trHeight w:val="315"/>
        </w:trPr>
        <w:tc>
          <w:tcPr>
            <w:tcW w:w="1395" w:type="dxa"/>
            <w:vMerge/>
            <w:vAlign w:val="center"/>
            <w:hideMark/>
          </w:tcPr>
          <w:p w14:paraId="1203584E"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255F6B06" w14:textId="5214CB1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1–3 p.m.</w:t>
            </w:r>
          </w:p>
        </w:tc>
        <w:tc>
          <w:tcPr>
            <w:tcW w:w="6543" w:type="dxa"/>
            <w:gridSpan w:val="2"/>
            <w:shd w:val="clear" w:color="auto" w:fill="auto"/>
            <w:vAlign w:val="center"/>
            <w:hideMark/>
          </w:tcPr>
          <w:p w14:paraId="589991FB" w14:textId="77777777" w:rsidR="00A35C7B" w:rsidRPr="00C635AD" w:rsidRDefault="00A35C7B" w:rsidP="00B17A5F">
            <w:pPr>
              <w:suppressAutoHyphens w:val="0"/>
              <w:spacing w:line="240" w:lineRule="auto"/>
              <w:jc w:val="center"/>
              <w:rPr>
                <w:rFonts w:asciiTheme="majorBidi" w:hAnsiTheme="majorBidi" w:cstheme="majorBidi"/>
                <w:b/>
                <w:bCs/>
                <w:i/>
                <w:iCs/>
                <w:color w:val="000000"/>
                <w:sz w:val="22"/>
                <w:szCs w:val="22"/>
                <w:lang w:eastAsia="zh-CN"/>
              </w:rPr>
            </w:pPr>
            <w:r w:rsidRPr="00C635AD">
              <w:rPr>
                <w:rFonts w:asciiTheme="majorBidi" w:hAnsiTheme="majorBidi" w:cstheme="majorBidi"/>
                <w:b/>
                <w:bCs/>
                <w:i/>
                <w:iCs/>
                <w:color w:val="000000"/>
                <w:sz w:val="22"/>
                <w:szCs w:val="22"/>
                <w:lang w:eastAsia="zh-CN"/>
              </w:rPr>
              <w:t xml:space="preserve">Break </w:t>
            </w:r>
          </w:p>
        </w:tc>
      </w:tr>
      <w:tr w:rsidR="00A35C7B" w:rsidRPr="00C635AD" w14:paraId="59405EE9" w14:textId="77777777" w:rsidTr="00B17A5F">
        <w:trPr>
          <w:trHeight w:val="1065"/>
        </w:trPr>
        <w:tc>
          <w:tcPr>
            <w:tcW w:w="1395" w:type="dxa"/>
            <w:vMerge/>
            <w:vAlign w:val="center"/>
            <w:hideMark/>
          </w:tcPr>
          <w:p w14:paraId="1AB81FD4"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24A9BB6B" w14:textId="2B180F6F"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3–6 p.m.</w:t>
            </w:r>
          </w:p>
        </w:tc>
        <w:tc>
          <w:tcPr>
            <w:tcW w:w="6543" w:type="dxa"/>
            <w:gridSpan w:val="2"/>
            <w:shd w:val="clear" w:color="000000" w:fill="9BC2E6"/>
            <w:vAlign w:val="center"/>
            <w:hideMark/>
          </w:tcPr>
          <w:p w14:paraId="1E87C294" w14:textId="14048C66"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 xml:space="preserve">ITC Annual Session </w:t>
            </w:r>
            <w:r w:rsidRPr="00C635AD">
              <w:rPr>
                <w:rFonts w:asciiTheme="majorBidi" w:hAnsiTheme="majorBidi" w:cstheme="majorBidi"/>
                <w:b/>
                <w:bCs/>
                <w:color w:val="000000"/>
                <w:sz w:val="22"/>
                <w:szCs w:val="22"/>
                <w:lang w:eastAsia="zh-CN"/>
              </w:rPr>
              <w:br/>
              <w:t>Regular session (</w:t>
            </w:r>
            <w:r w:rsidR="00F47A1E">
              <w:rPr>
                <w:rFonts w:asciiTheme="majorBidi" w:hAnsiTheme="majorBidi" w:cstheme="majorBidi"/>
                <w:b/>
                <w:bCs/>
                <w:color w:val="000000"/>
                <w:sz w:val="22"/>
                <w:szCs w:val="22"/>
                <w:lang w:eastAsia="zh-CN"/>
              </w:rPr>
              <w:t>c</w:t>
            </w:r>
            <w:r w:rsidR="00F47A1E" w:rsidRPr="00C635AD">
              <w:rPr>
                <w:rFonts w:asciiTheme="majorBidi" w:hAnsiTheme="majorBidi" w:cstheme="majorBidi"/>
                <w:b/>
                <w:bCs/>
                <w:color w:val="000000"/>
                <w:sz w:val="22"/>
                <w:szCs w:val="22"/>
                <w:lang w:eastAsia="zh-CN"/>
              </w:rPr>
              <w:t>ont’d</w:t>
            </w:r>
            <w:r w:rsidRPr="00C635AD">
              <w:rPr>
                <w:rFonts w:asciiTheme="majorBidi" w:hAnsiTheme="majorBidi" w:cstheme="majorBidi"/>
                <w:b/>
                <w:bCs/>
                <w:color w:val="000000"/>
                <w:sz w:val="22"/>
                <w:szCs w:val="22"/>
                <w:lang w:eastAsia="zh-CN"/>
              </w:rPr>
              <w:t>)</w:t>
            </w:r>
            <w:r w:rsidRPr="00C635AD">
              <w:rPr>
                <w:rFonts w:asciiTheme="majorBidi" w:hAnsiTheme="majorBidi" w:cstheme="majorBidi"/>
                <w:b/>
                <w:bCs/>
                <w:color w:val="000000"/>
                <w:sz w:val="22"/>
                <w:szCs w:val="22"/>
                <w:lang w:eastAsia="zh-CN"/>
              </w:rPr>
              <w:br/>
              <w:t>Salle XIX</w:t>
            </w:r>
          </w:p>
        </w:tc>
      </w:tr>
      <w:tr w:rsidR="00A35C7B" w:rsidRPr="00C635AD" w14:paraId="7E1DF764" w14:textId="77777777" w:rsidTr="00B17A5F">
        <w:trPr>
          <w:trHeight w:val="1155"/>
        </w:trPr>
        <w:tc>
          <w:tcPr>
            <w:tcW w:w="1395" w:type="dxa"/>
            <w:vMerge w:val="restart"/>
            <w:shd w:val="clear" w:color="auto" w:fill="auto"/>
            <w:vAlign w:val="center"/>
            <w:hideMark/>
          </w:tcPr>
          <w:p w14:paraId="158604DC"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Thursday</w:t>
            </w:r>
            <w:r w:rsidRPr="00C635AD">
              <w:rPr>
                <w:rFonts w:asciiTheme="majorBidi" w:hAnsiTheme="majorBidi" w:cstheme="majorBidi"/>
                <w:b/>
                <w:bCs/>
                <w:color w:val="000000"/>
                <w:sz w:val="22"/>
                <w:szCs w:val="22"/>
                <w:lang w:eastAsia="zh-CN"/>
              </w:rPr>
              <w:br/>
              <w:t>22 February</w:t>
            </w:r>
          </w:p>
        </w:tc>
        <w:tc>
          <w:tcPr>
            <w:tcW w:w="1701" w:type="dxa"/>
            <w:shd w:val="clear" w:color="auto" w:fill="auto"/>
            <w:vAlign w:val="center"/>
            <w:hideMark/>
          </w:tcPr>
          <w:p w14:paraId="51753B32"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10 a.m.–1 p.m.</w:t>
            </w:r>
          </w:p>
        </w:tc>
        <w:tc>
          <w:tcPr>
            <w:tcW w:w="6543" w:type="dxa"/>
            <w:gridSpan w:val="2"/>
            <w:shd w:val="clear" w:color="000000" w:fill="9BC2E6"/>
            <w:vAlign w:val="center"/>
            <w:hideMark/>
          </w:tcPr>
          <w:p w14:paraId="196CCDC0" w14:textId="26FB1238"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 xml:space="preserve">ITC Annual Session </w:t>
            </w:r>
            <w:r w:rsidRPr="00C635AD">
              <w:rPr>
                <w:rFonts w:asciiTheme="majorBidi" w:hAnsiTheme="majorBidi" w:cstheme="majorBidi"/>
                <w:b/>
                <w:bCs/>
                <w:color w:val="000000"/>
                <w:sz w:val="22"/>
                <w:szCs w:val="22"/>
                <w:lang w:eastAsia="zh-CN"/>
              </w:rPr>
              <w:br/>
              <w:t>Regular session (</w:t>
            </w:r>
            <w:r w:rsidR="00F47A1E">
              <w:rPr>
                <w:rFonts w:asciiTheme="majorBidi" w:hAnsiTheme="majorBidi" w:cstheme="majorBidi"/>
                <w:b/>
                <w:bCs/>
                <w:color w:val="000000"/>
                <w:sz w:val="22"/>
                <w:szCs w:val="22"/>
                <w:lang w:eastAsia="zh-CN"/>
              </w:rPr>
              <w:t>c</w:t>
            </w:r>
            <w:r w:rsidR="00F47A1E" w:rsidRPr="00C635AD">
              <w:rPr>
                <w:rFonts w:asciiTheme="majorBidi" w:hAnsiTheme="majorBidi" w:cstheme="majorBidi"/>
                <w:b/>
                <w:bCs/>
                <w:color w:val="000000"/>
                <w:sz w:val="22"/>
                <w:szCs w:val="22"/>
                <w:lang w:eastAsia="zh-CN"/>
              </w:rPr>
              <w:t>ont’d</w:t>
            </w:r>
            <w:r w:rsidRPr="00C635AD">
              <w:rPr>
                <w:rFonts w:asciiTheme="majorBidi" w:hAnsiTheme="majorBidi" w:cstheme="majorBidi"/>
                <w:b/>
                <w:bCs/>
                <w:color w:val="000000"/>
                <w:sz w:val="22"/>
                <w:szCs w:val="22"/>
                <w:lang w:eastAsia="zh-CN"/>
              </w:rPr>
              <w:t>)</w:t>
            </w:r>
            <w:r w:rsidRPr="00C635AD">
              <w:rPr>
                <w:rFonts w:asciiTheme="majorBidi" w:hAnsiTheme="majorBidi" w:cstheme="majorBidi"/>
                <w:b/>
                <w:bCs/>
                <w:color w:val="000000"/>
                <w:sz w:val="22"/>
                <w:szCs w:val="22"/>
                <w:lang w:eastAsia="zh-CN"/>
              </w:rPr>
              <w:br/>
              <w:t>Salle XIX</w:t>
            </w:r>
          </w:p>
        </w:tc>
      </w:tr>
      <w:tr w:rsidR="00A35C7B" w:rsidRPr="00C635AD" w14:paraId="2F1CDC67" w14:textId="77777777" w:rsidTr="00B17A5F">
        <w:trPr>
          <w:trHeight w:val="315"/>
        </w:trPr>
        <w:tc>
          <w:tcPr>
            <w:tcW w:w="1395" w:type="dxa"/>
            <w:vMerge/>
            <w:vAlign w:val="center"/>
            <w:hideMark/>
          </w:tcPr>
          <w:p w14:paraId="5EA8C3D1"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0B6D18F2"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1–3 p.m.</w:t>
            </w:r>
          </w:p>
        </w:tc>
        <w:tc>
          <w:tcPr>
            <w:tcW w:w="6543" w:type="dxa"/>
            <w:gridSpan w:val="2"/>
            <w:shd w:val="clear" w:color="auto" w:fill="auto"/>
            <w:vAlign w:val="center"/>
            <w:hideMark/>
          </w:tcPr>
          <w:p w14:paraId="7362C497" w14:textId="77777777" w:rsidR="00A35C7B" w:rsidRPr="00C635AD" w:rsidRDefault="00A35C7B" w:rsidP="00B17A5F">
            <w:pPr>
              <w:suppressAutoHyphens w:val="0"/>
              <w:spacing w:line="240" w:lineRule="auto"/>
              <w:jc w:val="center"/>
              <w:rPr>
                <w:rFonts w:asciiTheme="majorBidi" w:hAnsiTheme="majorBidi" w:cstheme="majorBidi"/>
                <w:b/>
                <w:bCs/>
                <w:i/>
                <w:iCs/>
                <w:color w:val="000000"/>
                <w:sz w:val="22"/>
                <w:szCs w:val="22"/>
                <w:lang w:eastAsia="zh-CN"/>
              </w:rPr>
            </w:pPr>
            <w:r w:rsidRPr="00C635AD">
              <w:rPr>
                <w:rFonts w:asciiTheme="majorBidi" w:hAnsiTheme="majorBidi" w:cstheme="majorBidi"/>
                <w:b/>
                <w:bCs/>
                <w:i/>
                <w:iCs/>
                <w:color w:val="000000"/>
                <w:sz w:val="22"/>
                <w:szCs w:val="22"/>
                <w:lang w:eastAsia="zh-CN"/>
              </w:rPr>
              <w:t xml:space="preserve">Break </w:t>
            </w:r>
          </w:p>
        </w:tc>
      </w:tr>
      <w:tr w:rsidR="00A35C7B" w:rsidRPr="00C635AD" w14:paraId="4ED616CF" w14:textId="77777777" w:rsidTr="00B17A5F">
        <w:trPr>
          <w:trHeight w:val="1080"/>
        </w:trPr>
        <w:tc>
          <w:tcPr>
            <w:tcW w:w="1395" w:type="dxa"/>
            <w:vMerge/>
            <w:vAlign w:val="center"/>
            <w:hideMark/>
          </w:tcPr>
          <w:p w14:paraId="01402587"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14EC51CF"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3–6 p.m.</w:t>
            </w:r>
          </w:p>
        </w:tc>
        <w:tc>
          <w:tcPr>
            <w:tcW w:w="6543" w:type="dxa"/>
            <w:gridSpan w:val="2"/>
            <w:shd w:val="clear" w:color="000000" w:fill="9BC2E6"/>
            <w:vAlign w:val="center"/>
            <w:hideMark/>
          </w:tcPr>
          <w:p w14:paraId="490B3AA8" w14:textId="5E2CAC22"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 xml:space="preserve">ITC Annual Session </w:t>
            </w:r>
            <w:r w:rsidRPr="00C635AD">
              <w:rPr>
                <w:rFonts w:asciiTheme="majorBidi" w:hAnsiTheme="majorBidi" w:cstheme="majorBidi"/>
                <w:b/>
                <w:bCs/>
                <w:color w:val="000000"/>
                <w:sz w:val="22"/>
                <w:szCs w:val="22"/>
                <w:lang w:eastAsia="zh-CN"/>
              </w:rPr>
              <w:br/>
              <w:t>Regular session (</w:t>
            </w:r>
            <w:r w:rsidR="00F47A1E">
              <w:rPr>
                <w:rFonts w:asciiTheme="majorBidi" w:hAnsiTheme="majorBidi" w:cstheme="majorBidi"/>
                <w:b/>
                <w:bCs/>
                <w:color w:val="000000"/>
                <w:sz w:val="22"/>
                <w:szCs w:val="22"/>
                <w:lang w:eastAsia="zh-CN"/>
              </w:rPr>
              <w:t>c</w:t>
            </w:r>
            <w:r w:rsidR="00F47A1E" w:rsidRPr="00C635AD">
              <w:rPr>
                <w:rFonts w:asciiTheme="majorBidi" w:hAnsiTheme="majorBidi" w:cstheme="majorBidi"/>
                <w:b/>
                <w:bCs/>
                <w:color w:val="000000"/>
                <w:sz w:val="22"/>
                <w:szCs w:val="22"/>
                <w:lang w:eastAsia="zh-CN"/>
              </w:rPr>
              <w:t>ont’d</w:t>
            </w:r>
            <w:r w:rsidRPr="00C635AD">
              <w:rPr>
                <w:rFonts w:asciiTheme="majorBidi" w:hAnsiTheme="majorBidi" w:cstheme="majorBidi"/>
                <w:b/>
                <w:bCs/>
                <w:color w:val="000000"/>
                <w:sz w:val="22"/>
                <w:szCs w:val="22"/>
                <w:lang w:eastAsia="zh-CN"/>
              </w:rPr>
              <w:t>)</w:t>
            </w:r>
            <w:r w:rsidRPr="00C635AD">
              <w:rPr>
                <w:rFonts w:asciiTheme="majorBidi" w:hAnsiTheme="majorBidi" w:cstheme="majorBidi"/>
                <w:b/>
                <w:bCs/>
                <w:color w:val="000000"/>
                <w:sz w:val="22"/>
                <w:szCs w:val="22"/>
                <w:lang w:eastAsia="zh-CN"/>
              </w:rPr>
              <w:br/>
              <w:t>Salle XIX</w:t>
            </w:r>
          </w:p>
        </w:tc>
      </w:tr>
      <w:tr w:rsidR="00A35C7B" w:rsidRPr="00C635AD" w14:paraId="1C930B03" w14:textId="77777777" w:rsidTr="00B17A5F">
        <w:trPr>
          <w:trHeight w:val="1020"/>
        </w:trPr>
        <w:tc>
          <w:tcPr>
            <w:tcW w:w="1395" w:type="dxa"/>
            <w:vMerge w:val="restart"/>
            <w:shd w:val="clear" w:color="auto" w:fill="auto"/>
            <w:vAlign w:val="center"/>
            <w:hideMark/>
          </w:tcPr>
          <w:p w14:paraId="0635E835"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 xml:space="preserve">Friday </w:t>
            </w:r>
            <w:r w:rsidRPr="00C635AD">
              <w:rPr>
                <w:rFonts w:asciiTheme="majorBidi" w:hAnsiTheme="majorBidi" w:cstheme="majorBidi"/>
                <w:b/>
                <w:bCs/>
                <w:color w:val="000000"/>
                <w:sz w:val="22"/>
                <w:szCs w:val="22"/>
                <w:lang w:eastAsia="zh-CN"/>
              </w:rPr>
              <w:br/>
              <w:t>23 February</w:t>
            </w:r>
          </w:p>
        </w:tc>
        <w:tc>
          <w:tcPr>
            <w:tcW w:w="1701" w:type="dxa"/>
            <w:shd w:val="clear" w:color="auto" w:fill="auto"/>
            <w:vAlign w:val="center"/>
            <w:hideMark/>
          </w:tcPr>
          <w:p w14:paraId="5D19E709"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10 a.m.–1 p.m.</w:t>
            </w:r>
          </w:p>
        </w:tc>
        <w:tc>
          <w:tcPr>
            <w:tcW w:w="6543" w:type="dxa"/>
            <w:gridSpan w:val="2"/>
            <w:shd w:val="clear" w:color="000000" w:fill="9BC2E6"/>
            <w:vAlign w:val="center"/>
          </w:tcPr>
          <w:p w14:paraId="45C11D6F" w14:textId="0A0FE57E"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 xml:space="preserve">ITC Annual Session </w:t>
            </w:r>
            <w:r w:rsidRPr="00C635AD">
              <w:rPr>
                <w:rFonts w:asciiTheme="majorBidi" w:hAnsiTheme="majorBidi" w:cstheme="majorBidi"/>
                <w:b/>
                <w:bCs/>
                <w:color w:val="000000"/>
                <w:sz w:val="22"/>
                <w:szCs w:val="22"/>
                <w:lang w:eastAsia="zh-CN"/>
              </w:rPr>
              <w:br/>
              <w:t>Regular session (</w:t>
            </w:r>
            <w:r w:rsidR="00F47A1E">
              <w:rPr>
                <w:rFonts w:asciiTheme="majorBidi" w:hAnsiTheme="majorBidi" w:cstheme="majorBidi"/>
                <w:b/>
                <w:bCs/>
                <w:color w:val="000000"/>
                <w:sz w:val="22"/>
                <w:szCs w:val="22"/>
                <w:lang w:eastAsia="zh-CN"/>
              </w:rPr>
              <w:t>c</w:t>
            </w:r>
            <w:r w:rsidR="00F47A1E" w:rsidRPr="00C635AD">
              <w:rPr>
                <w:rFonts w:asciiTheme="majorBidi" w:hAnsiTheme="majorBidi" w:cstheme="majorBidi"/>
                <w:b/>
                <w:bCs/>
                <w:color w:val="000000"/>
                <w:sz w:val="22"/>
                <w:szCs w:val="22"/>
                <w:lang w:eastAsia="zh-CN"/>
              </w:rPr>
              <w:t>ont’d</w:t>
            </w:r>
            <w:r w:rsidRPr="00C635AD">
              <w:rPr>
                <w:rFonts w:asciiTheme="majorBidi" w:hAnsiTheme="majorBidi" w:cstheme="majorBidi"/>
                <w:b/>
                <w:bCs/>
                <w:color w:val="000000"/>
                <w:sz w:val="22"/>
                <w:szCs w:val="22"/>
                <w:lang w:eastAsia="zh-CN"/>
              </w:rPr>
              <w:t>)</w:t>
            </w:r>
            <w:r w:rsidRPr="00C635AD">
              <w:rPr>
                <w:rFonts w:asciiTheme="majorBidi" w:hAnsiTheme="majorBidi" w:cstheme="majorBidi"/>
                <w:b/>
                <w:bCs/>
                <w:color w:val="000000"/>
                <w:sz w:val="22"/>
                <w:szCs w:val="22"/>
                <w:lang w:eastAsia="zh-CN"/>
              </w:rPr>
              <w:br/>
              <w:t>Salle XIX</w:t>
            </w:r>
          </w:p>
        </w:tc>
      </w:tr>
      <w:tr w:rsidR="00A35C7B" w:rsidRPr="00C635AD" w14:paraId="04F6F7AB" w14:textId="77777777" w:rsidTr="00B17A5F">
        <w:trPr>
          <w:trHeight w:val="315"/>
        </w:trPr>
        <w:tc>
          <w:tcPr>
            <w:tcW w:w="1395" w:type="dxa"/>
            <w:vMerge/>
            <w:shd w:val="clear" w:color="auto" w:fill="auto"/>
            <w:vAlign w:val="center"/>
            <w:hideMark/>
          </w:tcPr>
          <w:p w14:paraId="501A23D7"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15DDE053"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1–3 p.m.</w:t>
            </w:r>
          </w:p>
        </w:tc>
        <w:tc>
          <w:tcPr>
            <w:tcW w:w="3271" w:type="dxa"/>
            <w:shd w:val="clear" w:color="auto" w:fill="auto"/>
            <w:vAlign w:val="center"/>
            <w:hideMark/>
          </w:tcPr>
          <w:p w14:paraId="7BF3953C" w14:textId="77777777" w:rsidR="00A35C7B" w:rsidRPr="00C635AD" w:rsidRDefault="00A35C7B" w:rsidP="00B17A5F">
            <w:pPr>
              <w:suppressAutoHyphens w:val="0"/>
              <w:spacing w:line="240" w:lineRule="auto"/>
              <w:jc w:val="center"/>
              <w:rPr>
                <w:rFonts w:asciiTheme="majorBidi" w:hAnsiTheme="majorBidi" w:cstheme="majorBidi"/>
                <w:b/>
                <w:bCs/>
                <w:i/>
                <w:iCs/>
                <w:color w:val="000000"/>
                <w:sz w:val="22"/>
                <w:szCs w:val="22"/>
                <w:lang w:eastAsia="zh-CN"/>
              </w:rPr>
            </w:pPr>
            <w:r w:rsidRPr="00C635AD">
              <w:rPr>
                <w:rFonts w:asciiTheme="majorBidi" w:hAnsiTheme="majorBidi" w:cstheme="majorBidi"/>
                <w:b/>
                <w:bCs/>
                <w:i/>
                <w:iCs/>
                <w:color w:val="000000"/>
                <w:sz w:val="22"/>
                <w:szCs w:val="22"/>
                <w:lang w:eastAsia="zh-CN"/>
              </w:rPr>
              <w:t xml:space="preserve">Break </w:t>
            </w:r>
          </w:p>
        </w:tc>
        <w:tc>
          <w:tcPr>
            <w:tcW w:w="3272" w:type="dxa"/>
            <w:shd w:val="clear" w:color="auto" w:fill="92D050"/>
            <w:vAlign w:val="center"/>
          </w:tcPr>
          <w:p w14:paraId="4AB10AC5"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ITC Bureau meeting</w:t>
            </w:r>
          </w:p>
        </w:tc>
      </w:tr>
      <w:tr w:rsidR="00A35C7B" w:rsidRPr="00C635AD" w14:paraId="52DFEEA2" w14:textId="77777777" w:rsidTr="00B17A5F">
        <w:trPr>
          <w:trHeight w:val="705"/>
        </w:trPr>
        <w:tc>
          <w:tcPr>
            <w:tcW w:w="1395" w:type="dxa"/>
            <w:vMerge/>
            <w:shd w:val="clear" w:color="auto" w:fill="auto"/>
            <w:vAlign w:val="center"/>
            <w:hideMark/>
          </w:tcPr>
          <w:p w14:paraId="11881545" w14:textId="77777777" w:rsidR="00A35C7B" w:rsidRPr="00C635AD" w:rsidRDefault="00A35C7B" w:rsidP="00B17A5F">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2CA4A9BF" w14:textId="77777777"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3–6 p.m.</w:t>
            </w:r>
          </w:p>
        </w:tc>
        <w:tc>
          <w:tcPr>
            <w:tcW w:w="6543" w:type="dxa"/>
            <w:gridSpan w:val="2"/>
            <w:shd w:val="clear" w:color="000000" w:fill="92D050"/>
            <w:vAlign w:val="center"/>
            <w:hideMark/>
          </w:tcPr>
          <w:p w14:paraId="4410C846" w14:textId="75FC43C4" w:rsidR="00A35C7B" w:rsidRPr="00C635AD" w:rsidRDefault="00A35C7B" w:rsidP="00B17A5F">
            <w:pPr>
              <w:suppressAutoHyphens w:val="0"/>
              <w:spacing w:line="240" w:lineRule="auto"/>
              <w:jc w:val="center"/>
              <w:rPr>
                <w:rFonts w:asciiTheme="majorBidi" w:hAnsiTheme="majorBidi" w:cstheme="majorBidi"/>
                <w:b/>
                <w:bCs/>
                <w:color w:val="000000"/>
                <w:sz w:val="22"/>
                <w:szCs w:val="22"/>
                <w:lang w:eastAsia="zh-CN"/>
              </w:rPr>
            </w:pPr>
            <w:r w:rsidRPr="00C635AD">
              <w:rPr>
                <w:rFonts w:asciiTheme="majorBidi" w:hAnsiTheme="majorBidi" w:cstheme="majorBidi"/>
                <w:b/>
                <w:bCs/>
                <w:color w:val="000000"/>
                <w:sz w:val="22"/>
                <w:szCs w:val="22"/>
                <w:lang w:eastAsia="zh-CN"/>
              </w:rPr>
              <w:t>ITC Round</w:t>
            </w:r>
            <w:r w:rsidR="00064A4F">
              <w:rPr>
                <w:rFonts w:asciiTheme="majorBidi" w:hAnsiTheme="majorBidi" w:cstheme="majorBidi"/>
                <w:b/>
                <w:bCs/>
                <w:color w:val="000000"/>
                <w:sz w:val="22"/>
                <w:szCs w:val="22"/>
                <w:lang w:eastAsia="zh-CN"/>
              </w:rPr>
              <w:t xml:space="preserve"> T</w:t>
            </w:r>
            <w:r w:rsidRPr="00C635AD">
              <w:rPr>
                <w:rFonts w:asciiTheme="majorBidi" w:hAnsiTheme="majorBidi" w:cstheme="majorBidi"/>
                <w:b/>
                <w:bCs/>
                <w:color w:val="000000"/>
                <w:sz w:val="22"/>
                <w:szCs w:val="22"/>
                <w:lang w:eastAsia="zh-CN"/>
              </w:rPr>
              <w:t xml:space="preserve">able on Digital and </w:t>
            </w:r>
            <w:r w:rsidR="0049742E" w:rsidRPr="00C635AD">
              <w:rPr>
                <w:rFonts w:asciiTheme="majorBidi" w:hAnsiTheme="majorBidi" w:cstheme="majorBidi"/>
                <w:b/>
                <w:bCs/>
                <w:color w:val="000000"/>
                <w:sz w:val="22"/>
                <w:szCs w:val="22"/>
                <w:lang w:eastAsia="zh-CN"/>
              </w:rPr>
              <w:t>G</w:t>
            </w:r>
            <w:r w:rsidRPr="00C635AD">
              <w:rPr>
                <w:rFonts w:asciiTheme="majorBidi" w:hAnsiTheme="majorBidi" w:cstheme="majorBidi"/>
                <w:b/>
                <w:bCs/>
                <w:color w:val="000000"/>
                <w:sz w:val="22"/>
                <w:szCs w:val="22"/>
                <w:lang w:eastAsia="zh-CN"/>
              </w:rPr>
              <w:t xml:space="preserve">reen </w:t>
            </w:r>
            <w:r w:rsidR="0049742E" w:rsidRPr="00C635AD">
              <w:rPr>
                <w:rFonts w:asciiTheme="majorBidi" w:hAnsiTheme="majorBidi" w:cstheme="majorBidi"/>
                <w:b/>
                <w:bCs/>
                <w:color w:val="000000"/>
                <w:sz w:val="22"/>
                <w:szCs w:val="22"/>
                <w:lang w:eastAsia="zh-CN"/>
              </w:rPr>
              <w:t>T</w:t>
            </w:r>
            <w:r w:rsidRPr="00C635AD">
              <w:rPr>
                <w:rFonts w:asciiTheme="majorBidi" w:hAnsiTheme="majorBidi" w:cstheme="majorBidi"/>
                <w:b/>
                <w:bCs/>
                <w:color w:val="000000"/>
                <w:sz w:val="22"/>
                <w:szCs w:val="22"/>
                <w:lang w:eastAsia="zh-CN"/>
              </w:rPr>
              <w:t>ransition</w:t>
            </w:r>
            <w:r w:rsidRPr="00C635AD">
              <w:rPr>
                <w:rFonts w:asciiTheme="majorBidi" w:hAnsiTheme="majorBidi" w:cstheme="majorBidi"/>
                <w:b/>
                <w:bCs/>
                <w:color w:val="000000"/>
                <w:sz w:val="22"/>
                <w:szCs w:val="22"/>
                <w:lang w:eastAsia="zh-CN"/>
              </w:rPr>
              <w:br/>
              <w:t>Salle XIX</w:t>
            </w:r>
          </w:p>
        </w:tc>
      </w:tr>
    </w:tbl>
    <w:p w14:paraId="39AC9302" w14:textId="77777777" w:rsidR="00A35C7B" w:rsidRPr="00C635AD" w:rsidRDefault="00A35C7B" w:rsidP="00A35C7B">
      <w:pPr>
        <w:suppressAutoHyphens w:val="0"/>
        <w:spacing w:line="240" w:lineRule="auto"/>
      </w:pPr>
      <w:r w:rsidRPr="00C635AD">
        <w:br w:type="page"/>
      </w:r>
    </w:p>
    <w:p w14:paraId="2C90950F" w14:textId="77777777" w:rsidR="00A35C7B" w:rsidRPr="00C635AD" w:rsidRDefault="00A35C7B" w:rsidP="00A35C7B">
      <w:pPr>
        <w:pStyle w:val="HChG"/>
      </w:pPr>
      <w:r w:rsidRPr="00C635AD">
        <w:lastRenderedPageBreak/>
        <w:t>Annex II</w:t>
      </w:r>
    </w:p>
    <w:p w14:paraId="41B3386A" w14:textId="77777777" w:rsidR="00A35C7B" w:rsidRPr="00C635AD" w:rsidRDefault="00A35C7B" w:rsidP="00A35C7B">
      <w:pPr>
        <w:pStyle w:val="HChG"/>
      </w:pPr>
      <w:r w:rsidRPr="00C635AD">
        <w:tab/>
      </w:r>
      <w:r w:rsidRPr="00C635AD">
        <w:tab/>
        <w:t>Draft Programme</w:t>
      </w:r>
    </w:p>
    <w:tbl>
      <w:tblPr>
        <w:tblW w:w="9654" w:type="dxa"/>
        <w:tblInd w:w="-15" w:type="dxa"/>
        <w:tblLayout w:type="fixed"/>
        <w:tblCellMar>
          <w:left w:w="0" w:type="dxa"/>
          <w:right w:w="0" w:type="dxa"/>
        </w:tblCellMar>
        <w:tblLook w:val="04A0" w:firstRow="1" w:lastRow="0" w:firstColumn="1" w:lastColumn="0" w:noHBand="0" w:noVBand="1"/>
      </w:tblPr>
      <w:tblGrid>
        <w:gridCol w:w="15"/>
        <w:gridCol w:w="1654"/>
        <w:gridCol w:w="7970"/>
        <w:gridCol w:w="15"/>
      </w:tblGrid>
      <w:tr w:rsidR="00A35C7B" w:rsidRPr="00C635AD" w14:paraId="711B159C" w14:textId="77777777" w:rsidTr="00B17A5F">
        <w:trPr>
          <w:gridBefore w:val="1"/>
          <w:wBefore w:w="15" w:type="dxa"/>
        </w:trPr>
        <w:tc>
          <w:tcPr>
            <w:tcW w:w="9639" w:type="dxa"/>
            <w:gridSpan w:val="3"/>
            <w:shd w:val="clear" w:color="auto" w:fill="auto"/>
            <w:vAlign w:val="bottom"/>
          </w:tcPr>
          <w:p w14:paraId="13881DCA" w14:textId="52EE64E2" w:rsidR="00A35C7B" w:rsidRPr="00C635AD" w:rsidRDefault="00A35C7B" w:rsidP="00B17A5F">
            <w:pPr>
              <w:ind w:left="1134" w:right="1134"/>
              <w:jc w:val="both"/>
              <w:rPr>
                <w:b/>
              </w:rPr>
            </w:pPr>
            <w:r w:rsidRPr="00C635AD">
              <w:rPr>
                <w:b/>
              </w:rPr>
              <w:t xml:space="preserve">High-level </w:t>
            </w:r>
            <w:r w:rsidR="004877E1" w:rsidRPr="00C635AD">
              <w:rPr>
                <w:b/>
              </w:rPr>
              <w:t>s</w:t>
            </w:r>
            <w:r w:rsidRPr="00C635AD">
              <w:rPr>
                <w:b/>
              </w:rPr>
              <w:t xml:space="preserve">egment </w:t>
            </w:r>
          </w:p>
          <w:p w14:paraId="67EB9BB5" w14:textId="77777777" w:rsidR="00A35C7B" w:rsidRPr="00C635AD" w:rsidRDefault="00A35C7B" w:rsidP="00B17A5F">
            <w:pPr>
              <w:ind w:left="1134"/>
              <w:rPr>
                <w:b/>
              </w:rPr>
            </w:pPr>
            <w:r w:rsidRPr="00C635AD">
              <w:rPr>
                <w:b/>
              </w:rPr>
              <w:t>Taking ambitious climate action – Moving</w:t>
            </w:r>
          </w:p>
          <w:p w14:paraId="54C159FA" w14:textId="77777777" w:rsidR="00A35C7B" w:rsidRPr="00C635AD" w:rsidRDefault="00A35C7B" w:rsidP="00B17A5F">
            <w:pPr>
              <w:ind w:left="1134"/>
              <w:rPr>
                <w:b/>
              </w:rPr>
            </w:pPr>
            <w:r w:rsidRPr="00C635AD">
              <w:rPr>
                <w:b/>
              </w:rPr>
              <w:t>towards decarbonized inland transport by 2050</w:t>
            </w:r>
          </w:p>
          <w:p w14:paraId="18A5A2E4" w14:textId="301E3D1A" w:rsidR="00A35C7B" w:rsidRPr="00C635AD" w:rsidRDefault="00A35C7B" w:rsidP="00B17A5F">
            <w:pPr>
              <w:ind w:left="1134"/>
              <w:rPr>
                <w:b/>
              </w:rPr>
            </w:pPr>
            <w:r w:rsidRPr="00064A4F">
              <w:rPr>
                <w:b/>
              </w:rPr>
              <w:t>20 February 202</w:t>
            </w:r>
            <w:r w:rsidR="00064A4F" w:rsidRPr="00064A4F">
              <w:rPr>
                <w:b/>
              </w:rPr>
              <w:t>4</w:t>
            </w:r>
            <w:r w:rsidRPr="00064A4F">
              <w:rPr>
                <w:b/>
              </w:rPr>
              <w:t>,</w:t>
            </w:r>
            <w:r w:rsidRPr="00C635AD">
              <w:rPr>
                <w:b/>
              </w:rPr>
              <w:t xml:space="preserve"> 10 a.m.–6 p.m., Salle XIX</w:t>
            </w:r>
          </w:p>
          <w:p w14:paraId="2566BADA" w14:textId="77777777" w:rsidR="00A35C7B" w:rsidRPr="00C635AD" w:rsidRDefault="00A35C7B" w:rsidP="00B17A5F">
            <w:pPr>
              <w:spacing w:after="240"/>
              <w:ind w:left="1134"/>
              <w:rPr>
                <w:i/>
                <w:sz w:val="16"/>
              </w:rPr>
            </w:pPr>
            <w:r w:rsidRPr="00C635AD">
              <w:rPr>
                <w:b/>
              </w:rPr>
              <w:t>Palais des Nations, Geneva</w:t>
            </w:r>
          </w:p>
        </w:tc>
      </w:tr>
      <w:tr w:rsidR="00A35C7B" w:rsidRPr="00C635AD" w14:paraId="5F77A2CB" w14:textId="77777777" w:rsidTr="00B17A5F">
        <w:trPr>
          <w:gridAfter w:val="1"/>
          <w:wAfter w:w="15" w:type="dxa"/>
          <w:trHeight w:val="454"/>
        </w:trPr>
        <w:tc>
          <w:tcPr>
            <w:tcW w:w="1669"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3718E866" w14:textId="40BF3D0B" w:rsidR="00A35C7B" w:rsidRPr="00C635AD" w:rsidRDefault="00A35C7B" w:rsidP="00B17A5F">
            <w:r w:rsidRPr="00C635AD">
              <w:t>10–10.30 a.m.</w:t>
            </w:r>
          </w:p>
        </w:tc>
        <w:tc>
          <w:tcPr>
            <w:tcW w:w="797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51986C18" w14:textId="77777777" w:rsidR="00A35C7B" w:rsidRPr="00C635AD" w:rsidRDefault="00A35C7B" w:rsidP="00B17A5F">
            <w:pPr>
              <w:rPr>
                <w:b/>
              </w:rPr>
            </w:pPr>
            <w:r w:rsidRPr="00C635AD">
              <w:rPr>
                <w:b/>
              </w:rPr>
              <w:t>Opening</w:t>
            </w:r>
            <w:r w:rsidRPr="00C635AD">
              <w:rPr>
                <w:b/>
                <w:iCs/>
              </w:rPr>
              <w:t xml:space="preserve"> statements and welcome speeches </w:t>
            </w:r>
          </w:p>
        </w:tc>
      </w:tr>
      <w:tr w:rsidR="00A35C7B" w:rsidRPr="00C635AD" w14:paraId="41F32C8F" w14:textId="77777777" w:rsidTr="00B17A5F">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0BAD29EE" w14:textId="1E6F9772" w:rsidR="00A35C7B" w:rsidRPr="00C635AD" w:rsidRDefault="00A35C7B" w:rsidP="00B17A5F">
            <w:r w:rsidRPr="00C635AD">
              <w:t>10.30–10.50 a.m.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0D2E3D52" w14:textId="77777777" w:rsidR="00A35C7B" w:rsidRPr="00C635AD" w:rsidRDefault="00A35C7B" w:rsidP="00B17A5F">
            <w:pPr>
              <w:spacing w:after="120"/>
              <w:rPr>
                <w:b/>
              </w:rPr>
            </w:pPr>
            <w:r w:rsidRPr="00C635AD">
              <w:rPr>
                <w:b/>
              </w:rPr>
              <w:t>Keynote speech 1</w:t>
            </w:r>
          </w:p>
        </w:tc>
      </w:tr>
      <w:tr w:rsidR="00A35C7B" w:rsidRPr="00C635AD" w14:paraId="64E86BF5" w14:textId="77777777" w:rsidTr="00B17A5F">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29014583" w14:textId="51A994EC" w:rsidR="00A35C7B" w:rsidRPr="00C635AD" w:rsidRDefault="00A35C7B" w:rsidP="00B17A5F">
            <w:r w:rsidRPr="00C635AD">
              <w:t>10.50–11.10 a.m.</w:t>
            </w:r>
          </w:p>
        </w:tc>
        <w:tc>
          <w:tcPr>
            <w:tcW w:w="7970" w:type="dxa"/>
            <w:tcBorders>
              <w:top w:val="nil"/>
              <w:left w:val="nil"/>
              <w:bottom w:val="nil"/>
              <w:right w:val="nil"/>
            </w:tcBorders>
            <w:shd w:val="clear" w:color="auto" w:fill="auto"/>
            <w:tcMar>
              <w:top w:w="15" w:type="dxa"/>
              <w:left w:w="15" w:type="dxa"/>
              <w:bottom w:w="0" w:type="dxa"/>
              <w:right w:w="15" w:type="dxa"/>
            </w:tcMar>
          </w:tcPr>
          <w:p w14:paraId="30D48B15" w14:textId="77777777" w:rsidR="00A35C7B" w:rsidRPr="00C635AD" w:rsidRDefault="00A35C7B" w:rsidP="00B17A5F">
            <w:pPr>
              <w:spacing w:after="120"/>
              <w:rPr>
                <w:b/>
              </w:rPr>
            </w:pPr>
            <w:r w:rsidRPr="00C635AD">
              <w:rPr>
                <w:b/>
              </w:rPr>
              <w:t>Keynote speech 2</w:t>
            </w:r>
          </w:p>
        </w:tc>
      </w:tr>
      <w:tr w:rsidR="00A35C7B" w:rsidRPr="00C635AD" w14:paraId="1FCC11DD" w14:textId="77777777" w:rsidTr="00B17A5F">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43829336" w14:textId="61341CD2" w:rsidR="00A35C7B" w:rsidRPr="00C635AD" w:rsidRDefault="00A35C7B" w:rsidP="00B17A5F">
            <w:r w:rsidRPr="00C635AD">
              <w:t>11.10–11.40 a.m.</w:t>
            </w:r>
          </w:p>
        </w:tc>
        <w:tc>
          <w:tcPr>
            <w:tcW w:w="7970" w:type="dxa"/>
            <w:tcBorders>
              <w:top w:val="nil"/>
              <w:left w:val="nil"/>
              <w:bottom w:val="nil"/>
              <w:right w:val="nil"/>
            </w:tcBorders>
            <w:shd w:val="clear" w:color="auto" w:fill="auto"/>
            <w:tcMar>
              <w:top w:w="15" w:type="dxa"/>
              <w:left w:w="15" w:type="dxa"/>
              <w:bottom w:w="0" w:type="dxa"/>
              <w:right w:w="15" w:type="dxa"/>
            </w:tcMar>
          </w:tcPr>
          <w:p w14:paraId="0356461A" w14:textId="77777777" w:rsidR="00A35C7B" w:rsidRPr="00C635AD" w:rsidRDefault="00A35C7B" w:rsidP="00B17A5F">
            <w:pPr>
              <w:rPr>
                <w:b/>
              </w:rPr>
            </w:pPr>
            <w:r w:rsidRPr="00C635AD">
              <w:rPr>
                <w:b/>
                <w:i/>
              </w:rPr>
              <w:t xml:space="preserve">Coffee break </w:t>
            </w:r>
          </w:p>
        </w:tc>
      </w:tr>
      <w:tr w:rsidR="00A35C7B" w:rsidRPr="00C635AD" w14:paraId="7B543FB8" w14:textId="77777777" w:rsidTr="00B17A5F">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72D60A86" w14:textId="40A21EFC" w:rsidR="00A35C7B" w:rsidRPr="00C635AD" w:rsidRDefault="00A35C7B" w:rsidP="00B17A5F">
            <w:r w:rsidRPr="00C635AD">
              <w:rPr>
                <w:iCs/>
              </w:rPr>
              <w:t>11.40 a.m.–1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185E9C36" w14:textId="77777777" w:rsidR="00A35C7B" w:rsidRPr="00C635AD" w:rsidRDefault="00A35C7B" w:rsidP="00B17A5F">
            <w:pPr>
              <w:rPr>
                <w:b/>
                <w:iCs/>
              </w:rPr>
            </w:pPr>
            <w:r w:rsidRPr="00C635AD">
              <w:rPr>
                <w:b/>
                <w:iCs/>
              </w:rPr>
              <w:t xml:space="preserve">Panel I: </w:t>
            </w:r>
          </w:p>
          <w:p w14:paraId="009B7BE4" w14:textId="77777777" w:rsidR="00A35C7B" w:rsidRPr="00C635AD" w:rsidRDefault="00A35C7B" w:rsidP="00B17A5F">
            <w:pPr>
              <w:spacing w:after="120"/>
              <w:rPr>
                <w:b/>
                <w:iCs/>
              </w:rPr>
            </w:pPr>
            <w:r w:rsidRPr="00C635AD">
              <w:rPr>
                <w:b/>
                <w:iCs/>
              </w:rPr>
              <w:t xml:space="preserve">National visions and policy ambitions to move towards decarbonized inland transport by 2050 </w:t>
            </w:r>
          </w:p>
          <w:p w14:paraId="67EC9D1D" w14:textId="77777777" w:rsidR="00A35C7B" w:rsidRPr="00C635AD" w:rsidRDefault="00A35C7B" w:rsidP="00B17A5F">
            <w:pPr>
              <w:spacing w:after="120"/>
            </w:pPr>
            <w:r w:rsidRPr="00C635AD">
              <w:rPr>
                <w:i/>
                <w:iCs/>
              </w:rPr>
              <w:t>Discussion and scheduled interventions (3’ each max)</w:t>
            </w:r>
          </w:p>
        </w:tc>
      </w:tr>
      <w:tr w:rsidR="00A35C7B" w:rsidRPr="00C635AD" w14:paraId="24B7B961" w14:textId="77777777" w:rsidTr="00B17A5F">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6A1D6782" w14:textId="4E95DD28" w:rsidR="00A35C7B" w:rsidRPr="00C635AD" w:rsidRDefault="00A35C7B" w:rsidP="00B17A5F">
            <w:pPr>
              <w:rPr>
                <w:iCs/>
              </w:rPr>
            </w:pPr>
            <w:r w:rsidRPr="00C635AD">
              <w:rPr>
                <w:iCs/>
              </w:rPr>
              <w:t>1–2 p.m.</w:t>
            </w:r>
          </w:p>
        </w:tc>
        <w:tc>
          <w:tcPr>
            <w:tcW w:w="7970" w:type="dxa"/>
            <w:tcBorders>
              <w:top w:val="nil"/>
              <w:left w:val="nil"/>
              <w:bottom w:val="nil"/>
              <w:right w:val="nil"/>
            </w:tcBorders>
            <w:shd w:val="clear" w:color="auto" w:fill="auto"/>
            <w:tcMar>
              <w:top w:w="15" w:type="dxa"/>
              <w:left w:w="15" w:type="dxa"/>
              <w:bottom w:w="0" w:type="dxa"/>
              <w:right w:w="15" w:type="dxa"/>
            </w:tcMar>
          </w:tcPr>
          <w:p w14:paraId="0518D533" w14:textId="77777777" w:rsidR="00A35C7B" w:rsidRPr="00C635AD" w:rsidRDefault="00A35C7B" w:rsidP="00B17A5F">
            <w:pPr>
              <w:rPr>
                <w:b/>
                <w:iCs/>
              </w:rPr>
            </w:pPr>
            <w:r w:rsidRPr="00C635AD">
              <w:rPr>
                <w:b/>
                <w:iCs/>
              </w:rPr>
              <w:t>High-level side event on ITC Road Safety Forum</w:t>
            </w:r>
          </w:p>
        </w:tc>
      </w:tr>
      <w:tr w:rsidR="00A35C7B" w:rsidRPr="00C635AD" w14:paraId="2E9D31A3" w14:textId="77777777" w:rsidTr="00B17A5F">
        <w:trPr>
          <w:gridAfter w:val="1"/>
          <w:wAfter w:w="15" w:type="dxa"/>
          <w:trHeight w:val="454"/>
        </w:trPr>
        <w:tc>
          <w:tcPr>
            <w:tcW w:w="1669" w:type="dxa"/>
            <w:gridSpan w:val="2"/>
            <w:tcBorders>
              <w:top w:val="nil"/>
              <w:left w:val="nil"/>
              <w:right w:val="nil"/>
            </w:tcBorders>
            <w:shd w:val="clear" w:color="auto" w:fill="auto"/>
            <w:tcMar>
              <w:top w:w="15" w:type="dxa"/>
              <w:left w:w="15" w:type="dxa"/>
              <w:bottom w:w="0" w:type="dxa"/>
              <w:right w:w="15" w:type="dxa"/>
            </w:tcMar>
          </w:tcPr>
          <w:p w14:paraId="374F8C64" w14:textId="79CB34AD" w:rsidR="00A35C7B" w:rsidRPr="00C635AD" w:rsidRDefault="00A35C7B" w:rsidP="00B17A5F">
            <w:pPr>
              <w:rPr>
                <w:iCs/>
              </w:rPr>
            </w:pPr>
            <w:r w:rsidRPr="00C635AD">
              <w:t>2–3 p.m.</w:t>
            </w:r>
          </w:p>
        </w:tc>
        <w:tc>
          <w:tcPr>
            <w:tcW w:w="7970" w:type="dxa"/>
            <w:tcBorders>
              <w:top w:val="nil"/>
              <w:left w:val="nil"/>
              <w:right w:val="nil"/>
            </w:tcBorders>
            <w:shd w:val="clear" w:color="auto" w:fill="auto"/>
            <w:tcMar>
              <w:top w:w="15" w:type="dxa"/>
              <w:left w:w="15" w:type="dxa"/>
              <w:bottom w:w="0" w:type="dxa"/>
              <w:right w:w="15" w:type="dxa"/>
            </w:tcMar>
          </w:tcPr>
          <w:p w14:paraId="01C99D1E" w14:textId="77777777" w:rsidR="00A35C7B" w:rsidRPr="00C635AD" w:rsidRDefault="00A35C7B" w:rsidP="00B17A5F">
            <w:pPr>
              <w:rPr>
                <w:b/>
                <w:iCs/>
              </w:rPr>
            </w:pPr>
            <w:r w:rsidRPr="00C635AD">
              <w:rPr>
                <w:b/>
                <w:i/>
              </w:rPr>
              <w:t>Lunch break</w:t>
            </w:r>
          </w:p>
        </w:tc>
      </w:tr>
      <w:tr w:rsidR="00A35C7B" w:rsidRPr="00C635AD" w14:paraId="685CA14A" w14:textId="77777777" w:rsidTr="00B17A5F">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5F85F45C" w14:textId="33059DD0" w:rsidR="00A35C7B" w:rsidRPr="00C635AD" w:rsidRDefault="00A35C7B" w:rsidP="00B17A5F">
            <w:r w:rsidRPr="00C635AD">
              <w:t>3–4.15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30FC5C78" w14:textId="77777777" w:rsidR="00A35C7B" w:rsidRPr="00C635AD" w:rsidRDefault="00A35C7B" w:rsidP="00B17A5F">
            <w:pPr>
              <w:rPr>
                <w:b/>
                <w:iCs/>
              </w:rPr>
            </w:pPr>
            <w:r w:rsidRPr="00C635AD">
              <w:rPr>
                <w:b/>
                <w:iCs/>
              </w:rPr>
              <w:t xml:space="preserve">Panel II: </w:t>
            </w:r>
          </w:p>
          <w:p w14:paraId="5C742269" w14:textId="77777777" w:rsidR="00A35C7B" w:rsidRPr="00C635AD" w:rsidRDefault="00A35C7B" w:rsidP="00B17A5F">
            <w:pPr>
              <w:spacing w:after="120"/>
              <w:rPr>
                <w:b/>
                <w:iCs/>
              </w:rPr>
            </w:pPr>
            <w:r w:rsidRPr="00C635AD">
              <w:rPr>
                <w:b/>
                <w:iCs/>
              </w:rPr>
              <w:t>Accelerating climate change mitigation in inland transport: Reaping synergies with urban development, environment and energy policies</w:t>
            </w:r>
          </w:p>
          <w:p w14:paraId="6E590689" w14:textId="77777777" w:rsidR="00A35C7B" w:rsidRPr="00C635AD" w:rsidRDefault="00A35C7B" w:rsidP="00B17A5F">
            <w:pPr>
              <w:spacing w:after="120"/>
              <w:rPr>
                <w:u w:val="single"/>
              </w:rPr>
            </w:pPr>
            <w:r w:rsidRPr="00C635AD">
              <w:rPr>
                <w:i/>
                <w:iCs/>
              </w:rPr>
              <w:t>Discussion and scheduled interventions (3’ each max)</w:t>
            </w:r>
          </w:p>
        </w:tc>
      </w:tr>
      <w:tr w:rsidR="00A35C7B" w:rsidRPr="00C635AD" w14:paraId="56624364" w14:textId="77777777" w:rsidTr="00B17A5F">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44A486E6" w14:textId="3ED23FED" w:rsidR="00A35C7B" w:rsidRPr="00C635AD" w:rsidRDefault="00A35C7B" w:rsidP="00B17A5F">
            <w:r w:rsidRPr="00C635AD">
              <w:t>4.15</w:t>
            </w:r>
            <w:r w:rsidR="003732DD">
              <w:t>–</w:t>
            </w:r>
            <w:r w:rsidRPr="00C635AD">
              <w:t>4.45 p.m.</w:t>
            </w:r>
          </w:p>
        </w:tc>
        <w:tc>
          <w:tcPr>
            <w:tcW w:w="7970" w:type="dxa"/>
            <w:tcBorders>
              <w:top w:val="nil"/>
              <w:left w:val="nil"/>
              <w:bottom w:val="nil"/>
              <w:right w:val="nil"/>
            </w:tcBorders>
            <w:shd w:val="clear" w:color="auto" w:fill="auto"/>
            <w:tcMar>
              <w:top w:w="15" w:type="dxa"/>
              <w:left w:w="15" w:type="dxa"/>
              <w:bottom w:w="0" w:type="dxa"/>
              <w:right w:w="15" w:type="dxa"/>
            </w:tcMar>
          </w:tcPr>
          <w:p w14:paraId="76D7F86C" w14:textId="77777777" w:rsidR="00A35C7B" w:rsidRPr="00C635AD" w:rsidRDefault="00A35C7B" w:rsidP="00B17A5F">
            <w:pPr>
              <w:rPr>
                <w:b/>
                <w:iCs/>
              </w:rPr>
            </w:pPr>
            <w:r w:rsidRPr="00C635AD">
              <w:rPr>
                <w:b/>
                <w:i/>
              </w:rPr>
              <w:t xml:space="preserve">Coffee break </w:t>
            </w:r>
          </w:p>
        </w:tc>
      </w:tr>
      <w:tr w:rsidR="00A35C7B" w:rsidRPr="00C635AD" w14:paraId="41FFF1FC" w14:textId="77777777" w:rsidTr="00B17A5F">
        <w:trPr>
          <w:gridAfter w:val="1"/>
          <w:wAfter w:w="15" w:type="dxa"/>
          <w:trHeight w:val="454"/>
        </w:trPr>
        <w:tc>
          <w:tcPr>
            <w:tcW w:w="1669" w:type="dxa"/>
            <w:gridSpan w:val="2"/>
            <w:tcBorders>
              <w:top w:val="nil"/>
              <w:left w:val="nil"/>
              <w:right w:val="nil"/>
            </w:tcBorders>
            <w:shd w:val="clear" w:color="auto" w:fill="auto"/>
            <w:tcMar>
              <w:top w:w="15" w:type="dxa"/>
              <w:left w:w="15" w:type="dxa"/>
              <w:bottom w:w="0" w:type="dxa"/>
              <w:right w:w="15" w:type="dxa"/>
            </w:tcMar>
          </w:tcPr>
          <w:p w14:paraId="12C02C6C" w14:textId="5675BD46" w:rsidR="00A35C7B" w:rsidRPr="00C635AD" w:rsidRDefault="00A35C7B" w:rsidP="00B17A5F">
            <w:r w:rsidRPr="00C635AD">
              <w:t>4.45</w:t>
            </w:r>
            <w:r w:rsidR="003732DD">
              <w:t>–</w:t>
            </w:r>
            <w:r w:rsidRPr="00C635AD">
              <w:t>5.50 p.m.</w:t>
            </w:r>
          </w:p>
        </w:tc>
        <w:tc>
          <w:tcPr>
            <w:tcW w:w="7970" w:type="dxa"/>
            <w:tcBorders>
              <w:top w:val="nil"/>
              <w:left w:val="nil"/>
              <w:right w:val="nil"/>
            </w:tcBorders>
            <w:shd w:val="clear" w:color="auto" w:fill="auto"/>
            <w:tcMar>
              <w:top w:w="15" w:type="dxa"/>
              <w:left w:w="15" w:type="dxa"/>
              <w:bottom w:w="0" w:type="dxa"/>
              <w:right w:w="15" w:type="dxa"/>
            </w:tcMar>
          </w:tcPr>
          <w:p w14:paraId="7174DD95" w14:textId="77777777" w:rsidR="00A35C7B" w:rsidRPr="00C635AD" w:rsidRDefault="00A35C7B" w:rsidP="00B17A5F">
            <w:pPr>
              <w:rPr>
                <w:b/>
                <w:iCs/>
              </w:rPr>
            </w:pPr>
            <w:r w:rsidRPr="00C635AD">
              <w:rPr>
                <w:b/>
                <w:iCs/>
              </w:rPr>
              <w:t xml:space="preserve">Panel III: </w:t>
            </w:r>
          </w:p>
          <w:p w14:paraId="2B659FBB" w14:textId="77777777" w:rsidR="00A35C7B" w:rsidRPr="00C635AD" w:rsidRDefault="00A35C7B" w:rsidP="00B17A5F">
            <w:pPr>
              <w:spacing w:after="120"/>
              <w:rPr>
                <w:b/>
                <w:iCs/>
              </w:rPr>
            </w:pPr>
            <w:r w:rsidRPr="00C635AD">
              <w:rPr>
                <w:b/>
                <w:iCs/>
              </w:rPr>
              <w:t>International cooperation, intergovernmental support and partnerships for climate action</w:t>
            </w:r>
          </w:p>
          <w:p w14:paraId="74AD937C" w14:textId="77777777" w:rsidR="00A35C7B" w:rsidRPr="00C635AD" w:rsidRDefault="00A35C7B" w:rsidP="00B17A5F">
            <w:pPr>
              <w:spacing w:after="120"/>
            </w:pPr>
            <w:r w:rsidRPr="00C635AD">
              <w:rPr>
                <w:i/>
                <w:iCs/>
              </w:rPr>
              <w:t>Discussion and scheduled interventions (3’ each max)</w:t>
            </w:r>
          </w:p>
        </w:tc>
      </w:tr>
      <w:tr w:rsidR="00A35C7B" w:rsidRPr="00C635AD" w14:paraId="1EB510DB" w14:textId="77777777" w:rsidTr="00B17A5F">
        <w:trPr>
          <w:gridAfter w:val="1"/>
          <w:wAfter w:w="15" w:type="dxa"/>
          <w:trHeight w:val="454"/>
        </w:trPr>
        <w:tc>
          <w:tcPr>
            <w:tcW w:w="1669" w:type="dxa"/>
            <w:gridSpan w:val="2"/>
            <w:tcBorders>
              <w:top w:val="nil"/>
              <w:left w:val="nil"/>
              <w:bottom w:val="single" w:sz="12" w:space="0" w:color="auto"/>
              <w:right w:val="nil"/>
            </w:tcBorders>
            <w:shd w:val="clear" w:color="auto" w:fill="auto"/>
            <w:tcMar>
              <w:top w:w="15" w:type="dxa"/>
              <w:left w:w="15" w:type="dxa"/>
              <w:bottom w:w="0" w:type="dxa"/>
              <w:right w:w="15" w:type="dxa"/>
            </w:tcMar>
          </w:tcPr>
          <w:p w14:paraId="12F326CB" w14:textId="65470160" w:rsidR="00A35C7B" w:rsidRPr="00C635AD" w:rsidRDefault="00A35C7B" w:rsidP="00B17A5F">
            <w:r w:rsidRPr="00C635AD">
              <w:t>5.50</w:t>
            </w:r>
            <w:r w:rsidR="003732DD">
              <w:t>–</w:t>
            </w:r>
            <w:r w:rsidRPr="00C635AD">
              <w:t>6 p.m.</w:t>
            </w:r>
          </w:p>
        </w:tc>
        <w:tc>
          <w:tcPr>
            <w:tcW w:w="7970" w:type="dxa"/>
            <w:tcBorders>
              <w:top w:val="nil"/>
              <w:left w:val="nil"/>
              <w:bottom w:val="single" w:sz="12" w:space="0" w:color="auto"/>
              <w:right w:val="nil"/>
            </w:tcBorders>
            <w:shd w:val="clear" w:color="auto" w:fill="auto"/>
            <w:tcMar>
              <w:top w:w="15" w:type="dxa"/>
              <w:left w:w="15" w:type="dxa"/>
              <w:bottom w:w="0" w:type="dxa"/>
              <w:right w:w="15" w:type="dxa"/>
            </w:tcMar>
          </w:tcPr>
          <w:p w14:paraId="1523EFD9" w14:textId="1EA11828" w:rsidR="00A35C7B" w:rsidRPr="00C635AD" w:rsidRDefault="00811CE0" w:rsidP="00B17A5F">
            <w:pPr>
              <w:spacing w:after="120"/>
            </w:pPr>
            <w:r w:rsidRPr="00C635AD">
              <w:rPr>
                <w:b/>
                <w:iCs/>
              </w:rPr>
              <w:t xml:space="preserve">Announcement of the </w:t>
            </w:r>
            <w:r w:rsidR="00A35C7B" w:rsidRPr="00C635AD">
              <w:rPr>
                <w:b/>
                <w:iCs/>
              </w:rPr>
              <w:t>ITC Strategy on Reducing Greenhouse Gas Emissions from Inland Transport</w:t>
            </w:r>
            <w:r w:rsidRPr="00C635AD">
              <w:rPr>
                <w:b/>
                <w:iCs/>
              </w:rPr>
              <w:t xml:space="preserve">, endorsement of the High-level Statement of Support to the adoption of the Strategy and </w:t>
            </w:r>
            <w:r w:rsidR="00A35C7B" w:rsidRPr="00C635AD">
              <w:rPr>
                <w:b/>
                <w:iCs/>
              </w:rPr>
              <w:t>closing statements</w:t>
            </w:r>
          </w:p>
        </w:tc>
      </w:tr>
    </w:tbl>
    <w:p w14:paraId="63BFA333" w14:textId="634A99A9" w:rsidR="00BF5682" w:rsidRPr="00C635AD" w:rsidRDefault="00A35C7B" w:rsidP="00B708C4">
      <w:pPr>
        <w:spacing w:before="240"/>
        <w:jc w:val="center"/>
        <w:rPr>
          <w:u w:val="single"/>
        </w:rPr>
      </w:pPr>
      <w:r w:rsidRPr="00C635AD">
        <w:rPr>
          <w:u w:val="single"/>
        </w:rPr>
        <w:tab/>
      </w:r>
      <w:r w:rsidRPr="00C635AD">
        <w:rPr>
          <w:u w:val="single"/>
        </w:rPr>
        <w:tab/>
      </w:r>
      <w:r w:rsidRPr="00C635AD">
        <w:rPr>
          <w:u w:val="single"/>
        </w:rPr>
        <w:tab/>
      </w:r>
    </w:p>
    <w:sectPr w:rsidR="00BF5682" w:rsidRPr="00C635AD" w:rsidSect="00C02976">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B75B" w14:textId="77777777" w:rsidR="002558F0" w:rsidRDefault="002558F0"/>
  </w:endnote>
  <w:endnote w:type="continuationSeparator" w:id="0">
    <w:p w14:paraId="4EEE8BFC" w14:textId="77777777" w:rsidR="002558F0" w:rsidRDefault="002558F0"/>
  </w:endnote>
  <w:endnote w:type="continuationNotice" w:id="1">
    <w:p w14:paraId="4D34F6ED" w14:textId="77777777" w:rsidR="002558F0" w:rsidRDefault="00255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82D6" w14:textId="77777777" w:rsidR="002558F0" w:rsidRPr="000B175B" w:rsidRDefault="002558F0" w:rsidP="000B175B">
      <w:pPr>
        <w:tabs>
          <w:tab w:val="right" w:pos="2155"/>
        </w:tabs>
        <w:spacing w:after="80"/>
        <w:ind w:left="680"/>
        <w:rPr>
          <w:u w:val="single"/>
        </w:rPr>
      </w:pPr>
      <w:r>
        <w:rPr>
          <w:u w:val="single"/>
        </w:rPr>
        <w:tab/>
      </w:r>
    </w:p>
  </w:footnote>
  <w:footnote w:type="continuationSeparator" w:id="0">
    <w:p w14:paraId="333AF204" w14:textId="77777777" w:rsidR="002558F0" w:rsidRPr="00FC68B7" w:rsidRDefault="002558F0" w:rsidP="00FC68B7">
      <w:pPr>
        <w:tabs>
          <w:tab w:val="left" w:pos="2155"/>
        </w:tabs>
        <w:spacing w:after="80"/>
        <w:ind w:left="680"/>
        <w:rPr>
          <w:u w:val="single"/>
        </w:rPr>
      </w:pPr>
      <w:r>
        <w:rPr>
          <w:u w:val="single"/>
        </w:rPr>
        <w:tab/>
      </w:r>
    </w:p>
  </w:footnote>
  <w:footnote w:type="continuationNotice" w:id="1">
    <w:p w14:paraId="3A12F703" w14:textId="77777777" w:rsidR="002558F0" w:rsidRDefault="002558F0"/>
  </w:footnote>
  <w:footnote w:id="2">
    <w:p w14:paraId="5AB85B26" w14:textId="77777777" w:rsidR="00A35C7B" w:rsidRPr="00DE27CC" w:rsidRDefault="00A35C7B" w:rsidP="00A35C7B">
      <w:pPr>
        <w:pStyle w:val="FootnoteText"/>
      </w:pPr>
      <w:r>
        <w:tab/>
      </w:r>
      <w:r>
        <w:rPr>
          <w:rStyle w:val="FootnoteReference"/>
        </w:rPr>
        <w:footnoteRef/>
      </w:r>
      <w:r>
        <w:t xml:space="preserve"> </w:t>
      </w:r>
      <w:r>
        <w:tab/>
        <w:t>A</w:t>
      </w:r>
      <w:r w:rsidRPr="004C2A7E">
        <w:t>dopted by 196 Parties at UNFCCC C</w:t>
      </w:r>
      <w:r>
        <w:t>o</w:t>
      </w:r>
      <w:r w:rsidRPr="004C2A7E">
        <w:t>P</w:t>
      </w:r>
      <w:r>
        <w:t>-</w:t>
      </w:r>
      <w:r w:rsidRPr="004C2A7E">
        <w:t>21 in 2015</w:t>
      </w:r>
      <w:r>
        <w:t>.</w:t>
      </w:r>
    </w:p>
  </w:footnote>
  <w:footnote w:id="3">
    <w:p w14:paraId="6D8D94A6" w14:textId="77777777" w:rsidR="00A35C7B" w:rsidRPr="003955AA" w:rsidRDefault="00A35C7B" w:rsidP="00A35C7B">
      <w:pPr>
        <w:pStyle w:val="FootnoteText"/>
      </w:pPr>
      <w:r>
        <w:tab/>
      </w:r>
      <w:r>
        <w:rPr>
          <w:rStyle w:val="FootnoteReference"/>
        </w:rPr>
        <w:footnoteRef/>
      </w:r>
      <w:r>
        <w:t xml:space="preserve"> </w:t>
      </w:r>
      <w:r>
        <w:tab/>
        <w:t xml:space="preserve">Sharm-El-Sheik implementation plan, para. </w:t>
      </w:r>
      <w:r w:rsidRPr="003955AA">
        <w:t xml:space="preserve">7, available from: </w:t>
      </w:r>
      <w:hyperlink r:id="rId1" w:history="1">
        <w:r w:rsidRPr="003955AA">
          <w:rPr>
            <w:rStyle w:val="Hyperlink"/>
          </w:rPr>
          <w:t>CMA4_AUV_TEMPLATE (unfccc.int)</w:t>
        </w:r>
      </w:hyperlink>
      <w:r w:rsidRPr="003955AA">
        <w:rPr>
          <w:rStyle w:val="Hyperlink"/>
        </w:rPr>
        <w:t>.</w:t>
      </w:r>
    </w:p>
  </w:footnote>
  <w:footnote w:id="4">
    <w:p w14:paraId="6B8C87F5" w14:textId="77777777" w:rsidR="00A35C7B" w:rsidRPr="00B66D0B" w:rsidRDefault="00A35C7B" w:rsidP="00A35C7B">
      <w:pPr>
        <w:pStyle w:val="FootnoteText"/>
        <w:tabs>
          <w:tab w:val="clear" w:pos="1021"/>
          <w:tab w:val="right" w:pos="1276"/>
        </w:tabs>
        <w:ind w:left="993" w:firstLine="0"/>
      </w:pPr>
      <w:r>
        <w:rPr>
          <w:rStyle w:val="FootnoteReference"/>
        </w:rPr>
        <w:footnoteRef/>
      </w:r>
      <w:r>
        <w:t xml:space="preserve"> See </w:t>
      </w:r>
      <w:hyperlink r:id="rId2" w:history="1">
        <w:r>
          <w:rPr>
            <w:rStyle w:val="Hyperlink"/>
          </w:rPr>
          <w:t>Carbon neutrality by 2050: the world’s most urgent mission | United Nations Secretary-General</w:t>
        </w:r>
      </w:hyperlink>
      <w:r>
        <w:rPr>
          <w:rStyle w:val="Hyperlink"/>
        </w:rPr>
        <w:t>.</w:t>
      </w:r>
    </w:p>
  </w:footnote>
  <w:footnote w:id="5">
    <w:p w14:paraId="0948B253" w14:textId="77777777" w:rsidR="00A35C7B" w:rsidRPr="00DA0B7A" w:rsidRDefault="00A35C7B" w:rsidP="00A35C7B">
      <w:pPr>
        <w:pStyle w:val="FootnoteText"/>
        <w:rPr>
          <w:lang w:val="en-US"/>
        </w:rPr>
      </w:pPr>
      <w:r>
        <w:tab/>
      </w:r>
      <w:r>
        <w:rPr>
          <w:rStyle w:val="FootnoteReference"/>
        </w:rPr>
        <w:footnoteRef/>
      </w:r>
      <w:r>
        <w:t xml:space="preserve"> </w:t>
      </w:r>
      <w:r>
        <w:tab/>
      </w:r>
      <w:r w:rsidRPr="004D23D2">
        <w:rPr>
          <w:rFonts w:asciiTheme="majorBidi" w:eastAsia="+mn-ea" w:hAnsiTheme="majorBidi" w:cstheme="majorBidi"/>
          <w:color w:val="000000"/>
          <w:kern w:val="24"/>
          <w:szCs w:val="18"/>
        </w:rPr>
        <w:t>Sixth Assessment Report of the Intergovernmental Panel on Climate Change</w:t>
      </w:r>
      <w:r>
        <w:rPr>
          <w:rFonts w:asciiTheme="majorBidi" w:eastAsia="+mn-ea" w:hAnsiTheme="majorBidi" w:cstheme="majorBidi"/>
          <w:color w:val="000000"/>
          <w:kern w:val="24"/>
          <w:szCs w:val="18"/>
        </w:rPr>
        <w:t xml:space="preserve"> (2022)</w:t>
      </w:r>
      <w:r w:rsidRPr="004D23D2">
        <w:rPr>
          <w:rFonts w:asciiTheme="majorBidi" w:eastAsia="+mn-ea" w:hAnsiTheme="majorBidi" w:cstheme="majorBidi"/>
          <w:color w:val="000000"/>
          <w:kern w:val="24"/>
          <w:szCs w:val="18"/>
        </w:rPr>
        <w:t xml:space="preserve">, Working </w:t>
      </w:r>
      <w:r w:rsidRPr="0053096C">
        <w:rPr>
          <w:rFonts w:asciiTheme="majorBidi" w:eastAsia="+mn-ea" w:hAnsiTheme="majorBidi" w:cstheme="majorBidi"/>
          <w:color w:val="000000"/>
          <w:kern w:val="24"/>
          <w:szCs w:val="18"/>
          <w:lang w:val="en-US"/>
        </w:rPr>
        <w:t>Grou</w:t>
      </w:r>
      <w:r>
        <w:rPr>
          <w:rFonts w:asciiTheme="majorBidi" w:eastAsia="+mn-ea" w:hAnsiTheme="majorBidi" w:cstheme="majorBidi"/>
          <w:color w:val="000000"/>
          <w:kern w:val="24"/>
          <w:szCs w:val="18"/>
          <w:lang w:val="en-US"/>
        </w:rPr>
        <w:t xml:space="preserve">p III, Chapter 2.4.2.4, Figure 2.20, p. 252, available from: </w:t>
      </w:r>
      <w:hyperlink r:id="rId3" w:history="1">
        <w:r w:rsidRPr="004835E7">
          <w:rPr>
            <w:rStyle w:val="Hyperlink"/>
            <w:rFonts w:asciiTheme="majorBidi" w:eastAsia="+mn-ea" w:hAnsiTheme="majorBidi" w:cstheme="majorBidi"/>
            <w:kern w:val="24"/>
            <w:szCs w:val="18"/>
          </w:rPr>
          <w:t>https://report.ipcc.ch/ar6/wg3/IPCC_AR6_WGIII_Full_Report.pdf</w:t>
        </w:r>
      </w:hyperlink>
    </w:p>
  </w:footnote>
  <w:footnote w:id="6">
    <w:p w14:paraId="44EDD86B" w14:textId="77777777" w:rsidR="00A35C7B" w:rsidRPr="003F3AED" w:rsidRDefault="00A35C7B" w:rsidP="00A35C7B">
      <w:pPr>
        <w:pStyle w:val="FootnoteText"/>
        <w:ind w:hanging="141"/>
        <w:rPr>
          <w:lang w:val="en-US"/>
        </w:rPr>
      </w:pPr>
      <w:r>
        <w:tab/>
      </w:r>
      <w:r>
        <w:rPr>
          <w:rStyle w:val="FootnoteReference"/>
        </w:rPr>
        <w:footnoteRef/>
      </w:r>
      <w:r>
        <w:tab/>
        <w:t>ITF (2023), ITF Transport Outlook 2023, Chapter 2, p</w:t>
      </w:r>
      <w:r w:rsidRPr="00B3788E">
        <w:t>. 65</w:t>
      </w:r>
      <w:r>
        <w:t xml:space="preserve">, OECD Publishing, Paris, accessible at: </w:t>
      </w:r>
      <w:hyperlink r:id="rId4" w:history="1">
        <w:r>
          <w:rPr>
            <w:rStyle w:val="Hyperlink"/>
          </w:rPr>
          <w:t>ITF Transport Outlook 2023 | ITF Transport Outlook | OECD iLibrary (oecd-ilibrary.org)</w:t>
        </w:r>
      </w:hyperlink>
    </w:p>
  </w:footnote>
  <w:footnote w:id="7">
    <w:p w14:paraId="73945889" w14:textId="77777777" w:rsidR="00A35C7B" w:rsidRPr="00EE1A70" w:rsidRDefault="00A35C7B" w:rsidP="00A35C7B">
      <w:pPr>
        <w:pStyle w:val="FootnoteText"/>
        <w:ind w:hanging="141"/>
      </w:pPr>
      <w:r>
        <w:rPr>
          <w:rStyle w:val="FootnoteReference"/>
        </w:rPr>
        <w:footnoteRef/>
      </w:r>
      <w:r>
        <w:t xml:space="preserve"> </w:t>
      </w:r>
      <w:r>
        <w:tab/>
      </w:r>
      <w:hyperlink r:id="rId5" w:history="1">
        <w:r>
          <w:rPr>
            <w:rStyle w:val="Hyperlink"/>
          </w:rPr>
          <w:t>Transport Climate Action Directory maintained by the ITF (itf-oecd.org)</w:t>
        </w:r>
      </w:hyperlink>
      <w:r>
        <w:rPr>
          <w:rStyle w:val="Hyperlink"/>
        </w:rPr>
        <w:t>.</w:t>
      </w:r>
    </w:p>
  </w:footnote>
  <w:footnote w:id="8">
    <w:p w14:paraId="1D156D8B" w14:textId="77777777" w:rsidR="00A35C7B" w:rsidRPr="003F2296" w:rsidRDefault="00A35C7B" w:rsidP="00A35C7B">
      <w:pPr>
        <w:pStyle w:val="FootnoteText"/>
        <w:ind w:hanging="141"/>
      </w:pPr>
      <w:r>
        <w:rPr>
          <w:rStyle w:val="FootnoteReference"/>
        </w:rPr>
        <w:footnoteRef/>
      </w:r>
      <w:r>
        <w:t xml:space="preserve"> </w:t>
      </w:r>
      <w:r>
        <w:tab/>
      </w:r>
      <w:r w:rsidRPr="001A561E">
        <w:t>See</w:t>
      </w:r>
      <w:r>
        <w:t xml:space="preserve"> </w:t>
      </w:r>
      <w:hyperlink r:id="rId6" w:history="1">
        <w:r>
          <w:rPr>
            <w:rStyle w:val="Hyperlink"/>
          </w:rPr>
          <w:t>https://climatepromise.undp.org/sites/default/files/research_report_document/enhancing-ndcs-opportunities-transport.pdf</w:t>
        </w:r>
      </w:hyperlink>
      <w:r>
        <w:rPr>
          <w:rStyle w:val="Hyperlink"/>
        </w:rPr>
        <w:t>.</w:t>
      </w:r>
    </w:p>
  </w:footnote>
  <w:footnote w:id="9">
    <w:p w14:paraId="5A182504" w14:textId="77777777" w:rsidR="00A35C7B" w:rsidRPr="00176101" w:rsidRDefault="00A35C7B" w:rsidP="00A35C7B">
      <w:pPr>
        <w:pStyle w:val="FootnoteText"/>
        <w:ind w:hanging="141"/>
      </w:pPr>
      <w:r>
        <w:rPr>
          <w:rStyle w:val="FootnoteReference"/>
        </w:rPr>
        <w:footnoteRef/>
      </w:r>
      <w:r>
        <w:t xml:space="preserve"> </w:t>
      </w:r>
      <w:r>
        <w:tab/>
        <w:t>ITF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22777A90" w:rsidR="00C02976" w:rsidRPr="00C02976" w:rsidRDefault="00C02976">
    <w:pPr>
      <w:pStyle w:val="Header"/>
    </w:pPr>
    <w:r>
      <w:t>ECE/TRANS/202</w:t>
    </w:r>
    <w:r w:rsidR="00BD2A5B">
      <w:t>4</w:t>
    </w:r>
    <w:r>
      <w:t>/</w:t>
    </w:r>
    <w:r w:rsidR="00E86F5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199BCB8B" w:rsidR="00C02976" w:rsidRPr="00C02976" w:rsidRDefault="00C02976" w:rsidP="00C02976">
    <w:pPr>
      <w:pStyle w:val="Header"/>
      <w:jc w:val="right"/>
    </w:pPr>
    <w:r>
      <w:t>ECE/TRANS/202</w:t>
    </w:r>
    <w:r w:rsidR="00BD2A5B">
      <w:t>4</w:t>
    </w:r>
    <w:r>
      <w:t>/</w:t>
    </w:r>
    <w:r w:rsidR="00E86F5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254065CE"/>
    <w:lvl w:ilvl="0" w:tplc="F388696C">
      <w:start w:val="1"/>
      <w:numFmt w:val="lowerLetter"/>
      <w:lvlText w:val="%1)"/>
      <w:lvlJc w:val="left"/>
      <w:pPr>
        <w:tabs>
          <w:tab w:val="num" w:pos="1304"/>
        </w:tabs>
        <w:ind w:left="1304" w:hanging="170"/>
      </w:pPr>
      <w:rPr>
        <w:rFonts w:ascii="Times New Roman" w:eastAsia="SimSun" w:hAnsi="Times New Roman" w:cs="Times New Roman"/>
      </w:rPr>
    </w:lvl>
    <w:lvl w:ilvl="1" w:tplc="040C0003">
      <w:start w:val="1"/>
      <w:numFmt w:val="bullet"/>
      <w:lvlText w:val="o"/>
      <w:lvlJc w:val="left"/>
      <w:pPr>
        <w:tabs>
          <w:tab w:val="num" w:pos="1043"/>
        </w:tabs>
        <w:ind w:left="1043" w:hanging="360"/>
      </w:pPr>
      <w:rPr>
        <w:rFonts w:ascii="Courier New" w:hAnsi="Courier New" w:cs="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cs="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cs="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A229BE"/>
    <w:multiLevelType w:val="hybridMultilevel"/>
    <w:tmpl w:val="3368AE16"/>
    <w:lvl w:ilvl="0" w:tplc="5A10AE6A">
      <w:start w:val="1"/>
      <w:numFmt w:val="bullet"/>
      <w:lvlText w:val=""/>
      <w:lvlJc w:val="left"/>
      <w:pPr>
        <w:ind w:left="1800" w:hanging="360"/>
      </w:pPr>
      <w:rPr>
        <w:rFonts w:ascii="Symbol" w:hAnsi="Symbol"/>
      </w:rPr>
    </w:lvl>
    <w:lvl w:ilvl="1" w:tplc="3648BB64">
      <w:start w:val="1"/>
      <w:numFmt w:val="bullet"/>
      <w:lvlText w:val=""/>
      <w:lvlJc w:val="left"/>
      <w:pPr>
        <w:ind w:left="3240" w:hanging="360"/>
      </w:pPr>
      <w:rPr>
        <w:rFonts w:ascii="Symbol" w:hAnsi="Symbol"/>
      </w:rPr>
    </w:lvl>
    <w:lvl w:ilvl="2" w:tplc="D4A8CDE8">
      <w:start w:val="1"/>
      <w:numFmt w:val="bullet"/>
      <w:lvlText w:val=""/>
      <w:lvlJc w:val="left"/>
      <w:pPr>
        <w:ind w:left="1800" w:hanging="360"/>
      </w:pPr>
      <w:rPr>
        <w:rFonts w:ascii="Symbol" w:hAnsi="Symbol"/>
      </w:rPr>
    </w:lvl>
    <w:lvl w:ilvl="3" w:tplc="E2B25440">
      <w:start w:val="1"/>
      <w:numFmt w:val="bullet"/>
      <w:lvlText w:val=""/>
      <w:lvlJc w:val="left"/>
      <w:pPr>
        <w:ind w:left="1800" w:hanging="360"/>
      </w:pPr>
      <w:rPr>
        <w:rFonts w:ascii="Symbol" w:hAnsi="Symbol"/>
      </w:rPr>
    </w:lvl>
    <w:lvl w:ilvl="4" w:tplc="8DD80B76">
      <w:start w:val="1"/>
      <w:numFmt w:val="bullet"/>
      <w:lvlText w:val=""/>
      <w:lvlJc w:val="left"/>
      <w:pPr>
        <w:ind w:left="1800" w:hanging="360"/>
      </w:pPr>
      <w:rPr>
        <w:rFonts w:ascii="Symbol" w:hAnsi="Symbol"/>
      </w:rPr>
    </w:lvl>
    <w:lvl w:ilvl="5" w:tplc="1124F906">
      <w:start w:val="1"/>
      <w:numFmt w:val="bullet"/>
      <w:lvlText w:val=""/>
      <w:lvlJc w:val="left"/>
      <w:pPr>
        <w:ind w:left="1800" w:hanging="360"/>
      </w:pPr>
      <w:rPr>
        <w:rFonts w:ascii="Symbol" w:hAnsi="Symbol"/>
      </w:rPr>
    </w:lvl>
    <w:lvl w:ilvl="6" w:tplc="F5B4A7DC">
      <w:start w:val="1"/>
      <w:numFmt w:val="bullet"/>
      <w:lvlText w:val=""/>
      <w:lvlJc w:val="left"/>
      <w:pPr>
        <w:ind w:left="1800" w:hanging="360"/>
      </w:pPr>
      <w:rPr>
        <w:rFonts w:ascii="Symbol" w:hAnsi="Symbol"/>
      </w:rPr>
    </w:lvl>
    <w:lvl w:ilvl="7" w:tplc="37B21760">
      <w:start w:val="1"/>
      <w:numFmt w:val="bullet"/>
      <w:lvlText w:val=""/>
      <w:lvlJc w:val="left"/>
      <w:pPr>
        <w:ind w:left="1800" w:hanging="360"/>
      </w:pPr>
      <w:rPr>
        <w:rFonts w:ascii="Symbol" w:hAnsi="Symbol"/>
      </w:rPr>
    </w:lvl>
    <w:lvl w:ilvl="8" w:tplc="3D4A90C4">
      <w:start w:val="1"/>
      <w:numFmt w:val="bullet"/>
      <w:lvlText w:val=""/>
      <w:lvlJc w:val="left"/>
      <w:pPr>
        <w:ind w:left="1800" w:hanging="360"/>
      </w:pPr>
      <w:rPr>
        <w:rFonts w:ascii="Symbol" w:hAnsi="Symbol"/>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701B8"/>
    <w:multiLevelType w:val="hybridMultilevel"/>
    <w:tmpl w:val="5DDC47D8"/>
    <w:lvl w:ilvl="0" w:tplc="8A241BD2">
      <w:start w:val="1"/>
      <w:numFmt w:val="decimal"/>
      <w:lvlText w:val="%1."/>
      <w:lvlJc w:val="left"/>
      <w:pPr>
        <w:ind w:left="720" w:hanging="360"/>
      </w:pPr>
      <w:rPr>
        <w:rFonts w:hint="default"/>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D654D1"/>
    <w:multiLevelType w:val="hybridMultilevel"/>
    <w:tmpl w:val="088E9960"/>
    <w:lvl w:ilvl="0" w:tplc="FFC86842">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494C2678"/>
    <w:multiLevelType w:val="hybridMultilevel"/>
    <w:tmpl w:val="1382A6D0"/>
    <w:lvl w:ilvl="0" w:tplc="02A240A0">
      <w:start w:val="1"/>
      <w:numFmt w:val="decimal"/>
      <w:lvlText w:val="%1)"/>
      <w:lvlJc w:val="left"/>
      <w:pPr>
        <w:ind w:left="1080" w:hanging="360"/>
      </w:pPr>
    </w:lvl>
    <w:lvl w:ilvl="1" w:tplc="AF82B9DA">
      <w:start w:val="1"/>
      <w:numFmt w:val="decimal"/>
      <w:lvlText w:val="%2)"/>
      <w:lvlJc w:val="left"/>
      <w:pPr>
        <w:ind w:left="1080" w:hanging="360"/>
      </w:pPr>
    </w:lvl>
    <w:lvl w:ilvl="2" w:tplc="98DC9CEA">
      <w:start w:val="1"/>
      <w:numFmt w:val="decimal"/>
      <w:lvlText w:val="%3)"/>
      <w:lvlJc w:val="left"/>
      <w:pPr>
        <w:ind w:left="1080" w:hanging="360"/>
      </w:pPr>
    </w:lvl>
    <w:lvl w:ilvl="3" w:tplc="4CD0242A">
      <w:start w:val="1"/>
      <w:numFmt w:val="decimal"/>
      <w:lvlText w:val="%4)"/>
      <w:lvlJc w:val="left"/>
      <w:pPr>
        <w:ind w:left="1080" w:hanging="360"/>
      </w:pPr>
    </w:lvl>
    <w:lvl w:ilvl="4" w:tplc="A80A0982">
      <w:start w:val="1"/>
      <w:numFmt w:val="decimal"/>
      <w:lvlText w:val="%5)"/>
      <w:lvlJc w:val="left"/>
      <w:pPr>
        <w:ind w:left="1080" w:hanging="360"/>
      </w:pPr>
    </w:lvl>
    <w:lvl w:ilvl="5" w:tplc="040699F4">
      <w:start w:val="1"/>
      <w:numFmt w:val="decimal"/>
      <w:lvlText w:val="%6)"/>
      <w:lvlJc w:val="left"/>
      <w:pPr>
        <w:ind w:left="1080" w:hanging="360"/>
      </w:pPr>
    </w:lvl>
    <w:lvl w:ilvl="6" w:tplc="D6840E0C">
      <w:start w:val="1"/>
      <w:numFmt w:val="decimal"/>
      <w:lvlText w:val="%7)"/>
      <w:lvlJc w:val="left"/>
      <w:pPr>
        <w:ind w:left="1080" w:hanging="360"/>
      </w:pPr>
    </w:lvl>
    <w:lvl w:ilvl="7" w:tplc="3C46C19A">
      <w:start w:val="1"/>
      <w:numFmt w:val="decimal"/>
      <w:lvlText w:val="%8)"/>
      <w:lvlJc w:val="left"/>
      <w:pPr>
        <w:ind w:left="1080" w:hanging="360"/>
      </w:pPr>
    </w:lvl>
    <w:lvl w:ilvl="8" w:tplc="E6B2C6FC">
      <w:start w:val="1"/>
      <w:numFmt w:val="decimal"/>
      <w:lvlText w:val="%9)"/>
      <w:lvlJc w:val="left"/>
      <w:pPr>
        <w:ind w:left="1080" w:hanging="360"/>
      </w:pPr>
    </w:lvl>
  </w:abstractNum>
  <w:abstractNum w:abstractNumId="22" w15:restartNumberingAfterBreak="0">
    <w:nsid w:val="4C8A7C54"/>
    <w:multiLevelType w:val="hybridMultilevel"/>
    <w:tmpl w:val="52D6495A"/>
    <w:lvl w:ilvl="0" w:tplc="D8167D96">
      <w:start w:val="1"/>
      <w:numFmt w:val="upperLetter"/>
      <w:lvlText w:val="%1."/>
      <w:lvlJc w:val="left"/>
      <w:pPr>
        <w:ind w:left="1140" w:hanging="525"/>
      </w:pPr>
      <w:rPr>
        <w:rFonts w:hint="default"/>
      </w:rPr>
    </w:lvl>
    <w:lvl w:ilvl="1" w:tplc="08090019">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4E0F5617"/>
    <w:multiLevelType w:val="hybridMultilevel"/>
    <w:tmpl w:val="E056F2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30B110F"/>
    <w:multiLevelType w:val="hybridMultilevel"/>
    <w:tmpl w:val="4BEE80C8"/>
    <w:lvl w:ilvl="0" w:tplc="0FAEC792">
      <w:start w:val="1"/>
      <w:numFmt w:val="decimal"/>
      <w:lvlText w:val="%1)"/>
      <w:lvlJc w:val="left"/>
      <w:pPr>
        <w:ind w:left="720" w:hanging="360"/>
      </w:pPr>
    </w:lvl>
    <w:lvl w:ilvl="1" w:tplc="C4D813FE">
      <w:start w:val="1"/>
      <w:numFmt w:val="decimal"/>
      <w:lvlText w:val="%2)"/>
      <w:lvlJc w:val="left"/>
      <w:pPr>
        <w:ind w:left="720" w:hanging="360"/>
      </w:pPr>
    </w:lvl>
    <w:lvl w:ilvl="2" w:tplc="7F2E653A">
      <w:start w:val="1"/>
      <w:numFmt w:val="decimal"/>
      <w:lvlText w:val="%3)"/>
      <w:lvlJc w:val="left"/>
      <w:pPr>
        <w:ind w:left="720" w:hanging="360"/>
      </w:pPr>
    </w:lvl>
    <w:lvl w:ilvl="3" w:tplc="E15E81AE">
      <w:start w:val="1"/>
      <w:numFmt w:val="decimal"/>
      <w:lvlText w:val="%4)"/>
      <w:lvlJc w:val="left"/>
      <w:pPr>
        <w:ind w:left="720" w:hanging="360"/>
      </w:pPr>
    </w:lvl>
    <w:lvl w:ilvl="4" w:tplc="6D8C06CA">
      <w:start w:val="1"/>
      <w:numFmt w:val="decimal"/>
      <w:lvlText w:val="%5)"/>
      <w:lvlJc w:val="left"/>
      <w:pPr>
        <w:ind w:left="720" w:hanging="360"/>
      </w:pPr>
    </w:lvl>
    <w:lvl w:ilvl="5" w:tplc="B2A021C6">
      <w:start w:val="1"/>
      <w:numFmt w:val="decimal"/>
      <w:lvlText w:val="%6)"/>
      <w:lvlJc w:val="left"/>
      <w:pPr>
        <w:ind w:left="720" w:hanging="360"/>
      </w:pPr>
    </w:lvl>
    <w:lvl w:ilvl="6" w:tplc="1F62457A">
      <w:start w:val="1"/>
      <w:numFmt w:val="decimal"/>
      <w:lvlText w:val="%7)"/>
      <w:lvlJc w:val="left"/>
      <w:pPr>
        <w:ind w:left="720" w:hanging="360"/>
      </w:pPr>
    </w:lvl>
    <w:lvl w:ilvl="7" w:tplc="D7B038EE">
      <w:start w:val="1"/>
      <w:numFmt w:val="decimal"/>
      <w:lvlText w:val="%8)"/>
      <w:lvlJc w:val="left"/>
      <w:pPr>
        <w:ind w:left="720" w:hanging="360"/>
      </w:pPr>
    </w:lvl>
    <w:lvl w:ilvl="8" w:tplc="79B69C28">
      <w:start w:val="1"/>
      <w:numFmt w:val="decimal"/>
      <w:lvlText w:val="%9)"/>
      <w:lvlJc w:val="left"/>
      <w:pPr>
        <w:ind w:left="720" w:hanging="360"/>
      </w:pPr>
    </w:lvl>
  </w:abstractNum>
  <w:abstractNum w:abstractNumId="25" w15:restartNumberingAfterBreak="0">
    <w:nsid w:val="60B7090B"/>
    <w:multiLevelType w:val="hybridMultilevel"/>
    <w:tmpl w:val="47561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D78F7"/>
    <w:multiLevelType w:val="hybridMultilevel"/>
    <w:tmpl w:val="EBA49844"/>
    <w:lvl w:ilvl="0" w:tplc="100C0001">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28" w15:restartNumberingAfterBreak="0">
    <w:nsid w:val="6A8832F6"/>
    <w:multiLevelType w:val="hybridMultilevel"/>
    <w:tmpl w:val="06AEB756"/>
    <w:lvl w:ilvl="0" w:tplc="318424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AF4135"/>
    <w:multiLevelType w:val="hybridMultilevel"/>
    <w:tmpl w:val="11F40584"/>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ED955FD"/>
    <w:multiLevelType w:val="hybridMultilevel"/>
    <w:tmpl w:val="B89E3E5E"/>
    <w:lvl w:ilvl="0" w:tplc="62362ECA">
      <w:start w:val="1"/>
      <w:numFmt w:val="bullet"/>
      <w:lvlText w:val=""/>
      <w:lvlJc w:val="left"/>
      <w:pPr>
        <w:ind w:left="1800" w:hanging="360"/>
      </w:pPr>
      <w:rPr>
        <w:rFonts w:ascii="Symbol" w:hAnsi="Symbol"/>
      </w:rPr>
    </w:lvl>
    <w:lvl w:ilvl="1" w:tplc="0A325C8A">
      <w:start w:val="1"/>
      <w:numFmt w:val="bullet"/>
      <w:lvlText w:val=""/>
      <w:lvlJc w:val="left"/>
      <w:pPr>
        <w:ind w:left="3240" w:hanging="360"/>
      </w:pPr>
      <w:rPr>
        <w:rFonts w:ascii="Symbol" w:hAnsi="Symbol"/>
      </w:rPr>
    </w:lvl>
    <w:lvl w:ilvl="2" w:tplc="DA128272">
      <w:start w:val="1"/>
      <w:numFmt w:val="bullet"/>
      <w:lvlText w:val=""/>
      <w:lvlJc w:val="left"/>
      <w:pPr>
        <w:ind w:left="1800" w:hanging="360"/>
      </w:pPr>
      <w:rPr>
        <w:rFonts w:ascii="Symbol" w:hAnsi="Symbol"/>
      </w:rPr>
    </w:lvl>
    <w:lvl w:ilvl="3" w:tplc="AD02992C">
      <w:start w:val="1"/>
      <w:numFmt w:val="bullet"/>
      <w:lvlText w:val=""/>
      <w:lvlJc w:val="left"/>
      <w:pPr>
        <w:ind w:left="1800" w:hanging="360"/>
      </w:pPr>
      <w:rPr>
        <w:rFonts w:ascii="Symbol" w:hAnsi="Symbol"/>
      </w:rPr>
    </w:lvl>
    <w:lvl w:ilvl="4" w:tplc="A27E2EF6">
      <w:start w:val="1"/>
      <w:numFmt w:val="bullet"/>
      <w:lvlText w:val=""/>
      <w:lvlJc w:val="left"/>
      <w:pPr>
        <w:ind w:left="1800" w:hanging="360"/>
      </w:pPr>
      <w:rPr>
        <w:rFonts w:ascii="Symbol" w:hAnsi="Symbol"/>
      </w:rPr>
    </w:lvl>
    <w:lvl w:ilvl="5" w:tplc="E14CC1AE">
      <w:start w:val="1"/>
      <w:numFmt w:val="bullet"/>
      <w:lvlText w:val=""/>
      <w:lvlJc w:val="left"/>
      <w:pPr>
        <w:ind w:left="1800" w:hanging="360"/>
      </w:pPr>
      <w:rPr>
        <w:rFonts w:ascii="Symbol" w:hAnsi="Symbol"/>
      </w:rPr>
    </w:lvl>
    <w:lvl w:ilvl="6" w:tplc="ACF25B66">
      <w:start w:val="1"/>
      <w:numFmt w:val="bullet"/>
      <w:lvlText w:val=""/>
      <w:lvlJc w:val="left"/>
      <w:pPr>
        <w:ind w:left="1800" w:hanging="360"/>
      </w:pPr>
      <w:rPr>
        <w:rFonts w:ascii="Symbol" w:hAnsi="Symbol"/>
      </w:rPr>
    </w:lvl>
    <w:lvl w:ilvl="7" w:tplc="E330580A">
      <w:start w:val="1"/>
      <w:numFmt w:val="bullet"/>
      <w:lvlText w:val=""/>
      <w:lvlJc w:val="left"/>
      <w:pPr>
        <w:ind w:left="1800" w:hanging="360"/>
      </w:pPr>
      <w:rPr>
        <w:rFonts w:ascii="Symbol" w:hAnsi="Symbol"/>
      </w:rPr>
    </w:lvl>
    <w:lvl w:ilvl="8" w:tplc="CC28A6E0">
      <w:start w:val="1"/>
      <w:numFmt w:val="bullet"/>
      <w:lvlText w:val=""/>
      <w:lvlJc w:val="left"/>
      <w:pPr>
        <w:ind w:left="1800" w:hanging="360"/>
      </w:pPr>
      <w:rPr>
        <w:rFonts w:ascii="Symbol" w:hAnsi="Symbol"/>
      </w:rPr>
    </w:lvl>
  </w:abstractNum>
  <w:abstractNum w:abstractNumId="31" w15:restartNumberingAfterBreak="0">
    <w:nsid w:val="75DD7227"/>
    <w:multiLevelType w:val="hybridMultilevel"/>
    <w:tmpl w:val="0972AA80"/>
    <w:lvl w:ilvl="0" w:tplc="630C3A1A">
      <w:start w:val="1"/>
      <w:numFmt w:val="bullet"/>
      <w:lvlText w:val=""/>
      <w:lvlJc w:val="left"/>
      <w:pPr>
        <w:ind w:left="2160" w:hanging="360"/>
      </w:pPr>
      <w:rPr>
        <w:rFonts w:ascii="Symbol" w:hAnsi="Symbol"/>
      </w:rPr>
    </w:lvl>
    <w:lvl w:ilvl="1" w:tplc="7ADE1890">
      <w:start w:val="1"/>
      <w:numFmt w:val="bullet"/>
      <w:lvlText w:val=""/>
      <w:lvlJc w:val="left"/>
      <w:pPr>
        <w:ind w:left="2160" w:hanging="360"/>
      </w:pPr>
      <w:rPr>
        <w:rFonts w:ascii="Symbol" w:hAnsi="Symbol"/>
      </w:rPr>
    </w:lvl>
    <w:lvl w:ilvl="2" w:tplc="9DC86C96">
      <w:start w:val="1"/>
      <w:numFmt w:val="bullet"/>
      <w:lvlText w:val=""/>
      <w:lvlJc w:val="left"/>
      <w:pPr>
        <w:ind w:left="2160" w:hanging="360"/>
      </w:pPr>
      <w:rPr>
        <w:rFonts w:ascii="Symbol" w:hAnsi="Symbol"/>
      </w:rPr>
    </w:lvl>
    <w:lvl w:ilvl="3" w:tplc="1D861398">
      <w:start w:val="1"/>
      <w:numFmt w:val="bullet"/>
      <w:lvlText w:val=""/>
      <w:lvlJc w:val="left"/>
      <w:pPr>
        <w:ind w:left="2160" w:hanging="360"/>
      </w:pPr>
      <w:rPr>
        <w:rFonts w:ascii="Symbol" w:hAnsi="Symbol"/>
      </w:rPr>
    </w:lvl>
    <w:lvl w:ilvl="4" w:tplc="0286183E">
      <w:start w:val="1"/>
      <w:numFmt w:val="bullet"/>
      <w:lvlText w:val=""/>
      <w:lvlJc w:val="left"/>
      <w:pPr>
        <w:ind w:left="2160" w:hanging="360"/>
      </w:pPr>
      <w:rPr>
        <w:rFonts w:ascii="Symbol" w:hAnsi="Symbol"/>
      </w:rPr>
    </w:lvl>
    <w:lvl w:ilvl="5" w:tplc="53A41AEE">
      <w:start w:val="1"/>
      <w:numFmt w:val="bullet"/>
      <w:lvlText w:val=""/>
      <w:lvlJc w:val="left"/>
      <w:pPr>
        <w:ind w:left="2160" w:hanging="360"/>
      </w:pPr>
      <w:rPr>
        <w:rFonts w:ascii="Symbol" w:hAnsi="Symbol"/>
      </w:rPr>
    </w:lvl>
    <w:lvl w:ilvl="6" w:tplc="930A6CB0">
      <w:start w:val="1"/>
      <w:numFmt w:val="bullet"/>
      <w:lvlText w:val=""/>
      <w:lvlJc w:val="left"/>
      <w:pPr>
        <w:ind w:left="2160" w:hanging="360"/>
      </w:pPr>
      <w:rPr>
        <w:rFonts w:ascii="Symbol" w:hAnsi="Symbol"/>
      </w:rPr>
    </w:lvl>
    <w:lvl w:ilvl="7" w:tplc="01067BC6">
      <w:start w:val="1"/>
      <w:numFmt w:val="bullet"/>
      <w:lvlText w:val=""/>
      <w:lvlJc w:val="left"/>
      <w:pPr>
        <w:ind w:left="2160" w:hanging="360"/>
      </w:pPr>
      <w:rPr>
        <w:rFonts w:ascii="Symbol" w:hAnsi="Symbol"/>
      </w:rPr>
    </w:lvl>
    <w:lvl w:ilvl="8" w:tplc="BAE8F246">
      <w:start w:val="1"/>
      <w:numFmt w:val="bullet"/>
      <w:lvlText w:val=""/>
      <w:lvlJc w:val="left"/>
      <w:pPr>
        <w:ind w:left="2160" w:hanging="360"/>
      </w:pPr>
      <w:rPr>
        <w:rFonts w:ascii="Symbol" w:hAnsi="Symbol"/>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027ED"/>
    <w:multiLevelType w:val="hybridMultilevel"/>
    <w:tmpl w:val="47EE0750"/>
    <w:lvl w:ilvl="0" w:tplc="48E28EF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7BEA0999"/>
    <w:multiLevelType w:val="hybridMultilevel"/>
    <w:tmpl w:val="B2364B3E"/>
    <w:lvl w:ilvl="0" w:tplc="E4E02454">
      <w:start w:val="1"/>
      <w:numFmt w:val="bullet"/>
      <w:lvlText w:val=""/>
      <w:lvlJc w:val="left"/>
      <w:pPr>
        <w:ind w:left="2160" w:hanging="360"/>
      </w:pPr>
      <w:rPr>
        <w:rFonts w:ascii="Symbol" w:hAnsi="Symbol"/>
      </w:rPr>
    </w:lvl>
    <w:lvl w:ilvl="1" w:tplc="19483806">
      <w:start w:val="1"/>
      <w:numFmt w:val="bullet"/>
      <w:lvlText w:val=""/>
      <w:lvlJc w:val="left"/>
      <w:pPr>
        <w:ind w:left="2160" w:hanging="360"/>
      </w:pPr>
      <w:rPr>
        <w:rFonts w:ascii="Symbol" w:hAnsi="Symbol"/>
      </w:rPr>
    </w:lvl>
    <w:lvl w:ilvl="2" w:tplc="A8F65E7C">
      <w:start w:val="1"/>
      <w:numFmt w:val="bullet"/>
      <w:lvlText w:val=""/>
      <w:lvlJc w:val="left"/>
      <w:pPr>
        <w:ind w:left="2160" w:hanging="360"/>
      </w:pPr>
      <w:rPr>
        <w:rFonts w:ascii="Symbol" w:hAnsi="Symbol"/>
      </w:rPr>
    </w:lvl>
    <w:lvl w:ilvl="3" w:tplc="3B78FEE8">
      <w:start w:val="1"/>
      <w:numFmt w:val="bullet"/>
      <w:lvlText w:val=""/>
      <w:lvlJc w:val="left"/>
      <w:pPr>
        <w:ind w:left="2160" w:hanging="360"/>
      </w:pPr>
      <w:rPr>
        <w:rFonts w:ascii="Symbol" w:hAnsi="Symbol"/>
      </w:rPr>
    </w:lvl>
    <w:lvl w:ilvl="4" w:tplc="94C4D122">
      <w:start w:val="1"/>
      <w:numFmt w:val="bullet"/>
      <w:lvlText w:val=""/>
      <w:lvlJc w:val="left"/>
      <w:pPr>
        <w:ind w:left="2160" w:hanging="360"/>
      </w:pPr>
      <w:rPr>
        <w:rFonts w:ascii="Symbol" w:hAnsi="Symbol"/>
      </w:rPr>
    </w:lvl>
    <w:lvl w:ilvl="5" w:tplc="96E69DEC">
      <w:start w:val="1"/>
      <w:numFmt w:val="bullet"/>
      <w:lvlText w:val=""/>
      <w:lvlJc w:val="left"/>
      <w:pPr>
        <w:ind w:left="2160" w:hanging="360"/>
      </w:pPr>
      <w:rPr>
        <w:rFonts w:ascii="Symbol" w:hAnsi="Symbol"/>
      </w:rPr>
    </w:lvl>
    <w:lvl w:ilvl="6" w:tplc="F4749AEE">
      <w:start w:val="1"/>
      <w:numFmt w:val="bullet"/>
      <w:lvlText w:val=""/>
      <w:lvlJc w:val="left"/>
      <w:pPr>
        <w:ind w:left="2160" w:hanging="360"/>
      </w:pPr>
      <w:rPr>
        <w:rFonts w:ascii="Symbol" w:hAnsi="Symbol"/>
      </w:rPr>
    </w:lvl>
    <w:lvl w:ilvl="7" w:tplc="24AC3352">
      <w:start w:val="1"/>
      <w:numFmt w:val="bullet"/>
      <w:lvlText w:val=""/>
      <w:lvlJc w:val="left"/>
      <w:pPr>
        <w:ind w:left="2160" w:hanging="360"/>
      </w:pPr>
      <w:rPr>
        <w:rFonts w:ascii="Symbol" w:hAnsi="Symbol"/>
      </w:rPr>
    </w:lvl>
    <w:lvl w:ilvl="8" w:tplc="49AE2B26">
      <w:start w:val="1"/>
      <w:numFmt w:val="bullet"/>
      <w:lvlText w:val=""/>
      <w:lvlJc w:val="left"/>
      <w:pPr>
        <w:ind w:left="2160" w:hanging="360"/>
      </w:pPr>
      <w:rPr>
        <w:rFonts w:ascii="Symbol" w:hAnsi="Symbol"/>
      </w:rPr>
    </w:lvl>
  </w:abstractNum>
  <w:abstractNum w:abstractNumId="35" w15:restartNumberingAfterBreak="0">
    <w:nsid w:val="7DCC502F"/>
    <w:multiLevelType w:val="hybridMultilevel"/>
    <w:tmpl w:val="D7A2EF3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816872133">
    <w:abstractNumId w:val="1"/>
  </w:num>
  <w:num w:numId="2" w16cid:durableId="1591112490">
    <w:abstractNumId w:val="0"/>
  </w:num>
  <w:num w:numId="3" w16cid:durableId="539316901">
    <w:abstractNumId w:val="2"/>
  </w:num>
  <w:num w:numId="4" w16cid:durableId="36707090">
    <w:abstractNumId w:val="3"/>
  </w:num>
  <w:num w:numId="5" w16cid:durableId="635796631">
    <w:abstractNumId w:val="8"/>
  </w:num>
  <w:num w:numId="6" w16cid:durableId="971246711">
    <w:abstractNumId w:val="9"/>
  </w:num>
  <w:num w:numId="7" w16cid:durableId="12607852">
    <w:abstractNumId w:val="7"/>
  </w:num>
  <w:num w:numId="8" w16cid:durableId="495076327">
    <w:abstractNumId w:val="6"/>
  </w:num>
  <w:num w:numId="9" w16cid:durableId="1168907680">
    <w:abstractNumId w:val="5"/>
  </w:num>
  <w:num w:numId="10" w16cid:durableId="446387405">
    <w:abstractNumId w:val="4"/>
  </w:num>
  <w:num w:numId="11" w16cid:durableId="1922367882">
    <w:abstractNumId w:val="18"/>
  </w:num>
  <w:num w:numId="12" w16cid:durableId="1491481569">
    <w:abstractNumId w:val="16"/>
  </w:num>
  <w:num w:numId="13" w16cid:durableId="1129291">
    <w:abstractNumId w:val="10"/>
  </w:num>
  <w:num w:numId="14" w16cid:durableId="1781335447">
    <w:abstractNumId w:val="13"/>
  </w:num>
  <w:num w:numId="15" w16cid:durableId="1527013472">
    <w:abstractNumId w:val="19"/>
  </w:num>
  <w:num w:numId="16" w16cid:durableId="1052195203">
    <w:abstractNumId w:val="15"/>
  </w:num>
  <w:num w:numId="17" w16cid:durableId="496386050">
    <w:abstractNumId w:val="26"/>
  </w:num>
  <w:num w:numId="18" w16cid:durableId="648873064">
    <w:abstractNumId w:val="32"/>
  </w:num>
  <w:num w:numId="19" w16cid:durableId="300888601">
    <w:abstractNumId w:val="12"/>
  </w:num>
  <w:num w:numId="20" w16cid:durableId="561061017">
    <w:abstractNumId w:val="28"/>
  </w:num>
  <w:num w:numId="21" w16cid:durableId="985278847">
    <w:abstractNumId w:val="17"/>
  </w:num>
  <w:num w:numId="22" w16cid:durableId="1003043980">
    <w:abstractNumId w:val="25"/>
  </w:num>
  <w:num w:numId="23" w16cid:durableId="1331718306">
    <w:abstractNumId w:val="11"/>
  </w:num>
  <w:num w:numId="24" w16cid:durableId="1381900667">
    <w:abstractNumId w:val="23"/>
  </w:num>
  <w:num w:numId="25" w16cid:durableId="791939273">
    <w:abstractNumId w:val="35"/>
  </w:num>
  <w:num w:numId="26" w16cid:durableId="628557222">
    <w:abstractNumId w:val="22"/>
  </w:num>
  <w:num w:numId="27" w16cid:durableId="1497721157">
    <w:abstractNumId w:val="29"/>
  </w:num>
  <w:num w:numId="28" w16cid:durableId="396899942">
    <w:abstractNumId w:val="20"/>
  </w:num>
  <w:num w:numId="29" w16cid:durableId="732853842">
    <w:abstractNumId w:val="33"/>
  </w:num>
  <w:num w:numId="30" w16cid:durableId="2084983593">
    <w:abstractNumId w:val="27"/>
  </w:num>
  <w:num w:numId="31" w16cid:durableId="365762069">
    <w:abstractNumId w:val="21"/>
  </w:num>
  <w:num w:numId="32" w16cid:durableId="426734012">
    <w:abstractNumId w:val="24"/>
  </w:num>
  <w:num w:numId="33" w16cid:durableId="400296818">
    <w:abstractNumId w:val="31"/>
  </w:num>
  <w:num w:numId="34" w16cid:durableId="1769040293">
    <w:abstractNumId w:val="34"/>
  </w:num>
  <w:num w:numId="35" w16cid:durableId="593586197">
    <w:abstractNumId w:val="14"/>
  </w:num>
  <w:num w:numId="36" w16cid:durableId="124002052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15816"/>
    <w:rsid w:val="000245D0"/>
    <w:rsid w:val="00025871"/>
    <w:rsid w:val="00027624"/>
    <w:rsid w:val="0003515D"/>
    <w:rsid w:val="000376F0"/>
    <w:rsid w:val="00045FEE"/>
    <w:rsid w:val="00047B04"/>
    <w:rsid w:val="00050F6B"/>
    <w:rsid w:val="00062F06"/>
    <w:rsid w:val="00064A4F"/>
    <w:rsid w:val="00064EFA"/>
    <w:rsid w:val="000678CD"/>
    <w:rsid w:val="00072C8C"/>
    <w:rsid w:val="000773DD"/>
    <w:rsid w:val="00077F22"/>
    <w:rsid w:val="00081CE0"/>
    <w:rsid w:val="00084D30"/>
    <w:rsid w:val="00090320"/>
    <w:rsid w:val="000931C0"/>
    <w:rsid w:val="000A25CB"/>
    <w:rsid w:val="000A2E09"/>
    <w:rsid w:val="000A4A40"/>
    <w:rsid w:val="000B175B"/>
    <w:rsid w:val="000B3A0F"/>
    <w:rsid w:val="000C5CCE"/>
    <w:rsid w:val="000C738D"/>
    <w:rsid w:val="000D24EF"/>
    <w:rsid w:val="000E0415"/>
    <w:rsid w:val="000E72EA"/>
    <w:rsid w:val="000F19B6"/>
    <w:rsid w:val="000F2FB2"/>
    <w:rsid w:val="000F7715"/>
    <w:rsid w:val="001020C2"/>
    <w:rsid w:val="001077A5"/>
    <w:rsid w:val="00120BE1"/>
    <w:rsid w:val="001309E1"/>
    <w:rsid w:val="0014738E"/>
    <w:rsid w:val="0015269B"/>
    <w:rsid w:val="00154B5C"/>
    <w:rsid w:val="00154CEB"/>
    <w:rsid w:val="00156B99"/>
    <w:rsid w:val="00161630"/>
    <w:rsid w:val="001649ED"/>
    <w:rsid w:val="00166124"/>
    <w:rsid w:val="0017211A"/>
    <w:rsid w:val="00172D58"/>
    <w:rsid w:val="00181091"/>
    <w:rsid w:val="00184973"/>
    <w:rsid w:val="00184DDA"/>
    <w:rsid w:val="00184FD1"/>
    <w:rsid w:val="00186A4E"/>
    <w:rsid w:val="001900CD"/>
    <w:rsid w:val="00191441"/>
    <w:rsid w:val="00192789"/>
    <w:rsid w:val="00193240"/>
    <w:rsid w:val="001A0452"/>
    <w:rsid w:val="001B4B04"/>
    <w:rsid w:val="001B5875"/>
    <w:rsid w:val="001C08A0"/>
    <w:rsid w:val="001C4B9C"/>
    <w:rsid w:val="001C6663"/>
    <w:rsid w:val="001C68F4"/>
    <w:rsid w:val="001C6D8D"/>
    <w:rsid w:val="001C7895"/>
    <w:rsid w:val="001D26DF"/>
    <w:rsid w:val="001E3503"/>
    <w:rsid w:val="001E359C"/>
    <w:rsid w:val="001E691B"/>
    <w:rsid w:val="001E71E9"/>
    <w:rsid w:val="001E7E45"/>
    <w:rsid w:val="001F1599"/>
    <w:rsid w:val="001F19C4"/>
    <w:rsid w:val="001F2762"/>
    <w:rsid w:val="001F6511"/>
    <w:rsid w:val="00202B3B"/>
    <w:rsid w:val="002043F0"/>
    <w:rsid w:val="00205E5C"/>
    <w:rsid w:val="00206125"/>
    <w:rsid w:val="00211E0B"/>
    <w:rsid w:val="00212C0F"/>
    <w:rsid w:val="0022077B"/>
    <w:rsid w:val="0022730C"/>
    <w:rsid w:val="00232575"/>
    <w:rsid w:val="00234022"/>
    <w:rsid w:val="00247258"/>
    <w:rsid w:val="002532DA"/>
    <w:rsid w:val="002558F0"/>
    <w:rsid w:val="00257CAC"/>
    <w:rsid w:val="00270CD6"/>
    <w:rsid w:val="0027237A"/>
    <w:rsid w:val="00274633"/>
    <w:rsid w:val="00290B7B"/>
    <w:rsid w:val="002974E9"/>
    <w:rsid w:val="002978EC"/>
    <w:rsid w:val="002A2EC5"/>
    <w:rsid w:val="002A7F94"/>
    <w:rsid w:val="002B0D5F"/>
    <w:rsid w:val="002B109A"/>
    <w:rsid w:val="002B251B"/>
    <w:rsid w:val="002C6D45"/>
    <w:rsid w:val="002C728F"/>
    <w:rsid w:val="002D03D2"/>
    <w:rsid w:val="002D2CE0"/>
    <w:rsid w:val="002D6E53"/>
    <w:rsid w:val="002E418C"/>
    <w:rsid w:val="002E5DD3"/>
    <w:rsid w:val="002F046D"/>
    <w:rsid w:val="002F0FDE"/>
    <w:rsid w:val="002F3023"/>
    <w:rsid w:val="002F3952"/>
    <w:rsid w:val="002F6422"/>
    <w:rsid w:val="002F736A"/>
    <w:rsid w:val="00301764"/>
    <w:rsid w:val="00310F6C"/>
    <w:rsid w:val="00313003"/>
    <w:rsid w:val="00314D18"/>
    <w:rsid w:val="003173C8"/>
    <w:rsid w:val="0032052B"/>
    <w:rsid w:val="003224B5"/>
    <w:rsid w:val="003229D8"/>
    <w:rsid w:val="00324F82"/>
    <w:rsid w:val="00327C89"/>
    <w:rsid w:val="00334134"/>
    <w:rsid w:val="00335EDC"/>
    <w:rsid w:val="00336C97"/>
    <w:rsid w:val="003371C8"/>
    <w:rsid w:val="00337F88"/>
    <w:rsid w:val="00342432"/>
    <w:rsid w:val="00343EEF"/>
    <w:rsid w:val="00345374"/>
    <w:rsid w:val="0035223F"/>
    <w:rsid w:val="00352D4B"/>
    <w:rsid w:val="003555FA"/>
    <w:rsid w:val="0035638C"/>
    <w:rsid w:val="003732DD"/>
    <w:rsid w:val="003742E2"/>
    <w:rsid w:val="003848DE"/>
    <w:rsid w:val="00386541"/>
    <w:rsid w:val="00393165"/>
    <w:rsid w:val="00396B65"/>
    <w:rsid w:val="003A356E"/>
    <w:rsid w:val="003A46BB"/>
    <w:rsid w:val="003A4EC7"/>
    <w:rsid w:val="003A7295"/>
    <w:rsid w:val="003B04B9"/>
    <w:rsid w:val="003B1F60"/>
    <w:rsid w:val="003C2CC4"/>
    <w:rsid w:val="003C359D"/>
    <w:rsid w:val="003D0D85"/>
    <w:rsid w:val="003D1DEC"/>
    <w:rsid w:val="003D2231"/>
    <w:rsid w:val="003D47F2"/>
    <w:rsid w:val="003D4B23"/>
    <w:rsid w:val="003E278A"/>
    <w:rsid w:val="003E63C3"/>
    <w:rsid w:val="003E762D"/>
    <w:rsid w:val="003F04DA"/>
    <w:rsid w:val="003F7446"/>
    <w:rsid w:val="0040029D"/>
    <w:rsid w:val="00404AD0"/>
    <w:rsid w:val="00410B6E"/>
    <w:rsid w:val="00411D85"/>
    <w:rsid w:val="00413520"/>
    <w:rsid w:val="004209A5"/>
    <w:rsid w:val="00427E88"/>
    <w:rsid w:val="00431897"/>
    <w:rsid w:val="004325CB"/>
    <w:rsid w:val="00440A07"/>
    <w:rsid w:val="004418DE"/>
    <w:rsid w:val="00445786"/>
    <w:rsid w:val="004516A6"/>
    <w:rsid w:val="00462880"/>
    <w:rsid w:val="004704A2"/>
    <w:rsid w:val="004706A5"/>
    <w:rsid w:val="00473EBD"/>
    <w:rsid w:val="004749F7"/>
    <w:rsid w:val="00475383"/>
    <w:rsid w:val="00476F24"/>
    <w:rsid w:val="00480003"/>
    <w:rsid w:val="004877E1"/>
    <w:rsid w:val="00490ECB"/>
    <w:rsid w:val="004923A8"/>
    <w:rsid w:val="0049742E"/>
    <w:rsid w:val="004A29AF"/>
    <w:rsid w:val="004C55B0"/>
    <w:rsid w:val="004C6CA7"/>
    <w:rsid w:val="004D7D88"/>
    <w:rsid w:val="004E668D"/>
    <w:rsid w:val="004F064F"/>
    <w:rsid w:val="004F1FBB"/>
    <w:rsid w:val="004F6BA0"/>
    <w:rsid w:val="00502021"/>
    <w:rsid w:val="005029DB"/>
    <w:rsid w:val="00503BEA"/>
    <w:rsid w:val="005127BA"/>
    <w:rsid w:val="00513BD8"/>
    <w:rsid w:val="005279F1"/>
    <w:rsid w:val="0053169D"/>
    <w:rsid w:val="00533616"/>
    <w:rsid w:val="00534771"/>
    <w:rsid w:val="00535ABA"/>
    <w:rsid w:val="0053768B"/>
    <w:rsid w:val="0054178E"/>
    <w:rsid w:val="005420F2"/>
    <w:rsid w:val="0054285C"/>
    <w:rsid w:val="00563779"/>
    <w:rsid w:val="00566D3D"/>
    <w:rsid w:val="00566EB0"/>
    <w:rsid w:val="00570938"/>
    <w:rsid w:val="00571E5E"/>
    <w:rsid w:val="00575859"/>
    <w:rsid w:val="00584173"/>
    <w:rsid w:val="00587220"/>
    <w:rsid w:val="00587652"/>
    <w:rsid w:val="00595520"/>
    <w:rsid w:val="005A0C9A"/>
    <w:rsid w:val="005A3ED8"/>
    <w:rsid w:val="005A44B9"/>
    <w:rsid w:val="005B1BA0"/>
    <w:rsid w:val="005B3DB3"/>
    <w:rsid w:val="005C49CB"/>
    <w:rsid w:val="005C6E76"/>
    <w:rsid w:val="005D15CA"/>
    <w:rsid w:val="005D36F3"/>
    <w:rsid w:val="005D76D0"/>
    <w:rsid w:val="005E077F"/>
    <w:rsid w:val="005E2393"/>
    <w:rsid w:val="005E76E6"/>
    <w:rsid w:val="005F08DF"/>
    <w:rsid w:val="005F3066"/>
    <w:rsid w:val="005F3E61"/>
    <w:rsid w:val="005F4BC5"/>
    <w:rsid w:val="005F6032"/>
    <w:rsid w:val="006009F0"/>
    <w:rsid w:val="0060365A"/>
    <w:rsid w:val="00604DDD"/>
    <w:rsid w:val="0060635A"/>
    <w:rsid w:val="006106E1"/>
    <w:rsid w:val="006115CC"/>
    <w:rsid w:val="0061160F"/>
    <w:rsid w:val="00611FC4"/>
    <w:rsid w:val="006176FB"/>
    <w:rsid w:val="00620F69"/>
    <w:rsid w:val="00622B11"/>
    <w:rsid w:val="0062499D"/>
    <w:rsid w:val="00630FCB"/>
    <w:rsid w:val="00632DAD"/>
    <w:rsid w:val="00640B26"/>
    <w:rsid w:val="0065209C"/>
    <w:rsid w:val="0065766B"/>
    <w:rsid w:val="006634F7"/>
    <w:rsid w:val="006640CE"/>
    <w:rsid w:val="00666A6B"/>
    <w:rsid w:val="00671DBE"/>
    <w:rsid w:val="00671E59"/>
    <w:rsid w:val="00673654"/>
    <w:rsid w:val="00675748"/>
    <w:rsid w:val="006770B2"/>
    <w:rsid w:val="00684583"/>
    <w:rsid w:val="00684935"/>
    <w:rsid w:val="00685A57"/>
    <w:rsid w:val="00686596"/>
    <w:rsid w:val="00686A48"/>
    <w:rsid w:val="00692F6B"/>
    <w:rsid w:val="006940E1"/>
    <w:rsid w:val="0069631B"/>
    <w:rsid w:val="00696C51"/>
    <w:rsid w:val="006A3C72"/>
    <w:rsid w:val="006A7392"/>
    <w:rsid w:val="006A764B"/>
    <w:rsid w:val="006B03A1"/>
    <w:rsid w:val="006B67D9"/>
    <w:rsid w:val="006C0B50"/>
    <w:rsid w:val="006C5535"/>
    <w:rsid w:val="006D0589"/>
    <w:rsid w:val="006D3E81"/>
    <w:rsid w:val="006D51CF"/>
    <w:rsid w:val="006E564B"/>
    <w:rsid w:val="006E5B19"/>
    <w:rsid w:val="006E7154"/>
    <w:rsid w:val="006F3A2C"/>
    <w:rsid w:val="007003CD"/>
    <w:rsid w:val="007044D9"/>
    <w:rsid w:val="0070701E"/>
    <w:rsid w:val="00710BAE"/>
    <w:rsid w:val="00713360"/>
    <w:rsid w:val="007149D7"/>
    <w:rsid w:val="0072632A"/>
    <w:rsid w:val="007308E2"/>
    <w:rsid w:val="00731385"/>
    <w:rsid w:val="007358E8"/>
    <w:rsid w:val="00736ECE"/>
    <w:rsid w:val="007370E8"/>
    <w:rsid w:val="0074533B"/>
    <w:rsid w:val="00745D39"/>
    <w:rsid w:val="00750181"/>
    <w:rsid w:val="00757AA5"/>
    <w:rsid w:val="00762744"/>
    <w:rsid w:val="007643BC"/>
    <w:rsid w:val="00775E67"/>
    <w:rsid w:val="00780C68"/>
    <w:rsid w:val="00785D13"/>
    <w:rsid w:val="00787F55"/>
    <w:rsid w:val="00793B17"/>
    <w:rsid w:val="007959FE"/>
    <w:rsid w:val="007A0CF1"/>
    <w:rsid w:val="007A0D0D"/>
    <w:rsid w:val="007A2AF8"/>
    <w:rsid w:val="007A428C"/>
    <w:rsid w:val="007A6AA4"/>
    <w:rsid w:val="007B2C93"/>
    <w:rsid w:val="007B5D2A"/>
    <w:rsid w:val="007B6BA5"/>
    <w:rsid w:val="007B7E2D"/>
    <w:rsid w:val="007C3390"/>
    <w:rsid w:val="007C42D8"/>
    <w:rsid w:val="007C4F4B"/>
    <w:rsid w:val="007D7362"/>
    <w:rsid w:val="007E63AA"/>
    <w:rsid w:val="007F5CE2"/>
    <w:rsid w:val="007F6611"/>
    <w:rsid w:val="007F767B"/>
    <w:rsid w:val="00801AD3"/>
    <w:rsid w:val="00810BAC"/>
    <w:rsid w:val="00811CE0"/>
    <w:rsid w:val="00813E59"/>
    <w:rsid w:val="00815316"/>
    <w:rsid w:val="008175E9"/>
    <w:rsid w:val="008242D7"/>
    <w:rsid w:val="0082577B"/>
    <w:rsid w:val="00827515"/>
    <w:rsid w:val="008304E1"/>
    <w:rsid w:val="008312DD"/>
    <w:rsid w:val="00831796"/>
    <w:rsid w:val="00833FC6"/>
    <w:rsid w:val="00843BF9"/>
    <w:rsid w:val="00866682"/>
    <w:rsid w:val="00866893"/>
    <w:rsid w:val="00866F02"/>
    <w:rsid w:val="008676D5"/>
    <w:rsid w:val="00867D18"/>
    <w:rsid w:val="00870EF8"/>
    <w:rsid w:val="008719F7"/>
    <w:rsid w:val="00871F9A"/>
    <w:rsid w:val="00871FD5"/>
    <w:rsid w:val="00874600"/>
    <w:rsid w:val="00880A3B"/>
    <w:rsid w:val="0088172E"/>
    <w:rsid w:val="0088175C"/>
    <w:rsid w:val="00881EFA"/>
    <w:rsid w:val="008831BB"/>
    <w:rsid w:val="008852EE"/>
    <w:rsid w:val="008879CB"/>
    <w:rsid w:val="00893DEE"/>
    <w:rsid w:val="008960EE"/>
    <w:rsid w:val="008979B1"/>
    <w:rsid w:val="008A6B25"/>
    <w:rsid w:val="008A6C4F"/>
    <w:rsid w:val="008B389E"/>
    <w:rsid w:val="008C02CC"/>
    <w:rsid w:val="008C4B34"/>
    <w:rsid w:val="008C4E94"/>
    <w:rsid w:val="008C5209"/>
    <w:rsid w:val="008C6230"/>
    <w:rsid w:val="008D045E"/>
    <w:rsid w:val="008D3F25"/>
    <w:rsid w:val="008D4D82"/>
    <w:rsid w:val="008E0E46"/>
    <w:rsid w:val="008E2A02"/>
    <w:rsid w:val="008E5A19"/>
    <w:rsid w:val="008E7116"/>
    <w:rsid w:val="008F10E8"/>
    <w:rsid w:val="008F137F"/>
    <w:rsid w:val="008F143B"/>
    <w:rsid w:val="008F3882"/>
    <w:rsid w:val="008F4B7C"/>
    <w:rsid w:val="00902CB6"/>
    <w:rsid w:val="00926E47"/>
    <w:rsid w:val="00932BC5"/>
    <w:rsid w:val="00935DC0"/>
    <w:rsid w:val="00943748"/>
    <w:rsid w:val="00946A5B"/>
    <w:rsid w:val="00947162"/>
    <w:rsid w:val="009537F3"/>
    <w:rsid w:val="00955425"/>
    <w:rsid w:val="009610D0"/>
    <w:rsid w:val="0096375C"/>
    <w:rsid w:val="0096401F"/>
    <w:rsid w:val="009662E6"/>
    <w:rsid w:val="00966CF9"/>
    <w:rsid w:val="009702E8"/>
    <w:rsid w:val="0097095E"/>
    <w:rsid w:val="00973AAE"/>
    <w:rsid w:val="0097626D"/>
    <w:rsid w:val="00983855"/>
    <w:rsid w:val="0098592B"/>
    <w:rsid w:val="00985FC4"/>
    <w:rsid w:val="00990766"/>
    <w:rsid w:val="00991261"/>
    <w:rsid w:val="0099430C"/>
    <w:rsid w:val="00995F13"/>
    <w:rsid w:val="009964C4"/>
    <w:rsid w:val="009A1C14"/>
    <w:rsid w:val="009A5E20"/>
    <w:rsid w:val="009A7B81"/>
    <w:rsid w:val="009C6E25"/>
    <w:rsid w:val="009C795E"/>
    <w:rsid w:val="009D01C0"/>
    <w:rsid w:val="009D0F8F"/>
    <w:rsid w:val="009D4A6B"/>
    <w:rsid w:val="009D6A08"/>
    <w:rsid w:val="009D7135"/>
    <w:rsid w:val="009E0A16"/>
    <w:rsid w:val="009E6CB7"/>
    <w:rsid w:val="009E7970"/>
    <w:rsid w:val="009F2EAC"/>
    <w:rsid w:val="009F57E3"/>
    <w:rsid w:val="00A04FE4"/>
    <w:rsid w:val="00A06080"/>
    <w:rsid w:val="00A10F4F"/>
    <w:rsid w:val="00A11067"/>
    <w:rsid w:val="00A1704A"/>
    <w:rsid w:val="00A2651E"/>
    <w:rsid w:val="00A2720C"/>
    <w:rsid w:val="00A275A4"/>
    <w:rsid w:val="00A33C73"/>
    <w:rsid w:val="00A35C7B"/>
    <w:rsid w:val="00A4148D"/>
    <w:rsid w:val="00A425EB"/>
    <w:rsid w:val="00A53DC6"/>
    <w:rsid w:val="00A632B5"/>
    <w:rsid w:val="00A72F22"/>
    <w:rsid w:val="00A733BC"/>
    <w:rsid w:val="00A748A6"/>
    <w:rsid w:val="00A76A69"/>
    <w:rsid w:val="00A77FEA"/>
    <w:rsid w:val="00A8106E"/>
    <w:rsid w:val="00A879A4"/>
    <w:rsid w:val="00A9342C"/>
    <w:rsid w:val="00A936E4"/>
    <w:rsid w:val="00A943DA"/>
    <w:rsid w:val="00AA0EE6"/>
    <w:rsid w:val="00AA0FF8"/>
    <w:rsid w:val="00AC0F2C"/>
    <w:rsid w:val="00AC502A"/>
    <w:rsid w:val="00AD0C29"/>
    <w:rsid w:val="00AD300B"/>
    <w:rsid w:val="00AE2353"/>
    <w:rsid w:val="00AF0205"/>
    <w:rsid w:val="00AF232E"/>
    <w:rsid w:val="00AF58C1"/>
    <w:rsid w:val="00B04A3F"/>
    <w:rsid w:val="00B06643"/>
    <w:rsid w:val="00B069F7"/>
    <w:rsid w:val="00B15055"/>
    <w:rsid w:val="00B15265"/>
    <w:rsid w:val="00B20551"/>
    <w:rsid w:val="00B22735"/>
    <w:rsid w:val="00B261FC"/>
    <w:rsid w:val="00B30179"/>
    <w:rsid w:val="00B33FC7"/>
    <w:rsid w:val="00B34222"/>
    <w:rsid w:val="00B344E8"/>
    <w:rsid w:val="00B37B15"/>
    <w:rsid w:val="00B45C02"/>
    <w:rsid w:val="00B54038"/>
    <w:rsid w:val="00B601AB"/>
    <w:rsid w:val="00B708C4"/>
    <w:rsid w:val="00B70B63"/>
    <w:rsid w:val="00B72A1E"/>
    <w:rsid w:val="00B72C43"/>
    <w:rsid w:val="00B74DF9"/>
    <w:rsid w:val="00B81E12"/>
    <w:rsid w:val="00BA1F30"/>
    <w:rsid w:val="00BA339B"/>
    <w:rsid w:val="00BA5AA5"/>
    <w:rsid w:val="00BA7789"/>
    <w:rsid w:val="00BB23CC"/>
    <w:rsid w:val="00BB24B3"/>
    <w:rsid w:val="00BB57B9"/>
    <w:rsid w:val="00BC1E7E"/>
    <w:rsid w:val="00BC3946"/>
    <w:rsid w:val="00BC7092"/>
    <w:rsid w:val="00BC74E9"/>
    <w:rsid w:val="00BD1B86"/>
    <w:rsid w:val="00BD1FE4"/>
    <w:rsid w:val="00BD2A5B"/>
    <w:rsid w:val="00BD59C9"/>
    <w:rsid w:val="00BD7E46"/>
    <w:rsid w:val="00BE36A9"/>
    <w:rsid w:val="00BE618E"/>
    <w:rsid w:val="00BE62D8"/>
    <w:rsid w:val="00BE7BEC"/>
    <w:rsid w:val="00BF0A5A"/>
    <w:rsid w:val="00BF0E63"/>
    <w:rsid w:val="00BF12A3"/>
    <w:rsid w:val="00BF16D7"/>
    <w:rsid w:val="00BF2373"/>
    <w:rsid w:val="00BF565F"/>
    <w:rsid w:val="00BF5682"/>
    <w:rsid w:val="00C01CEE"/>
    <w:rsid w:val="00C02976"/>
    <w:rsid w:val="00C044E2"/>
    <w:rsid w:val="00C048CB"/>
    <w:rsid w:val="00C04DBF"/>
    <w:rsid w:val="00C066F3"/>
    <w:rsid w:val="00C45BD5"/>
    <w:rsid w:val="00C463DD"/>
    <w:rsid w:val="00C46A99"/>
    <w:rsid w:val="00C52067"/>
    <w:rsid w:val="00C6080C"/>
    <w:rsid w:val="00C619E0"/>
    <w:rsid w:val="00C635AD"/>
    <w:rsid w:val="00C66BA9"/>
    <w:rsid w:val="00C745C3"/>
    <w:rsid w:val="00C75AA0"/>
    <w:rsid w:val="00C8657F"/>
    <w:rsid w:val="00C93555"/>
    <w:rsid w:val="00C978F5"/>
    <w:rsid w:val="00CA24A4"/>
    <w:rsid w:val="00CB348D"/>
    <w:rsid w:val="00CB6583"/>
    <w:rsid w:val="00CC1972"/>
    <w:rsid w:val="00CD46F5"/>
    <w:rsid w:val="00CE264E"/>
    <w:rsid w:val="00CE4A8F"/>
    <w:rsid w:val="00CE75C5"/>
    <w:rsid w:val="00CF071D"/>
    <w:rsid w:val="00CF18F0"/>
    <w:rsid w:val="00CF331B"/>
    <w:rsid w:val="00CF380B"/>
    <w:rsid w:val="00D0123D"/>
    <w:rsid w:val="00D11C8F"/>
    <w:rsid w:val="00D129FB"/>
    <w:rsid w:val="00D15B04"/>
    <w:rsid w:val="00D2031B"/>
    <w:rsid w:val="00D25FE2"/>
    <w:rsid w:val="00D3676D"/>
    <w:rsid w:val="00D37DA9"/>
    <w:rsid w:val="00D406A7"/>
    <w:rsid w:val="00D43252"/>
    <w:rsid w:val="00D443AC"/>
    <w:rsid w:val="00D44D86"/>
    <w:rsid w:val="00D46099"/>
    <w:rsid w:val="00D47495"/>
    <w:rsid w:val="00D50B7D"/>
    <w:rsid w:val="00D52012"/>
    <w:rsid w:val="00D61E1D"/>
    <w:rsid w:val="00D704E5"/>
    <w:rsid w:val="00D725FB"/>
    <w:rsid w:val="00D72727"/>
    <w:rsid w:val="00D7623C"/>
    <w:rsid w:val="00D80B02"/>
    <w:rsid w:val="00D82A61"/>
    <w:rsid w:val="00D83F1F"/>
    <w:rsid w:val="00D86976"/>
    <w:rsid w:val="00D93524"/>
    <w:rsid w:val="00D9671E"/>
    <w:rsid w:val="00D978C6"/>
    <w:rsid w:val="00DA0847"/>
    <w:rsid w:val="00DA0956"/>
    <w:rsid w:val="00DA357F"/>
    <w:rsid w:val="00DA3E12"/>
    <w:rsid w:val="00DA5491"/>
    <w:rsid w:val="00DB26FD"/>
    <w:rsid w:val="00DC18AD"/>
    <w:rsid w:val="00DC48C3"/>
    <w:rsid w:val="00DE4B87"/>
    <w:rsid w:val="00DF7CAE"/>
    <w:rsid w:val="00DF7F92"/>
    <w:rsid w:val="00E05C6F"/>
    <w:rsid w:val="00E14873"/>
    <w:rsid w:val="00E16DF7"/>
    <w:rsid w:val="00E401B2"/>
    <w:rsid w:val="00E4143A"/>
    <w:rsid w:val="00E423C0"/>
    <w:rsid w:val="00E6414C"/>
    <w:rsid w:val="00E7260F"/>
    <w:rsid w:val="00E86F59"/>
    <w:rsid w:val="00E8702D"/>
    <w:rsid w:val="00E905F4"/>
    <w:rsid w:val="00E916A9"/>
    <w:rsid w:val="00E916DE"/>
    <w:rsid w:val="00E925AD"/>
    <w:rsid w:val="00E95FC7"/>
    <w:rsid w:val="00E96630"/>
    <w:rsid w:val="00ED18DC"/>
    <w:rsid w:val="00ED4FDC"/>
    <w:rsid w:val="00ED6201"/>
    <w:rsid w:val="00ED7A2A"/>
    <w:rsid w:val="00EE3E3C"/>
    <w:rsid w:val="00EE4CD1"/>
    <w:rsid w:val="00EF1D7F"/>
    <w:rsid w:val="00F003F3"/>
    <w:rsid w:val="00F0137E"/>
    <w:rsid w:val="00F1270A"/>
    <w:rsid w:val="00F168A1"/>
    <w:rsid w:val="00F21786"/>
    <w:rsid w:val="00F27C96"/>
    <w:rsid w:val="00F3407E"/>
    <w:rsid w:val="00F36B79"/>
    <w:rsid w:val="00F3742B"/>
    <w:rsid w:val="00F40D70"/>
    <w:rsid w:val="00F41FDB"/>
    <w:rsid w:val="00F45F80"/>
    <w:rsid w:val="00F47A1E"/>
    <w:rsid w:val="00F55D17"/>
    <w:rsid w:val="00F56D63"/>
    <w:rsid w:val="00F601BA"/>
    <w:rsid w:val="00F609A9"/>
    <w:rsid w:val="00F6671E"/>
    <w:rsid w:val="00F80C99"/>
    <w:rsid w:val="00F836AD"/>
    <w:rsid w:val="00F867EC"/>
    <w:rsid w:val="00F876FE"/>
    <w:rsid w:val="00F91B2B"/>
    <w:rsid w:val="00F94027"/>
    <w:rsid w:val="00FA34ED"/>
    <w:rsid w:val="00FC03CD"/>
    <w:rsid w:val="00FC0646"/>
    <w:rsid w:val="00FC53EF"/>
    <w:rsid w:val="00FC61BB"/>
    <w:rsid w:val="00FC68B7"/>
    <w:rsid w:val="00FE26E9"/>
    <w:rsid w:val="00FE6985"/>
    <w:rsid w:val="00FF48A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FootnoteTextChar">
    <w:name w:val="Footnote Text Char"/>
    <w:aliases w:val="5_G Char,5_GR Char,Footnote Creating Char"/>
    <w:basedOn w:val="DefaultParagraphFont"/>
    <w:link w:val="FootnoteText"/>
    <w:rsid w:val="00B15265"/>
    <w:rPr>
      <w:sz w:val="18"/>
      <w:lang w:val="en-GB"/>
    </w:rPr>
  </w:style>
  <w:style w:type="character" w:customStyle="1" w:styleId="H1GChar">
    <w:name w:val="_ H_1_G Char"/>
    <w:basedOn w:val="DefaultParagraphFont"/>
    <w:link w:val="H1G"/>
    <w:locked/>
    <w:rsid w:val="00B15265"/>
    <w:rPr>
      <w:b/>
      <w:sz w:val="24"/>
      <w:lang w:val="en-GB"/>
    </w:rPr>
  </w:style>
  <w:style w:type="character" w:customStyle="1" w:styleId="SingleTxtGChar">
    <w:name w:val="_ Single Txt_G Char"/>
    <w:link w:val="SingleTxtG"/>
    <w:qFormat/>
    <w:locked/>
    <w:rsid w:val="004209A5"/>
    <w:rPr>
      <w:lang w:val="en-GB"/>
    </w:rPr>
  </w:style>
  <w:style w:type="paragraph" w:styleId="ListParagraph">
    <w:name w:val="List Paragraph"/>
    <w:basedOn w:val="Normal"/>
    <w:uiPriority w:val="34"/>
    <w:qFormat/>
    <w:rsid w:val="004209A5"/>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4209A5"/>
    <w:pPr>
      <w:suppressAutoHyphens w:val="0"/>
      <w:spacing w:before="100" w:beforeAutospacing="1" w:after="100" w:afterAutospacing="1" w:line="240" w:lineRule="auto"/>
    </w:pPr>
    <w:rPr>
      <w:sz w:val="24"/>
      <w:szCs w:val="24"/>
      <w:lang w:eastAsia="zh-CN"/>
    </w:rPr>
  </w:style>
  <w:style w:type="character" w:styleId="CommentReference">
    <w:name w:val="annotation reference"/>
    <w:basedOn w:val="DefaultParagraphFont"/>
    <w:semiHidden/>
    <w:unhideWhenUsed/>
    <w:rsid w:val="008676D5"/>
    <w:rPr>
      <w:sz w:val="16"/>
      <w:szCs w:val="16"/>
    </w:rPr>
  </w:style>
  <w:style w:type="paragraph" w:styleId="CommentText">
    <w:name w:val="annotation text"/>
    <w:basedOn w:val="Normal"/>
    <w:link w:val="CommentTextChar"/>
    <w:unhideWhenUsed/>
    <w:rsid w:val="008676D5"/>
    <w:pPr>
      <w:spacing w:line="240" w:lineRule="auto"/>
    </w:pPr>
    <w:rPr>
      <w:rFonts w:eastAsia="SimSun"/>
    </w:rPr>
  </w:style>
  <w:style w:type="character" w:customStyle="1" w:styleId="CommentTextChar">
    <w:name w:val="Comment Text Char"/>
    <w:basedOn w:val="DefaultParagraphFont"/>
    <w:link w:val="CommentText"/>
    <w:rsid w:val="008676D5"/>
    <w:rPr>
      <w:rFonts w:eastAsia="SimSun"/>
      <w:lang w:val="en-GB"/>
    </w:rPr>
  </w:style>
  <w:style w:type="paragraph" w:styleId="CommentSubject">
    <w:name w:val="annotation subject"/>
    <w:basedOn w:val="CommentText"/>
    <w:next w:val="CommentText"/>
    <w:link w:val="CommentSubjectChar"/>
    <w:semiHidden/>
    <w:unhideWhenUsed/>
    <w:rsid w:val="00DE4B87"/>
    <w:rPr>
      <w:rFonts w:eastAsia="Times New Roman"/>
      <w:b/>
      <w:bCs/>
    </w:rPr>
  </w:style>
  <w:style w:type="character" w:customStyle="1" w:styleId="CommentSubjectChar">
    <w:name w:val="Comment Subject Char"/>
    <w:basedOn w:val="CommentTextChar"/>
    <w:link w:val="CommentSubject"/>
    <w:semiHidden/>
    <w:rsid w:val="00DE4B87"/>
    <w:rPr>
      <w:rFonts w:eastAsia="SimSun"/>
      <w:b/>
      <w:bCs/>
      <w:lang w:val="en-GB"/>
    </w:rPr>
  </w:style>
  <w:style w:type="paragraph" w:styleId="Revision">
    <w:name w:val="Revision"/>
    <w:hidden/>
    <w:uiPriority w:val="99"/>
    <w:semiHidden/>
    <w:rsid w:val="002F6422"/>
    <w:rPr>
      <w:lang w:val="en-GB"/>
    </w:rPr>
  </w:style>
  <w:style w:type="character" w:styleId="UnresolvedMention">
    <w:name w:val="Unresolved Mention"/>
    <w:basedOn w:val="DefaultParagraphFont"/>
    <w:uiPriority w:val="99"/>
    <w:semiHidden/>
    <w:unhideWhenUsed/>
    <w:rsid w:val="00D83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port.ipcc.ch/ar6/wg3/IPCC_AR6_WGIII_Full_Report.pdf" TargetMode="External"/><Relationship Id="rId2" Type="http://schemas.openxmlformats.org/officeDocument/2006/relationships/hyperlink" Target="https://www.un.org/sg/en/content/sg/articles/2020-12-11/carbon-neutrality-2050-the-world%E2%80%99s-most-urgent-mission" TargetMode="External"/><Relationship Id="rId1" Type="http://schemas.openxmlformats.org/officeDocument/2006/relationships/hyperlink" Target="https://unfccc.int/sites/default/files/resource/cma4_auv_2_cover_decision.pdf" TargetMode="External"/><Relationship Id="rId6" Type="http://schemas.openxmlformats.org/officeDocument/2006/relationships/hyperlink" Target="https://climatepromise.undp.org/sites/default/files/research_report_document/enhancing-ndcs-opportunities-transport.pdf" TargetMode="External"/><Relationship Id="rId5" Type="http://schemas.openxmlformats.org/officeDocument/2006/relationships/hyperlink" Target="https://www.itf-oecd.org/ndc-tracker/en" TargetMode="External"/><Relationship Id="rId4" Type="http://schemas.openxmlformats.org/officeDocument/2006/relationships/hyperlink" Target="https://www.oecd-ilibrary.org/transport/itf-transport-outlook-2023_b6cc9ad5-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Violet Yee-Salino</DisplayName>
        <AccountId>39</AccountId>
        <AccountType/>
      </UserInfo>
      <UserInfo>
        <DisplayName>Anastasia Barinova</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55959-59DB-4EF8-90D0-AE70E9EF98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6F6ACB48-DDDA-4A71-8837-274866FDCC63}">
  <ds:schemaRefs>
    <ds:schemaRef ds:uri="http://schemas.openxmlformats.org/officeDocument/2006/bibliography"/>
  </ds:schemaRefs>
</ds:datastoreItem>
</file>

<file path=customXml/itemProps3.xml><?xml version="1.0" encoding="utf-8"?>
<ds:datastoreItem xmlns:ds="http://schemas.openxmlformats.org/officeDocument/2006/customXml" ds:itemID="{8B90D555-5EC6-4B71-9B6D-2A67F8E25898}">
  <ds:schemaRefs>
    <ds:schemaRef ds:uri="http://schemas.microsoft.com/sharepoint/v3/contenttype/forms"/>
  </ds:schemaRefs>
</ds:datastoreItem>
</file>

<file path=customXml/itemProps4.xml><?xml version="1.0" encoding="utf-8"?>
<ds:datastoreItem xmlns:ds="http://schemas.openxmlformats.org/officeDocument/2006/customXml" ds:itemID="{E4B95614-FB26-4C07-8259-7C4F387B1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2838</Words>
  <Characters>16116</Characters>
  <Application>Microsoft Office Word</Application>
  <DocSecurity>0</DocSecurity>
  <Lines>339</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ECE/TRANS/2024/1</vt:lpstr>
      <vt:lpstr/>
    </vt:vector>
  </TitlesOfParts>
  <Company>CSD</Company>
  <LinksUpToDate>false</LinksUpToDate>
  <CharactersWithSpaces>18843</CharactersWithSpaces>
  <SharedDoc>false</SharedDoc>
  <HLinks>
    <vt:vector size="36" baseType="variant">
      <vt:variant>
        <vt:i4>4980803</vt:i4>
      </vt:variant>
      <vt:variant>
        <vt:i4>15</vt:i4>
      </vt:variant>
      <vt:variant>
        <vt:i4>0</vt:i4>
      </vt:variant>
      <vt:variant>
        <vt:i4>5</vt:i4>
      </vt:variant>
      <vt:variant>
        <vt:lpwstr>https://climatepromise.undp.org/sites/default/files/research_report_document/enhancing-ndcs-opportunities-transport.pdf</vt:lpwstr>
      </vt:variant>
      <vt:variant>
        <vt:lpwstr/>
      </vt:variant>
      <vt:variant>
        <vt:i4>8126498</vt:i4>
      </vt:variant>
      <vt:variant>
        <vt:i4>12</vt:i4>
      </vt:variant>
      <vt:variant>
        <vt:i4>0</vt:i4>
      </vt:variant>
      <vt:variant>
        <vt:i4>5</vt:i4>
      </vt:variant>
      <vt:variant>
        <vt:lpwstr>https://www.itf-oecd.org/ndc-tracker/en</vt:lpwstr>
      </vt:variant>
      <vt:variant>
        <vt:lpwstr/>
      </vt:variant>
      <vt:variant>
        <vt:i4>2490452</vt:i4>
      </vt:variant>
      <vt:variant>
        <vt:i4>9</vt:i4>
      </vt:variant>
      <vt:variant>
        <vt:i4>0</vt:i4>
      </vt:variant>
      <vt:variant>
        <vt:i4>5</vt:i4>
      </vt:variant>
      <vt:variant>
        <vt:lpwstr>https://www.oecd-ilibrary.org/transport/itf-transport-outlook-2023_b6cc9ad5-en</vt:lpwstr>
      </vt:variant>
      <vt:variant>
        <vt:lpwstr/>
      </vt:variant>
      <vt:variant>
        <vt:i4>3801148</vt:i4>
      </vt:variant>
      <vt:variant>
        <vt:i4>6</vt:i4>
      </vt:variant>
      <vt:variant>
        <vt:i4>0</vt:i4>
      </vt:variant>
      <vt:variant>
        <vt:i4>5</vt:i4>
      </vt:variant>
      <vt:variant>
        <vt:lpwstr>https://report.ipcc.ch/ar6/wg3/IPCC_AR6_WGIII_Full_Report.pdf</vt:lpwstr>
      </vt:variant>
      <vt:variant>
        <vt:lpwstr/>
      </vt:variant>
      <vt:variant>
        <vt:i4>7012409</vt:i4>
      </vt:variant>
      <vt:variant>
        <vt:i4>3</vt:i4>
      </vt:variant>
      <vt:variant>
        <vt:i4>0</vt:i4>
      </vt:variant>
      <vt:variant>
        <vt:i4>5</vt:i4>
      </vt:variant>
      <vt:variant>
        <vt:lpwstr>https://www.un.org/sg/en/content/sg/articles/2020-12-11/carbon-neutrality-2050-the-world%E2%80%99s-most-urgent-mission</vt:lpwstr>
      </vt:variant>
      <vt:variant>
        <vt:lpwstr/>
      </vt:variant>
      <vt:variant>
        <vt:i4>1966083</vt:i4>
      </vt:variant>
      <vt:variant>
        <vt:i4>0</vt:i4>
      </vt:variant>
      <vt:variant>
        <vt:i4>0</vt:i4>
      </vt:variant>
      <vt:variant>
        <vt:i4>5</vt:i4>
      </vt:variant>
      <vt:variant>
        <vt:lpwstr>https://unfccc.int/sites/default/files/resource/cma4_auv_2_cover_decision.pdf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dc:title>
  <dc:subject>2228449</dc:subject>
  <dc:creator>Pauline Anne Escalante</dc:creator>
  <cp:keywords/>
  <dc:description/>
  <cp:lastModifiedBy>Anastasia Barinova</cp:lastModifiedBy>
  <cp:revision>6</cp:revision>
  <cp:lastPrinted>2023-12-01T10:21:00Z</cp:lastPrinted>
  <dcterms:created xsi:type="dcterms:W3CDTF">2023-12-08T08:12:00Z</dcterms:created>
  <dcterms:modified xsi:type="dcterms:W3CDTF">2023-12-08T08:16:00Z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