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7C47B5A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75795AB" w14:textId="77777777" w:rsidR="002D5AAC" w:rsidRDefault="002D5AAC" w:rsidP="006436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6157EA4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1A811EC" w14:textId="52B8D9C3" w:rsidR="002D5AAC" w:rsidRDefault="0064367B" w:rsidP="0064367B">
            <w:pPr>
              <w:jc w:val="right"/>
            </w:pPr>
            <w:r w:rsidRPr="0064367B">
              <w:rPr>
                <w:sz w:val="40"/>
              </w:rPr>
              <w:t>ECE</w:t>
            </w:r>
            <w:r>
              <w:t>/TRANS/WP.15/AC.2/2024/33</w:t>
            </w:r>
          </w:p>
        </w:tc>
      </w:tr>
      <w:tr w:rsidR="002D5AAC" w14:paraId="2F014FE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7BD05C3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F332316" wp14:editId="67D5EF69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92CA0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0CE0985" w14:textId="77777777" w:rsidR="002D5AAC" w:rsidRDefault="0064367B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80A1A27" w14:textId="77777777" w:rsidR="0064367B" w:rsidRDefault="0064367B" w:rsidP="0064367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 November 2023</w:t>
            </w:r>
          </w:p>
          <w:p w14:paraId="761F6BC8" w14:textId="77777777" w:rsidR="0064367B" w:rsidRDefault="0064367B" w:rsidP="0064367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F5E481E" w14:textId="1F133261" w:rsidR="0064367B" w:rsidRPr="008D53B6" w:rsidRDefault="0064367B" w:rsidP="0064367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06278A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5E56D33" w14:textId="77777777" w:rsidR="00513B12" w:rsidRPr="005345F8" w:rsidRDefault="00513B12" w:rsidP="00513B12">
      <w:pPr>
        <w:spacing w:before="120"/>
        <w:rPr>
          <w:sz w:val="28"/>
          <w:szCs w:val="28"/>
        </w:rPr>
      </w:pPr>
      <w:r w:rsidRPr="005345F8">
        <w:rPr>
          <w:sz w:val="28"/>
          <w:szCs w:val="28"/>
        </w:rPr>
        <w:t>Комитет по внутреннему транспорту</w:t>
      </w:r>
    </w:p>
    <w:p w14:paraId="2D9B3650" w14:textId="77777777" w:rsidR="00513B12" w:rsidRPr="005345F8" w:rsidRDefault="00513B12" w:rsidP="00513B12">
      <w:pPr>
        <w:spacing w:before="120"/>
        <w:rPr>
          <w:b/>
          <w:bCs/>
          <w:sz w:val="24"/>
          <w:szCs w:val="24"/>
        </w:rPr>
      </w:pPr>
      <w:r w:rsidRPr="005345F8">
        <w:rPr>
          <w:b/>
          <w:bCs/>
          <w:sz w:val="24"/>
          <w:szCs w:val="24"/>
        </w:rPr>
        <w:t>Рабочая группа по перевозкам опасных грузов</w:t>
      </w:r>
    </w:p>
    <w:p w14:paraId="367F6D69" w14:textId="0573E021" w:rsidR="00513B12" w:rsidRPr="006C3FE4" w:rsidRDefault="00513B12" w:rsidP="00513B12">
      <w:pPr>
        <w:spacing w:before="120"/>
        <w:rPr>
          <w:b/>
        </w:rPr>
      </w:pPr>
      <w:r>
        <w:rPr>
          <w:b/>
          <w:bCs/>
        </w:rPr>
        <w:t>Совместное совещание экспертов по Правилам,</w:t>
      </w:r>
      <w:r w:rsidR="005345F8">
        <w:rPr>
          <w:b/>
          <w:bCs/>
        </w:rPr>
        <w:br/>
      </w:r>
      <w:r>
        <w:rPr>
          <w:b/>
          <w:bCs/>
        </w:rPr>
        <w:t>прилагаемым к Европейскому соглашению</w:t>
      </w:r>
      <w:r w:rsidR="005345F8">
        <w:rPr>
          <w:b/>
          <w:bCs/>
        </w:rPr>
        <w:br/>
      </w:r>
      <w:r>
        <w:rPr>
          <w:b/>
          <w:bCs/>
        </w:rPr>
        <w:t>о международной перевозке опасных грузов</w:t>
      </w:r>
      <w:r w:rsidR="00F01E49">
        <w:rPr>
          <w:b/>
          <w:bCs/>
        </w:rPr>
        <w:br/>
      </w:r>
      <w:r>
        <w:rPr>
          <w:b/>
          <w:bCs/>
        </w:rPr>
        <w:t>по внутренним водным путям (ВОПОГ)</w:t>
      </w:r>
      <w:r w:rsidR="00F01E49">
        <w:rPr>
          <w:b/>
          <w:bCs/>
        </w:rPr>
        <w:br/>
      </w:r>
      <w:r>
        <w:rPr>
          <w:b/>
          <w:bCs/>
        </w:rPr>
        <w:t>(Комитет по вопросам безопасности ВОПОГ)</w:t>
      </w:r>
    </w:p>
    <w:p w14:paraId="51952086" w14:textId="77777777" w:rsidR="00513B12" w:rsidRPr="006C3FE4" w:rsidRDefault="00513B12" w:rsidP="00513B12">
      <w:pPr>
        <w:spacing w:before="120"/>
        <w:rPr>
          <w:b/>
        </w:rPr>
      </w:pPr>
      <w:r>
        <w:rPr>
          <w:b/>
          <w:bCs/>
        </w:rPr>
        <w:t>Сорок третья сессия</w:t>
      </w:r>
    </w:p>
    <w:p w14:paraId="610D842D" w14:textId="77777777" w:rsidR="00513B12" w:rsidRPr="006C3FE4" w:rsidRDefault="00513B12" w:rsidP="00513B12">
      <w:r>
        <w:t>Женева, 22–26 января 2024 года</w:t>
      </w:r>
    </w:p>
    <w:p w14:paraId="5E94A7D5" w14:textId="77777777" w:rsidR="00513B12" w:rsidRPr="006C3FE4" w:rsidRDefault="00513B12" w:rsidP="00513B12">
      <w:r>
        <w:t>Пункт 4 b) предварительной повестки дня</w:t>
      </w:r>
    </w:p>
    <w:p w14:paraId="07F78F64" w14:textId="4A8B97EE" w:rsidR="00513B12" w:rsidRPr="006C3FE4" w:rsidRDefault="00513B12" w:rsidP="00513B12">
      <w:pPr>
        <w:rPr>
          <w:b/>
          <w:bCs/>
        </w:rPr>
      </w:pPr>
      <w:r w:rsidRPr="004C0F7F">
        <w:rPr>
          <w:b/>
          <w:bCs/>
        </w:rPr>
        <w:t>Применение Европейского соглашения</w:t>
      </w:r>
      <w:r w:rsidR="007E4086">
        <w:rPr>
          <w:b/>
          <w:bCs/>
        </w:rPr>
        <w:br/>
      </w:r>
      <w:r w:rsidRPr="004C0F7F">
        <w:rPr>
          <w:b/>
          <w:bCs/>
        </w:rPr>
        <w:t>о международной</w:t>
      </w:r>
      <w:r w:rsidR="007E4086" w:rsidRPr="007E4086">
        <w:rPr>
          <w:b/>
          <w:bCs/>
        </w:rPr>
        <w:t xml:space="preserve"> </w:t>
      </w:r>
      <w:r w:rsidRPr="004C0F7F">
        <w:rPr>
          <w:b/>
          <w:bCs/>
        </w:rPr>
        <w:t>перевозке опасных грузов</w:t>
      </w:r>
      <w:r w:rsidR="007E4086">
        <w:rPr>
          <w:b/>
          <w:bCs/>
        </w:rPr>
        <w:br/>
      </w:r>
      <w:r w:rsidRPr="004C0F7F">
        <w:rPr>
          <w:b/>
          <w:bCs/>
        </w:rPr>
        <w:t xml:space="preserve">по внутренним водным путям (ВОПОГ): </w:t>
      </w:r>
    </w:p>
    <w:p w14:paraId="3F44B037" w14:textId="645AD6E8" w:rsidR="00513B12" w:rsidRPr="006C3FE4" w:rsidRDefault="00513B12" w:rsidP="00513B12">
      <w:pPr>
        <w:rPr>
          <w:b/>
          <w:bCs/>
        </w:rPr>
      </w:pPr>
      <w:r>
        <w:rPr>
          <w:b/>
          <w:bCs/>
        </w:rPr>
        <w:t>специальные разрешения, отступления</w:t>
      </w:r>
      <w:r w:rsidR="001A5C3F">
        <w:rPr>
          <w:b/>
          <w:bCs/>
        </w:rPr>
        <w:br/>
      </w:r>
      <w:r>
        <w:rPr>
          <w:b/>
          <w:bCs/>
        </w:rPr>
        <w:t>и эквивалентные аналоги</w:t>
      </w:r>
    </w:p>
    <w:p w14:paraId="4929135C" w14:textId="77777777" w:rsidR="00513B12" w:rsidRPr="006C3FE4" w:rsidRDefault="00513B12" w:rsidP="00513B12">
      <w:pPr>
        <w:pStyle w:val="HChG"/>
      </w:pPr>
      <w:r>
        <w:tab/>
      </w:r>
      <w:r>
        <w:tab/>
      </w:r>
      <w:r>
        <w:rPr>
          <w:bCs/>
        </w:rPr>
        <w:t>Запрос на рекомендацию по использованию водородных топливных элементов для обеспечения движения судна «</w:t>
      </w:r>
      <w:proofErr w:type="spellStart"/>
      <w:r>
        <w:rPr>
          <w:bCs/>
        </w:rPr>
        <w:t>Rhenus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Mannheim</w:t>
      </w:r>
      <w:proofErr w:type="spellEnd"/>
      <w:r>
        <w:rPr>
          <w:bCs/>
        </w:rPr>
        <w:t>»</w:t>
      </w:r>
    </w:p>
    <w:p w14:paraId="47D8810B" w14:textId="594C3F03" w:rsidR="00513B12" w:rsidRDefault="00513B12" w:rsidP="00513B12">
      <w:pPr>
        <w:pStyle w:val="H1G"/>
      </w:pPr>
      <w:r>
        <w:tab/>
      </w:r>
      <w:r>
        <w:tab/>
      </w:r>
      <w:r>
        <w:rPr>
          <w:bCs/>
        </w:rPr>
        <w:t>Передано правительством Нидерландов</w:t>
      </w:r>
      <w:r w:rsidRPr="001A5C3F">
        <w:rPr>
          <w:rStyle w:val="aa"/>
          <w:b w:val="0"/>
          <w:bCs/>
          <w:sz w:val="20"/>
          <w:vertAlign w:val="baseline"/>
        </w:rPr>
        <w:footnoteReference w:customMarkFollows="1" w:id="1"/>
        <w:t xml:space="preserve">* </w:t>
      </w:r>
      <w:r w:rsidRPr="001A5C3F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1A5C3F" w:rsidRPr="001A5C3F" w14:paraId="2F7A695E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6DAD614B" w14:textId="77777777" w:rsidR="001A5C3F" w:rsidRPr="001A5C3F" w:rsidRDefault="001A5C3F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1A5C3F">
              <w:rPr>
                <w:rFonts w:cs="Times New Roman"/>
              </w:rPr>
              <w:tab/>
            </w:r>
            <w:r w:rsidRPr="001A5C3F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1A5C3F" w:rsidRPr="001A5C3F" w14:paraId="6D7F28F7" w14:textId="77777777" w:rsidTr="001A5C3F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F641DCD" w14:textId="61E278B5" w:rsidR="001A5C3F" w:rsidRPr="006C3FE4" w:rsidRDefault="001A5C3F" w:rsidP="00A776C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679"/>
              </w:tabs>
            </w:pPr>
            <w:r w:rsidRPr="00B137D0">
              <w:rPr>
                <w:b/>
                <w:bCs/>
              </w:rPr>
              <w:t>Справочные документы:</w:t>
            </w:r>
            <w:r>
              <w:tab/>
              <w:t>ECE/TRANS/WP.15/AC.2/2023/34</w:t>
            </w:r>
          </w:p>
          <w:p w14:paraId="5ED80941" w14:textId="6F372FD6" w:rsidR="001A5C3F" w:rsidRPr="006C3FE4" w:rsidRDefault="008D079E" w:rsidP="00A776C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679"/>
              </w:tabs>
            </w:pPr>
            <w:r>
              <w:tab/>
            </w:r>
            <w:r w:rsidR="001A5C3F">
              <w:t>неофициальный документ INF.5 сорок второй сессии;</w:t>
            </w:r>
          </w:p>
          <w:p w14:paraId="20E7DCE7" w14:textId="33330A6C" w:rsidR="001A5C3F" w:rsidRPr="006C3FE4" w:rsidRDefault="008D079E" w:rsidP="00A776C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679"/>
              </w:tabs>
            </w:pPr>
            <w:r>
              <w:tab/>
            </w:r>
            <w:r w:rsidR="001A5C3F">
              <w:t>неофициальный документ INF.22 сорок второй сессии;</w:t>
            </w:r>
          </w:p>
          <w:p w14:paraId="7A125F09" w14:textId="48239771" w:rsidR="001A5C3F" w:rsidRPr="006C3FE4" w:rsidRDefault="008D079E" w:rsidP="00A776C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679"/>
              </w:tabs>
            </w:pPr>
            <w:r>
              <w:tab/>
            </w:r>
            <w:r w:rsidR="001A5C3F">
              <w:t>неофициальный документ INF.27 сорок второй сессии;</w:t>
            </w:r>
          </w:p>
          <w:p w14:paraId="0628FD04" w14:textId="1875AB76" w:rsidR="001A5C3F" w:rsidRPr="001A5C3F" w:rsidRDefault="008D079E" w:rsidP="00A776C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679"/>
              </w:tabs>
              <w:rPr>
                <w:lang w:val="en-US"/>
              </w:rPr>
            </w:pPr>
            <w:r>
              <w:tab/>
            </w:r>
            <w:r w:rsidR="001A5C3F" w:rsidRPr="006C3FE4">
              <w:rPr>
                <w:lang w:val="en-US"/>
              </w:rPr>
              <w:t>ECE/</w:t>
            </w:r>
            <w:r w:rsidR="001A5C3F" w:rsidRPr="00A776C9">
              <w:t>TRANS</w:t>
            </w:r>
            <w:r w:rsidR="001A5C3F" w:rsidRPr="006C3FE4">
              <w:rPr>
                <w:lang w:val="en-US"/>
              </w:rPr>
              <w:t>/WP.15/AC.2/86 (</w:t>
            </w:r>
            <w:r w:rsidR="001A5C3F">
              <w:t>пункт</w:t>
            </w:r>
            <w:r w:rsidR="001A5C3F" w:rsidRPr="006C3FE4">
              <w:rPr>
                <w:lang w:val="en-US"/>
              </w:rPr>
              <w:t xml:space="preserve"> 14)</w:t>
            </w:r>
          </w:p>
        </w:tc>
      </w:tr>
      <w:tr w:rsidR="001A5C3F" w:rsidRPr="001A5C3F" w14:paraId="16830BBC" w14:textId="77777777" w:rsidTr="001A5C3F">
        <w:trPr>
          <w:jc w:val="center"/>
        </w:trPr>
        <w:tc>
          <w:tcPr>
            <w:tcW w:w="9637" w:type="dxa"/>
            <w:tcBorders>
              <w:top w:val="nil"/>
              <w:bottom w:val="single" w:sz="4" w:space="0" w:color="auto"/>
            </w:tcBorders>
          </w:tcPr>
          <w:p w14:paraId="42537382" w14:textId="77777777" w:rsidR="001A5C3F" w:rsidRPr="001A5C3F" w:rsidRDefault="001A5C3F" w:rsidP="00850215">
            <w:pPr>
              <w:rPr>
                <w:rFonts w:cs="Times New Roman"/>
                <w:lang w:val="en-US"/>
              </w:rPr>
            </w:pPr>
          </w:p>
        </w:tc>
      </w:tr>
    </w:tbl>
    <w:p w14:paraId="2186C603" w14:textId="77777777" w:rsidR="00513B12" w:rsidRPr="006C3FE4" w:rsidRDefault="00513B12" w:rsidP="00513B12">
      <w:pPr>
        <w:pStyle w:val="HChG"/>
      </w:pPr>
      <w:r w:rsidRPr="006C3FE4">
        <w:rPr>
          <w:lang w:val="en-US"/>
        </w:rPr>
        <w:tab/>
      </w:r>
      <w:r w:rsidRPr="006C3FE4">
        <w:rPr>
          <w:lang w:val="en-US"/>
        </w:rPr>
        <w:tab/>
      </w:r>
      <w:r>
        <w:rPr>
          <w:bCs/>
        </w:rPr>
        <w:t>Введение</w:t>
      </w:r>
    </w:p>
    <w:p w14:paraId="4A672C9E" w14:textId="77777777" w:rsidR="00513B12" w:rsidRPr="006C3FE4" w:rsidRDefault="00513B12" w:rsidP="00513B12">
      <w:pPr>
        <w:pStyle w:val="SingleTxtG"/>
      </w:pPr>
      <w:bookmarkStart w:id="0" w:name="_Hlk135736653"/>
      <w:r>
        <w:t>1.</w:t>
      </w:r>
      <w:r>
        <w:tab/>
        <w:t>В контексте энергетического перехода на более экологически чистые виды топлива в настоящее время ведется строительство нескольких судов, для обеспечения движения которых предусмотрено использование альтернативных видов топлива. Одним из них является «</w:t>
      </w:r>
      <w:proofErr w:type="spellStart"/>
      <w:r>
        <w:t>Rhenus</w:t>
      </w:r>
      <w:proofErr w:type="spellEnd"/>
      <w:r>
        <w:t xml:space="preserve"> </w:t>
      </w:r>
      <w:proofErr w:type="spellStart"/>
      <w:r>
        <w:t>Mannheim</w:t>
      </w:r>
      <w:proofErr w:type="spellEnd"/>
      <w:r>
        <w:t>», которое будет оснащено водородной топливной системой в составе гибридной силовой установки. Водород будет храниться в сменных 20-футовых контейнерах.</w:t>
      </w:r>
    </w:p>
    <w:p w14:paraId="732786D5" w14:textId="77777777" w:rsidR="00513B12" w:rsidRPr="006C3FE4" w:rsidRDefault="00513B12" w:rsidP="00513B12">
      <w:pPr>
        <w:pStyle w:val="SingleTxtG"/>
      </w:pPr>
      <w:r>
        <w:t>2.</w:t>
      </w:r>
      <w:r>
        <w:tab/>
        <w:t>«</w:t>
      </w:r>
      <w:proofErr w:type="spellStart"/>
      <w:r>
        <w:t>Rhenus</w:t>
      </w:r>
      <w:proofErr w:type="spellEnd"/>
      <w:r>
        <w:t xml:space="preserve"> </w:t>
      </w:r>
      <w:proofErr w:type="spellStart"/>
      <w:r>
        <w:t>Mannheim</w:t>
      </w:r>
      <w:proofErr w:type="spellEnd"/>
      <w:r>
        <w:t>» представляет собой самоходный контейнеровоз. Он будет являться частью состава для перевозки контейнеров.</w:t>
      </w:r>
    </w:p>
    <w:p w14:paraId="4E6C86A0" w14:textId="77777777" w:rsidR="00513B12" w:rsidRPr="006C3FE4" w:rsidRDefault="00513B12" w:rsidP="00513B12">
      <w:pPr>
        <w:pStyle w:val="SingleTxtG"/>
      </w:pPr>
      <w:r>
        <w:t>3.</w:t>
      </w:r>
      <w:r>
        <w:tab/>
        <w:t>Для «</w:t>
      </w:r>
      <w:proofErr w:type="spellStart"/>
      <w:r>
        <w:t>Rhenus</w:t>
      </w:r>
      <w:proofErr w:type="spellEnd"/>
      <w:r>
        <w:t xml:space="preserve"> </w:t>
      </w:r>
      <w:proofErr w:type="spellStart"/>
      <w:r>
        <w:t>Mannheim</w:t>
      </w:r>
      <w:proofErr w:type="spellEnd"/>
      <w:r>
        <w:t xml:space="preserve">» было получено отступление от правил ЦКСР. Об этом отступлении Комитету по вопросам безопасности ВОПОГ было сообщено в неофициальном документе INF.22 сорок второй сессии. Кроме того, ЦКСР работает над расширением главы 30 и приложения 8 для включения в них правил, касающихся водородных топливных систем, с тем чтобы обеспечить возможность использования таких силовых установок на постоянной основе. </w:t>
      </w:r>
    </w:p>
    <w:p w14:paraId="34757BAC" w14:textId="77777777" w:rsidR="00513B12" w:rsidRPr="006C3FE4" w:rsidRDefault="00513B12" w:rsidP="00513B12">
      <w:pPr>
        <w:pStyle w:val="SingleTxtG"/>
      </w:pPr>
      <w:r>
        <w:t>4.</w:t>
      </w:r>
      <w:r>
        <w:tab/>
        <w:t>Поскольку в настоящее время использование водорода в качестве топлива не допускается в соответствии с подразделом 7.1.3.31 и пунктом 9.1.0.31.1 ВОПОГ, Нидерланды хотели бы запросить рекомендацию Административного комитета ВОПОГ о предоставлении отступления для этого судна.</w:t>
      </w:r>
    </w:p>
    <w:p w14:paraId="1A163D45" w14:textId="77777777" w:rsidR="00513B12" w:rsidRPr="006C3FE4" w:rsidRDefault="00513B12" w:rsidP="00513B12">
      <w:pPr>
        <w:pStyle w:val="SingleTxtG"/>
      </w:pPr>
      <w:bookmarkStart w:id="1" w:name="_Hlk149210954"/>
      <w:r>
        <w:t>5.</w:t>
      </w:r>
      <w:r>
        <w:tab/>
        <w:t>В поддержку этой просьбы предоставить отступление представлены следующие (обновленные) документы, ссылка на которые будет сделана и в отступлении:</w:t>
      </w:r>
      <w:bookmarkEnd w:id="1"/>
    </w:p>
    <w:p w14:paraId="623933FD" w14:textId="5C8FA259" w:rsidR="00513B12" w:rsidRPr="006C3FE4" w:rsidRDefault="00CB0A85" w:rsidP="00513B12">
      <w:pPr>
        <w:pStyle w:val="SingleTxtG"/>
      </w:pPr>
      <w:r>
        <w:tab/>
      </w:r>
      <w:r w:rsidR="00513B12">
        <w:t>a)</w:t>
      </w:r>
      <w:r w:rsidR="00513B12">
        <w:tab/>
        <w:t>описание водородной системы «</w:t>
      </w:r>
      <w:proofErr w:type="spellStart"/>
      <w:r w:rsidR="00513B12">
        <w:t>Rhenus</w:t>
      </w:r>
      <w:proofErr w:type="spellEnd"/>
      <w:r w:rsidR="00513B12">
        <w:t>» с топливным элементом мощностью 800 кВт (400 кВт) и резервуаром для хранения водорода при давлении 500</w:t>
      </w:r>
      <w:r w:rsidR="00331C01">
        <w:rPr>
          <w:lang w:val="en-US"/>
        </w:rPr>
        <w:t> </w:t>
      </w:r>
      <w:r w:rsidR="00513B12">
        <w:t>бар (Rev04);</w:t>
      </w:r>
    </w:p>
    <w:p w14:paraId="478C6C64" w14:textId="0D540E12" w:rsidR="00513B12" w:rsidRPr="006C3FE4" w:rsidRDefault="00331C01" w:rsidP="00513B12">
      <w:pPr>
        <w:pStyle w:val="SingleTxtG"/>
      </w:pPr>
      <w:r>
        <w:tab/>
      </w:r>
      <w:r w:rsidR="00513B12">
        <w:t>b)</w:t>
      </w:r>
      <w:r w:rsidR="00513B12">
        <w:tab/>
        <w:t>отчет о выявленных факторах опасности (HAZID), составленный Регистром Ллойда;</w:t>
      </w:r>
    </w:p>
    <w:p w14:paraId="71271F5A" w14:textId="6CAC84EE" w:rsidR="00513B12" w:rsidRPr="006C3FE4" w:rsidRDefault="00331C01" w:rsidP="00513B12">
      <w:pPr>
        <w:pStyle w:val="SingleTxtG"/>
      </w:pPr>
      <w:r>
        <w:tab/>
      </w:r>
      <w:r w:rsidR="00513B12">
        <w:t>c)</w:t>
      </w:r>
      <w:r w:rsidR="00513B12">
        <w:tab/>
        <w:t>обновленный чертеж расположения зон ATEX;</w:t>
      </w:r>
    </w:p>
    <w:p w14:paraId="04EAB689" w14:textId="317487BD" w:rsidR="00513B12" w:rsidRPr="006C3FE4" w:rsidRDefault="00331C01" w:rsidP="00513B12">
      <w:pPr>
        <w:pStyle w:val="SingleTxtG"/>
      </w:pPr>
      <w:r>
        <w:tab/>
      </w:r>
      <w:r w:rsidR="00513B12">
        <w:t>d)</w:t>
      </w:r>
      <w:r w:rsidR="00513B12">
        <w:tab/>
        <w:t>процедура бункеровки;</w:t>
      </w:r>
    </w:p>
    <w:bookmarkEnd w:id="0"/>
    <w:p w14:paraId="3B695C8B" w14:textId="5E881914" w:rsidR="00513B12" w:rsidRPr="006C3FE4" w:rsidRDefault="00331C01" w:rsidP="00513B12">
      <w:pPr>
        <w:pStyle w:val="SingleTxtG"/>
      </w:pPr>
      <w:r>
        <w:tab/>
      </w:r>
      <w:r w:rsidR="00513B12">
        <w:t>e)</w:t>
      </w:r>
      <w:r w:rsidR="00513B12">
        <w:tab/>
        <w:t>сведения об обучении экипажа.</w:t>
      </w:r>
    </w:p>
    <w:p w14:paraId="541011DE" w14:textId="77777777" w:rsidR="00513B12" w:rsidRPr="006C3FE4" w:rsidRDefault="00513B12" w:rsidP="00513B12">
      <w:pPr>
        <w:pStyle w:val="HChG"/>
      </w:pPr>
      <w:r>
        <w:tab/>
      </w:r>
      <w:r>
        <w:tab/>
      </w:r>
      <w:r>
        <w:rPr>
          <w:bCs/>
        </w:rPr>
        <w:t>Полученные вопросы</w:t>
      </w:r>
    </w:p>
    <w:p w14:paraId="078A5588" w14:textId="77777777" w:rsidR="00513B12" w:rsidRPr="006C3FE4" w:rsidRDefault="00513B12" w:rsidP="00513B12">
      <w:pPr>
        <w:pStyle w:val="SingleTxtG"/>
      </w:pPr>
      <w:r>
        <w:t>6.</w:t>
      </w:r>
      <w:r>
        <w:tab/>
        <w:t>На сорок второй сессии Комитета по вопросам безопасности ВОПОГ была представлена водородная система для «</w:t>
      </w:r>
      <w:proofErr w:type="spellStart"/>
      <w:r>
        <w:t>Rhenus</w:t>
      </w:r>
      <w:proofErr w:type="spellEnd"/>
      <w:r>
        <w:t xml:space="preserve"> </w:t>
      </w:r>
      <w:proofErr w:type="spellStart"/>
      <w:r>
        <w:t>Mannheim</w:t>
      </w:r>
      <w:proofErr w:type="spellEnd"/>
      <w:r>
        <w:t>». По результатам этого и представленной документации делегации Нидерландов были заданы дополнительные вопросы. На основании заданных вопросов просьба в отношении рекомендации была обновлена, с тем чтобы отразить требование о предоставлении отчета по проекту Комитету по вопросам безопасности ВОПОГ. Была также сделана ссылка на обновленную документацию, включенную в неофициальный документ INF.7.</w:t>
      </w:r>
    </w:p>
    <w:p w14:paraId="60FFFAC0" w14:textId="48C88E63" w:rsidR="00513B12" w:rsidRPr="006C3FE4" w:rsidRDefault="00513B12" w:rsidP="00513B12">
      <w:pPr>
        <w:pStyle w:val="SingleTxtG"/>
      </w:pPr>
      <w:r>
        <w:t>7.</w:t>
      </w:r>
      <w:r>
        <w:tab/>
        <w:t>Один из поднятых вопросов касался положений пункта 7.1.4.4.4 об укладке. Эти</w:t>
      </w:r>
      <w:r w:rsidR="00331C01">
        <w:rPr>
          <w:lang w:val="en-US"/>
        </w:rPr>
        <w:t> </w:t>
      </w:r>
      <w:r>
        <w:t>условия укладки выполняются, поскольку многоэлементные газовые контейнеры</w:t>
      </w:r>
      <w:r w:rsidR="00331C01">
        <w:rPr>
          <w:lang w:val="en-US"/>
        </w:rPr>
        <w:t> </w:t>
      </w:r>
      <w:r>
        <w:t xml:space="preserve">(МЭГК), содержащие водородное топливо, будут размещаться на носу судна вне грузового отсека. Тем не менее было принято решение включить в рекомендацию дополнительное положение по укладке для контейнеров с грузами ВОПОГ и рефрижераторных контейнеров. Такое положение об укладке контейнеров гарантирует, что эти контейнеры не будут размещаться в первом ряду контейнеров в грузовом отсеке. </w:t>
      </w:r>
    </w:p>
    <w:p w14:paraId="5743885E" w14:textId="77777777" w:rsidR="00513B12" w:rsidRPr="006C3FE4" w:rsidRDefault="00513B12" w:rsidP="00513B12">
      <w:pPr>
        <w:pStyle w:val="SingleTxtG"/>
      </w:pPr>
      <w:r>
        <w:t>8.</w:t>
      </w:r>
      <w:r>
        <w:tab/>
        <w:t>В отношении опасений по поводу вентиляционной колонны следует указать, что эта колонна выведена перед МЭГК в стороне от грузового отсека. Вентиляционная колонна расположена на расстоянии более 8 м от носовой части грузового отсека. Кроме того, между вентиляционной колонной и передним носовым концом грузового отсека расположен служебный мостик, обеспечивающий дополнительный физический барьер между колонной и грузом.</w:t>
      </w:r>
    </w:p>
    <w:p w14:paraId="54D35836" w14:textId="79B0ED5A" w:rsidR="00513B12" w:rsidRPr="006C3FE4" w:rsidRDefault="00513B12" w:rsidP="00513B12">
      <w:pPr>
        <w:pStyle w:val="SingleTxtG"/>
      </w:pPr>
      <w:r>
        <w:t>9.</w:t>
      </w:r>
      <w:r>
        <w:tab/>
        <w:t xml:space="preserve">Была высказана озабоченность по поводу использования вентиляторов вблизи МЭГК. Вместе с тем </w:t>
      </w:r>
      <w:r w:rsidR="00562037">
        <w:t>«</w:t>
      </w:r>
      <w:proofErr w:type="spellStart"/>
      <w:r>
        <w:t>Rhenus</w:t>
      </w:r>
      <w:proofErr w:type="spellEnd"/>
      <w:r>
        <w:t xml:space="preserve"> </w:t>
      </w:r>
      <w:proofErr w:type="spellStart"/>
      <w:r>
        <w:t>Mannheim</w:t>
      </w:r>
      <w:proofErr w:type="spellEnd"/>
      <w:r w:rsidR="00562037">
        <w:t>»</w:t>
      </w:r>
      <w:r>
        <w:t xml:space="preserve"> будет оснащено вентиляторами ATEX, которые подходят для использования в назначенных зонах. </w:t>
      </w:r>
    </w:p>
    <w:p w14:paraId="4AEBF632" w14:textId="77777777" w:rsidR="00513B12" w:rsidRPr="006C3FE4" w:rsidRDefault="00513B12" w:rsidP="00513B12">
      <w:pPr>
        <w:pStyle w:val="HChG"/>
      </w:pPr>
      <w:r>
        <w:tab/>
      </w:r>
      <w:r>
        <w:tab/>
      </w:r>
      <w:r>
        <w:rPr>
          <w:bCs/>
        </w:rPr>
        <w:t>Обоснование и связь с целями устойчивого развития</w:t>
      </w:r>
    </w:p>
    <w:p w14:paraId="5950A930" w14:textId="77777777" w:rsidR="00513B12" w:rsidRPr="006C3FE4" w:rsidRDefault="00513B12" w:rsidP="00513B12">
      <w:pPr>
        <w:pStyle w:val="SingleTxtG"/>
      </w:pPr>
      <w:r>
        <w:t>10.</w:t>
      </w:r>
      <w:r>
        <w:tab/>
        <w:t xml:space="preserve">Использование альтернативных видов топлива для приведения в движение судов внутреннего плавания является одним из необходимых шагов в контексте общего перехода к устойчивой энергетике. ЦКСР планирует расширить главу 30 и приложение 8 европейского стандарта ЕС-ТТСВП, включив в них водородные топливные системы. Комитет по вопросам безопасности ВОПОГ может принять решение о распространении существующего исключения в отношении использования сжиженного природного газа (СПГ) на другие системы, которые будут включены в европейский стандарт ЕС-ТТСВП. В связи с этим отступлением Комитет по вопросам безопасности ВОПОГ может получить дополнительную информацию, которая может помочь в принятии такого решения в будущем. </w:t>
      </w:r>
    </w:p>
    <w:p w14:paraId="06778C27" w14:textId="77777777" w:rsidR="00513B12" w:rsidRPr="006C3FE4" w:rsidRDefault="00513B12" w:rsidP="00513B12">
      <w:pPr>
        <w:pStyle w:val="SingleTxtG"/>
      </w:pPr>
      <w:r>
        <w:t>11.</w:t>
      </w:r>
      <w:r>
        <w:tab/>
        <w:t xml:space="preserve">Вынесение этой рекомендации является шагом к регулированию таких систем в рамках ВОПОГ, и данное предложение можно увязать с Целями в области устойчивого развития 7 (значительное увеличение доли возобновляемых источников энергии в мировом энергетическом балансе) и 13 (борьба с изменением климата). </w:t>
      </w:r>
    </w:p>
    <w:p w14:paraId="3348755B" w14:textId="77777777" w:rsidR="00513B12" w:rsidRPr="006C3FE4" w:rsidRDefault="00513B12" w:rsidP="00513B12">
      <w:pPr>
        <w:pStyle w:val="HChG"/>
      </w:pPr>
      <w:r>
        <w:tab/>
      </w:r>
      <w:r>
        <w:tab/>
      </w:r>
      <w:r>
        <w:rPr>
          <w:bCs/>
        </w:rPr>
        <w:t>Предлагаемые действия</w:t>
      </w:r>
    </w:p>
    <w:p w14:paraId="7DCAFEF1" w14:textId="77777777" w:rsidR="00513B12" w:rsidRPr="006C3FE4" w:rsidRDefault="00513B12" w:rsidP="00513B12">
      <w:pPr>
        <w:pStyle w:val="SingleTxtG"/>
      </w:pPr>
      <w:r>
        <w:t>12.</w:t>
      </w:r>
      <w:r>
        <w:tab/>
        <w:t xml:space="preserve">Комитету по вопросам безопасности ВОПОГ предлагается рассмотреть эти предложения и вынести в адрес Административного комитета ВОПОГ соответствующую рекомендацию. </w:t>
      </w:r>
    </w:p>
    <w:p w14:paraId="6FA3706A" w14:textId="77777777" w:rsidR="00513B12" w:rsidRPr="006C3FE4" w:rsidRDefault="00513B12" w:rsidP="00513B12">
      <w:r w:rsidRPr="006C3FE4">
        <w:br w:type="page"/>
      </w:r>
    </w:p>
    <w:p w14:paraId="6C1C7EED" w14:textId="77777777" w:rsidR="00513B12" w:rsidRPr="006C3FE4" w:rsidRDefault="00513B12" w:rsidP="00513B12">
      <w:pPr>
        <w:pStyle w:val="HChG"/>
      </w:pPr>
      <w:r>
        <w:rPr>
          <w:bCs/>
        </w:rPr>
        <w:t>Приложение</w:t>
      </w:r>
    </w:p>
    <w:p w14:paraId="1C3E4402" w14:textId="0F23945C" w:rsidR="00513B12" w:rsidRPr="006C3FE4" w:rsidRDefault="00513B12" w:rsidP="00513B12">
      <w:pPr>
        <w:pStyle w:val="HChG"/>
      </w:pPr>
      <w:r>
        <w:tab/>
      </w:r>
      <w:r>
        <w:tab/>
      </w:r>
      <w:r>
        <w:rPr>
          <w:bCs/>
        </w:rPr>
        <w:t>Решение Административного комитета ВОПОГ в</w:t>
      </w:r>
      <w:r w:rsidR="001F51BC">
        <w:rPr>
          <w:bCs/>
        </w:rPr>
        <w:t> </w:t>
      </w:r>
      <w:r>
        <w:rPr>
          <w:bCs/>
        </w:rPr>
        <w:t>отношении использования водородной топливной системы на сухогрузе «</w:t>
      </w:r>
      <w:proofErr w:type="spellStart"/>
      <w:r>
        <w:rPr>
          <w:bCs/>
        </w:rPr>
        <w:t>Rhenus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Mannheim</w:t>
      </w:r>
      <w:proofErr w:type="spellEnd"/>
      <w:r>
        <w:rPr>
          <w:bCs/>
        </w:rPr>
        <w:t>» (ENI 04814490)</w:t>
      </w:r>
    </w:p>
    <w:p w14:paraId="1BC3C896" w14:textId="77777777" w:rsidR="00513B12" w:rsidRPr="006C3FE4" w:rsidRDefault="00513B12" w:rsidP="00513B12">
      <w:pPr>
        <w:pStyle w:val="H1G"/>
      </w:pPr>
      <w:r>
        <w:tab/>
      </w:r>
      <w:r>
        <w:tab/>
      </w:r>
      <w:r>
        <w:rPr>
          <w:bCs/>
        </w:rPr>
        <w:t>Отступление № X/2024 от ХХ января 2024 года</w:t>
      </w:r>
    </w:p>
    <w:p w14:paraId="40F2DD63" w14:textId="77777777" w:rsidR="00513B12" w:rsidRPr="006C3FE4" w:rsidRDefault="00513B12" w:rsidP="00513B12">
      <w:pPr>
        <w:pStyle w:val="SingleTxtG"/>
      </w:pPr>
      <w:r>
        <w:t>1.</w:t>
      </w:r>
      <w:r>
        <w:tab/>
        <w:t>В соответствии с подразделом 1.5.3.2 Правил, прилагаемых к ВОПОГ, вышеупомянутое судно может отступать до 31 декабря 2028 года от требований следующих пунктов:</w:t>
      </w:r>
    </w:p>
    <w:p w14:paraId="4023EFF6" w14:textId="0D709640" w:rsidR="00513B12" w:rsidRPr="006C3FE4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>7.1.3.31 — запрет на использование топлива с температурой вспышки ниже</w:t>
      </w:r>
      <w:r w:rsidR="008D2B42">
        <w:t> </w:t>
      </w:r>
      <w:r>
        <w:t>55</w:t>
      </w:r>
      <w:r w:rsidR="001F51BC">
        <w:t> </w:t>
      </w:r>
      <w:r>
        <w:t>°С;</w:t>
      </w:r>
    </w:p>
    <w:p w14:paraId="3DB997C5" w14:textId="560588E4" w:rsidR="00513B12" w:rsidRPr="006C3FE4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>9.1.0.31.1 — запрет на использование топлива с температурой вспышки ниже</w:t>
      </w:r>
      <w:r w:rsidR="008D2B42">
        <w:t> </w:t>
      </w:r>
      <w:r>
        <w:t>55 °С.</w:t>
      </w:r>
    </w:p>
    <w:p w14:paraId="14002D85" w14:textId="77777777" w:rsidR="00513B12" w:rsidRPr="006C3FE4" w:rsidRDefault="00513B12" w:rsidP="00513B12">
      <w:pPr>
        <w:pStyle w:val="SingleTxtG"/>
      </w:pPr>
      <w:r>
        <w:t>2.</w:t>
      </w:r>
      <w:r>
        <w:tab/>
        <w:t>Административный комитет постановляет, что использование данной водородной топливной системы является достаточно безопасным при условии неизменного выполнения требований, установленных Центральной комиссией судоходства по Рейну (ЦКСР).</w:t>
      </w:r>
    </w:p>
    <w:p w14:paraId="65DF0FB2" w14:textId="77777777" w:rsidR="00513B12" w:rsidRPr="006C3FE4" w:rsidRDefault="00513B12" w:rsidP="00513B12">
      <w:pPr>
        <w:pStyle w:val="SingleTxtG"/>
      </w:pPr>
      <w:r>
        <w:t>3.</w:t>
      </w:r>
      <w:r>
        <w:tab/>
        <w:t>Применяются также следующие дополнительные условия:</w:t>
      </w:r>
    </w:p>
    <w:p w14:paraId="396A0B56" w14:textId="77777777" w:rsidR="00513B12" w:rsidRPr="006C3FE4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 xml:space="preserve">В первом ряду после водородной установки запрещается размещать контейнеры с </w:t>
      </w:r>
      <w:r w:rsidRPr="004F18D6">
        <w:rPr>
          <w:rFonts w:asciiTheme="majorBidi" w:hAnsiTheme="majorBidi" w:cstheme="majorBidi"/>
          <w:color w:val="0070C0"/>
          <w:lang w:val="en-GB" w:eastAsia="fr-FR"/>
        </w:rPr>
        <w:t xml:space="preserve">[опасными грузами, разрешенными Правилами, прилагаемыми к ВОПОГ,] </w:t>
      </w:r>
      <w:r w:rsidRPr="00AE6427">
        <w:rPr>
          <w:rFonts w:asciiTheme="majorBidi" w:hAnsiTheme="majorBidi" w:cstheme="majorBidi"/>
          <w:color w:val="0070C0"/>
          <w:lang w:val="en-GB" w:eastAsia="fr-FR"/>
        </w:rPr>
        <w:t>[грузами ВОПОГ]</w:t>
      </w:r>
      <w:r>
        <w:t xml:space="preserve"> и рефрижераторные контейнеры.</w:t>
      </w:r>
    </w:p>
    <w:p w14:paraId="3441BCC2" w14:textId="19F2D800" w:rsidR="00513B12" w:rsidRPr="006C3FE4" w:rsidRDefault="00513B12" w:rsidP="00513B12">
      <w:pPr>
        <w:pStyle w:val="SingleTxtG"/>
      </w:pPr>
      <w:r>
        <w:t>4.</w:t>
      </w:r>
      <w:r>
        <w:tab/>
        <w:t>Вся информация об использовании системы топливных элементов должна собираться судовладельцем и храниться не менее пяти лет. Эта информация по запросу направля</w:t>
      </w:r>
      <w:r w:rsidR="005513A2">
        <w:t>е</w:t>
      </w:r>
      <w:r>
        <w:t>тся в соответствующий компетентный орган.</w:t>
      </w:r>
    </w:p>
    <w:p w14:paraId="58F32223" w14:textId="19166A7E" w:rsidR="00513B12" w:rsidRPr="006C3FE4" w:rsidRDefault="00513B12" w:rsidP="00513B12">
      <w:pPr>
        <w:pStyle w:val="SingleTxtG"/>
      </w:pPr>
      <w:r>
        <w:t>5.</w:t>
      </w:r>
      <w:r>
        <w:tab/>
        <w:t>Судовладелец представляет отчет об оценке в компетентный орган</w:t>
      </w:r>
      <w:r w:rsidR="001F51BC">
        <w:br/>
      </w:r>
      <w:r w:rsidRPr="00795D04">
        <w:rPr>
          <w:rFonts w:asciiTheme="majorBidi" w:hAnsiTheme="majorBidi" w:cstheme="majorBidi"/>
          <w:color w:val="0070C0"/>
          <w:lang w:val="en-GB" w:eastAsia="fr-FR"/>
        </w:rPr>
        <w:t>[и в секретариат ЕЭК ООН для информирования Административного комитета]</w:t>
      </w:r>
      <w:r>
        <w:t xml:space="preserve"> в следующие сроки:</w:t>
      </w:r>
    </w:p>
    <w:p w14:paraId="02717362" w14:textId="77777777" w:rsidR="00513B12" w:rsidRPr="006C3FE4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ab/>
        <w:t>через 6 месяцев после ввода судна в эксплуатацию;</w:t>
      </w:r>
    </w:p>
    <w:p w14:paraId="556421D6" w14:textId="77777777" w:rsidR="00513B12" w:rsidRPr="006C3FE4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 xml:space="preserve"> через 2,5 года после вынесения данной рекомендации;</w:t>
      </w:r>
    </w:p>
    <w:p w14:paraId="7D72E12A" w14:textId="77777777" w:rsidR="00513B12" w:rsidRPr="006C3FE4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ab/>
        <w:t>через 5 лет после вынесения данной рекомендации.</w:t>
      </w:r>
    </w:p>
    <w:p w14:paraId="3B34F19C" w14:textId="77777777" w:rsidR="00513B12" w:rsidRPr="006C3FE4" w:rsidRDefault="00513B12" w:rsidP="00513B12">
      <w:pPr>
        <w:pStyle w:val="SingleTxtG"/>
      </w:pPr>
      <w:r>
        <w:t>6.</w:t>
      </w:r>
      <w:r>
        <w:tab/>
        <w:t>Эти отчеты об оценке должны содержать по крайней мере следующую информацию:</w:t>
      </w:r>
    </w:p>
    <w:p w14:paraId="7925B021" w14:textId="77777777" w:rsidR="00513B12" w:rsidRPr="006C3FE4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>случаи отказа и повреждения системы топливных элементов;</w:t>
      </w:r>
    </w:p>
    <w:p w14:paraId="35E2E69D" w14:textId="77777777" w:rsidR="00513B12" w:rsidRDefault="00513B12" w:rsidP="00513B12">
      <w:pPr>
        <w:pStyle w:val="Bullet1G"/>
        <w:numPr>
          <w:ilvl w:val="0"/>
          <w:numId w:val="22"/>
        </w:numPr>
        <w:suppressAutoHyphens w:val="0"/>
      </w:pPr>
      <w:r w:rsidRPr="00433AB4">
        <w:t xml:space="preserve">случаи </w:t>
      </w:r>
      <w:r>
        <w:t>у</w:t>
      </w:r>
      <w:r w:rsidRPr="00433AB4">
        <w:t>течки;</w:t>
      </w:r>
    </w:p>
    <w:p w14:paraId="5CB5DBFE" w14:textId="77777777" w:rsidR="00513B12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>информацию о бункеровке;</w:t>
      </w:r>
    </w:p>
    <w:p w14:paraId="47C579A3" w14:textId="77777777" w:rsidR="00513B12" w:rsidRPr="006C3FE4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>информацию о ремонте и переоснащении системы топливных элементов;</w:t>
      </w:r>
    </w:p>
    <w:p w14:paraId="7DD83E4C" w14:textId="77777777" w:rsidR="00513B12" w:rsidRPr="008B6D96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>эксплуатационные данные;</w:t>
      </w:r>
    </w:p>
    <w:p w14:paraId="6BDAF2E0" w14:textId="77777777" w:rsidR="00513B12" w:rsidRPr="008B6D96" w:rsidRDefault="00513B12" w:rsidP="00513B12">
      <w:pPr>
        <w:pStyle w:val="Bullet1G"/>
        <w:numPr>
          <w:ilvl w:val="0"/>
          <w:numId w:val="22"/>
        </w:numPr>
        <w:suppressAutoHyphens w:val="0"/>
      </w:pPr>
      <w:r>
        <w:t>информацию об инцидентах.</w:t>
      </w:r>
    </w:p>
    <w:p w14:paraId="49A47296" w14:textId="77777777" w:rsidR="00513B12" w:rsidRPr="009B65DF" w:rsidRDefault="00513B12" w:rsidP="00513B1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8C1ECB" w14:textId="77777777" w:rsidR="00E12C5F" w:rsidRPr="008D53B6" w:rsidRDefault="00E12C5F" w:rsidP="00D9145B"/>
    <w:sectPr w:rsidR="00E12C5F" w:rsidRPr="008D53B6" w:rsidSect="0064367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85DD" w14:textId="77777777" w:rsidR="00EF55EC" w:rsidRPr="00A312BC" w:rsidRDefault="00EF55EC" w:rsidP="00A312BC"/>
  </w:endnote>
  <w:endnote w:type="continuationSeparator" w:id="0">
    <w:p w14:paraId="369F391E" w14:textId="77777777" w:rsidR="00EF55EC" w:rsidRPr="00A312BC" w:rsidRDefault="00EF55E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DE4D" w14:textId="20276960" w:rsidR="0064367B" w:rsidRPr="0064367B" w:rsidRDefault="0064367B">
    <w:pPr>
      <w:pStyle w:val="a8"/>
    </w:pPr>
    <w:r w:rsidRPr="0064367B">
      <w:rPr>
        <w:b/>
        <w:sz w:val="18"/>
      </w:rPr>
      <w:fldChar w:fldCharType="begin"/>
    </w:r>
    <w:r w:rsidRPr="0064367B">
      <w:rPr>
        <w:b/>
        <w:sz w:val="18"/>
      </w:rPr>
      <w:instrText xml:space="preserve"> PAGE  \* MERGEFORMAT </w:instrText>
    </w:r>
    <w:r w:rsidRPr="0064367B">
      <w:rPr>
        <w:b/>
        <w:sz w:val="18"/>
      </w:rPr>
      <w:fldChar w:fldCharType="separate"/>
    </w:r>
    <w:r w:rsidRPr="0064367B">
      <w:rPr>
        <w:b/>
        <w:noProof/>
        <w:sz w:val="18"/>
      </w:rPr>
      <w:t>2</w:t>
    </w:r>
    <w:r w:rsidRPr="0064367B">
      <w:rPr>
        <w:b/>
        <w:sz w:val="18"/>
      </w:rPr>
      <w:fldChar w:fldCharType="end"/>
    </w:r>
    <w:r>
      <w:rPr>
        <w:b/>
        <w:sz w:val="18"/>
      </w:rPr>
      <w:tab/>
    </w:r>
    <w:r>
      <w:t>GE.23-22140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FD17" w14:textId="31B053DF" w:rsidR="0064367B" w:rsidRPr="0064367B" w:rsidRDefault="0064367B" w:rsidP="0064367B">
    <w:pPr>
      <w:pStyle w:val="a8"/>
      <w:tabs>
        <w:tab w:val="clear" w:pos="9639"/>
        <w:tab w:val="right" w:pos="9638"/>
      </w:tabs>
      <w:rPr>
        <w:b/>
        <w:sz w:val="18"/>
      </w:rPr>
    </w:pPr>
    <w:r>
      <w:t>GE.23-22140</w:t>
    </w:r>
    <w:r>
      <w:tab/>
    </w:r>
    <w:r w:rsidRPr="0064367B">
      <w:rPr>
        <w:b/>
        <w:sz w:val="18"/>
      </w:rPr>
      <w:fldChar w:fldCharType="begin"/>
    </w:r>
    <w:r w:rsidRPr="0064367B">
      <w:rPr>
        <w:b/>
        <w:sz w:val="18"/>
      </w:rPr>
      <w:instrText xml:space="preserve"> PAGE  \* MERGEFORMAT </w:instrText>
    </w:r>
    <w:r w:rsidRPr="0064367B">
      <w:rPr>
        <w:b/>
        <w:sz w:val="18"/>
      </w:rPr>
      <w:fldChar w:fldCharType="separate"/>
    </w:r>
    <w:r w:rsidRPr="0064367B">
      <w:rPr>
        <w:b/>
        <w:noProof/>
        <w:sz w:val="18"/>
      </w:rPr>
      <w:t>3</w:t>
    </w:r>
    <w:r w:rsidRPr="0064367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E79E" w14:textId="653863CF" w:rsidR="00042B72" w:rsidRPr="005C2B3C" w:rsidRDefault="0064367B" w:rsidP="0064367B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8283715" wp14:editId="6DECA6D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</w:t>
    </w:r>
    <w:proofErr w:type="gramStart"/>
    <w:r>
      <w:t>22140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20AC3EE" wp14:editId="13E8ACC6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B3C">
      <w:rPr>
        <w:lang w:val="en-US"/>
      </w:rPr>
      <w:t xml:space="preserve">  0112</w:t>
    </w:r>
    <w:r w:rsidR="00EC3B97">
      <w:rPr>
        <w:lang w:val="en-US"/>
      </w:rPr>
      <w:t>23  041223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890E" w14:textId="77777777" w:rsidR="00EF55EC" w:rsidRPr="001075E9" w:rsidRDefault="00EF55E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1A40FF1" w14:textId="77777777" w:rsidR="00EF55EC" w:rsidRDefault="00EF55E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4CCBE08" w14:textId="77777777" w:rsidR="00513B12" w:rsidRPr="006C3FE4" w:rsidRDefault="00513B12" w:rsidP="00513B12">
      <w:pPr>
        <w:pStyle w:val="ad"/>
        <w:rPr>
          <w:szCs w:val="18"/>
        </w:rPr>
      </w:pPr>
      <w:r>
        <w:tab/>
      </w:r>
      <w:r w:rsidRPr="00A776C9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CCNR-ZKR/ADN/WP.15/AC.2/2024/33.</w:t>
      </w:r>
    </w:p>
  </w:footnote>
  <w:footnote w:id="2">
    <w:p w14:paraId="7DA31511" w14:textId="77777777" w:rsidR="00513B12" w:rsidRPr="000B44AC" w:rsidRDefault="00513B12" w:rsidP="00513B12">
      <w:pPr>
        <w:pStyle w:val="ad"/>
        <w:rPr>
          <w:szCs w:val="18"/>
        </w:rPr>
      </w:pPr>
      <w:r>
        <w:tab/>
      </w:r>
      <w:r w:rsidRPr="00A776C9">
        <w:rPr>
          <w:sz w:val="20"/>
        </w:rPr>
        <w:t>**</w:t>
      </w:r>
      <w:r>
        <w:tab/>
        <w:t>A/78/6 (разд. 20), таблица 20.5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AB82" w14:textId="115C2BB4" w:rsidR="0064367B" w:rsidRPr="0064367B" w:rsidRDefault="0064367B">
    <w:pPr>
      <w:pStyle w:val="a5"/>
    </w:pPr>
    <w:fldSimple w:instr=" TITLE  \* MERGEFORMAT ">
      <w:r w:rsidR="00BB77C7">
        <w:t>ECE/TRANS/WP.15/AC.2/2024/33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4221" w14:textId="1F1F6B1B" w:rsidR="0064367B" w:rsidRPr="0064367B" w:rsidRDefault="0064367B" w:rsidP="0064367B">
    <w:pPr>
      <w:pStyle w:val="a5"/>
      <w:jc w:val="right"/>
    </w:pPr>
    <w:fldSimple w:instr=" TITLE  \* MERGEFORMAT ">
      <w:r w:rsidR="00BB77C7">
        <w:t>ECE/TRANS/WP.15/AC.2/2024/33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8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9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7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7"/>
  </w:num>
  <w:num w:numId="20" w16cid:durableId="807743971">
    <w:abstractNumId w:val="13"/>
  </w:num>
  <w:num w:numId="21" w16cid:durableId="1591162185">
    <w:abstractNumId w:val="15"/>
  </w:num>
  <w:num w:numId="22" w16cid:durableId="1636717867">
    <w:abstractNumId w:val="16"/>
  </w:num>
  <w:num w:numId="23" w16cid:durableId="74049285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EC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A5C3F"/>
    <w:rsid w:val="001B3EF6"/>
    <w:rsid w:val="001C7A89"/>
    <w:rsid w:val="001F51BC"/>
    <w:rsid w:val="002140B8"/>
    <w:rsid w:val="00255343"/>
    <w:rsid w:val="0027151D"/>
    <w:rsid w:val="002A2EFC"/>
    <w:rsid w:val="002B0106"/>
    <w:rsid w:val="002B74B1"/>
    <w:rsid w:val="002C0E18"/>
    <w:rsid w:val="002D3759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31C01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F18D6"/>
    <w:rsid w:val="0050108D"/>
    <w:rsid w:val="00513081"/>
    <w:rsid w:val="00513B12"/>
    <w:rsid w:val="00517901"/>
    <w:rsid w:val="00526683"/>
    <w:rsid w:val="00526DB8"/>
    <w:rsid w:val="005345F8"/>
    <w:rsid w:val="005513A2"/>
    <w:rsid w:val="00562037"/>
    <w:rsid w:val="005639C1"/>
    <w:rsid w:val="005709E0"/>
    <w:rsid w:val="00572E19"/>
    <w:rsid w:val="005961C8"/>
    <w:rsid w:val="005966F1"/>
    <w:rsid w:val="005C2B3C"/>
    <w:rsid w:val="005D7914"/>
    <w:rsid w:val="005E2B41"/>
    <w:rsid w:val="005F0B42"/>
    <w:rsid w:val="00617A43"/>
    <w:rsid w:val="006345DB"/>
    <w:rsid w:val="00640F49"/>
    <w:rsid w:val="0064367B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70AC9"/>
    <w:rsid w:val="00792497"/>
    <w:rsid w:val="00795D04"/>
    <w:rsid w:val="007E4086"/>
    <w:rsid w:val="00806737"/>
    <w:rsid w:val="00825F8D"/>
    <w:rsid w:val="00834B71"/>
    <w:rsid w:val="0086445C"/>
    <w:rsid w:val="00894693"/>
    <w:rsid w:val="008A08D7"/>
    <w:rsid w:val="008A37C8"/>
    <w:rsid w:val="008B6909"/>
    <w:rsid w:val="008D079E"/>
    <w:rsid w:val="008D2B42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21192"/>
    <w:rsid w:val="00A312BC"/>
    <w:rsid w:val="00A776C9"/>
    <w:rsid w:val="00A84021"/>
    <w:rsid w:val="00A84D35"/>
    <w:rsid w:val="00A917B3"/>
    <w:rsid w:val="00AB4B51"/>
    <w:rsid w:val="00AE6427"/>
    <w:rsid w:val="00B10CC7"/>
    <w:rsid w:val="00B137D0"/>
    <w:rsid w:val="00B36DF7"/>
    <w:rsid w:val="00B539E7"/>
    <w:rsid w:val="00B62458"/>
    <w:rsid w:val="00BB77C7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0A85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353"/>
    <w:rsid w:val="00EA2C9F"/>
    <w:rsid w:val="00EA420E"/>
    <w:rsid w:val="00EC3B97"/>
    <w:rsid w:val="00ED0BDA"/>
    <w:rsid w:val="00EE142A"/>
    <w:rsid w:val="00EF1360"/>
    <w:rsid w:val="00EF3220"/>
    <w:rsid w:val="00EF55EC"/>
    <w:rsid w:val="00F01E49"/>
    <w:rsid w:val="00F2523A"/>
    <w:rsid w:val="00F43903"/>
    <w:rsid w:val="00F73C9D"/>
    <w:rsid w:val="00F94155"/>
    <w:rsid w:val="00F9783F"/>
    <w:rsid w:val="00FD2EF7"/>
    <w:rsid w:val="00FE447E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4194"/>
  <w15:docId w15:val="{487F3332-3B4A-448B-9E21-2AB05AC8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513B12"/>
    <w:rPr>
      <w:lang w:val="ru-RU" w:eastAsia="en-US"/>
    </w:rPr>
  </w:style>
  <w:style w:type="paragraph" w:customStyle="1" w:styleId="ParNoG">
    <w:name w:val="_ParNo_G"/>
    <w:basedOn w:val="a"/>
    <w:qFormat/>
    <w:rsid w:val="00513B12"/>
    <w:pPr>
      <w:numPr>
        <w:numId w:val="23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3ECA8-499B-4C02-A526-3C1D08B3B70F}"/>
</file>

<file path=customXml/itemProps2.xml><?xml version="1.0" encoding="utf-8"?>
<ds:datastoreItem xmlns:ds="http://schemas.openxmlformats.org/officeDocument/2006/customXml" ds:itemID="{1B89BA17-098C-4718-8604-A94F68DAE68C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4</Pages>
  <Words>943</Words>
  <Characters>6763</Characters>
  <Application>Microsoft Office Word</Application>
  <DocSecurity>0</DocSecurity>
  <Lines>110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ECE/TRANS/WP.15/AC.2/2024/33</vt:lpstr>
      <vt:lpstr>A/</vt:lpstr>
      <vt:lpstr>A/</vt:lpstr>
    </vt:vector>
  </TitlesOfParts>
  <Company>DCM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ECE/TRANS/WP.15/AC.2/2024/33</dc:title>
  <dc:subject/>
  <dc:creator>Uliana ANTIPOVA</dc:creator>
  <cp:keywords/>
  <cp:lastModifiedBy>Uliana Antipova</cp:lastModifiedBy>
  <cp:revision>3</cp:revision>
  <cp:lastPrinted>2023-12-04T08:14:00Z</cp:lastPrinted>
  <dcterms:created xsi:type="dcterms:W3CDTF">2023-12-04T08:14:00Z</dcterms:created>
  <dcterms:modified xsi:type="dcterms:W3CDTF">2023-12-04T08:15:00Z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