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50B45ED9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3281BAE6" w14:textId="77777777" w:rsidR="00F35BAF" w:rsidRPr="00DB58B5" w:rsidRDefault="00F35BAF" w:rsidP="00A87CA6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5EBE86A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364002B3" w14:textId="044680AC" w:rsidR="00F35BAF" w:rsidRPr="00DB58B5" w:rsidRDefault="00A87CA6" w:rsidP="00A87CA6">
            <w:pPr>
              <w:jc w:val="right"/>
            </w:pPr>
            <w:r w:rsidRPr="00A87CA6">
              <w:rPr>
                <w:sz w:val="40"/>
              </w:rPr>
              <w:t>ECE</w:t>
            </w:r>
            <w:r>
              <w:t>/TRANS/WP.15/AC.2/2024/28</w:t>
            </w:r>
          </w:p>
        </w:tc>
      </w:tr>
      <w:tr w:rsidR="00F35BAF" w:rsidRPr="00DB58B5" w14:paraId="6E859774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2A79229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4AEB2390" wp14:editId="39C03869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19EF4E0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0FBFC5F" w14:textId="77777777" w:rsidR="00F35BAF" w:rsidRDefault="00A87CA6" w:rsidP="00C97039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32F4444C" w14:textId="77777777" w:rsidR="00A87CA6" w:rsidRDefault="00A87CA6" w:rsidP="00A87CA6">
            <w:pPr>
              <w:spacing w:line="240" w:lineRule="exact"/>
            </w:pPr>
            <w:r>
              <w:t>10 novembre 2023</w:t>
            </w:r>
          </w:p>
          <w:p w14:paraId="2CAF59DC" w14:textId="77777777" w:rsidR="00A87CA6" w:rsidRDefault="00A87CA6" w:rsidP="00A87CA6">
            <w:pPr>
              <w:spacing w:line="240" w:lineRule="exact"/>
            </w:pPr>
            <w:r>
              <w:t>Français</w:t>
            </w:r>
          </w:p>
          <w:p w14:paraId="2A25283E" w14:textId="37EF2741" w:rsidR="00A87CA6" w:rsidRPr="00DB58B5" w:rsidRDefault="00A87CA6" w:rsidP="00A87CA6">
            <w:pPr>
              <w:spacing w:line="240" w:lineRule="exact"/>
            </w:pPr>
            <w:r>
              <w:t>Original : anglais</w:t>
            </w:r>
          </w:p>
        </w:tc>
      </w:tr>
    </w:tbl>
    <w:p w14:paraId="1610418B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08AF237A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3FE6A805" w14:textId="77777777" w:rsidR="00A87CA6" w:rsidRPr="009E01B8" w:rsidRDefault="00A87CA6" w:rsidP="00A87CA6">
      <w:pPr>
        <w:spacing w:before="120"/>
        <w:rPr>
          <w:b/>
          <w:sz w:val="24"/>
          <w:szCs w:val="24"/>
        </w:rPr>
      </w:pPr>
      <w:r w:rsidRPr="009E01B8">
        <w:rPr>
          <w:b/>
          <w:sz w:val="24"/>
          <w:szCs w:val="24"/>
        </w:rPr>
        <w:t xml:space="preserve">Groupe de travail des transports </w:t>
      </w:r>
      <w:r>
        <w:rPr>
          <w:b/>
          <w:sz w:val="24"/>
          <w:szCs w:val="24"/>
        </w:rPr>
        <w:br/>
      </w:r>
      <w:r w:rsidRPr="009E01B8">
        <w:rPr>
          <w:b/>
          <w:sz w:val="24"/>
          <w:szCs w:val="24"/>
        </w:rPr>
        <w:t>de marchandises dangereuses</w:t>
      </w:r>
    </w:p>
    <w:p w14:paraId="0EC8A242" w14:textId="77777777" w:rsidR="00A87CA6" w:rsidRPr="00926E87" w:rsidRDefault="00A87CA6" w:rsidP="00A87CA6">
      <w:pPr>
        <w:spacing w:before="120"/>
        <w:rPr>
          <w:b/>
        </w:rPr>
      </w:pPr>
      <w:r w:rsidRPr="004D3006">
        <w:rPr>
          <w:b/>
          <w:bCs/>
          <w:lang w:val="fr-FR"/>
        </w:rPr>
        <w:t>Réunion commune d</w:t>
      </w:r>
      <w:r>
        <w:rPr>
          <w:b/>
          <w:bCs/>
          <w:lang w:val="fr-FR"/>
        </w:rPr>
        <w:t>’</w:t>
      </w:r>
      <w:r w:rsidRPr="004D3006">
        <w:rPr>
          <w:b/>
          <w:bCs/>
          <w:lang w:val="fr-FR"/>
        </w:rPr>
        <w:t xml:space="preserve">experts du Règlement annexé </w:t>
      </w:r>
      <w:r>
        <w:rPr>
          <w:b/>
          <w:bCs/>
          <w:lang w:val="fr-FR"/>
        </w:rPr>
        <w:br/>
      </w:r>
      <w:r w:rsidRPr="004D3006">
        <w:rPr>
          <w:b/>
          <w:bCs/>
          <w:lang w:val="fr-FR"/>
        </w:rPr>
        <w:t>à l</w:t>
      </w:r>
      <w:r>
        <w:rPr>
          <w:b/>
          <w:bCs/>
          <w:lang w:val="fr-FR"/>
        </w:rPr>
        <w:t>’</w:t>
      </w:r>
      <w:r w:rsidRPr="004D3006">
        <w:rPr>
          <w:b/>
          <w:bCs/>
          <w:lang w:val="fr-FR"/>
        </w:rPr>
        <w:t xml:space="preserve">Accord européen relatif au transport international </w:t>
      </w:r>
      <w:r>
        <w:rPr>
          <w:b/>
          <w:bCs/>
          <w:lang w:val="fr-FR"/>
        </w:rPr>
        <w:br/>
      </w:r>
      <w:r w:rsidRPr="004D3006">
        <w:rPr>
          <w:b/>
          <w:bCs/>
          <w:lang w:val="fr-FR"/>
        </w:rPr>
        <w:t>des marchandises dangereuses par voies de navigation</w:t>
      </w:r>
      <w:r>
        <w:rPr>
          <w:b/>
          <w:bCs/>
          <w:lang w:val="fr-FR"/>
        </w:rPr>
        <w:br/>
      </w:r>
      <w:r w:rsidRPr="004D3006">
        <w:rPr>
          <w:b/>
          <w:bCs/>
          <w:lang w:val="fr-FR"/>
        </w:rPr>
        <w:t>intérieures (ADN) (Comité de sécurité de l</w:t>
      </w:r>
      <w:r>
        <w:rPr>
          <w:b/>
          <w:bCs/>
          <w:lang w:val="fr-FR"/>
        </w:rPr>
        <w:t>’</w:t>
      </w:r>
      <w:r w:rsidRPr="004D3006">
        <w:rPr>
          <w:b/>
          <w:bCs/>
          <w:lang w:val="fr-FR"/>
        </w:rPr>
        <w:t>ADN)</w:t>
      </w:r>
    </w:p>
    <w:p w14:paraId="42057AAB" w14:textId="77777777" w:rsidR="00A87CA6" w:rsidRPr="004D3006" w:rsidRDefault="00A87CA6" w:rsidP="00A87CA6">
      <w:pPr>
        <w:spacing w:before="120"/>
        <w:rPr>
          <w:b/>
          <w:lang w:val="fr-FR"/>
        </w:rPr>
      </w:pPr>
      <w:r w:rsidRPr="004D3006">
        <w:rPr>
          <w:b/>
          <w:bCs/>
          <w:lang w:val="fr-FR"/>
        </w:rPr>
        <w:t>Quarante-</w:t>
      </w:r>
      <w:r>
        <w:rPr>
          <w:b/>
          <w:bCs/>
          <w:lang w:val="fr-FR"/>
        </w:rPr>
        <w:t>troisième</w:t>
      </w:r>
      <w:r w:rsidRPr="004D3006">
        <w:rPr>
          <w:b/>
          <w:bCs/>
          <w:lang w:val="fr-FR"/>
        </w:rPr>
        <w:t xml:space="preserve"> session</w:t>
      </w:r>
    </w:p>
    <w:p w14:paraId="673FD0E7" w14:textId="77777777" w:rsidR="00A87CA6" w:rsidRPr="004D3006" w:rsidRDefault="00A87CA6" w:rsidP="00A87CA6">
      <w:pPr>
        <w:rPr>
          <w:lang w:val="fr-FR"/>
        </w:rPr>
      </w:pPr>
      <w:r w:rsidRPr="004D3006">
        <w:rPr>
          <w:lang w:val="fr-FR"/>
        </w:rPr>
        <w:t xml:space="preserve">Genève, </w:t>
      </w:r>
      <w:r>
        <w:rPr>
          <w:lang w:val="fr-FR"/>
        </w:rPr>
        <w:t>22-26 janvier 2024</w:t>
      </w:r>
    </w:p>
    <w:p w14:paraId="163E2582" w14:textId="77777777" w:rsidR="00A87CA6" w:rsidRDefault="00A87CA6" w:rsidP="00A87CA6">
      <w:pPr>
        <w:rPr>
          <w:lang w:val="fr-FR"/>
        </w:rPr>
      </w:pPr>
      <w:r w:rsidRPr="004D3006">
        <w:rPr>
          <w:lang w:val="fr-FR"/>
        </w:rPr>
        <w:t xml:space="preserve">Point </w:t>
      </w:r>
      <w:r>
        <w:rPr>
          <w:lang w:val="fr-FR"/>
        </w:rPr>
        <w:t>5 </w:t>
      </w:r>
      <w:r w:rsidRPr="004D3006">
        <w:rPr>
          <w:lang w:val="fr-FR"/>
        </w:rPr>
        <w:t>b) de l</w:t>
      </w:r>
      <w:r>
        <w:rPr>
          <w:lang w:val="fr-FR"/>
        </w:rPr>
        <w:t>’</w:t>
      </w:r>
      <w:r w:rsidRPr="004D3006">
        <w:rPr>
          <w:lang w:val="fr-FR"/>
        </w:rPr>
        <w:t>ordre du jour provisoire</w:t>
      </w:r>
    </w:p>
    <w:p w14:paraId="69319BCE" w14:textId="77777777" w:rsidR="00A87CA6" w:rsidRPr="004D3006" w:rsidRDefault="00A87CA6" w:rsidP="00A87CA6">
      <w:pPr>
        <w:rPr>
          <w:b/>
          <w:bCs/>
          <w:lang w:val="fr-FR"/>
        </w:rPr>
      </w:pPr>
      <w:r w:rsidRPr="004D3006">
        <w:rPr>
          <w:b/>
          <w:bCs/>
          <w:lang w:val="fr-FR"/>
        </w:rPr>
        <w:t>Propositions d</w:t>
      </w:r>
      <w:r>
        <w:rPr>
          <w:b/>
          <w:bCs/>
          <w:lang w:val="fr-FR"/>
        </w:rPr>
        <w:t>’</w:t>
      </w:r>
      <w:r w:rsidRPr="004D3006">
        <w:rPr>
          <w:b/>
          <w:bCs/>
          <w:lang w:val="fr-FR"/>
        </w:rPr>
        <w:t>amendements au Règlement annexé à l</w:t>
      </w:r>
      <w:r>
        <w:rPr>
          <w:b/>
          <w:bCs/>
          <w:lang w:val="fr-FR"/>
        </w:rPr>
        <w:t>’</w:t>
      </w:r>
      <w:r w:rsidRPr="004D3006">
        <w:rPr>
          <w:b/>
          <w:bCs/>
          <w:lang w:val="fr-FR"/>
        </w:rPr>
        <w:t>ADN</w:t>
      </w:r>
      <w:r>
        <w:rPr>
          <w:b/>
          <w:bCs/>
          <w:lang w:val="fr-FR"/>
        </w:rPr>
        <w:t> :</w:t>
      </w:r>
    </w:p>
    <w:p w14:paraId="2F3314CA" w14:textId="77777777" w:rsidR="00A87CA6" w:rsidRPr="004D3006" w:rsidRDefault="00A87CA6" w:rsidP="00A87CA6">
      <w:pPr>
        <w:rPr>
          <w:b/>
          <w:bCs/>
          <w:lang w:val="fr-FR"/>
        </w:rPr>
      </w:pPr>
      <w:r>
        <w:rPr>
          <w:b/>
          <w:bCs/>
          <w:lang w:val="fr-FR"/>
        </w:rPr>
        <w:t>A</w:t>
      </w:r>
      <w:r w:rsidRPr="004D3006">
        <w:rPr>
          <w:b/>
          <w:bCs/>
          <w:lang w:val="fr-FR"/>
        </w:rPr>
        <w:t>utres propositions</w:t>
      </w:r>
    </w:p>
    <w:p w14:paraId="55B152E3" w14:textId="77777777" w:rsidR="00A87CA6" w:rsidRPr="004D3006" w:rsidRDefault="00A87CA6" w:rsidP="00A87CA6">
      <w:pPr>
        <w:pStyle w:val="HChG"/>
        <w:rPr>
          <w:lang w:val="fr-FR"/>
        </w:rPr>
      </w:pPr>
      <w:r w:rsidRPr="004D3006">
        <w:rPr>
          <w:lang w:val="fr-FR"/>
        </w:rPr>
        <w:tab/>
      </w:r>
      <w:r w:rsidRPr="004D3006">
        <w:rPr>
          <w:lang w:val="fr-FR"/>
        </w:rPr>
        <w:tab/>
        <w:t>Contenance maximale des échantillons de cargaison autorisée</w:t>
      </w:r>
      <w:r w:rsidRPr="00434C98">
        <w:rPr>
          <w:lang w:val="fr-FR"/>
        </w:rPr>
        <w:t xml:space="preserve"> </w:t>
      </w:r>
      <w:r>
        <w:rPr>
          <w:lang w:val="fr-FR"/>
        </w:rPr>
        <w:t>par récipient</w:t>
      </w:r>
      <w:r w:rsidRPr="004D3006">
        <w:rPr>
          <w:lang w:val="fr-FR"/>
        </w:rPr>
        <w:t xml:space="preserve"> à bord des « bateaux avitailleurs ou d</w:t>
      </w:r>
      <w:r>
        <w:rPr>
          <w:lang w:val="fr-FR"/>
        </w:rPr>
        <w:t>’</w:t>
      </w:r>
      <w:r w:rsidRPr="004D3006">
        <w:rPr>
          <w:lang w:val="fr-FR"/>
        </w:rPr>
        <w:t>autres bateaux livrant des produits</w:t>
      </w:r>
      <w:r>
        <w:rPr>
          <w:lang w:val="fr-FR"/>
        </w:rPr>
        <w:t xml:space="preserve"> </w:t>
      </w:r>
      <w:r w:rsidRPr="004D3006">
        <w:rPr>
          <w:lang w:val="fr-FR"/>
        </w:rPr>
        <w:t>pour l</w:t>
      </w:r>
      <w:r>
        <w:rPr>
          <w:lang w:val="fr-FR"/>
        </w:rPr>
        <w:t>’</w:t>
      </w:r>
      <w:r w:rsidRPr="004D3006">
        <w:rPr>
          <w:lang w:val="fr-FR"/>
        </w:rPr>
        <w:t xml:space="preserve">exploitation </w:t>
      </w:r>
      <w:r>
        <w:rPr>
          <w:lang w:val="fr-FR"/>
        </w:rPr>
        <w:br/>
      </w:r>
      <w:r w:rsidRPr="004D3006">
        <w:rPr>
          <w:lang w:val="fr-FR"/>
        </w:rPr>
        <w:t>des bateaux » (</w:t>
      </w:r>
      <w:r>
        <w:rPr>
          <w:lang w:val="fr-FR"/>
        </w:rPr>
        <w:t>visés</w:t>
      </w:r>
      <w:r w:rsidRPr="004D3006">
        <w:rPr>
          <w:lang w:val="fr-FR"/>
        </w:rPr>
        <w:t xml:space="preserve"> au 7.2.4.1.3 et au 7.2.4.1.4 de l</w:t>
      </w:r>
      <w:r>
        <w:rPr>
          <w:lang w:val="fr-FR"/>
        </w:rPr>
        <w:t>’</w:t>
      </w:r>
      <w:r w:rsidRPr="004D3006">
        <w:rPr>
          <w:lang w:val="fr-FR"/>
        </w:rPr>
        <w:t>ADN)</w:t>
      </w:r>
    </w:p>
    <w:p w14:paraId="0EC5AF93" w14:textId="77777777" w:rsidR="00A87CA6" w:rsidRDefault="00A87CA6" w:rsidP="00A87CA6">
      <w:pPr>
        <w:pStyle w:val="H1G"/>
        <w:rPr>
          <w:lang w:val="fr-FR"/>
        </w:rPr>
      </w:pPr>
      <w:r w:rsidRPr="004D3006">
        <w:rPr>
          <w:lang w:val="fr-FR"/>
        </w:rPr>
        <w:tab/>
      </w:r>
      <w:r w:rsidRPr="004D3006">
        <w:rPr>
          <w:lang w:val="fr-FR"/>
        </w:rPr>
        <w:tab/>
        <w:t>Communication de l</w:t>
      </w:r>
      <w:r>
        <w:rPr>
          <w:lang w:val="fr-FR"/>
        </w:rPr>
        <w:t>’</w:t>
      </w:r>
      <w:r w:rsidRPr="004D3006">
        <w:rPr>
          <w:lang w:val="fr-FR"/>
        </w:rPr>
        <w:t>Union européenne de la navigation fluviale (UENF) et de l</w:t>
      </w:r>
      <w:r>
        <w:rPr>
          <w:lang w:val="fr-FR"/>
        </w:rPr>
        <w:t>’</w:t>
      </w:r>
      <w:r w:rsidRPr="004D3006">
        <w:rPr>
          <w:lang w:val="fr-FR"/>
        </w:rPr>
        <w:t>Organisation européenne des bateliers (OEB</w:t>
      </w:r>
      <w:r w:rsidRPr="00810E37">
        <w:rPr>
          <w:sz w:val="20"/>
          <w:lang w:val="fr-FR"/>
        </w:rPr>
        <w:t>)</w:t>
      </w:r>
      <w:r w:rsidRPr="00810E37">
        <w:rPr>
          <w:rStyle w:val="Appelnotedebasdep"/>
          <w:b w:val="0"/>
          <w:bCs/>
          <w:sz w:val="20"/>
          <w:vertAlign w:val="baseline"/>
          <w:lang w:val="fr-FR"/>
        </w:rPr>
        <w:footnoteReference w:customMarkFollows="1" w:id="2"/>
        <w:t>*</w:t>
      </w:r>
      <w:r w:rsidRPr="00810E37">
        <w:rPr>
          <w:bCs/>
          <w:sz w:val="20"/>
          <w:vertAlign w:val="superscript"/>
          <w:lang w:val="fr-FR"/>
        </w:rPr>
        <w:t>,</w:t>
      </w:r>
      <w:r w:rsidRPr="00810E37">
        <w:rPr>
          <w:rStyle w:val="Appelnotedebasdep"/>
          <w:b w:val="0"/>
          <w:sz w:val="20"/>
          <w:lang w:val="fr-FR"/>
        </w:rPr>
        <w:t xml:space="preserve"> </w:t>
      </w:r>
      <w:r w:rsidRPr="00810E37">
        <w:rPr>
          <w:rStyle w:val="Appelnotedebasdep"/>
          <w:b w:val="0"/>
          <w:bCs/>
          <w:sz w:val="20"/>
          <w:vertAlign w:val="baseline"/>
          <w:lang w:val="fr-FR"/>
        </w:rPr>
        <w:footnoteReference w:customMarkFollows="1" w:id="3"/>
        <w:t>**</w:t>
      </w:r>
      <w:r w:rsidRPr="004D3006">
        <w:rPr>
          <w:lang w:val="fr-FR"/>
        </w:rPr>
        <w:t xml:space="preserve"> </w:t>
      </w:r>
      <w:bookmarkStart w:id="0" w:name="_Hlk131514861"/>
      <w:bookmarkEnd w:id="0"/>
    </w:p>
    <w:tbl>
      <w:tblPr>
        <w:tblStyle w:val="Grilledutableau"/>
        <w:tblW w:w="0" w:type="auto"/>
        <w:jc w:val="center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9628"/>
      </w:tblGrid>
      <w:tr w:rsidR="00A87CA6" w14:paraId="3D276783" w14:textId="77777777" w:rsidTr="00F16C65">
        <w:trPr>
          <w:jc w:val="center"/>
        </w:trPr>
        <w:tc>
          <w:tcPr>
            <w:tcW w:w="9637" w:type="dxa"/>
            <w:shd w:val="clear" w:color="auto" w:fill="auto"/>
          </w:tcPr>
          <w:p w14:paraId="50ED5D76" w14:textId="77777777" w:rsidR="00A87CA6" w:rsidRDefault="00A87CA6" w:rsidP="00F16C65">
            <w:pPr>
              <w:spacing w:before="240" w:after="120"/>
              <w:ind w:left="255"/>
              <w:rPr>
                <w:i/>
                <w:sz w:val="24"/>
              </w:rPr>
            </w:pPr>
            <w:r>
              <w:rPr>
                <w:i/>
                <w:sz w:val="24"/>
              </w:rPr>
              <w:t>Résumé</w:t>
            </w:r>
          </w:p>
        </w:tc>
      </w:tr>
      <w:tr w:rsidR="00A87CA6" w14:paraId="53B56724" w14:textId="77777777" w:rsidTr="00F16C65">
        <w:trPr>
          <w:jc w:val="center"/>
        </w:trPr>
        <w:tc>
          <w:tcPr>
            <w:tcW w:w="9637" w:type="dxa"/>
            <w:shd w:val="clear" w:color="auto" w:fill="auto"/>
          </w:tcPr>
          <w:p w14:paraId="2BBAD8CB" w14:textId="77777777" w:rsidR="00A87CA6" w:rsidRPr="00BB5813" w:rsidRDefault="00A87CA6" w:rsidP="00F16C65">
            <w:pPr>
              <w:pStyle w:val="SingleTxtG"/>
              <w:spacing w:line="240" w:lineRule="auto"/>
              <w:ind w:left="3392" w:hanging="2268"/>
              <w:jc w:val="left"/>
              <w:rPr>
                <w:lang w:val="fr-FR"/>
              </w:rPr>
            </w:pPr>
            <w:r w:rsidRPr="00BB5813">
              <w:rPr>
                <w:b/>
                <w:bCs/>
                <w:lang w:val="fr-FR"/>
              </w:rPr>
              <w:t>Documents connexes</w:t>
            </w:r>
            <w:r>
              <w:rPr>
                <w:b/>
                <w:bCs/>
                <w:lang w:val="fr-FR"/>
              </w:rPr>
              <w:t> :</w:t>
            </w:r>
            <w:r w:rsidRPr="00BB5813">
              <w:rPr>
                <w:b/>
                <w:bCs/>
                <w:lang w:val="fr-FR"/>
              </w:rPr>
              <w:tab/>
            </w:r>
            <w:r w:rsidRPr="00BB5813">
              <w:rPr>
                <w:b/>
                <w:bCs/>
                <w:lang w:val="fr-FR"/>
              </w:rPr>
              <w:tab/>
            </w:r>
            <w:r w:rsidRPr="00BB5813">
              <w:rPr>
                <w:lang w:val="fr-FR"/>
              </w:rPr>
              <w:t xml:space="preserve">Document ECE/TRANS/WP.15/AC.2/2023/40 </w:t>
            </w:r>
            <w:r>
              <w:rPr>
                <w:lang w:val="fr-FR"/>
              </w:rPr>
              <w:br/>
            </w:r>
            <w:r w:rsidRPr="00BB5813">
              <w:rPr>
                <w:lang w:val="fr-FR"/>
              </w:rPr>
              <w:t>de la quarante-deuxième session</w:t>
            </w:r>
          </w:p>
          <w:p w14:paraId="3A1BB32C" w14:textId="77777777" w:rsidR="00A87CA6" w:rsidRDefault="00A87CA6" w:rsidP="00F16C65">
            <w:pPr>
              <w:pStyle w:val="SingleTxtG"/>
              <w:ind w:left="3402"/>
              <w:jc w:val="left"/>
            </w:pPr>
            <w:r w:rsidRPr="00BB5813">
              <w:rPr>
                <w:lang w:val="fr-FR"/>
              </w:rPr>
              <w:tab/>
            </w:r>
            <w:r w:rsidRPr="00434C98">
              <w:rPr>
                <w:lang w:val="fr-FR"/>
              </w:rPr>
              <w:t xml:space="preserve">Document </w:t>
            </w:r>
            <w:r w:rsidRPr="00BB5813">
              <w:rPr>
                <w:lang w:val="fr-FR"/>
              </w:rPr>
              <w:t>ECE/TRANS/WP.15/AC.2/86</w:t>
            </w:r>
            <w:r>
              <w:rPr>
                <w:lang w:val="fr-FR"/>
              </w:rPr>
              <w:t>,</w:t>
            </w:r>
            <w:r w:rsidRPr="00BB5813">
              <w:rPr>
                <w:lang w:val="fr-FR"/>
              </w:rPr>
              <w:t xml:space="preserve"> par.</w:t>
            </w:r>
            <w:r>
              <w:rPr>
                <w:lang w:val="fr-FR"/>
              </w:rPr>
              <w:t> </w:t>
            </w:r>
            <w:r w:rsidRPr="00BB5813">
              <w:rPr>
                <w:lang w:val="fr-FR"/>
              </w:rPr>
              <w:t xml:space="preserve">53 </w:t>
            </w:r>
            <w:r>
              <w:rPr>
                <w:lang w:val="fr-FR"/>
              </w:rPr>
              <w:br/>
            </w:r>
            <w:r w:rsidRPr="00BB5813">
              <w:rPr>
                <w:lang w:val="fr-FR"/>
              </w:rPr>
              <w:t xml:space="preserve">(rapport de la </w:t>
            </w:r>
            <w:r>
              <w:rPr>
                <w:lang w:val="fr-FR"/>
              </w:rPr>
              <w:tab/>
            </w:r>
            <w:r w:rsidRPr="00BB5813">
              <w:rPr>
                <w:lang w:val="fr-FR"/>
              </w:rPr>
              <w:t>quarante-deuxième session)</w:t>
            </w:r>
          </w:p>
        </w:tc>
      </w:tr>
      <w:tr w:rsidR="00A87CA6" w14:paraId="25079359" w14:textId="77777777" w:rsidTr="00F16C65">
        <w:trPr>
          <w:jc w:val="center"/>
        </w:trPr>
        <w:tc>
          <w:tcPr>
            <w:tcW w:w="9637" w:type="dxa"/>
            <w:shd w:val="clear" w:color="auto" w:fill="auto"/>
          </w:tcPr>
          <w:p w14:paraId="7142A6D8" w14:textId="77777777" w:rsidR="00A87CA6" w:rsidRDefault="00A87CA6" w:rsidP="00F16C65"/>
        </w:tc>
      </w:tr>
    </w:tbl>
    <w:p w14:paraId="2EAC7FF2" w14:textId="77777777" w:rsidR="00A87CA6" w:rsidRPr="004D3006" w:rsidRDefault="00A87CA6" w:rsidP="00A87CA6">
      <w:pPr>
        <w:pStyle w:val="HChG"/>
        <w:rPr>
          <w:lang w:val="fr-FR"/>
        </w:rPr>
      </w:pPr>
      <w:r w:rsidRPr="00434C98">
        <w:rPr>
          <w:lang w:val="fr-FR"/>
        </w:rPr>
        <w:tab/>
      </w:r>
      <w:r w:rsidRPr="00434C98">
        <w:rPr>
          <w:lang w:val="fr-FR"/>
        </w:rPr>
        <w:tab/>
      </w:r>
      <w:r w:rsidRPr="004D3006">
        <w:rPr>
          <w:lang w:val="fr-FR"/>
        </w:rPr>
        <w:t xml:space="preserve">Introduction </w:t>
      </w:r>
    </w:p>
    <w:p w14:paraId="2AB52CC0" w14:textId="77777777" w:rsidR="00A87CA6" w:rsidRPr="004D3006" w:rsidRDefault="00A87CA6" w:rsidP="00A87CA6">
      <w:pPr>
        <w:pStyle w:val="SingleTxtG"/>
        <w:rPr>
          <w:lang w:val="fr-FR"/>
        </w:rPr>
      </w:pPr>
      <w:r w:rsidRPr="004D3006">
        <w:rPr>
          <w:lang w:val="fr-FR"/>
        </w:rPr>
        <w:t>1.</w:t>
      </w:r>
      <w:r w:rsidRPr="004D3006">
        <w:rPr>
          <w:lang w:val="fr-FR"/>
        </w:rPr>
        <w:tab/>
        <w:t>Dans les ports maritimes, de nombreux bateaux de type N</w:t>
      </w:r>
      <w:r>
        <w:rPr>
          <w:lang w:val="fr-FR"/>
        </w:rPr>
        <w:t> </w:t>
      </w:r>
      <w:r w:rsidRPr="004D3006">
        <w:rPr>
          <w:lang w:val="fr-FR"/>
        </w:rPr>
        <w:t>2.3 et de type C</w:t>
      </w:r>
      <w:r>
        <w:rPr>
          <w:lang w:val="fr-FR"/>
        </w:rPr>
        <w:t> </w:t>
      </w:r>
      <w:r w:rsidRPr="004D3006">
        <w:rPr>
          <w:lang w:val="fr-FR"/>
        </w:rPr>
        <w:t>2.2 relevant de l</w:t>
      </w:r>
      <w:r>
        <w:rPr>
          <w:lang w:val="fr-FR"/>
        </w:rPr>
        <w:t>’</w:t>
      </w:r>
      <w:r w:rsidRPr="004D3006">
        <w:rPr>
          <w:lang w:val="fr-FR"/>
        </w:rPr>
        <w:t>ADN assurent la livraison de combustibles marine</w:t>
      </w:r>
      <w:r>
        <w:rPr>
          <w:lang w:val="fr-FR"/>
        </w:rPr>
        <w:t>s</w:t>
      </w:r>
      <w:r w:rsidRPr="004D3006">
        <w:rPr>
          <w:lang w:val="fr-FR"/>
        </w:rPr>
        <w:t xml:space="preserve"> aux navires de mer. Le combustible marine fourni à ces navires doit satisfaire aux prescriptions juridiques applicables à l</w:t>
      </w:r>
      <w:r>
        <w:rPr>
          <w:lang w:val="fr-FR"/>
        </w:rPr>
        <w:t>’</w:t>
      </w:r>
      <w:r w:rsidRPr="004D3006">
        <w:rPr>
          <w:lang w:val="fr-FR"/>
        </w:rPr>
        <w:t xml:space="preserve">échelle mondiale (dispositions de la Convention internationale de 1973 pour la prévention de la </w:t>
      </w:r>
      <w:r w:rsidRPr="004D3006">
        <w:rPr>
          <w:lang w:val="fr-FR"/>
        </w:rPr>
        <w:lastRenderedPageBreak/>
        <w:t>pollution par les navires (MARPOL</w:t>
      </w:r>
      <w:r>
        <w:rPr>
          <w:lang w:val="fr-FR"/>
        </w:rPr>
        <w:t> 1973</w:t>
      </w:r>
      <w:r w:rsidRPr="004D3006">
        <w:rPr>
          <w:lang w:val="fr-FR"/>
        </w:rPr>
        <w:t>), annexe</w:t>
      </w:r>
      <w:r>
        <w:rPr>
          <w:lang w:val="fr-FR"/>
        </w:rPr>
        <w:t> </w:t>
      </w:r>
      <w:r w:rsidRPr="004D3006">
        <w:rPr>
          <w:lang w:val="fr-FR"/>
        </w:rPr>
        <w:t>VI, chap</w:t>
      </w:r>
      <w:r>
        <w:rPr>
          <w:lang w:val="fr-FR"/>
        </w:rPr>
        <w:t>. </w:t>
      </w:r>
      <w:r w:rsidRPr="004D3006">
        <w:rPr>
          <w:lang w:val="fr-FR"/>
        </w:rPr>
        <w:t>3, règles</w:t>
      </w:r>
      <w:r>
        <w:rPr>
          <w:lang w:val="fr-FR"/>
        </w:rPr>
        <w:t> </w:t>
      </w:r>
      <w:r w:rsidRPr="004D3006">
        <w:rPr>
          <w:lang w:val="fr-FR"/>
        </w:rPr>
        <w:t xml:space="preserve">14 et 18, concernant la teneur en oxydes de soufre et la qualité du </w:t>
      </w:r>
      <w:r>
        <w:rPr>
          <w:lang w:val="fr-FR"/>
        </w:rPr>
        <w:t>fuel-oil</w:t>
      </w:r>
      <w:r w:rsidRPr="004D3006">
        <w:rPr>
          <w:lang w:val="fr-FR"/>
        </w:rPr>
        <w:t xml:space="preserve">). </w:t>
      </w:r>
      <w:r>
        <w:rPr>
          <w:lang w:val="fr-FR"/>
        </w:rPr>
        <w:t>À cette fin</w:t>
      </w:r>
      <w:r w:rsidRPr="004D3006">
        <w:rPr>
          <w:lang w:val="fr-FR"/>
        </w:rPr>
        <w:t>, des échantillons représentatifs du combustible marine livré doivent être prélevés et conservés à bord de</w:t>
      </w:r>
      <w:r>
        <w:rPr>
          <w:lang w:val="fr-FR"/>
        </w:rPr>
        <w:t>s</w:t>
      </w:r>
      <w:r w:rsidRPr="004D3006">
        <w:rPr>
          <w:lang w:val="fr-FR"/>
        </w:rPr>
        <w:t xml:space="preserve"> bateaux avitailleurs ou d</w:t>
      </w:r>
      <w:r>
        <w:rPr>
          <w:lang w:val="fr-FR"/>
        </w:rPr>
        <w:t>’</w:t>
      </w:r>
      <w:r w:rsidRPr="004D3006">
        <w:rPr>
          <w:lang w:val="fr-FR"/>
        </w:rPr>
        <w:t>autres bateaux livrant des produits pour l</w:t>
      </w:r>
      <w:r>
        <w:rPr>
          <w:lang w:val="fr-FR"/>
        </w:rPr>
        <w:t>’</w:t>
      </w:r>
      <w:r w:rsidRPr="004D3006">
        <w:rPr>
          <w:lang w:val="fr-FR"/>
        </w:rPr>
        <w:t xml:space="preserve">exploitation des bateaux (tels que </w:t>
      </w:r>
      <w:r>
        <w:rPr>
          <w:lang w:val="fr-FR"/>
        </w:rPr>
        <w:t>visés</w:t>
      </w:r>
      <w:r w:rsidRPr="004D3006">
        <w:rPr>
          <w:lang w:val="fr-FR"/>
        </w:rPr>
        <w:t xml:space="preserve"> au 7.2.4.1.3 et au 7.2.4.1.4 de l</w:t>
      </w:r>
      <w:r>
        <w:rPr>
          <w:lang w:val="fr-FR"/>
        </w:rPr>
        <w:t>’</w:t>
      </w:r>
      <w:r w:rsidRPr="004D3006">
        <w:rPr>
          <w:lang w:val="fr-FR"/>
        </w:rPr>
        <w:t>ADN).</w:t>
      </w:r>
    </w:p>
    <w:p w14:paraId="03828052" w14:textId="77777777" w:rsidR="00A87CA6" w:rsidRPr="004D3006" w:rsidRDefault="00A87CA6" w:rsidP="00A87CA6">
      <w:pPr>
        <w:pStyle w:val="SingleTxtG"/>
        <w:rPr>
          <w:lang w:val="fr-FR"/>
        </w:rPr>
      </w:pPr>
      <w:r w:rsidRPr="004D3006">
        <w:rPr>
          <w:lang w:val="fr-FR"/>
        </w:rPr>
        <w:t>2.</w:t>
      </w:r>
      <w:r w:rsidRPr="004D3006">
        <w:rPr>
          <w:lang w:val="fr-FR"/>
        </w:rPr>
        <w:tab/>
        <w:t>La procédure de prélèvement d</w:t>
      </w:r>
      <w:r>
        <w:rPr>
          <w:lang w:val="fr-FR"/>
        </w:rPr>
        <w:t>’</w:t>
      </w:r>
      <w:r w:rsidRPr="004D3006">
        <w:rPr>
          <w:lang w:val="fr-FR"/>
        </w:rPr>
        <w:t xml:space="preserve">échantillons prévue par les règles susmentionnées </w:t>
      </w:r>
      <w:r>
        <w:rPr>
          <w:lang w:val="fr-FR"/>
        </w:rPr>
        <w:t>est</w:t>
      </w:r>
      <w:r w:rsidRPr="004D3006">
        <w:rPr>
          <w:lang w:val="fr-FR"/>
        </w:rPr>
        <w:t xml:space="preserve"> définie dans la norme ISO 13739:2020</w:t>
      </w:r>
      <w:r>
        <w:rPr>
          <w:lang w:val="fr-FR"/>
        </w:rPr>
        <w:t> − </w:t>
      </w:r>
      <w:r w:rsidRPr="004D3006">
        <w:rPr>
          <w:lang w:val="fr-FR"/>
        </w:rPr>
        <w:t xml:space="preserve">Procédures de transfert des </w:t>
      </w:r>
      <w:proofErr w:type="spellStart"/>
      <w:r w:rsidRPr="004D3006">
        <w:rPr>
          <w:lang w:val="fr-FR"/>
        </w:rPr>
        <w:t>soutes</w:t>
      </w:r>
      <w:proofErr w:type="spellEnd"/>
      <w:r w:rsidRPr="004D3006">
        <w:rPr>
          <w:lang w:val="fr-FR"/>
        </w:rPr>
        <w:t xml:space="preserve"> dans les navires. Les fournisseurs, les clients, les acheteurs et les inspecteurs ont </w:t>
      </w:r>
      <w:r>
        <w:rPr>
          <w:lang w:val="fr-FR"/>
        </w:rPr>
        <w:t>mis en place</w:t>
      </w:r>
      <w:r w:rsidRPr="004D3006">
        <w:rPr>
          <w:lang w:val="fr-FR"/>
        </w:rPr>
        <w:t xml:space="preserve"> ces procédures et </w:t>
      </w:r>
      <w:r>
        <w:rPr>
          <w:lang w:val="fr-FR"/>
        </w:rPr>
        <w:t>transmettent</w:t>
      </w:r>
      <w:r w:rsidRPr="004D3006">
        <w:rPr>
          <w:lang w:val="fr-FR"/>
        </w:rPr>
        <w:t>, prélèvent et conservent des échantillons représentatifs du fu</w:t>
      </w:r>
      <w:r>
        <w:rPr>
          <w:lang w:val="fr-FR"/>
        </w:rPr>
        <w:t>e</w:t>
      </w:r>
      <w:r w:rsidRPr="004D3006">
        <w:rPr>
          <w:lang w:val="fr-FR"/>
        </w:rPr>
        <w:t>l</w:t>
      </w:r>
      <w:r>
        <w:rPr>
          <w:lang w:val="fr-FR"/>
        </w:rPr>
        <w:t>-oil</w:t>
      </w:r>
      <w:r w:rsidRPr="004D3006">
        <w:rPr>
          <w:lang w:val="fr-FR"/>
        </w:rPr>
        <w:t xml:space="preserve"> marin</w:t>
      </w:r>
      <w:r>
        <w:rPr>
          <w:lang w:val="fr-FR"/>
        </w:rPr>
        <w:t>e</w:t>
      </w:r>
      <w:r w:rsidRPr="004D3006">
        <w:rPr>
          <w:lang w:val="fr-FR"/>
        </w:rPr>
        <w:t xml:space="preserve"> livré. Les autorités portuaires sont tenues de vérifier que ces procédures sont respectées et recourent </w:t>
      </w:r>
      <w:r w:rsidRPr="00743343">
        <w:rPr>
          <w:lang w:val="fr-FR"/>
        </w:rPr>
        <w:t>pour ce faire</w:t>
      </w:r>
      <w:r>
        <w:rPr>
          <w:lang w:val="fr-FR"/>
        </w:rPr>
        <w:t xml:space="preserve"> </w:t>
      </w:r>
      <w:r w:rsidRPr="004D3006">
        <w:rPr>
          <w:lang w:val="fr-FR"/>
        </w:rPr>
        <w:t>au système de contrôle par l</w:t>
      </w:r>
      <w:r>
        <w:rPr>
          <w:lang w:val="fr-FR"/>
        </w:rPr>
        <w:t>’</w:t>
      </w:r>
      <w:r w:rsidRPr="004D3006">
        <w:rPr>
          <w:lang w:val="fr-FR"/>
        </w:rPr>
        <w:t>État du port de l</w:t>
      </w:r>
      <w:r>
        <w:rPr>
          <w:lang w:val="fr-FR"/>
        </w:rPr>
        <w:t>’</w:t>
      </w:r>
      <w:r w:rsidRPr="004D3006">
        <w:rPr>
          <w:lang w:val="fr-FR"/>
        </w:rPr>
        <w:t>Organisation maritime internationale.</w:t>
      </w:r>
    </w:p>
    <w:p w14:paraId="4081709A" w14:textId="77777777" w:rsidR="00A87CA6" w:rsidRPr="004D3006" w:rsidRDefault="00A87CA6" w:rsidP="00A87CA6">
      <w:pPr>
        <w:pStyle w:val="SingleTxtG"/>
        <w:rPr>
          <w:lang w:val="fr-FR"/>
        </w:rPr>
      </w:pPr>
      <w:r w:rsidRPr="004D3006">
        <w:rPr>
          <w:lang w:val="fr-FR"/>
        </w:rPr>
        <w:t>3.</w:t>
      </w:r>
      <w:r w:rsidRPr="004D3006">
        <w:rPr>
          <w:lang w:val="fr-FR"/>
        </w:rPr>
        <w:tab/>
        <w:t>Au 7.2.4.1.1 de l</w:t>
      </w:r>
      <w:r>
        <w:rPr>
          <w:lang w:val="fr-FR"/>
        </w:rPr>
        <w:t>’</w:t>
      </w:r>
      <w:r w:rsidRPr="004D3006">
        <w:rPr>
          <w:lang w:val="fr-FR"/>
        </w:rPr>
        <w:t>ADN (« Limitation des quantités transportées »), la contenance maximale définie pour les échantillons de cargaison est de 500</w:t>
      </w:r>
      <w:r>
        <w:rPr>
          <w:lang w:val="fr-FR"/>
        </w:rPr>
        <w:t> </w:t>
      </w:r>
      <w:r w:rsidRPr="004D3006">
        <w:rPr>
          <w:lang w:val="fr-FR"/>
        </w:rPr>
        <w:t xml:space="preserve">ml par récipient. Toutefois, </w:t>
      </w:r>
      <w:r>
        <w:rPr>
          <w:lang w:val="fr-FR"/>
        </w:rPr>
        <w:t>cette limite</w:t>
      </w:r>
      <w:r w:rsidRPr="004D3006">
        <w:rPr>
          <w:lang w:val="fr-FR"/>
        </w:rPr>
        <w:t xml:space="preserve"> n</w:t>
      </w:r>
      <w:r>
        <w:rPr>
          <w:lang w:val="fr-FR"/>
        </w:rPr>
        <w:t>’</w:t>
      </w:r>
      <w:r w:rsidRPr="004D3006">
        <w:rPr>
          <w:lang w:val="fr-FR"/>
        </w:rPr>
        <w:t>est pas conforme aux exigences actuelles, fondées sur la norme ISO</w:t>
      </w:r>
      <w:r>
        <w:rPr>
          <w:lang w:val="fr-FR"/>
        </w:rPr>
        <w:t> </w:t>
      </w:r>
      <w:r w:rsidRPr="004D3006">
        <w:rPr>
          <w:lang w:val="fr-FR"/>
        </w:rPr>
        <w:t>13739:2020</w:t>
      </w:r>
      <w:r>
        <w:rPr>
          <w:lang w:val="fr-FR"/>
        </w:rPr>
        <w:t> − </w:t>
      </w:r>
      <w:r w:rsidRPr="004D3006">
        <w:rPr>
          <w:lang w:val="fr-FR"/>
        </w:rPr>
        <w:t xml:space="preserve">Procédures de transfert des </w:t>
      </w:r>
      <w:proofErr w:type="spellStart"/>
      <w:r w:rsidRPr="004D3006">
        <w:rPr>
          <w:lang w:val="fr-FR"/>
        </w:rPr>
        <w:t>soutes</w:t>
      </w:r>
      <w:proofErr w:type="spellEnd"/>
      <w:r w:rsidRPr="004D3006">
        <w:rPr>
          <w:lang w:val="fr-FR"/>
        </w:rPr>
        <w:t xml:space="preserve"> dans les navires, pour les bateaux avitailleurs. Dans la pratique, la </w:t>
      </w:r>
      <w:r>
        <w:rPr>
          <w:lang w:val="fr-FR"/>
        </w:rPr>
        <w:t>contenance totale des</w:t>
      </w:r>
      <w:r w:rsidRPr="004D3006">
        <w:rPr>
          <w:lang w:val="fr-FR"/>
        </w:rPr>
        <w:t xml:space="preserve"> échantillons prélevés et laissés à bord des bateaux avitailleurs ou d</w:t>
      </w:r>
      <w:r>
        <w:rPr>
          <w:lang w:val="fr-FR"/>
        </w:rPr>
        <w:t>’</w:t>
      </w:r>
      <w:r w:rsidRPr="004D3006">
        <w:rPr>
          <w:lang w:val="fr-FR"/>
        </w:rPr>
        <w:t>autres bateaux livrant des produits pour l</w:t>
      </w:r>
      <w:r>
        <w:rPr>
          <w:lang w:val="fr-FR"/>
        </w:rPr>
        <w:t>’</w:t>
      </w:r>
      <w:r w:rsidRPr="004D3006">
        <w:rPr>
          <w:lang w:val="fr-FR"/>
        </w:rPr>
        <w:t>exploitation des bateaux dépasse ces 500</w:t>
      </w:r>
      <w:r>
        <w:rPr>
          <w:lang w:val="fr-FR"/>
        </w:rPr>
        <w:t> </w:t>
      </w:r>
      <w:r w:rsidRPr="004D3006">
        <w:rPr>
          <w:lang w:val="fr-FR"/>
        </w:rPr>
        <w:t xml:space="preserve">ml. Les fournisseurs, les clients, les acheteurs de combustibles de </w:t>
      </w:r>
      <w:proofErr w:type="spellStart"/>
      <w:r w:rsidRPr="004D3006">
        <w:rPr>
          <w:lang w:val="fr-FR"/>
        </w:rPr>
        <w:t>soute</w:t>
      </w:r>
      <w:proofErr w:type="spellEnd"/>
      <w:r w:rsidRPr="004D3006">
        <w:rPr>
          <w:lang w:val="fr-FR"/>
        </w:rPr>
        <w:t xml:space="preserve"> et les autorités portuaires se réfèrent à cette norme.</w:t>
      </w:r>
      <w:bookmarkStart w:id="1" w:name="_Hlk131070766"/>
      <w:bookmarkEnd w:id="1"/>
    </w:p>
    <w:p w14:paraId="40C9A13B" w14:textId="77777777" w:rsidR="00A87CA6" w:rsidRPr="004D3006" w:rsidRDefault="00A87CA6" w:rsidP="00A87CA6">
      <w:pPr>
        <w:pStyle w:val="HChG"/>
        <w:rPr>
          <w:lang w:val="fr-FR"/>
        </w:rPr>
      </w:pPr>
      <w:r w:rsidRPr="004D3006">
        <w:rPr>
          <w:lang w:val="fr-FR"/>
        </w:rPr>
        <w:tab/>
      </w:r>
      <w:r>
        <w:rPr>
          <w:lang w:val="fr-FR"/>
        </w:rPr>
        <w:t>I.</w:t>
      </w:r>
      <w:r>
        <w:rPr>
          <w:lang w:val="fr-FR"/>
        </w:rPr>
        <w:tab/>
      </w:r>
      <w:r w:rsidRPr="004D3006">
        <w:rPr>
          <w:lang w:val="fr-FR"/>
        </w:rPr>
        <w:t>Problème</w:t>
      </w:r>
    </w:p>
    <w:p w14:paraId="123B33BF" w14:textId="77777777" w:rsidR="00A87CA6" w:rsidRPr="004D3006" w:rsidRDefault="00A87CA6" w:rsidP="00A87CA6">
      <w:pPr>
        <w:pStyle w:val="SingleTxtG"/>
        <w:rPr>
          <w:lang w:val="fr-FR"/>
        </w:rPr>
      </w:pPr>
      <w:r w:rsidRPr="004D3006">
        <w:rPr>
          <w:lang w:val="fr-FR"/>
        </w:rPr>
        <w:t>4.</w:t>
      </w:r>
      <w:r w:rsidRPr="004D3006">
        <w:rPr>
          <w:lang w:val="fr-FR"/>
        </w:rPr>
        <w:tab/>
        <w:t>Si la prescription mentionnée</w:t>
      </w:r>
      <w:r>
        <w:rPr>
          <w:lang w:val="fr-FR"/>
        </w:rPr>
        <w:t>, qui prévoit</w:t>
      </w:r>
      <w:r w:rsidRPr="004D3006">
        <w:rPr>
          <w:lang w:val="fr-FR"/>
        </w:rPr>
        <w:t xml:space="preserve"> </w:t>
      </w:r>
      <w:r>
        <w:rPr>
          <w:lang w:val="fr-FR"/>
        </w:rPr>
        <w:t xml:space="preserve">que </w:t>
      </w:r>
      <w:r w:rsidRPr="004D3006">
        <w:rPr>
          <w:lang w:val="fr-FR"/>
        </w:rPr>
        <w:t xml:space="preserve">des échantillons représentatifs de </w:t>
      </w:r>
      <w:r>
        <w:rPr>
          <w:lang w:val="fr-FR"/>
        </w:rPr>
        <w:t>fuel</w:t>
      </w:r>
      <w:r>
        <w:rPr>
          <w:lang w:val="fr-FR"/>
        </w:rPr>
        <w:noBreakHyphen/>
        <w:t>oil soient prélevés</w:t>
      </w:r>
      <w:r w:rsidRPr="004D3006">
        <w:rPr>
          <w:lang w:val="fr-FR"/>
        </w:rPr>
        <w:t xml:space="preserve"> conformément à la norme</w:t>
      </w:r>
      <w:r>
        <w:rPr>
          <w:lang w:val="fr-FR"/>
        </w:rPr>
        <w:t> </w:t>
      </w:r>
      <w:r w:rsidRPr="004D3006">
        <w:rPr>
          <w:lang w:val="fr-FR"/>
        </w:rPr>
        <w:t>ISO</w:t>
      </w:r>
      <w:r>
        <w:rPr>
          <w:lang w:val="fr-FR"/>
        </w:rPr>
        <w:t> </w:t>
      </w:r>
      <w:r w:rsidRPr="004D3006">
        <w:rPr>
          <w:lang w:val="fr-FR"/>
        </w:rPr>
        <w:t>13739:2020 (</w:t>
      </w:r>
      <w:r>
        <w:rPr>
          <w:lang w:val="fr-FR"/>
        </w:rPr>
        <w:t xml:space="preserve">remplacée par la </w:t>
      </w:r>
      <w:r w:rsidRPr="004D3006">
        <w:rPr>
          <w:lang w:val="fr-FR"/>
        </w:rPr>
        <w:t>deuxième édition, 2020-02, à compter d</w:t>
      </w:r>
      <w:r>
        <w:rPr>
          <w:lang w:val="fr-FR"/>
        </w:rPr>
        <w:t>’</w:t>
      </w:r>
      <w:r w:rsidRPr="004D3006">
        <w:rPr>
          <w:lang w:val="fr-FR"/>
        </w:rPr>
        <w:t>avril 2022)</w:t>
      </w:r>
      <w:r>
        <w:rPr>
          <w:lang w:val="fr-FR"/>
        </w:rPr>
        <w:t>,</w:t>
      </w:r>
      <w:r w:rsidRPr="004D3006">
        <w:rPr>
          <w:lang w:val="fr-FR"/>
        </w:rPr>
        <w:t xml:space="preserve"> </w:t>
      </w:r>
      <w:r>
        <w:rPr>
          <w:lang w:val="fr-FR"/>
        </w:rPr>
        <w:t>précise</w:t>
      </w:r>
      <w:r w:rsidRPr="004D3006">
        <w:rPr>
          <w:lang w:val="fr-FR"/>
        </w:rPr>
        <w:t xml:space="preserve"> que des échantillons représentatifs de combustibles de </w:t>
      </w:r>
      <w:proofErr w:type="spellStart"/>
      <w:r w:rsidRPr="004D3006">
        <w:rPr>
          <w:lang w:val="fr-FR"/>
        </w:rPr>
        <w:t>soute</w:t>
      </w:r>
      <w:proofErr w:type="spellEnd"/>
      <w:r w:rsidRPr="004D3006">
        <w:rPr>
          <w:lang w:val="fr-FR"/>
        </w:rPr>
        <w:t xml:space="preserve"> doivent être prélevés, aucune contenance minimale </w:t>
      </w:r>
      <w:r>
        <w:rPr>
          <w:lang w:val="fr-FR"/>
        </w:rPr>
        <w:t xml:space="preserve">n’y est </w:t>
      </w:r>
      <w:r w:rsidRPr="004D3006">
        <w:rPr>
          <w:lang w:val="fr-FR"/>
        </w:rPr>
        <w:t>spécifiée</w:t>
      </w:r>
      <w:r>
        <w:rPr>
          <w:lang w:val="fr-FR"/>
        </w:rPr>
        <w:t xml:space="preserve"> concernant ces échantillons</w:t>
      </w:r>
      <w:r w:rsidRPr="004D3006">
        <w:rPr>
          <w:lang w:val="fr-FR"/>
        </w:rPr>
        <w:t xml:space="preserve"> et, dans la pratique, des échantillons d</w:t>
      </w:r>
      <w:r>
        <w:rPr>
          <w:lang w:val="fr-FR"/>
        </w:rPr>
        <w:t>’</w:t>
      </w:r>
      <w:r w:rsidRPr="004D3006">
        <w:rPr>
          <w:lang w:val="fr-FR"/>
        </w:rPr>
        <w:t>un litre sont prélevés et conservés à bord des bateaux visés aux 7.2.4.1.3 et 7.2.4.1.4 de l</w:t>
      </w:r>
      <w:r>
        <w:rPr>
          <w:lang w:val="fr-FR"/>
        </w:rPr>
        <w:t>’</w:t>
      </w:r>
      <w:r w:rsidRPr="004D3006">
        <w:rPr>
          <w:lang w:val="fr-FR"/>
        </w:rPr>
        <w:t>ADN. En</w:t>
      </w:r>
      <w:r>
        <w:rPr>
          <w:lang w:val="fr-FR"/>
        </w:rPr>
        <w:t> </w:t>
      </w:r>
      <w:r w:rsidRPr="004D3006">
        <w:rPr>
          <w:lang w:val="fr-FR"/>
        </w:rPr>
        <w:t xml:space="preserve">cas de problèmes de qualité, après </w:t>
      </w:r>
      <w:r>
        <w:rPr>
          <w:lang w:val="fr-FR"/>
        </w:rPr>
        <w:t>que les</w:t>
      </w:r>
      <w:r w:rsidRPr="004D3006">
        <w:rPr>
          <w:lang w:val="fr-FR"/>
        </w:rPr>
        <w:t xml:space="preserve"> combustibles de </w:t>
      </w:r>
      <w:proofErr w:type="spellStart"/>
      <w:r w:rsidRPr="004D3006">
        <w:rPr>
          <w:lang w:val="fr-FR"/>
        </w:rPr>
        <w:t>soute</w:t>
      </w:r>
      <w:proofErr w:type="spellEnd"/>
      <w:r w:rsidRPr="004D3006">
        <w:rPr>
          <w:lang w:val="fr-FR"/>
        </w:rPr>
        <w:t xml:space="preserve"> </w:t>
      </w:r>
      <w:r>
        <w:rPr>
          <w:lang w:val="fr-FR"/>
        </w:rPr>
        <w:t>sont transférés dans</w:t>
      </w:r>
      <w:r w:rsidRPr="004D3006">
        <w:rPr>
          <w:lang w:val="fr-FR"/>
        </w:rPr>
        <w:t xml:space="preserve"> un bateau, les échantillons conservés sont utilisés à des fins de contrôle et pour prouver que le combustible marine livré est conforme à la législation.</w:t>
      </w:r>
    </w:p>
    <w:p w14:paraId="043CDBAA" w14:textId="77777777" w:rsidR="00A87CA6" w:rsidRPr="004D3006" w:rsidRDefault="00A87CA6" w:rsidP="00A87CA6">
      <w:pPr>
        <w:pStyle w:val="SingleTxtG"/>
        <w:rPr>
          <w:lang w:val="fr-FR"/>
        </w:rPr>
      </w:pPr>
      <w:r w:rsidRPr="004D3006">
        <w:rPr>
          <w:lang w:val="fr-FR"/>
        </w:rPr>
        <w:t>5.</w:t>
      </w:r>
      <w:r w:rsidRPr="004D3006">
        <w:rPr>
          <w:lang w:val="fr-FR"/>
        </w:rPr>
        <w:tab/>
        <w:t>Le 7.2.4.1.1 de l</w:t>
      </w:r>
      <w:r>
        <w:rPr>
          <w:lang w:val="fr-FR"/>
        </w:rPr>
        <w:t>’</w:t>
      </w:r>
      <w:r w:rsidRPr="004D3006">
        <w:rPr>
          <w:lang w:val="fr-FR"/>
        </w:rPr>
        <w:t>ADN prévoit une contenance maximale de 500</w:t>
      </w:r>
      <w:r>
        <w:rPr>
          <w:lang w:val="fr-FR"/>
        </w:rPr>
        <w:t> </w:t>
      </w:r>
      <w:r w:rsidRPr="004D3006">
        <w:rPr>
          <w:lang w:val="fr-FR"/>
        </w:rPr>
        <w:t xml:space="preserve">ml par récipient et </w:t>
      </w:r>
      <w:r>
        <w:rPr>
          <w:lang w:val="fr-FR"/>
        </w:rPr>
        <w:t>une</w:t>
      </w:r>
      <w:r w:rsidRPr="004D3006">
        <w:rPr>
          <w:lang w:val="fr-FR"/>
        </w:rPr>
        <w:t xml:space="preserve"> limitation du nombre d</w:t>
      </w:r>
      <w:r>
        <w:rPr>
          <w:lang w:val="fr-FR"/>
        </w:rPr>
        <w:t>’</w:t>
      </w:r>
      <w:r w:rsidRPr="004D3006">
        <w:rPr>
          <w:lang w:val="fr-FR"/>
        </w:rPr>
        <w:t>échantillons de cargaison à 30</w:t>
      </w:r>
      <w:r>
        <w:rPr>
          <w:lang w:val="fr-FR"/>
        </w:rPr>
        <w:t> </w:t>
      </w:r>
      <w:r w:rsidRPr="004D3006">
        <w:rPr>
          <w:lang w:val="fr-FR"/>
        </w:rPr>
        <w:t>récipients.</w:t>
      </w:r>
    </w:p>
    <w:p w14:paraId="2DC3C1DB" w14:textId="77777777" w:rsidR="00A87CA6" w:rsidRPr="004D3006" w:rsidRDefault="00A87CA6" w:rsidP="00A87CA6">
      <w:pPr>
        <w:pStyle w:val="SingleTxtG"/>
        <w:rPr>
          <w:lang w:val="fr-FR"/>
        </w:rPr>
      </w:pPr>
      <w:r w:rsidRPr="004D3006">
        <w:rPr>
          <w:lang w:val="fr-FR"/>
        </w:rPr>
        <w:t>6.</w:t>
      </w:r>
      <w:r w:rsidRPr="004D3006">
        <w:rPr>
          <w:lang w:val="fr-FR"/>
        </w:rPr>
        <w:tab/>
        <w:t>Le 7.2.4.1.4 de l</w:t>
      </w:r>
      <w:r>
        <w:rPr>
          <w:lang w:val="fr-FR"/>
        </w:rPr>
        <w:t>’</w:t>
      </w:r>
      <w:r w:rsidRPr="004D3006">
        <w:rPr>
          <w:lang w:val="fr-FR"/>
        </w:rPr>
        <w:t>ADN dispose qu</w:t>
      </w:r>
      <w:r>
        <w:rPr>
          <w:lang w:val="fr-FR"/>
        </w:rPr>
        <w:t>’</w:t>
      </w:r>
      <w:r w:rsidRPr="004D3006">
        <w:rPr>
          <w:lang w:val="fr-FR"/>
        </w:rPr>
        <w:t>à bord des bateaux avitailleurs ou d</w:t>
      </w:r>
      <w:r>
        <w:rPr>
          <w:lang w:val="fr-FR"/>
        </w:rPr>
        <w:t>’</w:t>
      </w:r>
      <w:r w:rsidRPr="004D3006">
        <w:rPr>
          <w:lang w:val="fr-FR"/>
        </w:rPr>
        <w:t>autres bateaux livrant des produits pour l</w:t>
      </w:r>
      <w:r>
        <w:rPr>
          <w:lang w:val="fr-FR"/>
        </w:rPr>
        <w:t>’</w:t>
      </w:r>
      <w:r w:rsidRPr="004D3006">
        <w:rPr>
          <w:lang w:val="fr-FR"/>
        </w:rPr>
        <w:t>exploitation des bateaux</w:t>
      </w:r>
      <w:r>
        <w:rPr>
          <w:lang w:val="fr-FR"/>
        </w:rPr>
        <w:t>,</w:t>
      </w:r>
      <w:r w:rsidRPr="004D3006">
        <w:rPr>
          <w:lang w:val="fr-FR"/>
        </w:rPr>
        <w:t xml:space="preserve"> le nombre d</w:t>
      </w:r>
      <w:r>
        <w:rPr>
          <w:lang w:val="fr-FR"/>
        </w:rPr>
        <w:t>’</w:t>
      </w:r>
      <w:r w:rsidRPr="004D3006">
        <w:rPr>
          <w:lang w:val="fr-FR"/>
        </w:rPr>
        <w:t>échantillons de cargaison visé au 7.2.4.1.1 peut être porté de 30 à 500 au maximum.</w:t>
      </w:r>
    </w:p>
    <w:p w14:paraId="49F0B1C5" w14:textId="77777777" w:rsidR="00A87CA6" w:rsidRPr="004D3006" w:rsidRDefault="00A87CA6" w:rsidP="00A87CA6">
      <w:pPr>
        <w:pStyle w:val="HChG"/>
        <w:rPr>
          <w:lang w:val="fr-FR"/>
        </w:rPr>
      </w:pPr>
      <w:r w:rsidRPr="004D3006">
        <w:rPr>
          <w:lang w:val="fr-FR"/>
        </w:rPr>
        <w:tab/>
      </w:r>
      <w:r>
        <w:rPr>
          <w:lang w:val="fr-FR"/>
        </w:rPr>
        <w:t>II.</w:t>
      </w:r>
      <w:r>
        <w:rPr>
          <w:lang w:val="fr-FR"/>
        </w:rPr>
        <w:tab/>
      </w:r>
      <w:r w:rsidRPr="004D3006">
        <w:rPr>
          <w:lang w:val="fr-FR"/>
        </w:rPr>
        <w:t>Proposition</w:t>
      </w:r>
    </w:p>
    <w:p w14:paraId="31E0A9C9" w14:textId="77777777" w:rsidR="00A87CA6" w:rsidRPr="004D3006" w:rsidRDefault="00A87CA6" w:rsidP="00A87CA6">
      <w:pPr>
        <w:pStyle w:val="SingleTxtG"/>
        <w:rPr>
          <w:lang w:val="fr-FR"/>
        </w:rPr>
      </w:pPr>
      <w:r w:rsidRPr="004D3006">
        <w:rPr>
          <w:lang w:val="fr-FR"/>
        </w:rPr>
        <w:t>7.</w:t>
      </w:r>
      <w:r w:rsidRPr="004D3006">
        <w:rPr>
          <w:lang w:val="fr-FR"/>
        </w:rPr>
        <w:tab/>
        <w:t>L</w:t>
      </w:r>
      <w:r>
        <w:rPr>
          <w:lang w:val="fr-FR"/>
        </w:rPr>
        <w:t>’</w:t>
      </w:r>
      <w:r w:rsidRPr="004D3006">
        <w:rPr>
          <w:lang w:val="fr-FR"/>
        </w:rPr>
        <w:t>UENF et l</w:t>
      </w:r>
      <w:r>
        <w:rPr>
          <w:lang w:val="fr-FR"/>
        </w:rPr>
        <w:t>’</w:t>
      </w:r>
      <w:r w:rsidRPr="004D3006">
        <w:rPr>
          <w:lang w:val="fr-FR"/>
        </w:rPr>
        <w:t>OEB proposent de modifier le 7.2.4.1.4 de l</w:t>
      </w:r>
      <w:r>
        <w:rPr>
          <w:lang w:val="fr-FR"/>
        </w:rPr>
        <w:t>’</w:t>
      </w:r>
      <w:r w:rsidRPr="004D3006">
        <w:rPr>
          <w:lang w:val="fr-FR"/>
        </w:rPr>
        <w:t>ADN comme suit</w:t>
      </w:r>
      <w:r>
        <w:rPr>
          <w:lang w:val="fr-FR"/>
        </w:rPr>
        <w:t xml:space="preserve"> </w:t>
      </w:r>
      <w:r>
        <w:rPr>
          <w:rStyle w:val="content"/>
          <w:lang w:val="fr-FR"/>
        </w:rPr>
        <w:t xml:space="preserve">(les modifications qu’il est proposé d’apporter figurent en </w:t>
      </w:r>
      <w:r>
        <w:rPr>
          <w:rStyle w:val="content"/>
          <w:b/>
          <w:bCs/>
          <w:i/>
          <w:iCs/>
          <w:u w:val="single"/>
          <w:lang w:val="fr-FR"/>
        </w:rPr>
        <w:t>caractères gras, italiques et soulignés</w:t>
      </w:r>
      <w:r>
        <w:rPr>
          <w:rStyle w:val="content"/>
          <w:lang w:val="fr-FR"/>
        </w:rPr>
        <w:t xml:space="preserve"> pour les ajouts)</w:t>
      </w:r>
      <w:r>
        <w:rPr>
          <w:lang w:val="fr-FR"/>
        </w:rPr>
        <w:t> :</w:t>
      </w:r>
    </w:p>
    <w:p w14:paraId="12DE47FC" w14:textId="77777777" w:rsidR="00A87CA6" w:rsidRPr="004D3006" w:rsidRDefault="00A87CA6" w:rsidP="00A87CA6">
      <w:pPr>
        <w:pStyle w:val="SingleTxtG"/>
        <w:ind w:left="2835" w:hanging="1134"/>
        <w:rPr>
          <w:lang w:val="fr-FR"/>
        </w:rPr>
      </w:pPr>
      <w:r w:rsidRPr="004D3006">
        <w:rPr>
          <w:lang w:val="fr-FR"/>
        </w:rPr>
        <w:t>« 7.2.4.1.4</w:t>
      </w:r>
      <w:r>
        <w:rPr>
          <w:lang w:val="fr-FR"/>
        </w:rPr>
        <w:tab/>
        <w:t>À</w:t>
      </w:r>
      <w:r w:rsidRPr="004D3006">
        <w:rPr>
          <w:lang w:val="fr-FR"/>
        </w:rPr>
        <w:t xml:space="preserve"> bord des bateaux avitailleurs ou d</w:t>
      </w:r>
      <w:r>
        <w:rPr>
          <w:lang w:val="fr-FR"/>
        </w:rPr>
        <w:t>’</w:t>
      </w:r>
      <w:r w:rsidRPr="004D3006">
        <w:rPr>
          <w:lang w:val="fr-FR"/>
        </w:rPr>
        <w:t>autres bateaux livrant des produits pour l</w:t>
      </w:r>
      <w:r>
        <w:rPr>
          <w:lang w:val="fr-FR"/>
        </w:rPr>
        <w:t>’</w:t>
      </w:r>
      <w:r w:rsidRPr="004D3006">
        <w:rPr>
          <w:lang w:val="fr-FR"/>
        </w:rPr>
        <w:t>exploitation des bateaux</w:t>
      </w:r>
      <w:r>
        <w:rPr>
          <w:lang w:val="fr-FR"/>
        </w:rPr>
        <w:t>,</w:t>
      </w:r>
      <w:r w:rsidRPr="004D3006">
        <w:rPr>
          <w:lang w:val="fr-FR"/>
        </w:rPr>
        <w:t xml:space="preserve"> </w:t>
      </w:r>
      <w:r w:rsidRPr="004A2049">
        <w:rPr>
          <w:b/>
          <w:bCs/>
          <w:i/>
          <w:iCs/>
          <w:u w:val="single"/>
          <w:lang w:val="fr-FR"/>
        </w:rPr>
        <w:t xml:space="preserve">la contenance maximale des échantillons de cargaison visée au 7.2.4.1.1 peut être portée à </w:t>
      </w:r>
      <w:r>
        <w:rPr>
          <w:b/>
          <w:bCs/>
          <w:i/>
          <w:iCs/>
          <w:u w:val="single"/>
          <w:lang w:val="fr-FR"/>
        </w:rPr>
        <w:t>1</w:t>
      </w:r>
      <w:r w:rsidRPr="004A2049">
        <w:rPr>
          <w:b/>
          <w:bCs/>
          <w:i/>
          <w:iCs/>
          <w:u w:val="single"/>
          <w:lang w:val="fr-FR"/>
        </w:rPr>
        <w:t xml:space="preserve"> litre par récipient. </w:t>
      </w:r>
      <w:r w:rsidRPr="004A2049">
        <w:rPr>
          <w:rStyle w:val="content"/>
          <w:b/>
          <w:bCs/>
          <w:i/>
          <w:iCs/>
          <w:u w:val="single"/>
          <w:lang w:val="fr-FR"/>
        </w:rPr>
        <w:t xml:space="preserve">La </w:t>
      </w:r>
      <w:r>
        <w:rPr>
          <w:rStyle w:val="content"/>
          <w:b/>
          <w:bCs/>
          <w:i/>
          <w:iCs/>
          <w:u w:val="single"/>
          <w:lang w:val="fr-FR"/>
        </w:rPr>
        <w:t>contenance</w:t>
      </w:r>
      <w:r w:rsidRPr="004A2049">
        <w:rPr>
          <w:rStyle w:val="content"/>
          <w:b/>
          <w:bCs/>
          <w:i/>
          <w:iCs/>
          <w:u w:val="single"/>
          <w:lang w:val="fr-FR"/>
        </w:rPr>
        <w:t xml:space="preserve"> totale d</w:t>
      </w:r>
      <w:r>
        <w:rPr>
          <w:rStyle w:val="content"/>
          <w:b/>
          <w:bCs/>
          <w:i/>
          <w:iCs/>
          <w:u w:val="single"/>
          <w:lang w:val="fr-FR"/>
        </w:rPr>
        <w:t xml:space="preserve">es </w:t>
      </w:r>
      <w:r w:rsidRPr="004A2049">
        <w:rPr>
          <w:rStyle w:val="content"/>
          <w:b/>
          <w:bCs/>
          <w:i/>
          <w:iCs/>
          <w:u w:val="single"/>
          <w:lang w:val="fr-FR"/>
        </w:rPr>
        <w:t>échantillons de cargaison à bord du bateau ne doit pas dépasser 250 litres</w:t>
      </w:r>
      <w:r w:rsidRPr="004D3006">
        <w:rPr>
          <w:lang w:val="fr-FR"/>
        </w:rPr>
        <w:t>. »</w:t>
      </w:r>
      <w:r>
        <w:rPr>
          <w:lang w:val="fr-FR"/>
        </w:rPr>
        <w:t>.</w:t>
      </w:r>
    </w:p>
    <w:p w14:paraId="747C385B" w14:textId="77777777" w:rsidR="00A87CA6" w:rsidRPr="004D3006" w:rsidRDefault="00A87CA6" w:rsidP="00A87CA6">
      <w:pPr>
        <w:pStyle w:val="HChG"/>
        <w:rPr>
          <w:lang w:val="fr-FR"/>
        </w:rPr>
      </w:pPr>
      <w:r w:rsidRPr="004D3006">
        <w:rPr>
          <w:lang w:val="fr-FR"/>
        </w:rPr>
        <w:tab/>
      </w:r>
      <w:r>
        <w:rPr>
          <w:lang w:val="fr-FR"/>
        </w:rPr>
        <w:t>III.</w:t>
      </w:r>
      <w:r>
        <w:rPr>
          <w:lang w:val="fr-FR"/>
        </w:rPr>
        <w:tab/>
      </w:r>
      <w:r w:rsidRPr="004D3006">
        <w:rPr>
          <w:lang w:val="fr-FR"/>
        </w:rPr>
        <w:t>Remarque</w:t>
      </w:r>
    </w:p>
    <w:p w14:paraId="5C8AE288" w14:textId="77777777" w:rsidR="00A87CA6" w:rsidRPr="004D3006" w:rsidRDefault="00A87CA6" w:rsidP="00A87CA6">
      <w:pPr>
        <w:pStyle w:val="SingleTxtG"/>
        <w:rPr>
          <w:lang w:val="fr-FR"/>
        </w:rPr>
      </w:pPr>
      <w:r w:rsidRPr="004D3006">
        <w:rPr>
          <w:lang w:val="fr-FR"/>
        </w:rPr>
        <w:t>8.</w:t>
      </w:r>
      <w:r w:rsidRPr="004D3006">
        <w:rPr>
          <w:lang w:val="fr-FR"/>
        </w:rPr>
        <w:tab/>
        <w:t>Cet amendement permet</w:t>
      </w:r>
      <w:r>
        <w:rPr>
          <w:lang w:val="fr-FR"/>
        </w:rPr>
        <w:t>trait</w:t>
      </w:r>
      <w:r w:rsidRPr="004D3006">
        <w:rPr>
          <w:lang w:val="fr-FR"/>
        </w:rPr>
        <w:t xml:space="preserve"> d</w:t>
      </w:r>
      <w:r>
        <w:rPr>
          <w:lang w:val="fr-FR"/>
        </w:rPr>
        <w:t>’</w:t>
      </w:r>
      <w:r w:rsidRPr="004D3006">
        <w:rPr>
          <w:lang w:val="fr-FR"/>
        </w:rPr>
        <w:t>aligner la prescription de l</w:t>
      </w:r>
      <w:r>
        <w:rPr>
          <w:lang w:val="fr-FR"/>
        </w:rPr>
        <w:t>’</w:t>
      </w:r>
      <w:r w:rsidRPr="004D3006">
        <w:rPr>
          <w:lang w:val="fr-FR"/>
        </w:rPr>
        <w:t>ADN sur les pratiques du secteur et les exigences des autorités portuaires.</w:t>
      </w:r>
    </w:p>
    <w:p w14:paraId="572175C3" w14:textId="77777777" w:rsidR="00A87CA6" w:rsidRPr="004D3006" w:rsidRDefault="00A87CA6" w:rsidP="00A87CA6">
      <w:pPr>
        <w:pStyle w:val="SingleTxtG"/>
        <w:rPr>
          <w:lang w:val="fr-FR"/>
        </w:rPr>
      </w:pPr>
      <w:r w:rsidRPr="004D3006">
        <w:rPr>
          <w:lang w:val="fr-FR"/>
        </w:rPr>
        <w:lastRenderedPageBreak/>
        <w:t>9.</w:t>
      </w:r>
      <w:r w:rsidRPr="004D3006">
        <w:rPr>
          <w:lang w:val="fr-FR"/>
        </w:rPr>
        <w:tab/>
        <w:t>Le deuxième tiret du 7.2.4.1.1 reste inchangé</w:t>
      </w:r>
      <w:r>
        <w:rPr>
          <w:lang w:val="fr-FR"/>
        </w:rPr>
        <w:t xml:space="preserve">. Il dispose que </w:t>
      </w:r>
      <w:r w:rsidRPr="004D3006">
        <w:rPr>
          <w:lang w:val="fr-FR"/>
        </w:rPr>
        <w:t>les récipients doivent répondre aux prescriptions d</w:t>
      </w:r>
      <w:r>
        <w:rPr>
          <w:lang w:val="fr-FR"/>
        </w:rPr>
        <w:t>’</w:t>
      </w:r>
      <w:r w:rsidRPr="004D3006">
        <w:rPr>
          <w:lang w:val="fr-FR"/>
        </w:rPr>
        <w:t xml:space="preserve">emballage visées à la </w:t>
      </w:r>
      <w:r>
        <w:rPr>
          <w:lang w:val="fr-FR"/>
        </w:rPr>
        <w:t>p</w:t>
      </w:r>
      <w:r w:rsidRPr="004D3006">
        <w:rPr>
          <w:lang w:val="fr-FR"/>
        </w:rPr>
        <w:t>artie</w:t>
      </w:r>
      <w:r>
        <w:rPr>
          <w:lang w:val="fr-FR"/>
        </w:rPr>
        <w:t> </w:t>
      </w:r>
      <w:r w:rsidRPr="004D3006">
        <w:rPr>
          <w:lang w:val="fr-FR"/>
        </w:rPr>
        <w:t>4 de l</w:t>
      </w:r>
      <w:r>
        <w:rPr>
          <w:lang w:val="fr-FR"/>
        </w:rPr>
        <w:t>’</w:t>
      </w:r>
      <w:r w:rsidRPr="004D3006">
        <w:rPr>
          <w:lang w:val="fr-FR"/>
        </w:rPr>
        <w:t>ADR et être placés à bord, en un endroit déterminé dans la zone de cargaison de manière que</w:t>
      </w:r>
      <w:r>
        <w:rPr>
          <w:lang w:val="fr-FR"/>
        </w:rPr>
        <w:t>,</w:t>
      </w:r>
      <w:r w:rsidRPr="004D3006">
        <w:rPr>
          <w:lang w:val="fr-FR"/>
        </w:rPr>
        <w:t xml:space="preserve"> dans les conditions normales de transport</w:t>
      </w:r>
      <w:r>
        <w:rPr>
          <w:lang w:val="fr-FR"/>
        </w:rPr>
        <w:t>,</w:t>
      </w:r>
      <w:r w:rsidRPr="004D3006">
        <w:rPr>
          <w:lang w:val="fr-FR"/>
        </w:rPr>
        <w:t xml:space="preserve"> ils ne puissent se briser ou être transpercés </w:t>
      </w:r>
      <w:r>
        <w:rPr>
          <w:lang w:val="fr-FR"/>
        </w:rPr>
        <w:t>et</w:t>
      </w:r>
      <w:r w:rsidRPr="004D3006">
        <w:rPr>
          <w:lang w:val="fr-FR"/>
        </w:rPr>
        <w:t xml:space="preserve"> que leur contenu </w:t>
      </w:r>
      <w:r>
        <w:rPr>
          <w:lang w:val="fr-FR"/>
        </w:rPr>
        <w:t xml:space="preserve">ne </w:t>
      </w:r>
      <w:r w:rsidRPr="004D3006">
        <w:rPr>
          <w:lang w:val="fr-FR"/>
        </w:rPr>
        <w:t>puisse se répandre dans l</w:t>
      </w:r>
      <w:r>
        <w:rPr>
          <w:lang w:val="fr-FR"/>
        </w:rPr>
        <w:t>’</w:t>
      </w:r>
      <w:r w:rsidRPr="004D3006">
        <w:rPr>
          <w:lang w:val="fr-FR"/>
        </w:rPr>
        <w:t>espace de cale</w:t>
      </w:r>
      <w:r>
        <w:rPr>
          <w:lang w:val="fr-FR"/>
        </w:rPr>
        <w:t>, l</w:t>
      </w:r>
      <w:r w:rsidRPr="004D3006">
        <w:rPr>
          <w:lang w:val="fr-FR"/>
        </w:rPr>
        <w:t xml:space="preserve">es récipients fragiles </w:t>
      </w:r>
      <w:r>
        <w:rPr>
          <w:lang w:val="fr-FR"/>
        </w:rPr>
        <w:t>devant</w:t>
      </w:r>
      <w:r w:rsidRPr="004D3006">
        <w:rPr>
          <w:lang w:val="fr-FR"/>
        </w:rPr>
        <w:t xml:space="preserve"> être capitonnés de manière appropriée.</w:t>
      </w:r>
    </w:p>
    <w:p w14:paraId="39AFAB6F" w14:textId="77777777" w:rsidR="00A87CA6" w:rsidRPr="004D3006" w:rsidRDefault="00A87CA6" w:rsidP="00A87CA6">
      <w:pPr>
        <w:pStyle w:val="SingleTxtG"/>
        <w:rPr>
          <w:lang w:val="fr-FR"/>
        </w:rPr>
      </w:pPr>
      <w:r w:rsidRPr="004D3006">
        <w:rPr>
          <w:lang w:val="fr-FR"/>
        </w:rPr>
        <w:t>10.</w:t>
      </w:r>
      <w:r w:rsidRPr="004D3006">
        <w:rPr>
          <w:lang w:val="fr-FR"/>
        </w:rPr>
        <w:tab/>
        <w:t>Les règles</w:t>
      </w:r>
      <w:r>
        <w:rPr>
          <w:lang w:val="fr-FR"/>
        </w:rPr>
        <w:t> </w:t>
      </w:r>
      <w:r w:rsidRPr="004D3006">
        <w:rPr>
          <w:lang w:val="fr-FR"/>
        </w:rPr>
        <w:t>14 et 18 du chapitre</w:t>
      </w:r>
      <w:r>
        <w:rPr>
          <w:lang w:val="fr-FR"/>
        </w:rPr>
        <w:t> </w:t>
      </w:r>
      <w:r w:rsidRPr="004D3006">
        <w:rPr>
          <w:lang w:val="fr-FR"/>
        </w:rPr>
        <w:t>3 de l</w:t>
      </w:r>
      <w:r>
        <w:rPr>
          <w:lang w:val="fr-FR"/>
        </w:rPr>
        <w:t>’</w:t>
      </w:r>
      <w:r w:rsidRPr="004D3006">
        <w:rPr>
          <w:lang w:val="fr-FR"/>
        </w:rPr>
        <w:t>annexe</w:t>
      </w:r>
      <w:r>
        <w:rPr>
          <w:lang w:val="fr-FR"/>
        </w:rPr>
        <w:t> </w:t>
      </w:r>
      <w:r w:rsidRPr="004D3006">
        <w:rPr>
          <w:lang w:val="fr-FR"/>
        </w:rPr>
        <w:t>VI de la MARPOL 1973</w:t>
      </w:r>
      <w:r>
        <w:rPr>
          <w:lang w:val="fr-FR"/>
        </w:rPr>
        <w:t xml:space="preserve"> et </w:t>
      </w:r>
      <w:r w:rsidRPr="004D3006">
        <w:rPr>
          <w:lang w:val="fr-FR"/>
        </w:rPr>
        <w:t>la norme ISO</w:t>
      </w:r>
      <w:r>
        <w:rPr>
          <w:lang w:val="fr-FR"/>
        </w:rPr>
        <w:t> </w:t>
      </w:r>
      <w:r w:rsidRPr="004D3006">
        <w:rPr>
          <w:lang w:val="fr-FR"/>
        </w:rPr>
        <w:t>13739:2020 imposent une durée de conservation d</w:t>
      </w:r>
      <w:r>
        <w:rPr>
          <w:lang w:val="fr-FR"/>
        </w:rPr>
        <w:t>’</w:t>
      </w:r>
      <w:r w:rsidRPr="004D3006">
        <w:rPr>
          <w:lang w:val="fr-FR"/>
        </w:rPr>
        <w:t>un an pour les échantillons représentatifs des combustibles marine</w:t>
      </w:r>
      <w:r>
        <w:rPr>
          <w:lang w:val="fr-FR"/>
        </w:rPr>
        <w:t>s</w:t>
      </w:r>
      <w:r w:rsidRPr="004D3006">
        <w:rPr>
          <w:lang w:val="fr-FR"/>
        </w:rPr>
        <w:t xml:space="preserve"> livrés. Selon </w:t>
      </w:r>
      <w:r>
        <w:rPr>
          <w:lang w:val="fr-FR"/>
        </w:rPr>
        <w:t>d</w:t>
      </w:r>
      <w:r w:rsidRPr="004D3006">
        <w:rPr>
          <w:lang w:val="fr-FR"/>
        </w:rPr>
        <w:t>es représentants du secteur du soutage, l</w:t>
      </w:r>
      <w:r>
        <w:rPr>
          <w:lang w:val="fr-FR"/>
        </w:rPr>
        <w:t xml:space="preserve">a </w:t>
      </w:r>
      <w:proofErr w:type="spellStart"/>
      <w:r>
        <w:rPr>
          <w:lang w:val="fr-FR"/>
        </w:rPr>
        <w:t>conten</w:t>
      </w:r>
      <w:r>
        <w:t>ance</w:t>
      </w:r>
      <w:proofErr w:type="spellEnd"/>
      <w:r>
        <w:rPr>
          <w:lang w:val="fr-FR"/>
        </w:rPr>
        <w:t xml:space="preserve"> </w:t>
      </w:r>
      <w:r w:rsidRPr="004D3006">
        <w:rPr>
          <w:lang w:val="fr-FR"/>
        </w:rPr>
        <w:t>total</w:t>
      </w:r>
      <w:r>
        <w:rPr>
          <w:lang w:val="fr-FR"/>
        </w:rPr>
        <w:t>e</w:t>
      </w:r>
      <w:r w:rsidRPr="004D3006">
        <w:rPr>
          <w:lang w:val="fr-FR"/>
        </w:rPr>
        <w:t xml:space="preserve"> d</w:t>
      </w:r>
      <w:r>
        <w:rPr>
          <w:lang w:val="fr-FR"/>
        </w:rPr>
        <w:t>e</w:t>
      </w:r>
      <w:r>
        <w:t>s</w:t>
      </w:r>
      <w:r>
        <w:rPr>
          <w:lang w:val="fr-FR"/>
        </w:rPr>
        <w:t xml:space="preserve"> </w:t>
      </w:r>
      <w:r w:rsidRPr="004D3006">
        <w:rPr>
          <w:lang w:val="fr-FR"/>
        </w:rPr>
        <w:t xml:space="preserve">échantillons </w:t>
      </w:r>
      <w:r>
        <w:rPr>
          <w:lang w:val="fr-FR"/>
        </w:rPr>
        <w:t xml:space="preserve">de cargaison </w:t>
      </w:r>
      <w:r w:rsidRPr="004D3006">
        <w:rPr>
          <w:lang w:val="fr-FR"/>
        </w:rPr>
        <w:t xml:space="preserve">ne dépassera pas </w:t>
      </w:r>
      <w:r>
        <w:rPr>
          <w:lang w:val="fr-FR"/>
        </w:rPr>
        <w:t>250 litres</w:t>
      </w:r>
      <w:r w:rsidRPr="004D3006">
        <w:rPr>
          <w:lang w:val="fr-FR"/>
        </w:rPr>
        <w:t xml:space="preserve"> par an.</w:t>
      </w:r>
    </w:p>
    <w:p w14:paraId="305EEBF9" w14:textId="77777777" w:rsidR="00A87CA6" w:rsidRDefault="00A87CA6" w:rsidP="00A87CA6">
      <w:pPr>
        <w:pStyle w:val="SingleTxtG"/>
        <w:rPr>
          <w:lang w:val="fr-FR"/>
        </w:rPr>
      </w:pPr>
      <w:r w:rsidRPr="004D3006">
        <w:rPr>
          <w:lang w:val="fr-FR"/>
        </w:rPr>
        <w:t>11.</w:t>
      </w:r>
      <w:r w:rsidRPr="004D3006">
        <w:rPr>
          <w:lang w:val="fr-FR"/>
        </w:rPr>
        <w:tab/>
        <w:t>L</w:t>
      </w:r>
      <w:r>
        <w:rPr>
          <w:lang w:val="fr-FR"/>
        </w:rPr>
        <w:t>’</w:t>
      </w:r>
      <w:r w:rsidRPr="004D3006">
        <w:rPr>
          <w:lang w:val="fr-FR"/>
        </w:rPr>
        <w:t xml:space="preserve">augmentation de la </w:t>
      </w:r>
      <w:r>
        <w:rPr>
          <w:lang w:val="fr-FR"/>
        </w:rPr>
        <w:t>contenance</w:t>
      </w:r>
      <w:r w:rsidRPr="004D3006">
        <w:rPr>
          <w:lang w:val="fr-FR"/>
        </w:rPr>
        <w:t xml:space="preserve"> </w:t>
      </w:r>
      <w:r>
        <w:rPr>
          <w:lang w:val="fr-FR"/>
        </w:rPr>
        <w:t>par récipient jusqu’à un maximum</w:t>
      </w:r>
      <w:r w:rsidRPr="004D3006">
        <w:rPr>
          <w:lang w:val="fr-FR"/>
        </w:rPr>
        <w:t xml:space="preserve"> de 250</w:t>
      </w:r>
      <w:r>
        <w:rPr>
          <w:lang w:val="fr-FR"/>
        </w:rPr>
        <w:t> </w:t>
      </w:r>
      <w:r w:rsidRPr="004D3006">
        <w:rPr>
          <w:lang w:val="fr-FR"/>
        </w:rPr>
        <w:t xml:space="preserve">litres </w:t>
      </w:r>
      <w:r>
        <w:rPr>
          <w:lang w:val="fr-FR"/>
        </w:rPr>
        <w:t xml:space="preserve">ne compromettra pas la sécurité ni </w:t>
      </w:r>
      <w:r w:rsidRPr="004D3006">
        <w:rPr>
          <w:lang w:val="fr-FR"/>
        </w:rPr>
        <w:t xml:space="preserve">ne nuira à la stabilité de ces bateaux </w:t>
      </w:r>
      <w:r>
        <w:rPr>
          <w:lang w:val="fr-FR"/>
        </w:rPr>
        <w:t>au point</w:t>
      </w:r>
      <w:r w:rsidRPr="004D3006">
        <w:rPr>
          <w:lang w:val="fr-FR"/>
        </w:rPr>
        <w:t xml:space="preserve"> qu</w:t>
      </w:r>
      <w:r>
        <w:rPr>
          <w:lang w:val="fr-FR"/>
        </w:rPr>
        <w:t>’</w:t>
      </w:r>
      <w:r w:rsidRPr="004D3006">
        <w:rPr>
          <w:lang w:val="fr-FR"/>
        </w:rPr>
        <w:t xml:space="preserve">ils ne satisfassent pas aux </w:t>
      </w:r>
      <w:r>
        <w:rPr>
          <w:lang w:val="fr-FR"/>
        </w:rPr>
        <w:t>prescriptions</w:t>
      </w:r>
      <w:r w:rsidRPr="004D3006">
        <w:rPr>
          <w:lang w:val="fr-FR"/>
        </w:rPr>
        <w:t xml:space="preserve"> minimales</w:t>
      </w:r>
      <w:r>
        <w:rPr>
          <w:lang w:val="fr-FR"/>
        </w:rPr>
        <w:t xml:space="preserve"> des réglementations en vigueur</w:t>
      </w:r>
      <w:r w:rsidRPr="004D3006">
        <w:rPr>
          <w:lang w:val="fr-FR"/>
        </w:rPr>
        <w:t xml:space="preserve"> en </w:t>
      </w:r>
      <w:r>
        <w:rPr>
          <w:lang w:val="fr-FR"/>
        </w:rPr>
        <w:t xml:space="preserve">la </w:t>
      </w:r>
      <w:r w:rsidRPr="004D3006">
        <w:rPr>
          <w:lang w:val="fr-FR"/>
        </w:rPr>
        <w:t>matière.</w:t>
      </w:r>
    </w:p>
    <w:p w14:paraId="6FE33838" w14:textId="0E962039" w:rsidR="00F9573C" w:rsidRPr="00A87CA6" w:rsidRDefault="00A87CA6" w:rsidP="00A87CA6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F9573C" w:rsidRPr="00A87CA6" w:rsidSect="00A87CA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BBFE" w14:textId="77777777" w:rsidR="00383129" w:rsidRDefault="00383129" w:rsidP="00F95C08">
      <w:pPr>
        <w:spacing w:line="240" w:lineRule="auto"/>
      </w:pPr>
    </w:p>
  </w:endnote>
  <w:endnote w:type="continuationSeparator" w:id="0">
    <w:p w14:paraId="3A6AE77D" w14:textId="77777777" w:rsidR="00383129" w:rsidRPr="00AC3823" w:rsidRDefault="00383129" w:rsidP="00AC3823">
      <w:pPr>
        <w:pStyle w:val="Pieddepage"/>
      </w:pPr>
    </w:p>
  </w:endnote>
  <w:endnote w:type="continuationNotice" w:id="1">
    <w:p w14:paraId="45BB305E" w14:textId="77777777" w:rsidR="00383129" w:rsidRDefault="003831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F0EE" w14:textId="308B44DC" w:rsidR="00A87CA6" w:rsidRPr="00A87CA6" w:rsidRDefault="00A87CA6" w:rsidP="00A87CA6">
    <w:pPr>
      <w:pStyle w:val="Pieddepage"/>
      <w:tabs>
        <w:tab w:val="right" w:pos="9638"/>
      </w:tabs>
    </w:pPr>
    <w:r w:rsidRPr="00A87CA6">
      <w:rPr>
        <w:b/>
        <w:sz w:val="18"/>
      </w:rPr>
      <w:fldChar w:fldCharType="begin"/>
    </w:r>
    <w:r w:rsidRPr="00A87CA6">
      <w:rPr>
        <w:b/>
        <w:sz w:val="18"/>
      </w:rPr>
      <w:instrText xml:space="preserve"> PAGE  \* MERGEFORMAT </w:instrText>
    </w:r>
    <w:r w:rsidRPr="00A87CA6">
      <w:rPr>
        <w:b/>
        <w:sz w:val="18"/>
      </w:rPr>
      <w:fldChar w:fldCharType="separate"/>
    </w:r>
    <w:r w:rsidRPr="00A87CA6">
      <w:rPr>
        <w:b/>
        <w:noProof/>
        <w:sz w:val="18"/>
      </w:rPr>
      <w:t>2</w:t>
    </w:r>
    <w:r w:rsidRPr="00A87CA6">
      <w:rPr>
        <w:b/>
        <w:sz w:val="18"/>
      </w:rPr>
      <w:fldChar w:fldCharType="end"/>
    </w:r>
    <w:r>
      <w:rPr>
        <w:b/>
        <w:sz w:val="18"/>
      </w:rPr>
      <w:tab/>
    </w:r>
    <w:r>
      <w:t>GE.23-21995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8BE4" w14:textId="02A48CE9" w:rsidR="00A87CA6" w:rsidRPr="00A87CA6" w:rsidRDefault="00A87CA6" w:rsidP="00A87CA6">
    <w:pPr>
      <w:pStyle w:val="Pieddepage"/>
      <w:tabs>
        <w:tab w:val="right" w:pos="9638"/>
      </w:tabs>
      <w:rPr>
        <w:b/>
        <w:sz w:val="18"/>
      </w:rPr>
    </w:pPr>
    <w:r>
      <w:t>GE.23-21995</w:t>
    </w:r>
    <w:r>
      <w:tab/>
    </w:r>
    <w:r w:rsidRPr="00A87CA6">
      <w:rPr>
        <w:b/>
        <w:sz w:val="18"/>
      </w:rPr>
      <w:fldChar w:fldCharType="begin"/>
    </w:r>
    <w:r w:rsidRPr="00A87CA6">
      <w:rPr>
        <w:b/>
        <w:sz w:val="18"/>
      </w:rPr>
      <w:instrText xml:space="preserve"> PAGE  \* MERGEFORMAT </w:instrText>
    </w:r>
    <w:r w:rsidRPr="00A87CA6">
      <w:rPr>
        <w:b/>
        <w:sz w:val="18"/>
      </w:rPr>
      <w:fldChar w:fldCharType="separate"/>
    </w:r>
    <w:r w:rsidRPr="00A87CA6">
      <w:rPr>
        <w:b/>
        <w:noProof/>
        <w:sz w:val="18"/>
      </w:rPr>
      <w:t>3</w:t>
    </w:r>
    <w:r w:rsidRPr="00A87CA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2F02" w14:textId="59FFA78D" w:rsidR="007F20FA" w:rsidRPr="00A87CA6" w:rsidRDefault="00A87CA6" w:rsidP="00A87CA6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29C19F76" wp14:editId="7292C108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23-21995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34BE9DD" wp14:editId="7D307C83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81063473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061223    061223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D165" w14:textId="77777777" w:rsidR="00383129" w:rsidRPr="00AC3823" w:rsidRDefault="00383129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CFD8A5F" w14:textId="77777777" w:rsidR="00383129" w:rsidRPr="00AC3823" w:rsidRDefault="00383129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EDE40C0" w14:textId="77777777" w:rsidR="00383129" w:rsidRPr="00AC3823" w:rsidRDefault="00383129">
      <w:pPr>
        <w:spacing w:line="240" w:lineRule="auto"/>
        <w:rPr>
          <w:sz w:val="2"/>
          <w:szCs w:val="2"/>
        </w:rPr>
      </w:pPr>
    </w:p>
  </w:footnote>
  <w:footnote w:id="2">
    <w:p w14:paraId="62BA15D4" w14:textId="77777777" w:rsidR="00A87CA6" w:rsidRPr="00F150D1" w:rsidRDefault="00A87CA6" w:rsidP="00A87CA6">
      <w:pPr>
        <w:pStyle w:val="Notedebasdepage"/>
        <w:rPr>
          <w:lang w:val="fr-SN"/>
        </w:rPr>
      </w:pPr>
      <w:r>
        <w:rPr>
          <w:lang w:val="fr-FR"/>
        </w:rPr>
        <w:tab/>
      </w:r>
      <w:r w:rsidRPr="00132A32">
        <w:rPr>
          <w:sz w:val="20"/>
          <w:lang w:val="fr-FR"/>
        </w:rPr>
        <w:t>*</w:t>
      </w:r>
      <w:r>
        <w:rPr>
          <w:lang w:val="fr-FR"/>
        </w:rPr>
        <w:tab/>
        <w:t>Diffusée en allemand par la Commission centrale pour la navigation du Rhin sous la cote CCNR</w:t>
      </w:r>
      <w:r>
        <w:rPr>
          <w:lang w:val="fr-FR"/>
        </w:rPr>
        <w:noBreakHyphen/>
        <w:t>ZKR/ADN/WP.15/AC.2/2024/28.</w:t>
      </w:r>
    </w:p>
  </w:footnote>
  <w:footnote w:id="3">
    <w:p w14:paraId="17E45E47" w14:textId="77777777" w:rsidR="00A87CA6" w:rsidRPr="00404A27" w:rsidRDefault="00A87CA6" w:rsidP="00A87CA6">
      <w:pPr>
        <w:pStyle w:val="Notedebasdepage"/>
      </w:pPr>
      <w:r>
        <w:rPr>
          <w:lang w:val="fr-FR"/>
        </w:rPr>
        <w:tab/>
      </w:r>
      <w:r w:rsidRPr="00132A32">
        <w:rPr>
          <w:sz w:val="20"/>
          <w:lang w:val="fr-FR"/>
        </w:rPr>
        <w:t>**</w:t>
      </w:r>
      <w:r>
        <w:rPr>
          <w:lang w:val="fr-FR"/>
        </w:rPr>
        <w:tab/>
        <w:t>A/78/6 (Sect. 20), tableau 20.5.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C318" w14:textId="747DD459" w:rsidR="00A87CA6" w:rsidRPr="00A87CA6" w:rsidRDefault="00A87CA6">
    <w:pPr>
      <w:pStyle w:val="En-tte"/>
    </w:pPr>
    <w:fldSimple w:instr=" TITLE  \* MERGEFORMAT ">
      <w:r w:rsidR="000A3266">
        <w:t>ECE/TRANS/WP.15/AC.2/2024/28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A377" w14:textId="65C02057" w:rsidR="00A87CA6" w:rsidRPr="00A87CA6" w:rsidRDefault="00A87CA6" w:rsidP="00A87CA6">
    <w:pPr>
      <w:pStyle w:val="En-tte"/>
      <w:jc w:val="right"/>
    </w:pPr>
    <w:fldSimple w:instr=" TITLE  \* MERGEFORMAT ">
      <w:r w:rsidR="000A3266">
        <w:t>ECE/TRANS/WP.15/AC.2/2024/28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2131392930">
    <w:abstractNumId w:val="12"/>
  </w:num>
  <w:num w:numId="2" w16cid:durableId="2045672795">
    <w:abstractNumId w:val="11"/>
  </w:num>
  <w:num w:numId="3" w16cid:durableId="554052826">
    <w:abstractNumId w:val="10"/>
  </w:num>
  <w:num w:numId="4" w16cid:durableId="72316295">
    <w:abstractNumId w:val="8"/>
  </w:num>
  <w:num w:numId="5" w16cid:durableId="1215314436">
    <w:abstractNumId w:val="3"/>
  </w:num>
  <w:num w:numId="6" w16cid:durableId="997928071">
    <w:abstractNumId w:val="2"/>
  </w:num>
  <w:num w:numId="7" w16cid:durableId="1523855368">
    <w:abstractNumId w:val="1"/>
  </w:num>
  <w:num w:numId="8" w16cid:durableId="420957923">
    <w:abstractNumId w:val="0"/>
  </w:num>
  <w:num w:numId="9" w16cid:durableId="1306082622">
    <w:abstractNumId w:val="9"/>
  </w:num>
  <w:num w:numId="10" w16cid:durableId="986278200">
    <w:abstractNumId w:val="7"/>
  </w:num>
  <w:num w:numId="11" w16cid:durableId="779760199">
    <w:abstractNumId w:val="6"/>
  </w:num>
  <w:num w:numId="12" w16cid:durableId="1649631750">
    <w:abstractNumId w:val="5"/>
  </w:num>
  <w:num w:numId="13" w16cid:durableId="299654224">
    <w:abstractNumId w:val="4"/>
  </w:num>
  <w:num w:numId="14" w16cid:durableId="156238602">
    <w:abstractNumId w:val="12"/>
  </w:num>
  <w:num w:numId="15" w16cid:durableId="1882861919">
    <w:abstractNumId w:val="11"/>
  </w:num>
  <w:num w:numId="16" w16cid:durableId="723602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29"/>
    <w:rsid w:val="00017F94"/>
    <w:rsid w:val="00023842"/>
    <w:rsid w:val="000334F9"/>
    <w:rsid w:val="00045FEB"/>
    <w:rsid w:val="0007796D"/>
    <w:rsid w:val="000A3266"/>
    <w:rsid w:val="000B7790"/>
    <w:rsid w:val="00111F2F"/>
    <w:rsid w:val="001167B5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83129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71601D"/>
    <w:rsid w:val="007A62E6"/>
    <w:rsid w:val="007F20FA"/>
    <w:rsid w:val="0080684C"/>
    <w:rsid w:val="00871C75"/>
    <w:rsid w:val="008776DC"/>
    <w:rsid w:val="008D5EF9"/>
    <w:rsid w:val="009446C0"/>
    <w:rsid w:val="009705C8"/>
    <w:rsid w:val="009C1CF4"/>
    <w:rsid w:val="009F6B74"/>
    <w:rsid w:val="00A3029F"/>
    <w:rsid w:val="00A30353"/>
    <w:rsid w:val="00A87CA6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7039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3A721"/>
  <w15:docId w15:val="{8162757B-E0B6-4B4C-858B-A3CE9968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locked/>
    <w:rsid w:val="00A87CA6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content">
    <w:name w:val="content"/>
    <w:basedOn w:val="Policepardfaut"/>
    <w:rsid w:val="00A8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FB595C-7AC6-4CA8-8EF7-723F34F5FC48}"/>
</file>

<file path=customXml/itemProps2.xml><?xml version="1.0" encoding="utf-8"?>
<ds:datastoreItem xmlns:ds="http://schemas.openxmlformats.org/officeDocument/2006/customXml" ds:itemID="{37A6BF9F-2908-4916-84BE-AB822B452C97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2</TotalTime>
  <Pages>3</Pages>
  <Words>775</Words>
  <Characters>5425</Characters>
  <Application>Microsoft Office Word</Application>
  <DocSecurity>0</DocSecurity>
  <Lines>452</Lines>
  <Paragraphs>247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ECE/TRANS/WP.15/AC.2/2024/28</dc:title>
  <dc:subject/>
  <dc:creator>Estelle-Delphine DITTA</dc:creator>
  <cp:keywords/>
  <cp:lastModifiedBy>Estelle-Delphine DITTA</cp:lastModifiedBy>
  <cp:revision>3</cp:revision>
  <cp:lastPrinted>2023-12-06T15:31:00Z</cp:lastPrinted>
  <dcterms:created xsi:type="dcterms:W3CDTF">2023-12-06T15:30:00Z</dcterms:created>
  <dcterms:modified xsi:type="dcterms:W3CDTF">2023-12-06T15:32:00Z</dcterms:modified>
</cp:coreProperties>
</file>