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0FF8227" w14:textId="77777777" w:rsidTr="00B20551">
        <w:trPr>
          <w:cantSplit/>
          <w:trHeight w:hRule="exact" w:val="851"/>
        </w:trPr>
        <w:tc>
          <w:tcPr>
            <w:tcW w:w="1276" w:type="dxa"/>
            <w:tcBorders>
              <w:bottom w:val="single" w:sz="4" w:space="0" w:color="auto"/>
            </w:tcBorders>
            <w:vAlign w:val="bottom"/>
          </w:tcPr>
          <w:p w14:paraId="51FAF9BB" w14:textId="77777777" w:rsidR="009E6CB7" w:rsidRDefault="009E6CB7" w:rsidP="00B20551">
            <w:pPr>
              <w:spacing w:after="80"/>
            </w:pPr>
          </w:p>
        </w:tc>
        <w:tc>
          <w:tcPr>
            <w:tcW w:w="2268" w:type="dxa"/>
            <w:tcBorders>
              <w:bottom w:val="single" w:sz="4" w:space="0" w:color="auto"/>
            </w:tcBorders>
            <w:vAlign w:val="bottom"/>
          </w:tcPr>
          <w:p w14:paraId="244B5FD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AA96E75" w14:textId="35E002BF" w:rsidR="009E6CB7" w:rsidRPr="00D47EEA" w:rsidRDefault="007455C3" w:rsidP="007455C3">
            <w:pPr>
              <w:jc w:val="right"/>
            </w:pPr>
            <w:r w:rsidRPr="007455C3">
              <w:rPr>
                <w:sz w:val="40"/>
              </w:rPr>
              <w:t>ECE</w:t>
            </w:r>
            <w:r>
              <w:t>/TRANS/WP.15/AC.2/2024/25</w:t>
            </w:r>
          </w:p>
        </w:tc>
      </w:tr>
      <w:tr w:rsidR="009E6CB7" w14:paraId="6A3896B7" w14:textId="77777777" w:rsidTr="00B20551">
        <w:trPr>
          <w:cantSplit/>
          <w:trHeight w:hRule="exact" w:val="2835"/>
        </w:trPr>
        <w:tc>
          <w:tcPr>
            <w:tcW w:w="1276" w:type="dxa"/>
            <w:tcBorders>
              <w:top w:val="single" w:sz="4" w:space="0" w:color="auto"/>
              <w:bottom w:val="single" w:sz="12" w:space="0" w:color="auto"/>
            </w:tcBorders>
          </w:tcPr>
          <w:p w14:paraId="7530F18C" w14:textId="77777777" w:rsidR="009E6CB7" w:rsidRDefault="00686A48" w:rsidP="00B20551">
            <w:pPr>
              <w:spacing w:before="120"/>
            </w:pPr>
            <w:r>
              <w:rPr>
                <w:noProof/>
                <w:lang w:val="fr-CH" w:eastAsia="fr-CH"/>
              </w:rPr>
              <w:drawing>
                <wp:inline distT="0" distB="0" distL="0" distR="0" wp14:anchorId="102C8BB3" wp14:editId="17F7F9F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1AF90D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BEE86D4" w14:textId="77777777" w:rsidR="009E6CB7" w:rsidRDefault="007455C3" w:rsidP="007455C3">
            <w:pPr>
              <w:spacing w:before="240" w:line="240" w:lineRule="exact"/>
            </w:pPr>
            <w:r>
              <w:t>Distr.: General</w:t>
            </w:r>
          </w:p>
          <w:p w14:paraId="43C16CAB" w14:textId="3260B014" w:rsidR="007455C3" w:rsidRDefault="000C5354" w:rsidP="007455C3">
            <w:pPr>
              <w:spacing w:line="240" w:lineRule="exact"/>
            </w:pPr>
            <w:r>
              <w:t>10</w:t>
            </w:r>
            <w:r w:rsidR="007455C3">
              <w:t xml:space="preserve"> November 202</w:t>
            </w:r>
            <w:r>
              <w:t>3</w:t>
            </w:r>
          </w:p>
          <w:p w14:paraId="4364DCE6" w14:textId="77777777" w:rsidR="007455C3" w:rsidRDefault="007455C3" w:rsidP="007455C3">
            <w:pPr>
              <w:spacing w:line="240" w:lineRule="exact"/>
            </w:pPr>
          </w:p>
          <w:p w14:paraId="7753F05A" w14:textId="0F7B40FE" w:rsidR="007455C3" w:rsidRDefault="007455C3" w:rsidP="007455C3">
            <w:pPr>
              <w:spacing w:line="240" w:lineRule="exact"/>
            </w:pPr>
            <w:r>
              <w:t>Original: English</w:t>
            </w:r>
          </w:p>
        </w:tc>
      </w:tr>
    </w:tbl>
    <w:p w14:paraId="50DE316D" w14:textId="77777777" w:rsidR="007455C3" w:rsidRPr="003134DF" w:rsidRDefault="007455C3" w:rsidP="00C411EB">
      <w:pPr>
        <w:spacing w:before="120"/>
        <w:rPr>
          <w:b/>
          <w:sz w:val="28"/>
          <w:szCs w:val="28"/>
        </w:rPr>
      </w:pPr>
      <w:r w:rsidRPr="003134DF">
        <w:rPr>
          <w:b/>
          <w:sz w:val="28"/>
          <w:szCs w:val="28"/>
        </w:rPr>
        <w:t>Economic Commission for Europe</w:t>
      </w:r>
    </w:p>
    <w:p w14:paraId="771AF876" w14:textId="77777777" w:rsidR="007455C3" w:rsidRPr="003134DF" w:rsidRDefault="007455C3" w:rsidP="00C411EB">
      <w:pPr>
        <w:spacing w:before="120"/>
        <w:rPr>
          <w:sz w:val="28"/>
          <w:szCs w:val="28"/>
        </w:rPr>
      </w:pPr>
      <w:r w:rsidRPr="003134DF">
        <w:rPr>
          <w:sz w:val="28"/>
          <w:szCs w:val="28"/>
        </w:rPr>
        <w:t>Inland Transport Committee</w:t>
      </w:r>
    </w:p>
    <w:p w14:paraId="60BACD36" w14:textId="77777777" w:rsidR="007455C3" w:rsidRPr="003134DF" w:rsidRDefault="007455C3" w:rsidP="00C411EB">
      <w:pPr>
        <w:spacing w:before="120"/>
        <w:rPr>
          <w:b/>
          <w:sz w:val="24"/>
          <w:szCs w:val="24"/>
        </w:rPr>
      </w:pPr>
      <w:r w:rsidRPr="003134DF">
        <w:rPr>
          <w:b/>
          <w:sz w:val="24"/>
          <w:szCs w:val="24"/>
        </w:rPr>
        <w:t>Working Party on the Transport of Dangerous Goods</w:t>
      </w:r>
    </w:p>
    <w:p w14:paraId="795F84AE" w14:textId="77777777" w:rsidR="007455C3" w:rsidRPr="003134DF" w:rsidRDefault="007455C3" w:rsidP="00C411EB">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6B404680" w14:textId="77777777" w:rsidR="007455C3" w:rsidRPr="008D7010" w:rsidRDefault="007455C3" w:rsidP="007455C3">
      <w:pPr>
        <w:spacing w:before="120"/>
        <w:rPr>
          <w:b/>
        </w:rPr>
      </w:pPr>
      <w:r>
        <w:rPr>
          <w:b/>
        </w:rPr>
        <w:t xml:space="preserve">Forty-third </w:t>
      </w:r>
      <w:r w:rsidRPr="008D7010">
        <w:rPr>
          <w:b/>
        </w:rPr>
        <w:t>session</w:t>
      </w:r>
    </w:p>
    <w:p w14:paraId="1BDD94C3" w14:textId="77777777" w:rsidR="007455C3" w:rsidRDefault="007455C3" w:rsidP="007455C3">
      <w:r w:rsidRPr="008D7010">
        <w:t xml:space="preserve">Geneva, </w:t>
      </w:r>
      <w:r>
        <w:t>22-26 January 2024</w:t>
      </w:r>
    </w:p>
    <w:p w14:paraId="1EA0C4D9" w14:textId="6B91646B" w:rsidR="007455C3" w:rsidRDefault="007455C3" w:rsidP="007455C3">
      <w:pPr>
        <w:rPr>
          <w:lang w:val="en-US"/>
        </w:rPr>
      </w:pPr>
      <w:r>
        <w:rPr>
          <w:lang w:val="en-US"/>
        </w:rPr>
        <w:t>Item 5 (b) of the provisional agenda</w:t>
      </w:r>
    </w:p>
    <w:p w14:paraId="2A36663D" w14:textId="265DAF3B" w:rsidR="001C6663" w:rsidRPr="007455C3" w:rsidRDefault="007455C3" w:rsidP="00C411EB">
      <w:pPr>
        <w:rPr>
          <w:b/>
          <w:bCs/>
        </w:rPr>
      </w:pPr>
      <w:r w:rsidRPr="007455C3">
        <w:rPr>
          <w:b/>
          <w:bCs/>
        </w:rPr>
        <w:t>Proposals for amendments to the Regulations annexed to ADN:</w:t>
      </w:r>
    </w:p>
    <w:p w14:paraId="731843D2" w14:textId="7A78FA82" w:rsidR="007455C3" w:rsidRDefault="007455C3" w:rsidP="00C411EB">
      <w:pPr>
        <w:rPr>
          <w:b/>
          <w:bCs/>
        </w:rPr>
      </w:pPr>
      <w:r w:rsidRPr="007455C3">
        <w:rPr>
          <w:b/>
          <w:bCs/>
        </w:rPr>
        <w:t>other proposals</w:t>
      </w:r>
    </w:p>
    <w:p w14:paraId="1452861A" w14:textId="25B67DF0" w:rsidR="007455C3" w:rsidRDefault="007455C3" w:rsidP="007455C3">
      <w:pPr>
        <w:pStyle w:val="HChG"/>
      </w:pPr>
      <w:r>
        <w:tab/>
      </w:r>
      <w:r>
        <w:tab/>
        <w:t xml:space="preserve">Proposal </w:t>
      </w:r>
      <w:r w:rsidR="003E099A">
        <w:t xml:space="preserve">on </w:t>
      </w:r>
      <w:r>
        <w:t>transitional provisions of gas detectors</w:t>
      </w:r>
    </w:p>
    <w:p w14:paraId="3CEF4B6B" w14:textId="45255208" w:rsidR="007455C3" w:rsidRDefault="007455C3" w:rsidP="007455C3">
      <w:pPr>
        <w:pStyle w:val="H1G"/>
      </w:pPr>
      <w:r>
        <w:tab/>
      </w:r>
      <w:r>
        <w:tab/>
        <w:t>Transmitted by European Barge Union (EBU) and European Skippers Organisation (ESO)</w:t>
      </w:r>
      <w:r w:rsidRPr="00771558">
        <w:rPr>
          <w:rStyle w:val="FootnoteReference"/>
          <w:sz w:val="20"/>
          <w:vertAlign w:val="baseline"/>
        </w:rPr>
        <w:footnoteReference w:customMarkFollows="1" w:id="2"/>
        <w:t>*</w:t>
      </w:r>
      <w:r w:rsidRPr="00404A27">
        <w:rPr>
          <w:sz w:val="20"/>
          <w:vertAlign w:val="superscript"/>
        </w:rPr>
        <w:t xml:space="preserve">, </w:t>
      </w:r>
      <w:r w:rsidRPr="00404A27">
        <w:rPr>
          <w:rStyle w:val="FootnoteReference"/>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7455C3" w14:paraId="0D41B3C6" w14:textId="77777777" w:rsidTr="00D42DB1">
        <w:trPr>
          <w:jc w:val="center"/>
        </w:trPr>
        <w:tc>
          <w:tcPr>
            <w:tcW w:w="9629" w:type="dxa"/>
            <w:shd w:val="clear" w:color="auto" w:fill="auto"/>
          </w:tcPr>
          <w:p w14:paraId="43C8E68E" w14:textId="77777777" w:rsidR="007455C3" w:rsidRPr="00C6263E" w:rsidRDefault="007455C3" w:rsidP="006E5E26">
            <w:pPr>
              <w:spacing w:before="240" w:after="120"/>
              <w:ind w:left="255"/>
              <w:rPr>
                <w:i/>
                <w:sz w:val="24"/>
              </w:rPr>
            </w:pPr>
            <w:r w:rsidRPr="00C6263E">
              <w:rPr>
                <w:i/>
                <w:sz w:val="24"/>
              </w:rPr>
              <w:t>Summary</w:t>
            </w:r>
          </w:p>
        </w:tc>
      </w:tr>
      <w:tr w:rsidR="007455C3" w14:paraId="3C31C01D" w14:textId="77777777" w:rsidTr="00D42DB1">
        <w:trPr>
          <w:jc w:val="center"/>
        </w:trPr>
        <w:tc>
          <w:tcPr>
            <w:tcW w:w="9629" w:type="dxa"/>
            <w:shd w:val="clear" w:color="auto" w:fill="auto"/>
          </w:tcPr>
          <w:p w14:paraId="2160CD4F" w14:textId="2A32210B" w:rsidR="007455C3" w:rsidRPr="00614061" w:rsidRDefault="007455C3" w:rsidP="007455C3">
            <w:pPr>
              <w:ind w:right="1125"/>
              <w:rPr>
                <w:b/>
                <w:bCs/>
              </w:rPr>
            </w:pPr>
            <w:r>
              <w:rPr>
                <w:b/>
                <w:bCs/>
              </w:rPr>
              <w:tab/>
            </w:r>
            <w:r>
              <w:rPr>
                <w:b/>
                <w:bCs/>
              </w:rPr>
              <w:tab/>
            </w:r>
            <w:r w:rsidRPr="00614061">
              <w:rPr>
                <w:b/>
                <w:bCs/>
              </w:rPr>
              <w:t>Related documents:</w:t>
            </w:r>
            <w:r w:rsidRPr="00614061">
              <w:rPr>
                <w:b/>
                <w:bCs/>
              </w:rPr>
              <w:tab/>
            </w:r>
            <w:r w:rsidRPr="00614061">
              <w:rPr>
                <w:b/>
                <w:bCs/>
              </w:rPr>
              <w:tab/>
            </w:r>
            <w:r w:rsidRPr="00614061">
              <w:t xml:space="preserve">Informal document </w:t>
            </w:r>
            <w:r w:rsidR="00760CC2">
              <w:t>INF.</w:t>
            </w:r>
            <w:r w:rsidRPr="00614061">
              <w:t>5 of the fortieth session</w:t>
            </w:r>
          </w:p>
          <w:p w14:paraId="19B113A9" w14:textId="4703EA4F" w:rsidR="007455C3" w:rsidRPr="00614061" w:rsidRDefault="007455C3" w:rsidP="007455C3">
            <w:pPr>
              <w:ind w:right="1125"/>
            </w:pPr>
            <w:r w:rsidRPr="00614061">
              <w:tab/>
            </w:r>
            <w:r w:rsidRPr="00614061">
              <w:tab/>
            </w:r>
            <w:r w:rsidRPr="00614061">
              <w:tab/>
            </w:r>
            <w:r w:rsidRPr="00614061">
              <w:tab/>
            </w:r>
            <w:r>
              <w:tab/>
            </w:r>
            <w:r w:rsidRPr="00614061">
              <w:tab/>
              <w:t>ECE/TRANS/WP.15/AC.2/72; (Report of the thirty-sixt</w:t>
            </w:r>
            <w:r w:rsidR="00D42DB1">
              <w:t>h</w:t>
            </w:r>
            <w:r w:rsidRPr="00614061">
              <w:t xml:space="preserve"> </w:t>
            </w:r>
            <w:r w:rsidR="00D42DB1">
              <w:tab/>
            </w:r>
            <w:r w:rsidR="00D42DB1">
              <w:tab/>
            </w:r>
            <w:r w:rsidR="00D42DB1">
              <w:tab/>
            </w:r>
            <w:r w:rsidR="00D42DB1">
              <w:tab/>
            </w:r>
            <w:r w:rsidR="00D42DB1">
              <w:tab/>
            </w:r>
            <w:r w:rsidR="00D42DB1">
              <w:tab/>
            </w:r>
            <w:r w:rsidRPr="00614061">
              <w:t>session, addendum)</w:t>
            </w:r>
          </w:p>
          <w:p w14:paraId="394C0A92" w14:textId="37C2E461" w:rsidR="007455C3" w:rsidRPr="00614061" w:rsidRDefault="007455C3" w:rsidP="007455C3">
            <w:pPr>
              <w:ind w:right="1125"/>
              <w:rPr>
                <w:b/>
                <w:bCs/>
              </w:rPr>
            </w:pPr>
            <w:r w:rsidRPr="00614061">
              <w:tab/>
            </w:r>
            <w:r w:rsidRPr="00614061">
              <w:tab/>
            </w:r>
            <w:r w:rsidRPr="00614061">
              <w:tab/>
            </w:r>
            <w:r w:rsidRPr="00614061">
              <w:tab/>
            </w:r>
            <w:r>
              <w:tab/>
            </w:r>
            <w:r w:rsidRPr="00614061">
              <w:tab/>
              <w:t xml:space="preserve">Informal document </w:t>
            </w:r>
            <w:r w:rsidR="00450F93">
              <w:t>INF.</w:t>
            </w:r>
            <w:r w:rsidRPr="00614061">
              <w:t>21 of the forty</w:t>
            </w:r>
            <w:r w:rsidR="00450F93">
              <w:t>-</w:t>
            </w:r>
            <w:r w:rsidRPr="00614061">
              <w:t>first session</w:t>
            </w:r>
          </w:p>
          <w:p w14:paraId="2C9A72C5" w14:textId="69ED7DA7" w:rsidR="007455C3" w:rsidRDefault="007455C3" w:rsidP="007455C3">
            <w:pPr>
              <w:pStyle w:val="SingleTxtG"/>
              <w:ind w:right="1125"/>
            </w:pPr>
            <w:r w:rsidRPr="00614061">
              <w:tab/>
            </w:r>
            <w:r w:rsidRPr="00614061">
              <w:tab/>
            </w:r>
            <w:r>
              <w:tab/>
            </w:r>
            <w:r>
              <w:tab/>
            </w:r>
            <w:r w:rsidRPr="00614061">
              <w:tab/>
              <w:t>ECE/TRANS/WP.15/AC.2/86; par</w:t>
            </w:r>
            <w:r w:rsidR="00450F93">
              <w:t>a</w:t>
            </w:r>
            <w:r w:rsidRPr="00614061">
              <w:t>. 24 (Report of the forty-</w:t>
            </w:r>
            <w:r>
              <w:tab/>
            </w:r>
            <w:r>
              <w:tab/>
            </w:r>
            <w:r>
              <w:tab/>
            </w:r>
            <w:r>
              <w:tab/>
            </w:r>
            <w:r>
              <w:tab/>
            </w:r>
            <w:r w:rsidRPr="00614061">
              <w:t>second session)</w:t>
            </w:r>
          </w:p>
        </w:tc>
      </w:tr>
    </w:tbl>
    <w:p w14:paraId="4DC4DFC1" w14:textId="77777777" w:rsidR="00D42DB1" w:rsidRDefault="00D42DB1" w:rsidP="00D42DB1">
      <w:pPr>
        <w:pStyle w:val="HChG"/>
      </w:pPr>
      <w:r>
        <w:tab/>
      </w:r>
      <w:r>
        <w:tab/>
        <w:t>Introduction</w:t>
      </w:r>
    </w:p>
    <w:p w14:paraId="14C8D4DE" w14:textId="4DCC5F5A" w:rsidR="00D42DB1" w:rsidRPr="00D42DB1" w:rsidRDefault="00D42DB1" w:rsidP="00D42DB1">
      <w:pPr>
        <w:pStyle w:val="SingleTxtG"/>
      </w:pPr>
      <w:r>
        <w:t>1.</w:t>
      </w:r>
      <w:r>
        <w:tab/>
        <w:t xml:space="preserve">At its fortieth session in August 2022, the </w:t>
      </w:r>
      <w:r w:rsidR="00AF0725">
        <w:t xml:space="preserve">ADN </w:t>
      </w:r>
      <w:r>
        <w:t xml:space="preserve">Safety Committee discussed informal document INF.5, "Proposal regarding transitional provisions of gas detectors" which was </w:t>
      </w:r>
      <w:r w:rsidRPr="002D0570">
        <w:t>transmitted by EBU</w:t>
      </w:r>
      <w:r w:rsidR="00D10697">
        <w:t>/ESO</w:t>
      </w:r>
      <w:r w:rsidRPr="002D0570">
        <w:t>. At its forty</w:t>
      </w:r>
      <w:r w:rsidR="00AF0725">
        <w:t>-</w:t>
      </w:r>
      <w:r w:rsidRPr="002D0570">
        <w:t xml:space="preserve">second session in August 2023, the </w:t>
      </w:r>
      <w:r w:rsidR="00AF0725">
        <w:t xml:space="preserve">ADN </w:t>
      </w:r>
      <w:r w:rsidRPr="002D0570">
        <w:t xml:space="preserve">Safety Committee discussed informal document INF.21, </w:t>
      </w:r>
      <w:r>
        <w:t>"</w:t>
      </w:r>
      <w:r w:rsidRPr="002D0570">
        <w:t>Proposal regarding transitional provisions of gas detectors</w:t>
      </w:r>
      <w:r>
        <w:t>"</w:t>
      </w:r>
      <w:r w:rsidR="006C700A">
        <w:t>,</w:t>
      </w:r>
      <w:r w:rsidRPr="002D0570">
        <w:t xml:space="preserve"> which was also transmitted by </w:t>
      </w:r>
      <w:r w:rsidR="00EB423B" w:rsidRPr="002D0570">
        <w:t>EBU</w:t>
      </w:r>
      <w:r w:rsidR="00EB423B">
        <w:t>/ESO</w:t>
      </w:r>
      <w:r w:rsidRPr="00D42DB1">
        <w:t>. With this document EBU/ESO would like to continue the discussion and make a proposal to amend a current transitional provision.</w:t>
      </w:r>
    </w:p>
    <w:p w14:paraId="779B15BF" w14:textId="5B5D166D" w:rsidR="00D42DB1" w:rsidRPr="00D42DB1" w:rsidRDefault="00D42DB1" w:rsidP="00D42DB1">
      <w:pPr>
        <w:pStyle w:val="SingleTxtG"/>
      </w:pPr>
      <w:r w:rsidRPr="00D42DB1">
        <w:lastRenderedPageBreak/>
        <w:t>2.</w:t>
      </w:r>
      <w:r w:rsidRPr="00D42DB1">
        <w:tab/>
        <w:t xml:space="preserve">In the barging industry flammable gas detectors are already used for many years. These detectors have been tested and approved according to the version of the standard which was valid at the actual introduction </w:t>
      </w:r>
      <w:r w:rsidR="0009631D">
        <w:t>in</w:t>
      </w:r>
      <w:r w:rsidRPr="00D42DB1">
        <w:t xml:space="preserve">to the market. </w:t>
      </w:r>
    </w:p>
    <w:p w14:paraId="139E3D12" w14:textId="369FBC77" w:rsidR="00D42DB1" w:rsidRPr="00D42DB1" w:rsidRDefault="00D42DB1" w:rsidP="00D42DB1">
      <w:pPr>
        <w:pStyle w:val="SingleTxtG"/>
      </w:pPr>
      <w:r w:rsidRPr="00D42DB1">
        <w:t>3.</w:t>
      </w:r>
      <w:r w:rsidRPr="00D42DB1">
        <w:tab/>
        <w:t xml:space="preserve">Due to the added requirement in ADN 2019, specifying a version of </w:t>
      </w:r>
      <w:r w:rsidR="00B346C9">
        <w:t>the</w:t>
      </w:r>
      <w:r w:rsidR="00B346C9" w:rsidRPr="00D42DB1">
        <w:t xml:space="preserve"> </w:t>
      </w:r>
      <w:r w:rsidRPr="00D42DB1">
        <w:t>standard (60079-29-1:2016), which the gas detector must comply with, means that a lot of these detectors will become unacceptable/not allowed.</w:t>
      </w:r>
    </w:p>
    <w:p w14:paraId="3899989B" w14:textId="203AEC19" w:rsidR="00D42DB1" w:rsidRPr="00D42DB1" w:rsidRDefault="00D42DB1" w:rsidP="00D42DB1">
      <w:pPr>
        <w:pStyle w:val="SingleTxtG"/>
      </w:pPr>
      <w:r w:rsidRPr="00D42DB1">
        <w:t>4.</w:t>
      </w:r>
      <w:r w:rsidRPr="00D42DB1">
        <w:tab/>
        <w:t xml:space="preserve">In practice the industry is now confronted with class surveyors which require a gas detector </w:t>
      </w:r>
      <w:r w:rsidR="00BC445D">
        <w:t>that</w:t>
      </w:r>
      <w:r w:rsidR="00BC445D" w:rsidRPr="00D42DB1">
        <w:t xml:space="preserve"> </w:t>
      </w:r>
      <w:r w:rsidRPr="00D42DB1">
        <w:t xml:space="preserve">complies with </w:t>
      </w:r>
      <w:r w:rsidR="00CA1EC6" w:rsidRPr="00D42DB1">
        <w:t xml:space="preserve">standard </w:t>
      </w:r>
      <w:r w:rsidRPr="00D42DB1">
        <w:t xml:space="preserve">EN 60079-29-1:2016 to be on board before a </w:t>
      </w:r>
      <w:r w:rsidR="00D92A96">
        <w:t>c</w:t>
      </w:r>
      <w:r w:rsidRPr="00D42DB1">
        <w:t xml:space="preserve">ertificate of </w:t>
      </w:r>
      <w:r w:rsidR="00D92A96">
        <w:t>a</w:t>
      </w:r>
      <w:r w:rsidRPr="00D42DB1">
        <w:t xml:space="preserve">pproval can be issued. Which means: </w:t>
      </w:r>
    </w:p>
    <w:p w14:paraId="77804D91" w14:textId="77777777" w:rsidR="00D42DB1" w:rsidRDefault="00D42DB1" w:rsidP="00D42DB1">
      <w:pPr>
        <w:pStyle w:val="Bullet1G"/>
        <w:suppressAutoHyphens/>
      </w:pPr>
      <w:r>
        <w:t>that good working approved equipment must be disposed of and replaced by newly acquired equipment;</w:t>
      </w:r>
    </w:p>
    <w:p w14:paraId="102CBD06" w14:textId="77777777" w:rsidR="00D42DB1" w:rsidRDefault="00D42DB1" w:rsidP="00D42DB1">
      <w:pPr>
        <w:pStyle w:val="Bullet1G"/>
        <w:suppressAutoHyphens/>
      </w:pPr>
      <w:r>
        <w:t>a previous investment is nullified (destruction of money);</w:t>
      </w:r>
    </w:p>
    <w:p w14:paraId="1F5C40B6" w14:textId="0F8030F5" w:rsidR="00D42DB1" w:rsidRDefault="00D42DB1" w:rsidP="00D42DB1">
      <w:pPr>
        <w:pStyle w:val="Bullet1G"/>
        <w:suppressAutoHyphens/>
      </w:pPr>
      <w:r>
        <w:t>unnecessary (</w:t>
      </w:r>
      <w:r w:rsidR="00386BDE">
        <w:t>e</w:t>
      </w:r>
      <w:r>
        <w:t>-)waste is generated.</w:t>
      </w:r>
    </w:p>
    <w:p w14:paraId="312B3C11" w14:textId="3030C641" w:rsidR="00D42DB1" w:rsidRDefault="00D42DB1" w:rsidP="00D42DB1">
      <w:pPr>
        <w:pStyle w:val="SingleTxtG"/>
      </w:pPr>
      <w:r>
        <w:t>5.</w:t>
      </w:r>
      <w:r>
        <w:tab/>
        <w:t xml:space="preserve">For example the Dräger X-am 7000 </w:t>
      </w:r>
      <w:r w:rsidR="00F23F00">
        <w:t xml:space="preserve">was </w:t>
      </w:r>
      <w:r>
        <w:t>produced till 2019. But is tested against standard EN 60079-29-1:2007 (</w:t>
      </w:r>
      <w:r w:rsidR="00556896">
        <w:t>w</w:t>
      </w:r>
      <w:r>
        <w:t>hich is one version previous to the standard required by ADN 2019).</w:t>
      </w:r>
    </w:p>
    <w:p w14:paraId="62AC299F" w14:textId="5C0EC927" w:rsidR="00D42DB1" w:rsidRDefault="00D42DB1" w:rsidP="00D42DB1">
      <w:pPr>
        <w:pStyle w:val="SingleTxtG"/>
      </w:pPr>
      <w:r>
        <w:t>6.</w:t>
      </w:r>
      <w:r>
        <w:tab/>
        <w:t xml:space="preserve">EBU/ESO has carried out a sample in the industry, 214 gas detectors were examined, which are currently operational. Approximately 60 per cent of the gas detectors (n=125) did not comply with </w:t>
      </w:r>
      <w:r w:rsidR="00A367FE">
        <w:t xml:space="preserve">standard </w:t>
      </w:r>
      <w:r>
        <w:t xml:space="preserve">EN 60079-29-1:2016. </w:t>
      </w:r>
    </w:p>
    <w:p w14:paraId="01C5A39D" w14:textId="61446DE3" w:rsidR="00D42DB1" w:rsidRDefault="00D42DB1" w:rsidP="00D42DB1">
      <w:pPr>
        <w:pStyle w:val="SingleTxtG"/>
      </w:pPr>
      <w:r>
        <w:t>7.</w:t>
      </w:r>
      <w:r>
        <w:tab/>
        <w:t xml:space="preserve">Extrapolating the mentioned sample and percentage leads to a conservative estimation of more than 600 gas detectors in the industry that do not comply with </w:t>
      </w:r>
      <w:r w:rsidR="00D31D1C">
        <w:t xml:space="preserve">standard </w:t>
      </w:r>
      <w:r>
        <w:br/>
        <w:t xml:space="preserve">EN 60079-29-1:2016. </w:t>
      </w:r>
    </w:p>
    <w:p w14:paraId="16227243" w14:textId="77777777" w:rsidR="00D42DB1" w:rsidRDefault="00D42DB1" w:rsidP="00D42DB1">
      <w:pPr>
        <w:pStyle w:val="SingleTxtG"/>
      </w:pPr>
      <w:r>
        <w:t>8.</w:t>
      </w:r>
      <w:r>
        <w:tab/>
        <w:t xml:space="preserve">In addition, EBU/ESO has conducted research into the way in which these standard changes are implemented on the shore side. Such equipment remains compliant with the standard applicable at the time of purchase. In addition, devices that no longer comply with the new standard will no longer be sold as soon as the new standard comes into effect. This document applies to the gas detectors that are currently in operation on board inland vessels. </w:t>
      </w:r>
    </w:p>
    <w:p w14:paraId="42863EF9" w14:textId="77777777" w:rsidR="00D42DB1" w:rsidRDefault="00D42DB1" w:rsidP="00D42DB1">
      <w:pPr>
        <w:pStyle w:val="SingleTxtG"/>
      </w:pPr>
      <w:r>
        <w:t>9.</w:t>
      </w:r>
      <w:r>
        <w:tab/>
        <w:t xml:space="preserve">Finally, it goes without saying that all gas detectors are subject to periodic inspections by accredited specialized organizations. In the event of rejection, the device will be taken out of service. In these cases gas detectors will be purchased that comply with the actual/applicable standards. </w:t>
      </w:r>
      <w:r>
        <w:tab/>
      </w:r>
    </w:p>
    <w:p w14:paraId="332A9DA4" w14:textId="77777777" w:rsidR="00D42DB1" w:rsidRDefault="00D42DB1" w:rsidP="00D42DB1">
      <w:pPr>
        <w:pStyle w:val="HChG"/>
      </w:pPr>
      <w:r>
        <w:tab/>
        <w:t>I.</w:t>
      </w:r>
      <w:r>
        <w:tab/>
        <w:t xml:space="preserve">Current ADN text </w:t>
      </w:r>
    </w:p>
    <w:p w14:paraId="04EE657D" w14:textId="77777777" w:rsidR="00D42DB1" w:rsidRDefault="00D42DB1" w:rsidP="00D42DB1">
      <w:pPr>
        <w:pStyle w:val="SingleTxtG"/>
      </w:pPr>
      <w:r>
        <w:t>10.</w:t>
      </w:r>
      <w:r>
        <w:tab/>
        <w:t>The current ADN 2023 describes the following with respect to the gas detector meter:</w:t>
      </w:r>
    </w:p>
    <w:p w14:paraId="48B815C5" w14:textId="77777777" w:rsidR="00D42DB1" w:rsidRDefault="00D42DB1" w:rsidP="00D42DB1">
      <w:pPr>
        <w:pStyle w:val="SingleTxtG"/>
        <w:ind w:left="1701"/>
        <w:rPr>
          <w:b/>
          <w:bCs/>
        </w:rPr>
      </w:pPr>
      <w:r>
        <w:rPr>
          <w:b/>
          <w:bCs/>
        </w:rPr>
        <w:t>"1.2.1</w:t>
      </w:r>
      <w:r>
        <w:rPr>
          <w:b/>
          <w:bCs/>
        </w:rPr>
        <w:tab/>
        <w:t>Definitions</w:t>
      </w:r>
    </w:p>
    <w:p w14:paraId="59280A98" w14:textId="193887B7" w:rsidR="00D42DB1" w:rsidRDefault="00D42DB1" w:rsidP="00D42DB1">
      <w:pPr>
        <w:pStyle w:val="SingleTxtG"/>
        <w:ind w:left="1701"/>
      </w:pPr>
      <w:r>
        <w:rPr>
          <w:i/>
          <w:iCs/>
        </w:rPr>
        <w:tab/>
        <w:t>Gas detector</w:t>
      </w:r>
      <w:r>
        <w:rPr>
          <w:i/>
          <w:iCs/>
          <w:sz w:val="22"/>
          <w:szCs w:val="22"/>
        </w:rPr>
        <w:t xml:space="preserve"> </w:t>
      </w:r>
      <w:r>
        <w:t xml:space="preserve">means a portable device allowing measurement of any significant concentration of flammable gases below the LEL and which clearly indicates the concentration of such gases. Gas detectors may be designed for measuring flammable gases only, but also for measuring both flammable gases and oxygen. This device shall be so designed that measurements are possible without the necessity of entering the spaces to be checked. </w:t>
      </w:r>
    </w:p>
    <w:p w14:paraId="702B55DD" w14:textId="77777777" w:rsidR="00D42DB1" w:rsidRDefault="00D42DB1" w:rsidP="00D42DB1">
      <w:pPr>
        <w:pStyle w:val="SingleTxtG"/>
        <w:ind w:left="1701"/>
      </w:pPr>
      <w:r>
        <w:tab/>
        <w:t>The maximum detection level of the sensors is 5% of the LEL of the most critical substance in the vessel substance list for tank vessels or the cargo for dry cargo vessels. The flammable gas detector shall be certified according to IEC/EN</w:t>
      </w:r>
      <w:r>
        <w:rPr>
          <w:vertAlign w:val="superscript"/>
        </w:rPr>
        <w:t>7</w:t>
      </w:r>
      <w:r>
        <w:t xml:space="preserve"> 60079-29-1:2016. If it is used in explosion hazardous areas, it shall also comply with the requirements for use in the zone concerned and evidence of such compliance (e.g., conformity assessment procedure according to Directive 2014/34/EU,</w:t>
      </w:r>
      <w:r>
        <w:rPr>
          <w:vertAlign w:val="superscript"/>
        </w:rPr>
        <w:t>3</w:t>
      </w:r>
      <w:r>
        <w:t xml:space="preserve"> the IECEx System,</w:t>
      </w:r>
      <w:r>
        <w:rPr>
          <w:vertAlign w:val="superscript"/>
        </w:rPr>
        <w:t>4</w:t>
      </w:r>
      <w:r>
        <w:t xml:space="preserve"> ECE/TRADE/391</w:t>
      </w:r>
      <w:r>
        <w:rPr>
          <w:vertAlign w:val="superscript"/>
        </w:rPr>
        <w:t>5</w:t>
      </w:r>
      <w:r>
        <w:t xml:space="preserve"> or at least equivalent) shall be supplied;"</w:t>
      </w:r>
    </w:p>
    <w:p w14:paraId="5AFAAA73" w14:textId="77777777" w:rsidR="00D42DB1" w:rsidRDefault="00D42DB1" w:rsidP="00D42DB1">
      <w:pPr>
        <w:pStyle w:val="SingleTxtG"/>
        <w:keepNext/>
        <w:keepLines/>
      </w:pPr>
      <w:r>
        <w:lastRenderedPageBreak/>
        <w:t>11.</w:t>
      </w:r>
      <w:r>
        <w:tab/>
        <w:t>Subsequently the following transitional provision is described, concerning the gas detector:</w:t>
      </w:r>
    </w:p>
    <w:p w14:paraId="5D69F79C" w14:textId="77777777" w:rsidR="00D42DB1" w:rsidRDefault="00D42DB1" w:rsidP="00D42DB1">
      <w:pPr>
        <w:spacing w:line="240" w:lineRule="auto"/>
        <w:ind w:left="567" w:firstLine="567"/>
        <w:rPr>
          <w:b/>
          <w:bCs/>
        </w:rPr>
      </w:pPr>
      <w:bookmarkStart w:id="0" w:name="_Hlk107234558"/>
      <w:r>
        <w:rPr>
          <w:b/>
          <w:bCs/>
        </w:rPr>
        <w:t>"1.6.7.2.2.2 Table of general transitional provisions: Tank vessels</w:t>
      </w:r>
    </w:p>
    <w:p w14:paraId="454D02D9" w14:textId="77777777" w:rsidR="00D42DB1" w:rsidRDefault="00D42DB1" w:rsidP="00D42DB1">
      <w:pPr>
        <w:spacing w:line="240" w:lineRule="auto"/>
        <w:rPr>
          <w:b/>
          <w:bCs/>
          <w:u w:val="single"/>
        </w:rPr>
      </w:pPr>
    </w:p>
    <w:tbl>
      <w:tblPr>
        <w:tblStyle w:val="TableGrid"/>
        <w:tblW w:w="0" w:type="auto"/>
        <w:tblInd w:w="1129" w:type="dxa"/>
        <w:tblLook w:val="04A0" w:firstRow="1" w:lastRow="0" w:firstColumn="1" w:lastColumn="0" w:noHBand="0" w:noVBand="1"/>
      </w:tblPr>
      <w:tblGrid>
        <w:gridCol w:w="1891"/>
        <w:gridCol w:w="3021"/>
        <w:gridCol w:w="3021"/>
      </w:tblGrid>
      <w:tr w:rsidR="00D42DB1" w:rsidRPr="004169BF" w14:paraId="29B54FBF" w14:textId="77777777" w:rsidTr="00FB428D">
        <w:tc>
          <w:tcPr>
            <w:tcW w:w="1891" w:type="dxa"/>
            <w:tcBorders>
              <w:top w:val="single" w:sz="4" w:space="0" w:color="auto"/>
              <w:left w:val="single" w:sz="4" w:space="0" w:color="auto"/>
              <w:bottom w:val="single" w:sz="4" w:space="0" w:color="auto"/>
              <w:right w:val="single" w:sz="4" w:space="0" w:color="auto"/>
            </w:tcBorders>
            <w:hideMark/>
          </w:tcPr>
          <w:p w14:paraId="36731D3E" w14:textId="77777777" w:rsidR="00D42DB1" w:rsidRDefault="00D42DB1" w:rsidP="00FB428D">
            <w:pPr>
              <w:spacing w:line="240" w:lineRule="auto"/>
            </w:pPr>
            <w:r>
              <w:t xml:space="preserve">1.2.1 </w:t>
            </w:r>
          </w:p>
          <w:p w14:paraId="7935A844" w14:textId="77777777" w:rsidR="00D42DB1" w:rsidRDefault="00D42DB1" w:rsidP="00FB428D">
            <w:pPr>
              <w:spacing w:line="240" w:lineRule="auto"/>
            </w:pPr>
            <w: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1A852341" w14:textId="77777777" w:rsidR="00D42DB1" w:rsidRDefault="00D42DB1" w:rsidP="00FB428D">
            <w:pPr>
              <w:spacing w:after="120" w:line="240" w:lineRule="auto"/>
            </w:pPr>
            <w:r>
              <w:t>Gas detector</w:t>
            </w:r>
          </w:p>
          <w:p w14:paraId="00A6337B" w14:textId="77777777" w:rsidR="00D42DB1" w:rsidRDefault="00D42DB1" w:rsidP="00FB428D">
            <w:pPr>
              <w:spacing w:line="240" w:lineRule="auto"/>
            </w:pPr>
            <w:r>
              <w:t>Test according to</w:t>
            </w:r>
          </w:p>
          <w:p w14:paraId="0311B860" w14:textId="77777777" w:rsidR="00D42DB1" w:rsidRDefault="00D42DB1" w:rsidP="00FB428D">
            <w:pPr>
              <w:spacing w:line="240" w:lineRule="auto"/>
            </w:pPr>
            <w:r>
              <w:t>IEC 60079-29-1:2016</w:t>
            </w:r>
          </w:p>
        </w:tc>
        <w:tc>
          <w:tcPr>
            <w:tcW w:w="3021" w:type="dxa"/>
            <w:tcBorders>
              <w:top w:val="single" w:sz="4" w:space="0" w:color="auto"/>
              <w:left w:val="single" w:sz="4" w:space="0" w:color="auto"/>
              <w:bottom w:val="single" w:sz="4" w:space="0" w:color="auto"/>
              <w:right w:val="single" w:sz="4" w:space="0" w:color="auto"/>
            </w:tcBorders>
            <w:hideMark/>
          </w:tcPr>
          <w:p w14:paraId="59DAE150" w14:textId="77777777" w:rsidR="00D42DB1" w:rsidRDefault="00D42DB1" w:rsidP="00FB428D">
            <w:pPr>
              <w:spacing w:line="240" w:lineRule="auto"/>
            </w:pPr>
            <w:r>
              <w:t>N.R.M. from 1 January 2019</w:t>
            </w:r>
          </w:p>
          <w:p w14:paraId="3D02A65F" w14:textId="77777777" w:rsidR="00D42DB1" w:rsidRDefault="00D42DB1" w:rsidP="00FB428D">
            <w:pPr>
              <w:spacing w:line="240" w:lineRule="auto"/>
            </w:pPr>
            <w:r>
              <w:t>Renewal of the certificate of approval after 31 December 2020</w:t>
            </w:r>
          </w:p>
        </w:tc>
      </w:tr>
    </w:tbl>
    <w:p w14:paraId="2BC125EF" w14:textId="77777777" w:rsidR="00D42DB1" w:rsidRDefault="00D42DB1" w:rsidP="00D42DB1">
      <w:pPr>
        <w:pStyle w:val="SingleTxtG"/>
      </w:pPr>
      <w:bookmarkStart w:id="1" w:name="_Hlk61886046"/>
      <w:bookmarkEnd w:id="0"/>
      <w:r>
        <w:t>"</w:t>
      </w:r>
    </w:p>
    <w:p w14:paraId="2BD9099B" w14:textId="637EA831" w:rsidR="00D42DB1" w:rsidRDefault="00D42DB1" w:rsidP="00D42DB1">
      <w:pPr>
        <w:pStyle w:val="HChG"/>
      </w:pPr>
      <w:r>
        <w:tab/>
        <w:t>II.</w:t>
      </w:r>
      <w:r>
        <w:tab/>
        <w:t xml:space="preserve">Request to the </w:t>
      </w:r>
      <w:r w:rsidR="003F2F67">
        <w:t xml:space="preserve">ADN </w:t>
      </w:r>
      <w:r>
        <w:t>Safety Committee</w:t>
      </w:r>
    </w:p>
    <w:bookmarkEnd w:id="1"/>
    <w:p w14:paraId="40525999" w14:textId="77777777" w:rsidR="00D42DB1" w:rsidRPr="00D42DB1" w:rsidRDefault="00D42DB1" w:rsidP="00D42DB1">
      <w:pPr>
        <w:pStyle w:val="SingleTxtG"/>
      </w:pPr>
      <w:r w:rsidRPr="00D42DB1">
        <w:t>12.</w:t>
      </w:r>
      <w:r w:rsidRPr="00D42DB1">
        <w:tab/>
        <w:t xml:space="preserve">This document focuses on the specific case of flammable gas detectors. In principle, however, the problem also applies to other devices whenever they have to comply with a specific standard cited in the ADN. </w:t>
      </w:r>
    </w:p>
    <w:p w14:paraId="324417B4" w14:textId="493F7BE3" w:rsidR="00D42DB1" w:rsidRPr="00D42DB1" w:rsidRDefault="00D42DB1" w:rsidP="00D42DB1">
      <w:pPr>
        <w:pStyle w:val="SingleTxtG"/>
      </w:pPr>
      <w:r w:rsidRPr="00D42DB1">
        <w:t>13.</w:t>
      </w:r>
      <w:r w:rsidRPr="00D42DB1">
        <w:tab/>
        <w:t xml:space="preserve">The </w:t>
      </w:r>
      <w:r w:rsidR="004A37DD" w:rsidRPr="00D42DB1">
        <w:t>ADN Safety C</w:t>
      </w:r>
      <w:r w:rsidRPr="00D42DB1">
        <w:t xml:space="preserve">ommittee is requested to consider to state that equipment which is approved and accepted </w:t>
      </w:r>
      <w:proofErr w:type="gramStart"/>
      <w:r w:rsidRPr="00D42DB1">
        <w:t>according</w:t>
      </w:r>
      <w:proofErr w:type="gramEnd"/>
      <w:r w:rsidRPr="00D42DB1">
        <w:t xml:space="preserve"> a certain standard when introduced </w:t>
      </w:r>
      <w:r w:rsidR="00F8129A">
        <w:t>in</w:t>
      </w:r>
      <w:r w:rsidRPr="00D42DB1">
        <w:t>to the market will remain acceptable for the rest of its technical life cycle. Even when new standards are made available, which do not lay down additional (test) requirements.</w:t>
      </w:r>
    </w:p>
    <w:p w14:paraId="794E150D" w14:textId="3C765C68" w:rsidR="00D42DB1" w:rsidRPr="00D42DB1" w:rsidRDefault="00D42DB1" w:rsidP="00D42DB1">
      <w:pPr>
        <w:pStyle w:val="SingleTxtG"/>
      </w:pPr>
      <w:r w:rsidRPr="00D42DB1">
        <w:t>14.</w:t>
      </w:r>
      <w:r w:rsidRPr="00D42DB1">
        <w:tab/>
        <w:t>During the forty</w:t>
      </w:r>
      <w:r w:rsidR="00897AC3">
        <w:t>-</w:t>
      </w:r>
      <w:r w:rsidRPr="00D42DB1">
        <w:t xml:space="preserve">second meeting of the ADN Safety Committee, whilst discussing </w:t>
      </w:r>
      <w:r w:rsidR="001470C1">
        <w:t>i</w:t>
      </w:r>
      <w:r w:rsidRPr="00D42DB1">
        <w:t xml:space="preserve">nformal </w:t>
      </w:r>
      <w:r w:rsidR="00897AC3">
        <w:t>d</w:t>
      </w:r>
      <w:r w:rsidRPr="00D42DB1">
        <w:t xml:space="preserve">ocument </w:t>
      </w:r>
      <w:r w:rsidR="00897AC3">
        <w:t>INF.</w:t>
      </w:r>
      <w:r w:rsidRPr="00D42DB1">
        <w:t xml:space="preserve">21 of EBU/ESO, the Belgian government remarked that, in </w:t>
      </w:r>
      <w:r w:rsidR="00897AC3">
        <w:br/>
      </w:r>
      <w:r w:rsidR="001A47BC" w:rsidRPr="001A47BC">
        <w:t xml:space="preserve">European Standard laying down technical requirements for Inland Navigation vessels </w:t>
      </w:r>
      <w:r w:rsidR="001A47BC">
        <w:t>(</w:t>
      </w:r>
      <w:r w:rsidRPr="00D42DB1">
        <w:t>ES-TRIN regulations</w:t>
      </w:r>
      <w:r w:rsidR="001A47BC">
        <w:t>)</w:t>
      </w:r>
      <w:r w:rsidRPr="00D42DB1">
        <w:t xml:space="preserve">, whenever a requirement or paragraphs refer to a European or International Standard, such items of equipment may, after any new publication or revision of the </w:t>
      </w:r>
      <w:r w:rsidR="001A3492">
        <w:t>s</w:t>
      </w:r>
      <w:r w:rsidRPr="00D42DB1">
        <w:t xml:space="preserve">tandard, continue to be used for a further </w:t>
      </w:r>
      <w:r w:rsidR="001A3492">
        <w:t>twenty</w:t>
      </w:r>
      <w:r w:rsidR="001A3492" w:rsidRPr="00D42DB1">
        <w:t xml:space="preserve"> </w:t>
      </w:r>
      <w:r w:rsidRPr="00D42DB1">
        <w:t>years following the new publication or the revision of th</w:t>
      </w:r>
      <w:r w:rsidR="001A3492">
        <w:t>e</w:t>
      </w:r>
      <w:r w:rsidRPr="00D42DB1">
        <w:t xml:space="preserve"> </w:t>
      </w:r>
      <w:r w:rsidR="001A3492">
        <w:t>s</w:t>
      </w:r>
      <w:r w:rsidRPr="00D42DB1">
        <w:t>tandard.</w:t>
      </w:r>
    </w:p>
    <w:p w14:paraId="438A8A8F" w14:textId="28213EBA" w:rsidR="00D42DB1" w:rsidRPr="00D42DB1" w:rsidRDefault="00D42DB1" w:rsidP="00D42DB1">
      <w:pPr>
        <w:pStyle w:val="SingleTxtG"/>
      </w:pPr>
      <w:r w:rsidRPr="00D42DB1">
        <w:t>15.</w:t>
      </w:r>
      <w:r w:rsidRPr="00D42DB1">
        <w:tab/>
        <w:t>The Belgian government would make a proposal for the forty</w:t>
      </w:r>
      <w:r w:rsidR="000F490E">
        <w:t>-</w:t>
      </w:r>
      <w:r w:rsidRPr="00D42DB1">
        <w:t xml:space="preserve">third </w:t>
      </w:r>
      <w:r w:rsidR="00C07876">
        <w:t>session</w:t>
      </w:r>
      <w:r w:rsidR="00C07876" w:rsidRPr="00D42DB1">
        <w:t xml:space="preserve"> </w:t>
      </w:r>
      <w:r w:rsidRPr="00D42DB1">
        <w:t>where, in such terms, certain pieces of equipment could also be subject to the same transitional period in the ADN.</w:t>
      </w:r>
    </w:p>
    <w:p w14:paraId="34F26D16" w14:textId="4E274B67" w:rsidR="00D42DB1" w:rsidRPr="00D42DB1" w:rsidRDefault="00D42DB1" w:rsidP="00D42DB1">
      <w:pPr>
        <w:pStyle w:val="SingleTxtG"/>
      </w:pPr>
      <w:r w:rsidRPr="00D42DB1">
        <w:t>16.</w:t>
      </w:r>
      <w:r w:rsidRPr="00D42DB1">
        <w:tab/>
        <w:t xml:space="preserve">If adopted, subject flammable gas detectors remain compliant with the standard applicable at the time of purchase plus further </w:t>
      </w:r>
      <w:r w:rsidR="00C87758">
        <w:t>twenty</w:t>
      </w:r>
      <w:r w:rsidR="00C87758" w:rsidRPr="00D42DB1">
        <w:t xml:space="preserve"> </w:t>
      </w:r>
      <w:r w:rsidRPr="00D42DB1">
        <w:t xml:space="preserve">years following the new publication or the revision of a </w:t>
      </w:r>
      <w:r w:rsidR="00C87758">
        <w:t>s</w:t>
      </w:r>
      <w:r w:rsidRPr="00D42DB1">
        <w:t>tandard.</w:t>
      </w:r>
    </w:p>
    <w:p w14:paraId="534FB65D" w14:textId="77777777" w:rsidR="00D42DB1" w:rsidRPr="00D42DB1" w:rsidRDefault="00D42DB1" w:rsidP="00D42DB1">
      <w:pPr>
        <w:pStyle w:val="SingleTxtG"/>
      </w:pPr>
      <w:r w:rsidRPr="00D42DB1">
        <w:t>17.</w:t>
      </w:r>
      <w:r w:rsidRPr="00D42DB1">
        <w:tab/>
        <w:t>Another possible solution could be to consider an extension of the current transitional provision, in line with other provisions which have been adapted during the 2019 revision of the ADN, concerning explosion safety. Many transitional provisions expire at "Renewal of Certificate of Approval after 31 December 2034".</w:t>
      </w:r>
    </w:p>
    <w:p w14:paraId="3413F1AA" w14:textId="77777777" w:rsidR="00D42DB1" w:rsidRPr="00531E20" w:rsidRDefault="00D42DB1" w:rsidP="00D42DB1">
      <w:pPr>
        <w:pStyle w:val="HChG"/>
        <w:ind w:hanging="708"/>
      </w:pPr>
      <w:r w:rsidRPr="00531E20">
        <w:tab/>
        <w:t>III.</w:t>
      </w:r>
      <w:r w:rsidRPr="00531E20">
        <w:tab/>
        <w:t>Proposal I</w:t>
      </w:r>
    </w:p>
    <w:p w14:paraId="7C2AE577" w14:textId="4D25FE02" w:rsidR="00D42DB1" w:rsidRPr="00531E20" w:rsidRDefault="00D42DB1" w:rsidP="00D42DB1">
      <w:pPr>
        <w:pStyle w:val="SingleTxtG"/>
      </w:pPr>
      <w:r w:rsidRPr="00531E20">
        <w:t>18.</w:t>
      </w:r>
      <w:r w:rsidRPr="00531E20">
        <w:tab/>
        <w:t xml:space="preserve">The </w:t>
      </w:r>
      <w:r w:rsidR="008C155F" w:rsidRPr="00D42DB1">
        <w:t xml:space="preserve">ADN Safety </w:t>
      </w:r>
      <w:r w:rsidR="00A60215">
        <w:t>C</w:t>
      </w:r>
      <w:r w:rsidRPr="00531E20">
        <w:t>ommittee is requested to discuss a general approach towards equipment that is subject to standard/norm revisions. A possible approach is mentioned in section II, paragraph</w:t>
      </w:r>
      <w:r w:rsidR="00557AA3">
        <w:t>s</w:t>
      </w:r>
      <w:r w:rsidRPr="00531E20">
        <w:t xml:space="preserve"> 14 - 16 of this document. If </w:t>
      </w:r>
      <w:r w:rsidR="00CB5676" w:rsidRPr="00531E20">
        <w:t xml:space="preserve">our proposal as mentioned under </w:t>
      </w:r>
      <w:r w:rsidR="00CB5676">
        <w:t>section</w:t>
      </w:r>
      <w:r w:rsidR="0029494F">
        <w:t> </w:t>
      </w:r>
      <w:r w:rsidR="00CB5676" w:rsidRPr="00531E20">
        <w:t xml:space="preserve">II </w:t>
      </w:r>
      <w:r w:rsidR="0029494F">
        <w:t xml:space="preserve">above </w:t>
      </w:r>
      <w:r w:rsidR="00CB5676">
        <w:t xml:space="preserve">is </w:t>
      </w:r>
      <w:r w:rsidRPr="00531E20">
        <w:t xml:space="preserve">adopted, it would automatically mean that this equipment remain compliant with the standard applicable at the time of purchase plus further </w:t>
      </w:r>
      <w:r w:rsidR="000D3520">
        <w:t>twenty</w:t>
      </w:r>
      <w:r w:rsidR="000D3520" w:rsidRPr="00531E20">
        <w:t xml:space="preserve"> </w:t>
      </w:r>
      <w:r w:rsidRPr="00531E20">
        <w:t xml:space="preserve">years following the new publication or the revision of a </w:t>
      </w:r>
      <w:r w:rsidR="000D3520">
        <w:t>s</w:t>
      </w:r>
      <w:r w:rsidRPr="00531E20">
        <w:t>tandard.</w:t>
      </w:r>
    </w:p>
    <w:p w14:paraId="14B1F6DA" w14:textId="647FB2A6" w:rsidR="00D42DB1" w:rsidRPr="00531E20" w:rsidRDefault="00D42DB1" w:rsidP="00D42DB1">
      <w:pPr>
        <w:pStyle w:val="HChG"/>
        <w:ind w:hanging="708"/>
      </w:pPr>
      <w:r>
        <w:tab/>
      </w:r>
      <w:r w:rsidRPr="00531E20">
        <w:t>IV.</w:t>
      </w:r>
      <w:r>
        <w:tab/>
      </w:r>
      <w:r w:rsidRPr="00531E20">
        <w:t xml:space="preserve">Proposal II </w:t>
      </w:r>
    </w:p>
    <w:p w14:paraId="62F963A3" w14:textId="458E740F" w:rsidR="00D42DB1" w:rsidRPr="00D42DB1" w:rsidRDefault="00D42DB1" w:rsidP="00D42DB1">
      <w:pPr>
        <w:pStyle w:val="SingleTxtG"/>
      </w:pPr>
      <w:r w:rsidRPr="00D42DB1">
        <w:t>19.</w:t>
      </w:r>
      <w:r w:rsidRPr="00D42DB1">
        <w:tab/>
        <w:t xml:space="preserve">Subsequently, if the general approach towards equipment that is subject to standard/norm revisions is not adopted, the </w:t>
      </w:r>
      <w:r w:rsidR="00346AB0" w:rsidRPr="00D42DB1">
        <w:t>ADN Safety Committee</w:t>
      </w:r>
      <w:r w:rsidRPr="00D42DB1">
        <w:t xml:space="preserve"> is requested to discuss an amendment of the requirement for the specific standard of the flammable gas detector as mentioned in section II, paragraph 17 of his document.</w:t>
      </w:r>
    </w:p>
    <w:p w14:paraId="1470537D" w14:textId="3D712164" w:rsidR="00D42DB1" w:rsidRPr="00D42DB1" w:rsidRDefault="00D42DB1" w:rsidP="00D42DB1">
      <w:pPr>
        <w:pStyle w:val="SingleTxtG"/>
        <w:pageBreakBefore/>
      </w:pPr>
      <w:r w:rsidRPr="00D42DB1">
        <w:lastRenderedPageBreak/>
        <w:t>20.</w:t>
      </w:r>
      <w:r w:rsidRPr="00D42DB1">
        <w:tab/>
        <w:t>To prevent unnecessary investments and generation of waste EBU/ESO proposes the following amend</w:t>
      </w:r>
      <w:r w:rsidR="00C34240">
        <w:t>ment of</w:t>
      </w:r>
      <w:r w:rsidRPr="00D42DB1">
        <w:t xml:space="preserve"> the transitional provision 1.6.7.2.2.2 </w:t>
      </w:r>
      <w:r w:rsidR="00A90C28">
        <w:t>on</w:t>
      </w:r>
      <w:r w:rsidR="00A90C28" w:rsidRPr="00D42DB1">
        <w:t xml:space="preserve"> </w:t>
      </w:r>
      <w:r w:rsidRPr="00D42DB1">
        <w:t xml:space="preserve">the definition of the </w:t>
      </w:r>
      <w:r w:rsidR="00A90C28">
        <w:t>g</w:t>
      </w:r>
      <w:r w:rsidRPr="00D42DB1">
        <w:t>as detector as follows</w:t>
      </w:r>
      <w:r w:rsidR="0086538D">
        <w:t xml:space="preserve"> (next text in bold, deleted text in strikethrough)</w:t>
      </w:r>
      <w:r w:rsidRPr="00D42DB1">
        <w:t>:</w:t>
      </w:r>
    </w:p>
    <w:p w14:paraId="343F8BC6" w14:textId="381ABDF7" w:rsidR="00D42DB1" w:rsidRDefault="00D42DB1" w:rsidP="00E22F0C">
      <w:pPr>
        <w:pStyle w:val="SingleTxtG"/>
        <w:ind w:left="0"/>
      </w:pPr>
    </w:p>
    <w:p w14:paraId="04E1E899" w14:textId="2A966066" w:rsidR="00D42DB1" w:rsidRDefault="00D42DB1" w:rsidP="00D42DB1">
      <w:pPr>
        <w:pStyle w:val="H23G"/>
      </w:pPr>
      <w:r>
        <w:tab/>
      </w:r>
      <w:r>
        <w:tab/>
      </w:r>
      <w:r w:rsidR="00A74154" w:rsidRPr="00E22F0C">
        <w:rPr>
          <w:b w:val="0"/>
          <w:bCs/>
        </w:rPr>
        <w:t>“</w:t>
      </w:r>
      <w:r>
        <w:t>1.6.7.2.2.2 Table of general transitional provisions: Tank vessels</w:t>
      </w:r>
    </w:p>
    <w:tbl>
      <w:tblPr>
        <w:tblStyle w:val="TableGrid"/>
        <w:tblW w:w="0" w:type="auto"/>
        <w:tblInd w:w="1129" w:type="dxa"/>
        <w:tblLook w:val="04A0" w:firstRow="1" w:lastRow="0" w:firstColumn="1" w:lastColumn="0" w:noHBand="0" w:noVBand="1"/>
      </w:tblPr>
      <w:tblGrid>
        <w:gridCol w:w="1891"/>
        <w:gridCol w:w="3021"/>
        <w:gridCol w:w="3021"/>
      </w:tblGrid>
      <w:tr w:rsidR="00D42DB1" w:rsidRPr="004169BF" w14:paraId="6F417855" w14:textId="77777777" w:rsidTr="00FB428D">
        <w:tc>
          <w:tcPr>
            <w:tcW w:w="1891" w:type="dxa"/>
            <w:tcBorders>
              <w:top w:val="single" w:sz="4" w:space="0" w:color="auto"/>
              <w:left w:val="single" w:sz="4" w:space="0" w:color="auto"/>
              <w:bottom w:val="single" w:sz="4" w:space="0" w:color="auto"/>
              <w:right w:val="single" w:sz="4" w:space="0" w:color="auto"/>
            </w:tcBorders>
            <w:hideMark/>
          </w:tcPr>
          <w:p w14:paraId="69A4FBDD" w14:textId="77777777" w:rsidR="00D42DB1" w:rsidRDefault="00D42DB1" w:rsidP="00FB428D">
            <w:pPr>
              <w:spacing w:line="240" w:lineRule="auto"/>
            </w:pPr>
            <w:r>
              <w:t xml:space="preserve">1.2.1 </w:t>
            </w:r>
          </w:p>
          <w:p w14:paraId="795F35A8" w14:textId="77777777" w:rsidR="00D42DB1" w:rsidRDefault="00D42DB1" w:rsidP="00FB428D">
            <w:pPr>
              <w:spacing w:line="240" w:lineRule="auto"/>
            </w:pPr>
            <w: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549A6F35" w14:textId="77777777" w:rsidR="00D42DB1" w:rsidRDefault="00D42DB1" w:rsidP="00FB428D">
            <w:pPr>
              <w:spacing w:after="120" w:line="240" w:lineRule="auto"/>
            </w:pPr>
            <w:r>
              <w:t>Gas detector</w:t>
            </w:r>
          </w:p>
          <w:p w14:paraId="43A923CA" w14:textId="77777777" w:rsidR="00D42DB1" w:rsidRDefault="00D42DB1" w:rsidP="00FB428D">
            <w:pPr>
              <w:spacing w:line="240" w:lineRule="auto"/>
            </w:pPr>
            <w:r>
              <w:t>Test according to</w:t>
            </w:r>
          </w:p>
          <w:p w14:paraId="4ACEC690" w14:textId="77777777" w:rsidR="00D42DB1" w:rsidRDefault="00D42DB1" w:rsidP="00FB428D">
            <w:pPr>
              <w:spacing w:line="240" w:lineRule="auto"/>
            </w:pPr>
            <w:r>
              <w:t>IEC 60079-29-1:2016</w:t>
            </w:r>
          </w:p>
        </w:tc>
        <w:tc>
          <w:tcPr>
            <w:tcW w:w="3021" w:type="dxa"/>
            <w:tcBorders>
              <w:top w:val="single" w:sz="4" w:space="0" w:color="auto"/>
              <w:left w:val="single" w:sz="4" w:space="0" w:color="auto"/>
              <w:bottom w:val="single" w:sz="4" w:space="0" w:color="auto"/>
              <w:right w:val="single" w:sz="4" w:space="0" w:color="auto"/>
            </w:tcBorders>
            <w:hideMark/>
          </w:tcPr>
          <w:p w14:paraId="79A45568" w14:textId="77777777" w:rsidR="00D42DB1" w:rsidRDefault="00D42DB1" w:rsidP="00FB428D">
            <w:pPr>
              <w:spacing w:line="240" w:lineRule="auto"/>
            </w:pPr>
            <w:r>
              <w:t>N.R.M. from 1 January 2019</w:t>
            </w:r>
          </w:p>
          <w:p w14:paraId="306D617B" w14:textId="60C76F13" w:rsidR="00D42DB1" w:rsidRDefault="00D42DB1" w:rsidP="00FB428D">
            <w:pPr>
              <w:spacing w:line="240" w:lineRule="auto"/>
            </w:pPr>
            <w:r>
              <w:t>Renewal of the certificate of approval after 31 December</w:t>
            </w:r>
            <w:r>
              <w:rPr>
                <w:strike/>
              </w:rPr>
              <w:t xml:space="preserve"> 2020</w:t>
            </w:r>
            <w:proofErr w:type="gramStart"/>
            <w:r>
              <w:rPr>
                <w:strike/>
              </w:rPr>
              <w:t xml:space="preserve"> </w:t>
            </w:r>
            <w:r>
              <w:rPr>
                <w:b/>
                <w:bCs/>
                <w:u w:val="single"/>
              </w:rPr>
              <w:t>2034</w:t>
            </w:r>
            <w:proofErr w:type="gramEnd"/>
            <w:r w:rsidR="00B53FEF" w:rsidRPr="00E22F0C">
              <w:rPr>
                <w:u w:val="single"/>
              </w:rPr>
              <w:t xml:space="preserve"> ”</w:t>
            </w:r>
          </w:p>
        </w:tc>
      </w:tr>
    </w:tbl>
    <w:p w14:paraId="3DB24E1D" w14:textId="74F66EE4" w:rsidR="00D42DB1" w:rsidRDefault="00D42DB1" w:rsidP="00E22F0C">
      <w:pPr>
        <w:pStyle w:val="SingleTxtG"/>
        <w:ind w:left="0"/>
      </w:pPr>
    </w:p>
    <w:p w14:paraId="7C6B8479" w14:textId="4EC14A35" w:rsidR="00D42DB1" w:rsidRDefault="00D42DB1" w:rsidP="00D42DB1">
      <w:pPr>
        <w:pStyle w:val="HChG"/>
        <w:ind w:left="0" w:firstLine="0"/>
      </w:pPr>
      <w:r>
        <w:tab/>
      </w:r>
      <w:r w:rsidRPr="00531E20">
        <w:t>V.</w:t>
      </w:r>
      <w:r w:rsidRPr="00531E20">
        <w:tab/>
        <w:t>Sustainable</w:t>
      </w:r>
      <w:r>
        <w:t xml:space="preserve"> </w:t>
      </w:r>
      <w:r w:rsidR="00527497">
        <w:t>D</w:t>
      </w:r>
      <w:r>
        <w:t xml:space="preserve">evelopment </w:t>
      </w:r>
      <w:r w:rsidR="00527497">
        <w:t>G</w:t>
      </w:r>
      <w:r>
        <w:t>oals (SDGs)</w:t>
      </w:r>
    </w:p>
    <w:p w14:paraId="6822BF27" w14:textId="3FEBD4D4" w:rsidR="00D42DB1" w:rsidRDefault="00D42DB1" w:rsidP="00E22F0C">
      <w:pPr>
        <w:pStyle w:val="SingleTxtG"/>
      </w:pPr>
      <w:r>
        <w:rPr>
          <w:lang w:val="en-US"/>
        </w:rPr>
        <w:t>21.</w:t>
      </w:r>
      <w:r>
        <w:rPr>
          <w:lang w:val="en-US"/>
        </w:rPr>
        <w:tab/>
        <w:t>If the mentioned transitional provision is amend</w:t>
      </w:r>
      <w:r w:rsidR="007A1E4B">
        <w:rPr>
          <w:lang w:val="en-US"/>
        </w:rPr>
        <w:t>ed</w:t>
      </w:r>
      <w:r>
        <w:rPr>
          <w:lang w:val="en-US"/>
        </w:rPr>
        <w:t xml:space="preserve"> the following Sustainable Development Goal (SDG) is fulfilled: Goal 12 – Responsible consumption and production</w:t>
      </w:r>
      <w:r w:rsidR="0083775E">
        <w:rPr>
          <w:lang w:val="en-US"/>
        </w:rPr>
        <w:t>.</w:t>
      </w:r>
      <w:r w:rsidR="009D46D8">
        <w:rPr>
          <w:lang w:val="en-US"/>
        </w:rPr>
        <w:t xml:space="preserve"> </w:t>
      </w:r>
    </w:p>
    <w:p w14:paraId="180C1755" w14:textId="77777777" w:rsidR="00D42DB1" w:rsidRDefault="00D42DB1" w:rsidP="00D42DB1">
      <w:pPr>
        <w:spacing w:before="240"/>
        <w:jc w:val="center"/>
        <w:rPr>
          <w:u w:val="single"/>
        </w:rPr>
      </w:pPr>
      <w:r>
        <w:rPr>
          <w:u w:val="single"/>
        </w:rPr>
        <w:tab/>
      </w:r>
      <w:r>
        <w:rPr>
          <w:u w:val="single"/>
        </w:rPr>
        <w:tab/>
      </w:r>
      <w:r>
        <w:rPr>
          <w:u w:val="single"/>
        </w:rPr>
        <w:tab/>
      </w:r>
    </w:p>
    <w:p w14:paraId="2D5CF38F" w14:textId="77777777" w:rsidR="007455C3" w:rsidRPr="007455C3" w:rsidRDefault="007455C3" w:rsidP="007455C3"/>
    <w:sectPr w:rsidR="007455C3" w:rsidRPr="007455C3" w:rsidSect="007455C3">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709D" w14:textId="77777777" w:rsidR="00E2595D" w:rsidRDefault="00E2595D"/>
  </w:endnote>
  <w:endnote w:type="continuationSeparator" w:id="0">
    <w:p w14:paraId="41116C1F" w14:textId="77777777" w:rsidR="00E2595D" w:rsidRDefault="00E2595D"/>
  </w:endnote>
  <w:endnote w:type="continuationNotice" w:id="1">
    <w:p w14:paraId="0EB2DD03" w14:textId="77777777" w:rsidR="00E2595D" w:rsidRDefault="00E25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0C66" w14:textId="4EBECC6C" w:rsidR="007455C3" w:rsidRPr="007455C3" w:rsidRDefault="007455C3" w:rsidP="007455C3">
    <w:pPr>
      <w:pStyle w:val="Footer"/>
      <w:tabs>
        <w:tab w:val="right" w:pos="9638"/>
      </w:tabs>
      <w:rPr>
        <w:sz w:val="18"/>
      </w:rPr>
    </w:pPr>
    <w:r w:rsidRPr="007455C3">
      <w:rPr>
        <w:b/>
        <w:sz w:val="18"/>
      </w:rPr>
      <w:fldChar w:fldCharType="begin"/>
    </w:r>
    <w:r w:rsidRPr="007455C3">
      <w:rPr>
        <w:b/>
        <w:sz w:val="18"/>
      </w:rPr>
      <w:instrText xml:space="preserve"> PAGE  \* MERGEFORMAT </w:instrText>
    </w:r>
    <w:r w:rsidRPr="007455C3">
      <w:rPr>
        <w:b/>
        <w:sz w:val="18"/>
      </w:rPr>
      <w:fldChar w:fldCharType="separate"/>
    </w:r>
    <w:r w:rsidRPr="007455C3">
      <w:rPr>
        <w:b/>
        <w:noProof/>
        <w:sz w:val="18"/>
      </w:rPr>
      <w:t>2</w:t>
    </w:r>
    <w:r w:rsidRPr="007455C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B447" w14:textId="6A32A08C" w:rsidR="007455C3" w:rsidRPr="007455C3" w:rsidRDefault="007455C3" w:rsidP="007455C3">
    <w:pPr>
      <w:pStyle w:val="Footer"/>
      <w:tabs>
        <w:tab w:val="right" w:pos="9638"/>
      </w:tabs>
      <w:rPr>
        <w:b/>
        <w:sz w:val="18"/>
      </w:rPr>
    </w:pPr>
    <w:r>
      <w:tab/>
    </w:r>
    <w:r w:rsidRPr="007455C3">
      <w:rPr>
        <w:b/>
        <w:sz w:val="18"/>
      </w:rPr>
      <w:fldChar w:fldCharType="begin"/>
    </w:r>
    <w:r w:rsidRPr="007455C3">
      <w:rPr>
        <w:b/>
        <w:sz w:val="18"/>
      </w:rPr>
      <w:instrText xml:space="preserve"> PAGE  \* MERGEFORMAT </w:instrText>
    </w:r>
    <w:r w:rsidRPr="007455C3">
      <w:rPr>
        <w:b/>
        <w:sz w:val="18"/>
      </w:rPr>
      <w:fldChar w:fldCharType="separate"/>
    </w:r>
    <w:r w:rsidRPr="007455C3">
      <w:rPr>
        <w:b/>
        <w:noProof/>
        <w:sz w:val="18"/>
      </w:rPr>
      <w:t>3</w:t>
    </w:r>
    <w:r w:rsidRPr="007455C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4E7B" w14:textId="7699EB84" w:rsidR="0035223F" w:rsidRDefault="00E423E1" w:rsidP="00E423E1">
    <w:pPr>
      <w:pStyle w:val="Footer"/>
      <w:rPr>
        <w:sz w:val="20"/>
      </w:rPr>
    </w:pPr>
    <w:r w:rsidRPr="00E423E1">
      <w:rPr>
        <w:noProof/>
        <w:sz w:val="20"/>
        <w:lang w:val="en-US"/>
      </w:rPr>
      <w:drawing>
        <wp:anchor distT="0" distB="0" distL="114300" distR="114300" simplePos="0" relativeHeight="251659776" behindDoc="0" locked="1" layoutInCell="1" allowOverlap="1" wp14:anchorId="3C89101D" wp14:editId="713BF9F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284F6A4" w14:textId="4ED8E383" w:rsidR="00E423E1" w:rsidRPr="00E423E1" w:rsidRDefault="00E423E1" w:rsidP="00E423E1">
    <w:pPr>
      <w:pStyle w:val="Footer"/>
      <w:ind w:right="1134"/>
      <w:rPr>
        <w:sz w:val="20"/>
      </w:rPr>
    </w:pPr>
    <w:r>
      <w:rPr>
        <w:sz w:val="20"/>
      </w:rPr>
      <w:t>GE.23-21989(E)</w:t>
    </w:r>
    <w:r>
      <w:rPr>
        <w:noProof/>
        <w:sz w:val="20"/>
      </w:rPr>
      <w:drawing>
        <wp:anchor distT="0" distB="0" distL="114300" distR="114300" simplePos="0" relativeHeight="251660800" behindDoc="0" locked="0" layoutInCell="1" allowOverlap="1" wp14:anchorId="183C38B2" wp14:editId="24F0FF87">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EB20" w14:textId="77777777" w:rsidR="00E2595D" w:rsidRPr="000B175B" w:rsidRDefault="00E2595D" w:rsidP="000B175B">
      <w:pPr>
        <w:tabs>
          <w:tab w:val="right" w:pos="2155"/>
        </w:tabs>
        <w:spacing w:after="80"/>
        <w:ind w:left="680"/>
        <w:rPr>
          <w:u w:val="single"/>
        </w:rPr>
      </w:pPr>
      <w:r>
        <w:rPr>
          <w:u w:val="single"/>
        </w:rPr>
        <w:tab/>
      </w:r>
    </w:p>
  </w:footnote>
  <w:footnote w:type="continuationSeparator" w:id="0">
    <w:p w14:paraId="7588CBFD" w14:textId="77777777" w:rsidR="00E2595D" w:rsidRPr="00FC68B7" w:rsidRDefault="00E2595D" w:rsidP="00FC68B7">
      <w:pPr>
        <w:tabs>
          <w:tab w:val="left" w:pos="2155"/>
        </w:tabs>
        <w:spacing w:after="80"/>
        <w:ind w:left="680"/>
        <w:rPr>
          <w:u w:val="single"/>
        </w:rPr>
      </w:pPr>
      <w:r>
        <w:rPr>
          <w:u w:val="single"/>
        </w:rPr>
        <w:tab/>
      </w:r>
    </w:p>
  </w:footnote>
  <w:footnote w:type="continuationNotice" w:id="1">
    <w:p w14:paraId="42C9DAF1" w14:textId="77777777" w:rsidR="00E2595D" w:rsidRDefault="00E2595D"/>
  </w:footnote>
  <w:footnote w:id="2">
    <w:p w14:paraId="4B74BC5B" w14:textId="5550A759" w:rsidR="007455C3" w:rsidRPr="00D42DB1" w:rsidRDefault="007455C3" w:rsidP="007455C3">
      <w:pPr>
        <w:pStyle w:val="FootnoteText"/>
        <w:rPr>
          <w:szCs w:val="18"/>
          <w:lang w:val="en-US"/>
        </w:rPr>
      </w:pPr>
      <w:r w:rsidRPr="00D42DB1">
        <w:rPr>
          <w:rStyle w:val="FootnoteReference"/>
          <w:szCs w:val="18"/>
        </w:rPr>
        <w:tab/>
      </w:r>
      <w:r w:rsidRPr="00D42DB1">
        <w:rPr>
          <w:rStyle w:val="FootnoteReference"/>
          <w:szCs w:val="18"/>
          <w:vertAlign w:val="baseline"/>
        </w:rPr>
        <w:t>*</w:t>
      </w:r>
      <w:r w:rsidRPr="00D42DB1">
        <w:rPr>
          <w:rStyle w:val="FootnoteReference"/>
          <w:szCs w:val="18"/>
          <w:vertAlign w:val="baseline"/>
        </w:rPr>
        <w:tab/>
      </w:r>
      <w:r w:rsidRPr="00D42DB1">
        <w:rPr>
          <w:szCs w:val="18"/>
        </w:rPr>
        <w:t>Distributed in German by the Central Commission for the Navigation of the Rhine under the symbol CCNR-ZKR/ADN/WP.15/AC.2/2024/</w:t>
      </w:r>
      <w:r w:rsidR="00367839">
        <w:rPr>
          <w:szCs w:val="18"/>
        </w:rPr>
        <w:t>25</w:t>
      </w:r>
    </w:p>
  </w:footnote>
  <w:footnote w:id="3">
    <w:p w14:paraId="586AD9F3" w14:textId="77777777" w:rsidR="007455C3" w:rsidRPr="00D42DB1" w:rsidRDefault="007455C3" w:rsidP="007455C3">
      <w:pPr>
        <w:pStyle w:val="FootnoteText"/>
        <w:rPr>
          <w:szCs w:val="18"/>
          <w:lang w:val="en-US"/>
        </w:rPr>
      </w:pPr>
      <w:r w:rsidRPr="00D42DB1">
        <w:rPr>
          <w:rStyle w:val="FootnoteReference"/>
          <w:szCs w:val="18"/>
        </w:rPr>
        <w:tab/>
      </w:r>
      <w:r w:rsidRPr="00D42DB1">
        <w:rPr>
          <w:rStyle w:val="FootnoteReference"/>
          <w:szCs w:val="18"/>
          <w:vertAlign w:val="baseline"/>
        </w:rPr>
        <w:t>**</w:t>
      </w:r>
      <w:r w:rsidRPr="00D42DB1">
        <w:rPr>
          <w:rStyle w:val="FootnoteReference"/>
          <w:szCs w:val="18"/>
          <w:vertAlign w:val="baseline"/>
        </w:rPr>
        <w:tab/>
      </w:r>
      <w:r w:rsidRPr="00D42DB1">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686F" w14:textId="3DB79E5A" w:rsidR="007455C3" w:rsidRPr="007455C3" w:rsidRDefault="00CD590C">
    <w:pPr>
      <w:pStyle w:val="Header"/>
    </w:pPr>
    <w:r>
      <w:fldChar w:fldCharType="begin"/>
    </w:r>
    <w:r>
      <w:instrText xml:space="preserve"> TITLE  \* MERGEFORMAT </w:instrText>
    </w:r>
    <w:r>
      <w:fldChar w:fldCharType="separate"/>
    </w:r>
    <w:r>
      <w:t>ECE/TRANS/WP.15/AC.2/2024/25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7E6E" w14:textId="401A2A0A" w:rsidR="007455C3" w:rsidRPr="007455C3" w:rsidRDefault="00CD590C" w:rsidP="007455C3">
    <w:pPr>
      <w:pStyle w:val="Header"/>
      <w:jc w:val="right"/>
    </w:pPr>
    <w:r>
      <w:fldChar w:fldCharType="begin"/>
    </w:r>
    <w:r>
      <w:instrText xml:space="preserve"> TITLE  \* MERGEFORMAT </w:instrText>
    </w:r>
    <w:r>
      <w:fldChar w:fldCharType="separate"/>
    </w:r>
    <w:r>
      <w:t>ECE/TRANS/WP.15/AC.2/2024/25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99168679">
    <w:abstractNumId w:val="1"/>
  </w:num>
  <w:num w:numId="2" w16cid:durableId="1157108288">
    <w:abstractNumId w:val="0"/>
  </w:num>
  <w:num w:numId="3" w16cid:durableId="396320541">
    <w:abstractNumId w:val="2"/>
  </w:num>
  <w:num w:numId="4" w16cid:durableId="214245375">
    <w:abstractNumId w:val="3"/>
  </w:num>
  <w:num w:numId="5" w16cid:durableId="1511095574">
    <w:abstractNumId w:val="8"/>
  </w:num>
  <w:num w:numId="6" w16cid:durableId="1480223631">
    <w:abstractNumId w:val="9"/>
  </w:num>
  <w:num w:numId="7" w16cid:durableId="88548153">
    <w:abstractNumId w:val="7"/>
  </w:num>
  <w:num w:numId="8" w16cid:durableId="1145589062">
    <w:abstractNumId w:val="6"/>
  </w:num>
  <w:num w:numId="9" w16cid:durableId="198053487">
    <w:abstractNumId w:val="5"/>
  </w:num>
  <w:num w:numId="10" w16cid:durableId="1578172631">
    <w:abstractNumId w:val="4"/>
  </w:num>
  <w:num w:numId="11" w16cid:durableId="2058888745">
    <w:abstractNumId w:val="15"/>
  </w:num>
  <w:num w:numId="12" w16cid:durableId="42603791">
    <w:abstractNumId w:val="14"/>
  </w:num>
  <w:num w:numId="13" w16cid:durableId="1944343846">
    <w:abstractNumId w:val="10"/>
  </w:num>
  <w:num w:numId="14" w16cid:durableId="784691365">
    <w:abstractNumId w:val="12"/>
  </w:num>
  <w:num w:numId="15" w16cid:durableId="1100106965">
    <w:abstractNumId w:val="16"/>
  </w:num>
  <w:num w:numId="16" w16cid:durableId="1543204698">
    <w:abstractNumId w:val="13"/>
  </w:num>
  <w:num w:numId="17" w16cid:durableId="204175891">
    <w:abstractNumId w:val="17"/>
  </w:num>
  <w:num w:numId="18" w16cid:durableId="342127255">
    <w:abstractNumId w:val="18"/>
  </w:num>
  <w:num w:numId="19" w16cid:durableId="1038821005">
    <w:abstractNumId w:val="11"/>
  </w:num>
  <w:num w:numId="20" w16cid:durableId="115665391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C3"/>
    <w:rsid w:val="00002A7D"/>
    <w:rsid w:val="000038A8"/>
    <w:rsid w:val="00006790"/>
    <w:rsid w:val="00027624"/>
    <w:rsid w:val="00050F6B"/>
    <w:rsid w:val="000678CD"/>
    <w:rsid w:val="00072C8C"/>
    <w:rsid w:val="00081CE0"/>
    <w:rsid w:val="00084D30"/>
    <w:rsid w:val="00090320"/>
    <w:rsid w:val="000931C0"/>
    <w:rsid w:val="0009631D"/>
    <w:rsid w:val="0009732C"/>
    <w:rsid w:val="000A01F9"/>
    <w:rsid w:val="000A2E09"/>
    <w:rsid w:val="000B175B"/>
    <w:rsid w:val="000B3A0F"/>
    <w:rsid w:val="000C5354"/>
    <w:rsid w:val="000D3520"/>
    <w:rsid w:val="000E0415"/>
    <w:rsid w:val="000F490E"/>
    <w:rsid w:val="000F7715"/>
    <w:rsid w:val="001470C1"/>
    <w:rsid w:val="00156B99"/>
    <w:rsid w:val="00166124"/>
    <w:rsid w:val="00184DDA"/>
    <w:rsid w:val="001900CD"/>
    <w:rsid w:val="00192F21"/>
    <w:rsid w:val="001A0452"/>
    <w:rsid w:val="001A3492"/>
    <w:rsid w:val="001A47BC"/>
    <w:rsid w:val="001B4B04"/>
    <w:rsid w:val="001B5875"/>
    <w:rsid w:val="001C4B9C"/>
    <w:rsid w:val="001C6663"/>
    <w:rsid w:val="001C7895"/>
    <w:rsid w:val="001D26DF"/>
    <w:rsid w:val="001E555D"/>
    <w:rsid w:val="001F1599"/>
    <w:rsid w:val="001F19C4"/>
    <w:rsid w:val="002043F0"/>
    <w:rsid w:val="00211E0B"/>
    <w:rsid w:val="00232575"/>
    <w:rsid w:val="00247258"/>
    <w:rsid w:val="00257CAC"/>
    <w:rsid w:val="00264441"/>
    <w:rsid w:val="0027237A"/>
    <w:rsid w:val="0029494F"/>
    <w:rsid w:val="002974E9"/>
    <w:rsid w:val="002A5D81"/>
    <w:rsid w:val="002A7F94"/>
    <w:rsid w:val="002B109A"/>
    <w:rsid w:val="002C6D45"/>
    <w:rsid w:val="002C72B7"/>
    <w:rsid w:val="002D6E53"/>
    <w:rsid w:val="002F046D"/>
    <w:rsid w:val="002F3023"/>
    <w:rsid w:val="00301764"/>
    <w:rsid w:val="003229D8"/>
    <w:rsid w:val="00336C97"/>
    <w:rsid w:val="00337F88"/>
    <w:rsid w:val="00342432"/>
    <w:rsid w:val="00346AB0"/>
    <w:rsid w:val="0035223F"/>
    <w:rsid w:val="00352D4B"/>
    <w:rsid w:val="0035638C"/>
    <w:rsid w:val="00367839"/>
    <w:rsid w:val="00386BDE"/>
    <w:rsid w:val="00395F5D"/>
    <w:rsid w:val="003A46BB"/>
    <w:rsid w:val="003A4EC7"/>
    <w:rsid w:val="003A7295"/>
    <w:rsid w:val="003B1F60"/>
    <w:rsid w:val="003C2CC4"/>
    <w:rsid w:val="003D4B23"/>
    <w:rsid w:val="003E099A"/>
    <w:rsid w:val="003E278A"/>
    <w:rsid w:val="003E4A79"/>
    <w:rsid w:val="003F2F67"/>
    <w:rsid w:val="00413520"/>
    <w:rsid w:val="00430D57"/>
    <w:rsid w:val="004325CB"/>
    <w:rsid w:val="00440A07"/>
    <w:rsid w:val="00450F93"/>
    <w:rsid w:val="00462880"/>
    <w:rsid w:val="00476F24"/>
    <w:rsid w:val="004A37DD"/>
    <w:rsid w:val="004C55B0"/>
    <w:rsid w:val="004F6BA0"/>
    <w:rsid w:val="00503BEA"/>
    <w:rsid w:val="00527497"/>
    <w:rsid w:val="00533616"/>
    <w:rsid w:val="00535ABA"/>
    <w:rsid w:val="0053768B"/>
    <w:rsid w:val="005420F2"/>
    <w:rsid w:val="0054285C"/>
    <w:rsid w:val="00556896"/>
    <w:rsid w:val="00557AA3"/>
    <w:rsid w:val="00584173"/>
    <w:rsid w:val="00595520"/>
    <w:rsid w:val="005A44B9"/>
    <w:rsid w:val="005B1BA0"/>
    <w:rsid w:val="005B3DB3"/>
    <w:rsid w:val="005D15CA"/>
    <w:rsid w:val="005D7969"/>
    <w:rsid w:val="005F08DF"/>
    <w:rsid w:val="005F2ED0"/>
    <w:rsid w:val="005F3066"/>
    <w:rsid w:val="005F3E61"/>
    <w:rsid w:val="00604DDD"/>
    <w:rsid w:val="006115CC"/>
    <w:rsid w:val="00611FC4"/>
    <w:rsid w:val="0061569F"/>
    <w:rsid w:val="006176FB"/>
    <w:rsid w:val="00630FCB"/>
    <w:rsid w:val="00640B26"/>
    <w:rsid w:val="0065766B"/>
    <w:rsid w:val="006770B2"/>
    <w:rsid w:val="00685B66"/>
    <w:rsid w:val="00686A48"/>
    <w:rsid w:val="006940E1"/>
    <w:rsid w:val="006A3C72"/>
    <w:rsid w:val="006A7392"/>
    <w:rsid w:val="006B03A1"/>
    <w:rsid w:val="006B67D9"/>
    <w:rsid w:val="006C5535"/>
    <w:rsid w:val="006C700A"/>
    <w:rsid w:val="006D0589"/>
    <w:rsid w:val="006E564B"/>
    <w:rsid w:val="006E7154"/>
    <w:rsid w:val="007003CD"/>
    <w:rsid w:val="0070701E"/>
    <w:rsid w:val="007173E0"/>
    <w:rsid w:val="0072632A"/>
    <w:rsid w:val="007358E8"/>
    <w:rsid w:val="00736ECE"/>
    <w:rsid w:val="0074533B"/>
    <w:rsid w:val="007455C3"/>
    <w:rsid w:val="00760CC2"/>
    <w:rsid w:val="007643BC"/>
    <w:rsid w:val="007801C5"/>
    <w:rsid w:val="00780C68"/>
    <w:rsid w:val="007959FE"/>
    <w:rsid w:val="007A0B0B"/>
    <w:rsid w:val="007A0CF1"/>
    <w:rsid w:val="007A1E4B"/>
    <w:rsid w:val="007A478E"/>
    <w:rsid w:val="007B6BA5"/>
    <w:rsid w:val="007C3390"/>
    <w:rsid w:val="007C42D8"/>
    <w:rsid w:val="007C4F4B"/>
    <w:rsid w:val="007D7362"/>
    <w:rsid w:val="007E3007"/>
    <w:rsid w:val="007F5CE2"/>
    <w:rsid w:val="007F6611"/>
    <w:rsid w:val="00800522"/>
    <w:rsid w:val="00810BAC"/>
    <w:rsid w:val="008175E9"/>
    <w:rsid w:val="008242D7"/>
    <w:rsid w:val="0082577B"/>
    <w:rsid w:val="008272DD"/>
    <w:rsid w:val="0083775E"/>
    <w:rsid w:val="0086538D"/>
    <w:rsid w:val="00866893"/>
    <w:rsid w:val="00866F02"/>
    <w:rsid w:val="00867D18"/>
    <w:rsid w:val="00871F9A"/>
    <w:rsid w:val="00871FD5"/>
    <w:rsid w:val="0088172E"/>
    <w:rsid w:val="00881EFA"/>
    <w:rsid w:val="008879CB"/>
    <w:rsid w:val="008979B1"/>
    <w:rsid w:val="00897AC3"/>
    <w:rsid w:val="008A6B25"/>
    <w:rsid w:val="008A6C4F"/>
    <w:rsid w:val="008A77AE"/>
    <w:rsid w:val="008B389E"/>
    <w:rsid w:val="008C155F"/>
    <w:rsid w:val="008D045E"/>
    <w:rsid w:val="008D3F25"/>
    <w:rsid w:val="008D4D82"/>
    <w:rsid w:val="008E0E46"/>
    <w:rsid w:val="008E7116"/>
    <w:rsid w:val="008F143B"/>
    <w:rsid w:val="008F3882"/>
    <w:rsid w:val="008F4B7C"/>
    <w:rsid w:val="00923128"/>
    <w:rsid w:val="00926E47"/>
    <w:rsid w:val="00947162"/>
    <w:rsid w:val="009610D0"/>
    <w:rsid w:val="0096375C"/>
    <w:rsid w:val="009662E6"/>
    <w:rsid w:val="0097095E"/>
    <w:rsid w:val="0098592B"/>
    <w:rsid w:val="00985FC4"/>
    <w:rsid w:val="00990766"/>
    <w:rsid w:val="00991261"/>
    <w:rsid w:val="009964C4"/>
    <w:rsid w:val="009A7B81"/>
    <w:rsid w:val="009D01C0"/>
    <w:rsid w:val="009D46D8"/>
    <w:rsid w:val="009D6A08"/>
    <w:rsid w:val="009E0A16"/>
    <w:rsid w:val="009E6CB7"/>
    <w:rsid w:val="009E7970"/>
    <w:rsid w:val="009F2EAC"/>
    <w:rsid w:val="009F57E3"/>
    <w:rsid w:val="00A10F4F"/>
    <w:rsid w:val="00A11067"/>
    <w:rsid w:val="00A1704A"/>
    <w:rsid w:val="00A367FE"/>
    <w:rsid w:val="00A425EB"/>
    <w:rsid w:val="00A4409A"/>
    <w:rsid w:val="00A60215"/>
    <w:rsid w:val="00A72F22"/>
    <w:rsid w:val="00A733BC"/>
    <w:rsid w:val="00A74154"/>
    <w:rsid w:val="00A748A6"/>
    <w:rsid w:val="00A76A69"/>
    <w:rsid w:val="00A879A4"/>
    <w:rsid w:val="00A90C28"/>
    <w:rsid w:val="00AA0FF8"/>
    <w:rsid w:val="00AC0F2C"/>
    <w:rsid w:val="00AC502A"/>
    <w:rsid w:val="00AF0725"/>
    <w:rsid w:val="00AF58C1"/>
    <w:rsid w:val="00B01E74"/>
    <w:rsid w:val="00B04A3F"/>
    <w:rsid w:val="00B06643"/>
    <w:rsid w:val="00B15055"/>
    <w:rsid w:val="00B20551"/>
    <w:rsid w:val="00B23D55"/>
    <w:rsid w:val="00B30179"/>
    <w:rsid w:val="00B33FC7"/>
    <w:rsid w:val="00B346C9"/>
    <w:rsid w:val="00B37B15"/>
    <w:rsid w:val="00B45C02"/>
    <w:rsid w:val="00B53FEF"/>
    <w:rsid w:val="00B70B63"/>
    <w:rsid w:val="00B72A1E"/>
    <w:rsid w:val="00B81E12"/>
    <w:rsid w:val="00BA339B"/>
    <w:rsid w:val="00BB23CC"/>
    <w:rsid w:val="00BC1E7E"/>
    <w:rsid w:val="00BC445D"/>
    <w:rsid w:val="00BC74E9"/>
    <w:rsid w:val="00BE36A9"/>
    <w:rsid w:val="00BE618E"/>
    <w:rsid w:val="00BE7BEC"/>
    <w:rsid w:val="00BF0A5A"/>
    <w:rsid w:val="00BF0E63"/>
    <w:rsid w:val="00BF12A3"/>
    <w:rsid w:val="00BF16D7"/>
    <w:rsid w:val="00BF2373"/>
    <w:rsid w:val="00C0294F"/>
    <w:rsid w:val="00C044E2"/>
    <w:rsid w:val="00C048CB"/>
    <w:rsid w:val="00C066F3"/>
    <w:rsid w:val="00C07876"/>
    <w:rsid w:val="00C34240"/>
    <w:rsid w:val="00C408B7"/>
    <w:rsid w:val="00C411EB"/>
    <w:rsid w:val="00C463DD"/>
    <w:rsid w:val="00C745C3"/>
    <w:rsid w:val="00C76C35"/>
    <w:rsid w:val="00C87758"/>
    <w:rsid w:val="00C978F5"/>
    <w:rsid w:val="00CA1EC6"/>
    <w:rsid w:val="00CA24A4"/>
    <w:rsid w:val="00CB348D"/>
    <w:rsid w:val="00CB5676"/>
    <w:rsid w:val="00CD46F5"/>
    <w:rsid w:val="00CD590C"/>
    <w:rsid w:val="00CE4A8F"/>
    <w:rsid w:val="00CE78F6"/>
    <w:rsid w:val="00CF071D"/>
    <w:rsid w:val="00D0123D"/>
    <w:rsid w:val="00D10697"/>
    <w:rsid w:val="00D15B04"/>
    <w:rsid w:val="00D2031B"/>
    <w:rsid w:val="00D25FE2"/>
    <w:rsid w:val="00D27EE8"/>
    <w:rsid w:val="00D31D1C"/>
    <w:rsid w:val="00D368BE"/>
    <w:rsid w:val="00D37DA9"/>
    <w:rsid w:val="00D406A7"/>
    <w:rsid w:val="00D40765"/>
    <w:rsid w:val="00D42DB1"/>
    <w:rsid w:val="00D43252"/>
    <w:rsid w:val="00D44D86"/>
    <w:rsid w:val="00D50B7D"/>
    <w:rsid w:val="00D52012"/>
    <w:rsid w:val="00D704E5"/>
    <w:rsid w:val="00D72727"/>
    <w:rsid w:val="00D92A96"/>
    <w:rsid w:val="00D978C6"/>
    <w:rsid w:val="00DA0956"/>
    <w:rsid w:val="00DA357F"/>
    <w:rsid w:val="00DA3E12"/>
    <w:rsid w:val="00DB6908"/>
    <w:rsid w:val="00DC18AD"/>
    <w:rsid w:val="00DF7CAE"/>
    <w:rsid w:val="00E217A6"/>
    <w:rsid w:val="00E22F0C"/>
    <w:rsid w:val="00E2595D"/>
    <w:rsid w:val="00E423C0"/>
    <w:rsid w:val="00E423E1"/>
    <w:rsid w:val="00E6414C"/>
    <w:rsid w:val="00E7260F"/>
    <w:rsid w:val="00E8702D"/>
    <w:rsid w:val="00E905F4"/>
    <w:rsid w:val="00E916A9"/>
    <w:rsid w:val="00E916DE"/>
    <w:rsid w:val="00E925AD"/>
    <w:rsid w:val="00E96630"/>
    <w:rsid w:val="00EB423B"/>
    <w:rsid w:val="00ED18DC"/>
    <w:rsid w:val="00ED6201"/>
    <w:rsid w:val="00ED7A2A"/>
    <w:rsid w:val="00EF1D7F"/>
    <w:rsid w:val="00F0137E"/>
    <w:rsid w:val="00F21786"/>
    <w:rsid w:val="00F23F00"/>
    <w:rsid w:val="00F3742B"/>
    <w:rsid w:val="00F41FDB"/>
    <w:rsid w:val="00F50596"/>
    <w:rsid w:val="00F5285F"/>
    <w:rsid w:val="00F56D63"/>
    <w:rsid w:val="00F609A9"/>
    <w:rsid w:val="00F80C99"/>
    <w:rsid w:val="00F8129A"/>
    <w:rsid w:val="00F867EC"/>
    <w:rsid w:val="00F91B2B"/>
    <w:rsid w:val="00F92FAD"/>
    <w:rsid w:val="00F9749A"/>
    <w:rsid w:val="00FA5A16"/>
    <w:rsid w:val="00FC03CD"/>
    <w:rsid w:val="00FC0646"/>
    <w:rsid w:val="00FC68B7"/>
    <w:rsid w:val="00FE6985"/>
    <w:rsid w:val="00FF18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83D4"/>
  <w15:docId w15:val="{8A3B9F13-6261-4511-A4A8-1536E4C0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7455C3"/>
    <w:rPr>
      <w:b/>
      <w:sz w:val="28"/>
      <w:lang w:val="en-GB"/>
    </w:rPr>
  </w:style>
  <w:style w:type="paragraph" w:styleId="Revision">
    <w:name w:val="Revision"/>
    <w:hidden/>
    <w:uiPriority w:val="99"/>
    <w:semiHidden/>
    <w:rsid w:val="00D42DB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UserInfo>
        <DisplayName>Nadiya Dzyubynska</DisplayName>
        <AccountId>453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42334A4-1911-496A-92DE-C2F0967A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4</Pages>
  <Words>1293</Words>
  <Characters>7235</Characters>
  <Application>Microsoft Office Word</Application>
  <DocSecurity>0</DocSecurity>
  <Lines>155</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ECE/TRANS/WP.15/AC.2/2024/25</vt:lpstr>
      <vt:lpstr/>
    </vt:vector>
  </TitlesOfParts>
  <Company>CSD</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ECE/TRANS/WP.15/AC.2/2024/25</dc:title>
  <dc:subject>2321989</dc:subject>
  <dc:creator>Una Giltsoff</dc:creator>
  <cp:keywords/>
  <dc:description/>
  <cp:lastModifiedBy>Una Giltsoff</cp:lastModifiedBy>
  <cp:revision>2</cp:revision>
  <cp:lastPrinted>2023-11-13T09:08:00Z</cp:lastPrinted>
  <dcterms:created xsi:type="dcterms:W3CDTF">2023-11-13T09:08:00Z</dcterms:created>
  <dcterms:modified xsi:type="dcterms:W3CDTF">2023-11-13T09:08:00Z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