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199578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FAB5687" w14:textId="77777777" w:rsidR="002D5AAC" w:rsidRDefault="002D5AAC" w:rsidP="00F912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B23312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021F3F8" w14:textId="471F3C21" w:rsidR="002D5AAC" w:rsidRDefault="00F912D3" w:rsidP="00F912D3">
            <w:pPr>
              <w:jc w:val="right"/>
            </w:pPr>
            <w:r w:rsidRPr="00F912D3">
              <w:rPr>
                <w:sz w:val="40"/>
              </w:rPr>
              <w:t>ECE</w:t>
            </w:r>
            <w:r>
              <w:t>/TRANS/WP.15/AC.2/2024/13</w:t>
            </w:r>
          </w:p>
        </w:tc>
      </w:tr>
      <w:tr w:rsidR="002D5AAC" w:rsidRPr="00F912D3" w14:paraId="428DFAC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BF6EC5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A6C8F18" wp14:editId="51BA5AC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5095328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149332A" w14:textId="77777777" w:rsidR="002D5AAC" w:rsidRDefault="00F912D3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5F4E877" w14:textId="77777777" w:rsidR="00F912D3" w:rsidRDefault="00F912D3" w:rsidP="00F912D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November 2023</w:t>
            </w:r>
          </w:p>
          <w:p w14:paraId="164009B4" w14:textId="77777777" w:rsidR="00F912D3" w:rsidRDefault="00F912D3" w:rsidP="00F912D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1C80C56" w14:textId="52B53BB0" w:rsidR="00F912D3" w:rsidRPr="008D53B6" w:rsidRDefault="00F912D3" w:rsidP="00F912D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5BDBC08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CE14CE7" w14:textId="77777777" w:rsidR="00F912D3" w:rsidRPr="00F912D3" w:rsidRDefault="00F912D3" w:rsidP="00F912D3">
      <w:pPr>
        <w:spacing w:before="120"/>
        <w:rPr>
          <w:sz w:val="28"/>
          <w:szCs w:val="28"/>
        </w:rPr>
      </w:pPr>
      <w:r w:rsidRPr="00F912D3">
        <w:rPr>
          <w:sz w:val="28"/>
          <w:szCs w:val="28"/>
        </w:rPr>
        <w:t>Комитет по внутреннему транспорту</w:t>
      </w:r>
    </w:p>
    <w:p w14:paraId="7A50158D" w14:textId="77777777" w:rsidR="00F912D3" w:rsidRPr="00F912D3" w:rsidRDefault="00F912D3" w:rsidP="00F912D3">
      <w:pPr>
        <w:spacing w:before="120"/>
        <w:rPr>
          <w:b/>
          <w:sz w:val="24"/>
          <w:szCs w:val="24"/>
        </w:rPr>
      </w:pPr>
      <w:r w:rsidRPr="00F912D3">
        <w:rPr>
          <w:b/>
          <w:bCs/>
          <w:sz w:val="24"/>
          <w:szCs w:val="24"/>
        </w:rPr>
        <w:t>Рабочая группа по перевозкам опасных грузов</w:t>
      </w:r>
    </w:p>
    <w:p w14:paraId="6D57C80B" w14:textId="6487EA00" w:rsidR="00F912D3" w:rsidRPr="00ED339D" w:rsidRDefault="00F912D3" w:rsidP="00F912D3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</w:rPr>
        <w:br/>
      </w:r>
      <w:r>
        <w:rPr>
          <w:b/>
          <w:bCs/>
        </w:rPr>
        <w:t xml:space="preserve">по внутренним водным путям (ВОПОГ) </w:t>
      </w:r>
      <w:r>
        <w:rPr>
          <w:b/>
          <w:bCs/>
        </w:rPr>
        <w:br/>
      </w:r>
      <w:r>
        <w:rPr>
          <w:b/>
          <w:bCs/>
        </w:rPr>
        <w:t>(Комитет по вопросам безопасности ВОПОГ)</w:t>
      </w:r>
    </w:p>
    <w:p w14:paraId="5BA237B8" w14:textId="77777777" w:rsidR="00F912D3" w:rsidRPr="00ED339D" w:rsidRDefault="00F912D3" w:rsidP="00F912D3">
      <w:pPr>
        <w:spacing w:before="120"/>
        <w:rPr>
          <w:b/>
        </w:rPr>
      </w:pPr>
      <w:r>
        <w:rPr>
          <w:b/>
          <w:bCs/>
        </w:rPr>
        <w:t>Сорок третья сессия</w:t>
      </w:r>
    </w:p>
    <w:p w14:paraId="79407312" w14:textId="77777777" w:rsidR="00F912D3" w:rsidRPr="00ED339D" w:rsidRDefault="00F912D3" w:rsidP="00F912D3">
      <w:r>
        <w:t>Женева, 22–26 января 2024 года</w:t>
      </w:r>
    </w:p>
    <w:p w14:paraId="388B6297" w14:textId="77777777" w:rsidR="00F912D3" w:rsidRPr="00ED339D" w:rsidRDefault="00F912D3" w:rsidP="00F912D3">
      <w:r>
        <w:t>Пункт 5 b) предварительной повестки дня</w:t>
      </w:r>
    </w:p>
    <w:p w14:paraId="24025895" w14:textId="6F40A73E" w:rsidR="00F912D3" w:rsidRPr="00ED339D" w:rsidRDefault="00F912D3" w:rsidP="00F912D3">
      <w:pPr>
        <w:contextualSpacing/>
        <w:rPr>
          <w:b/>
          <w:bCs/>
        </w:rPr>
      </w:pPr>
      <w:r>
        <w:rPr>
          <w:b/>
          <w:bCs/>
        </w:rPr>
        <w:t xml:space="preserve">Предложения о внесении поправок </w:t>
      </w:r>
      <w:r>
        <w:rPr>
          <w:b/>
          <w:bCs/>
        </w:rPr>
        <w:br/>
      </w:r>
      <w:r>
        <w:rPr>
          <w:b/>
          <w:bCs/>
        </w:rPr>
        <w:t>в Правила, прилагаемые к ВОПОГ:</w:t>
      </w:r>
      <w:r>
        <w:rPr>
          <w:b/>
          <w:bCs/>
        </w:rPr>
        <w:br/>
      </w:r>
      <w:r>
        <w:rPr>
          <w:b/>
          <w:bCs/>
        </w:rPr>
        <w:t>другие предложения</w:t>
      </w:r>
    </w:p>
    <w:p w14:paraId="090D1171" w14:textId="523D2ECB" w:rsidR="00F912D3" w:rsidRPr="00ED339D" w:rsidRDefault="00F912D3" w:rsidP="00F912D3">
      <w:pPr>
        <w:pStyle w:val="HCh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>Пункт 8.1.6.2</w:t>
      </w:r>
      <w:r>
        <w:t xml:space="preserve"> </w:t>
      </w:r>
      <w:r>
        <w:rPr>
          <w:bCs/>
        </w:rPr>
        <w:t xml:space="preserve">и </w:t>
      </w:r>
      <w:r w:rsidRPr="008B41EA">
        <w:rPr>
          <w:bCs/>
        </w:rPr>
        <w:t xml:space="preserve">стандарт </w:t>
      </w:r>
      <w:r>
        <w:rPr>
          <w:bCs/>
        </w:rPr>
        <w:t>ISO 20519:2017</w:t>
      </w:r>
    </w:p>
    <w:p w14:paraId="5562D033" w14:textId="77777777" w:rsidR="00F912D3" w:rsidRPr="00ED339D" w:rsidRDefault="00F912D3" w:rsidP="00F912D3">
      <w:pPr>
        <w:pStyle w:val="H1G"/>
      </w:pPr>
      <w:r>
        <w:tab/>
      </w:r>
      <w:r>
        <w:tab/>
      </w:r>
      <w:r>
        <w:rPr>
          <w:bCs/>
        </w:rPr>
        <w:t>Передано правительствами Германии и Нидерландов</w:t>
      </w:r>
      <w:r w:rsidRPr="00F912D3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F912D3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>
        <w:t xml:space="preserve"> </w:t>
      </w:r>
    </w:p>
    <w:p w14:paraId="4ADA1E8D" w14:textId="77777777" w:rsidR="00F912D3" w:rsidRPr="00F912D3" w:rsidRDefault="00F912D3" w:rsidP="00F912D3">
      <w:pPr>
        <w:pStyle w:val="SingleTxtG"/>
      </w:pPr>
      <w:bookmarkStart w:id="0" w:name="_Hlk135736653"/>
      <w:r w:rsidRPr="00F912D3">
        <w:t>1.</w:t>
      </w:r>
      <w:r w:rsidRPr="00F912D3">
        <w:tab/>
        <w:t xml:space="preserve">Одним из проектов поправок к Европейскому стандарту, устанавливающему технические требования для судов внутреннего плавания (ЕС-ТТСВП) 2025 года, предусматривается обновление стандарта на шланги в сборе, используемые для загрузки, разгрузки или передачи сжиженного природного газа, с EN 20519:2017 до EN 20519:2022. В пункте 8.1.6.2 ВОПОГ данный </w:t>
      </w:r>
      <w:bookmarkStart w:id="1" w:name="_Hlk151028451"/>
      <w:r w:rsidRPr="00F912D3">
        <w:t xml:space="preserve">стандарт </w:t>
      </w:r>
      <w:bookmarkEnd w:id="1"/>
      <w:r w:rsidRPr="00F912D3">
        <w:t>указан как ISO 20519:2017.</w:t>
      </w:r>
    </w:p>
    <w:p w14:paraId="2CD2E1E3" w14:textId="77777777" w:rsidR="00F912D3" w:rsidRPr="00ED339D" w:rsidRDefault="00F912D3" w:rsidP="00F912D3">
      <w:pPr>
        <w:pStyle w:val="SingleTxtG"/>
      </w:pPr>
      <w:r w:rsidRPr="00F912D3">
        <w:t>2.</w:t>
      </w:r>
      <w:r w:rsidRPr="00F912D3">
        <w:tab/>
        <w:t>Для ссылки на самые последние обновленные стандарты, а также для поддержания высокого уровня согласования с ЕС-ТТСВП предлагается обновить ссылку</w:t>
      </w:r>
      <w:r>
        <w:t xml:space="preserve"> на новейший стандарт и в ВОПОГ. </w:t>
      </w:r>
    </w:p>
    <w:bookmarkEnd w:id="0"/>
    <w:p w14:paraId="31309310" w14:textId="77777777" w:rsidR="00F912D3" w:rsidRPr="00ED339D" w:rsidRDefault="00F912D3" w:rsidP="00F912D3">
      <w:pPr>
        <w:pStyle w:val="HChG"/>
      </w:pPr>
      <w:r>
        <w:tab/>
      </w:r>
      <w:r>
        <w:tab/>
      </w:r>
      <w:r>
        <w:rPr>
          <w:bCs/>
        </w:rPr>
        <w:t>Предложение</w:t>
      </w:r>
    </w:p>
    <w:p w14:paraId="2F869F3C" w14:textId="77777777" w:rsidR="00F912D3" w:rsidRPr="00ED339D" w:rsidRDefault="00F912D3" w:rsidP="00F912D3">
      <w:pPr>
        <w:pStyle w:val="SingleTxtG"/>
      </w:pPr>
      <w:r>
        <w:t>3.</w:t>
      </w:r>
      <w:r>
        <w:tab/>
        <w:t>Изменить второй абзац пункта 8.1.6.2 следующим образом (исключенный текст зачеркнут, новый текст выделен жирным шрифтом и подчеркнут):</w:t>
      </w:r>
    </w:p>
    <w:p w14:paraId="5A979324" w14:textId="3D58FFAD" w:rsidR="00F912D3" w:rsidRPr="00ED339D" w:rsidRDefault="00F912D3" w:rsidP="00F912D3">
      <w:pPr>
        <w:pStyle w:val="SingleTxtG"/>
        <w:ind w:left="1701"/>
      </w:pPr>
      <w:r w:rsidRPr="00F912D3">
        <w:t>«</w:t>
      </w:r>
      <w:r>
        <w:t>…</w:t>
      </w:r>
    </w:p>
    <w:p w14:paraId="03F4BDD3" w14:textId="6F5E5060" w:rsidR="00F912D3" w:rsidRPr="00ED339D" w:rsidRDefault="00F912D3" w:rsidP="00F912D3">
      <w:pPr>
        <w:pStyle w:val="SingleTxtG"/>
        <w:ind w:left="1701"/>
      </w:pPr>
      <w:r>
        <w:t>Шланги в сборе, используемые для загрузки, разгрузки или передачи сжиженного природного газа для эксплуатации судна, должны соответствовать части 5.5.2 стандарта ISO 20519:</w:t>
      </w:r>
      <w:r>
        <w:rPr>
          <w:strike/>
        </w:rPr>
        <w:t>2017</w:t>
      </w:r>
      <w:r>
        <w:rPr>
          <w:b/>
          <w:bCs/>
          <w:u w:val="single"/>
        </w:rPr>
        <w:t>2022</w:t>
      </w:r>
      <w:r w:rsidRPr="00F912D3">
        <w:t xml:space="preserve"> </w:t>
      </w:r>
      <w:r>
        <w:t xml:space="preserve">(Суда и морские технологии </w:t>
      </w:r>
      <w:r>
        <w:t>—</w:t>
      </w:r>
      <w:r>
        <w:t xml:space="preserve"> Спецификация на бункеровку судов, использующих сжиженный природный газ </w:t>
      </w:r>
      <w:r>
        <w:lastRenderedPageBreak/>
        <w:t>в качестве топлива) и должны проверяться и осматриваться не реже одного раза в год в соответствии с инструкциями изготовителя. Свидетельство о такой проверке и документация по рассчитанному напряжению от максимальной нагрузки, должны находиться на борту судна.</w:t>
      </w:r>
      <w:r>
        <w:t>»</w:t>
      </w:r>
      <w:r>
        <w:t>.</w:t>
      </w:r>
    </w:p>
    <w:p w14:paraId="5F22F0C9" w14:textId="77777777" w:rsidR="00F912D3" w:rsidRPr="00ED339D" w:rsidRDefault="00F912D3" w:rsidP="00F912D3">
      <w:pPr>
        <w:pStyle w:val="HChG"/>
      </w:pPr>
      <w:r>
        <w:tab/>
      </w:r>
      <w:r>
        <w:tab/>
      </w:r>
      <w:r>
        <w:rPr>
          <w:bCs/>
        </w:rPr>
        <w:t>Обоснование</w:t>
      </w:r>
    </w:p>
    <w:p w14:paraId="5A7C4481" w14:textId="42090F1B" w:rsidR="00F912D3" w:rsidRPr="00ED339D" w:rsidRDefault="00F912D3" w:rsidP="00F912D3">
      <w:pPr>
        <w:pStyle w:val="SingleTxtG"/>
      </w:pPr>
      <w:r>
        <w:t>4.</w:t>
      </w:r>
      <w:r>
        <w:tab/>
        <w:t>По результатам проверки, проведенной сотрудниками Центральной комиссии судоходства по Рейну (ЦКСР), пересмотр указанного стандарта затрагивает пункты</w:t>
      </w:r>
      <w:r>
        <w:t> </w:t>
      </w:r>
      <w:r>
        <w:t>5.5.5 и 6.2.2. Требования к шлангам в сборе в пункте 5.5.2 и, соответственно, ссылка в пункте 8.1.6.2 ВОПОГ останутся без изменений. Таким образом, данное обновление не создаст никаких технических трудностей для существующих судов, на которые распространяются положения ВОПОГ, при этом никакие переходные положения не предлагаются.</w:t>
      </w:r>
    </w:p>
    <w:p w14:paraId="6C5D01DF" w14:textId="77777777" w:rsidR="00F912D3" w:rsidRPr="00ED339D" w:rsidRDefault="00F912D3" w:rsidP="00F912D3">
      <w:pPr>
        <w:pStyle w:val="HChG"/>
      </w:pPr>
      <w:r>
        <w:tab/>
      </w:r>
      <w:r>
        <w:tab/>
      </w:r>
      <w:r>
        <w:rPr>
          <w:bCs/>
        </w:rPr>
        <w:t>Предлагаемое решение</w:t>
      </w:r>
    </w:p>
    <w:p w14:paraId="471DAF43" w14:textId="6ADB5565" w:rsidR="00F912D3" w:rsidRDefault="00F912D3" w:rsidP="00F912D3">
      <w:pPr>
        <w:pStyle w:val="SingleTxtG"/>
      </w:pPr>
      <w:r>
        <w:t>5.</w:t>
      </w:r>
      <w:r>
        <w:tab/>
        <w:t xml:space="preserve">Комитету по вопросам безопасности ВОПОГ предлагается рассмотреть настоящее предложение и принять решение, которое он сочтет целесообразным. </w:t>
      </w:r>
    </w:p>
    <w:p w14:paraId="7B67F13C" w14:textId="23C36DB8" w:rsidR="00F912D3" w:rsidRDefault="00F912D3" w:rsidP="00F912D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54E83D" w14:textId="77777777" w:rsidR="00F912D3" w:rsidRPr="00F912D3" w:rsidRDefault="00F912D3" w:rsidP="00F912D3">
      <w:pPr>
        <w:pStyle w:val="SingleTxtG"/>
        <w:spacing w:before="240" w:after="0"/>
        <w:jc w:val="center"/>
        <w:rPr>
          <w:u w:val="single"/>
        </w:rPr>
      </w:pPr>
    </w:p>
    <w:sectPr w:rsidR="00F912D3" w:rsidRPr="00F912D3" w:rsidSect="00F912D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C5C0" w14:textId="77777777" w:rsidR="00A90D23" w:rsidRPr="00A312BC" w:rsidRDefault="00A90D23" w:rsidP="00A312BC"/>
  </w:endnote>
  <w:endnote w:type="continuationSeparator" w:id="0">
    <w:p w14:paraId="0FE41587" w14:textId="77777777" w:rsidR="00A90D23" w:rsidRPr="00A312BC" w:rsidRDefault="00A90D2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B42D" w14:textId="6FB7797D" w:rsidR="00F912D3" w:rsidRPr="00F912D3" w:rsidRDefault="00F912D3">
    <w:pPr>
      <w:pStyle w:val="a8"/>
    </w:pPr>
    <w:r w:rsidRPr="00F912D3">
      <w:rPr>
        <w:b/>
        <w:sz w:val="18"/>
      </w:rPr>
      <w:fldChar w:fldCharType="begin"/>
    </w:r>
    <w:r w:rsidRPr="00F912D3">
      <w:rPr>
        <w:b/>
        <w:sz w:val="18"/>
      </w:rPr>
      <w:instrText xml:space="preserve"> PAGE  \* MERGEFORMAT </w:instrText>
    </w:r>
    <w:r w:rsidRPr="00F912D3">
      <w:rPr>
        <w:b/>
        <w:sz w:val="18"/>
      </w:rPr>
      <w:fldChar w:fldCharType="separate"/>
    </w:r>
    <w:r w:rsidRPr="00F912D3">
      <w:rPr>
        <w:b/>
        <w:noProof/>
        <w:sz w:val="18"/>
      </w:rPr>
      <w:t>2</w:t>
    </w:r>
    <w:r w:rsidRPr="00F912D3">
      <w:rPr>
        <w:b/>
        <w:sz w:val="18"/>
      </w:rPr>
      <w:fldChar w:fldCharType="end"/>
    </w:r>
    <w:r>
      <w:rPr>
        <w:b/>
        <w:sz w:val="18"/>
      </w:rPr>
      <w:tab/>
    </w:r>
    <w:r>
      <w:t>GE.23-21809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A188" w14:textId="24880C3A" w:rsidR="00F912D3" w:rsidRPr="00F912D3" w:rsidRDefault="00F912D3" w:rsidP="00F912D3">
    <w:pPr>
      <w:pStyle w:val="a8"/>
      <w:tabs>
        <w:tab w:val="clear" w:pos="9639"/>
        <w:tab w:val="right" w:pos="9638"/>
      </w:tabs>
      <w:rPr>
        <w:b/>
        <w:sz w:val="18"/>
      </w:rPr>
    </w:pPr>
    <w:r>
      <w:t>GE.23-21809</w:t>
    </w:r>
    <w:r>
      <w:tab/>
    </w:r>
    <w:r w:rsidRPr="00F912D3">
      <w:rPr>
        <w:b/>
        <w:sz w:val="18"/>
      </w:rPr>
      <w:fldChar w:fldCharType="begin"/>
    </w:r>
    <w:r w:rsidRPr="00F912D3">
      <w:rPr>
        <w:b/>
        <w:sz w:val="18"/>
      </w:rPr>
      <w:instrText xml:space="preserve"> PAGE  \* MERGEFORMAT </w:instrText>
    </w:r>
    <w:r w:rsidRPr="00F912D3">
      <w:rPr>
        <w:b/>
        <w:sz w:val="18"/>
      </w:rPr>
      <w:fldChar w:fldCharType="separate"/>
    </w:r>
    <w:r w:rsidRPr="00F912D3">
      <w:rPr>
        <w:b/>
        <w:noProof/>
        <w:sz w:val="18"/>
      </w:rPr>
      <w:t>3</w:t>
    </w:r>
    <w:r w:rsidRPr="00F912D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4949" w14:textId="0571E77E" w:rsidR="00042B72" w:rsidRPr="00F912D3" w:rsidRDefault="00F912D3" w:rsidP="00F912D3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E0115F3" wp14:editId="2B8986E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23-21809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D901DAC" wp14:editId="59E3337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161123  171123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033E" w14:textId="77777777" w:rsidR="00A90D23" w:rsidRPr="001075E9" w:rsidRDefault="00A90D2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C18D246" w14:textId="77777777" w:rsidR="00A90D23" w:rsidRDefault="00A90D2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B7E5D36" w14:textId="77777777" w:rsidR="00F912D3" w:rsidRPr="00ED339D" w:rsidRDefault="00F912D3" w:rsidP="00F912D3">
      <w:pPr>
        <w:pStyle w:val="ad"/>
        <w:rPr>
          <w:szCs w:val="18"/>
        </w:rPr>
      </w:pPr>
      <w:r>
        <w:tab/>
      </w:r>
      <w:r w:rsidRPr="00F912D3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CCNR-ZKR/ADN/WP.15/AC.2/2024/13.</w:t>
      </w:r>
    </w:p>
  </w:footnote>
  <w:footnote w:id="2">
    <w:p w14:paraId="29CA9CF0" w14:textId="2727B3C0" w:rsidR="00F912D3" w:rsidRPr="001A3235" w:rsidRDefault="00F912D3" w:rsidP="00F912D3">
      <w:pPr>
        <w:pStyle w:val="ad"/>
        <w:rPr>
          <w:szCs w:val="18"/>
        </w:rPr>
      </w:pPr>
      <w:r>
        <w:tab/>
      </w:r>
      <w:r w:rsidRPr="00F912D3">
        <w:rPr>
          <w:sz w:val="20"/>
        </w:rPr>
        <w:t>**</w:t>
      </w:r>
      <w:r>
        <w:tab/>
        <w:t>A/78/6 (разд. 20), таблица 20.5</w:t>
      </w:r>
      <w:r w:rsidR="00781AC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91BA" w14:textId="2E5647D4" w:rsidR="00F912D3" w:rsidRPr="00F912D3" w:rsidRDefault="00F912D3">
    <w:pPr>
      <w:pStyle w:val="a5"/>
    </w:pPr>
    <w:fldSimple w:instr=" TITLE  \* MERGEFORMAT ">
      <w:r w:rsidR="00D23F80">
        <w:t>ECE/TRANS/WP.15/AC.2/2024/13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FCB4" w14:textId="22FAB688" w:rsidR="00F912D3" w:rsidRPr="00F912D3" w:rsidRDefault="00F912D3" w:rsidP="00F912D3">
    <w:pPr>
      <w:pStyle w:val="a5"/>
      <w:jc w:val="right"/>
    </w:pPr>
    <w:fldSimple w:instr=" TITLE  \* MERGEFORMAT ">
      <w:r w:rsidR="00D23F80">
        <w:t>ECE/TRANS/WP.15/AC.2/2024/13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31941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23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472F4"/>
    <w:rsid w:val="00757357"/>
    <w:rsid w:val="00781ACD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0D23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21BBF"/>
    <w:rsid w:val="00C60F0C"/>
    <w:rsid w:val="00C71E84"/>
    <w:rsid w:val="00C805C9"/>
    <w:rsid w:val="00C92939"/>
    <w:rsid w:val="00CA1679"/>
    <w:rsid w:val="00CB151C"/>
    <w:rsid w:val="00CE5A1A"/>
    <w:rsid w:val="00CF55F6"/>
    <w:rsid w:val="00D23F80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12D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876C"/>
  <w15:docId w15:val="{FC5E7A6E-619E-4E32-B810-484338B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F912D3"/>
    <w:rPr>
      <w:lang w:val="ru-RU" w:eastAsia="en-US"/>
    </w:rPr>
  </w:style>
  <w:style w:type="paragraph" w:customStyle="1" w:styleId="ParNoG">
    <w:name w:val="_ParNo_G"/>
    <w:basedOn w:val="a"/>
    <w:qFormat/>
    <w:rsid w:val="00F912D3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E25CC-3382-4647-BF8B-D93DD1069A86}"/>
</file>

<file path=customXml/itemProps2.xml><?xml version="1.0" encoding="utf-8"?>
<ds:datastoreItem xmlns:ds="http://schemas.openxmlformats.org/officeDocument/2006/customXml" ds:itemID="{1614647F-1360-4F96-AF85-6C8A59CF507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342</Words>
  <Characters>2340</Characters>
  <Application>Microsoft Office Word</Application>
  <DocSecurity>0</DocSecurity>
  <Lines>60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ECE/TRANS/WP.15/AC.2/2024/13</dc:title>
  <dc:subject/>
  <dc:creator>Elena IZOTOVA</dc:creator>
  <cp:keywords/>
  <cp:lastModifiedBy>Elena Izotova</cp:lastModifiedBy>
  <cp:revision>3</cp:revision>
  <cp:lastPrinted>2023-11-17T07:36:00Z</cp:lastPrinted>
  <dcterms:created xsi:type="dcterms:W3CDTF">2023-11-17T07:36:00Z</dcterms:created>
  <dcterms:modified xsi:type="dcterms:W3CDTF">2023-11-17T07:36:00Z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