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76C8" w14:paraId="0CE39671" w14:textId="77777777" w:rsidTr="00B20551">
        <w:trPr>
          <w:cantSplit/>
          <w:trHeight w:hRule="exact" w:val="851"/>
        </w:trPr>
        <w:tc>
          <w:tcPr>
            <w:tcW w:w="1276" w:type="dxa"/>
            <w:tcBorders>
              <w:bottom w:val="single" w:sz="4" w:space="0" w:color="auto"/>
            </w:tcBorders>
            <w:vAlign w:val="bottom"/>
          </w:tcPr>
          <w:p w14:paraId="170715E9" w14:textId="77777777" w:rsidR="009E6CB7" w:rsidRDefault="009E6CB7" w:rsidP="00B20551">
            <w:pPr>
              <w:spacing w:after="80"/>
            </w:pPr>
          </w:p>
        </w:tc>
        <w:tc>
          <w:tcPr>
            <w:tcW w:w="2268" w:type="dxa"/>
            <w:tcBorders>
              <w:bottom w:val="single" w:sz="4" w:space="0" w:color="auto"/>
            </w:tcBorders>
            <w:vAlign w:val="bottom"/>
          </w:tcPr>
          <w:p w14:paraId="05E04D5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04815E" w14:textId="07B1B881" w:rsidR="00EC0CE8" w:rsidRPr="00825045" w:rsidRDefault="00EC0CE8" w:rsidP="00EC0CE8">
            <w:pPr>
              <w:jc w:val="right"/>
              <w:rPr>
                <w:lang w:val="es-ES"/>
              </w:rPr>
            </w:pPr>
            <w:r w:rsidRPr="00825045">
              <w:rPr>
                <w:sz w:val="40"/>
                <w:lang w:val="es-ES"/>
              </w:rPr>
              <w:t>ECE</w:t>
            </w:r>
            <w:r w:rsidRPr="00825045">
              <w:rPr>
                <w:lang w:val="es-ES"/>
              </w:rPr>
              <w:t>/MP.EIA/2023/13−</w:t>
            </w:r>
            <w:r w:rsidRPr="00825045">
              <w:rPr>
                <w:sz w:val="40"/>
                <w:lang w:val="es-ES"/>
              </w:rPr>
              <w:t>ECE</w:t>
            </w:r>
            <w:r w:rsidRPr="00825045">
              <w:rPr>
                <w:lang w:val="es-ES"/>
              </w:rPr>
              <w:t>/MP.EIA/SEA/2023/13</w:t>
            </w:r>
          </w:p>
        </w:tc>
      </w:tr>
      <w:tr w:rsidR="009E6CB7" w14:paraId="4A83FF9F" w14:textId="77777777" w:rsidTr="00B20551">
        <w:trPr>
          <w:cantSplit/>
          <w:trHeight w:hRule="exact" w:val="2835"/>
        </w:trPr>
        <w:tc>
          <w:tcPr>
            <w:tcW w:w="1276" w:type="dxa"/>
            <w:tcBorders>
              <w:top w:val="single" w:sz="4" w:space="0" w:color="auto"/>
              <w:bottom w:val="single" w:sz="12" w:space="0" w:color="auto"/>
            </w:tcBorders>
          </w:tcPr>
          <w:p w14:paraId="120F35BC" w14:textId="77777777" w:rsidR="009E6CB7" w:rsidRDefault="00686A48" w:rsidP="00B20551">
            <w:pPr>
              <w:spacing w:before="120"/>
            </w:pPr>
            <w:r>
              <w:rPr>
                <w:noProof/>
                <w:lang w:val="fr-CH" w:eastAsia="fr-CH"/>
              </w:rPr>
              <w:drawing>
                <wp:inline distT="0" distB="0" distL="0" distR="0" wp14:anchorId="1D110C62" wp14:editId="3214BB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D281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0512D8" w14:textId="77777777" w:rsidR="009E6CB7" w:rsidRDefault="00EC0CE8" w:rsidP="00EC0CE8">
            <w:pPr>
              <w:spacing w:before="240" w:line="240" w:lineRule="exact"/>
            </w:pPr>
            <w:r>
              <w:t>Distr.: General</w:t>
            </w:r>
          </w:p>
          <w:p w14:paraId="3AE952B0" w14:textId="77777777" w:rsidR="00EC0CE8" w:rsidRDefault="00EC0CE8" w:rsidP="00EC0CE8">
            <w:pPr>
              <w:spacing w:line="240" w:lineRule="exact"/>
            </w:pPr>
            <w:r>
              <w:t>30 October 2023</w:t>
            </w:r>
          </w:p>
          <w:p w14:paraId="79799389" w14:textId="77777777" w:rsidR="00EC0CE8" w:rsidRDefault="00EC0CE8" w:rsidP="00EC0CE8">
            <w:pPr>
              <w:spacing w:line="240" w:lineRule="exact"/>
            </w:pPr>
          </w:p>
          <w:p w14:paraId="7E48D0ED" w14:textId="481DD7E5" w:rsidR="00EC0CE8" w:rsidRDefault="00EC0CE8" w:rsidP="00EC0CE8">
            <w:pPr>
              <w:spacing w:line="240" w:lineRule="exact"/>
            </w:pPr>
            <w:r>
              <w:t>Original: English</w:t>
            </w:r>
          </w:p>
        </w:tc>
      </w:tr>
    </w:tbl>
    <w:p w14:paraId="0850D73F" w14:textId="77777777" w:rsidR="00EC0CE8" w:rsidRPr="00594F24" w:rsidRDefault="00EC0CE8" w:rsidP="0094684F">
      <w:pPr>
        <w:spacing w:before="120"/>
        <w:rPr>
          <w:b/>
          <w:color w:val="000000"/>
          <w:sz w:val="28"/>
          <w:szCs w:val="28"/>
        </w:rPr>
      </w:pPr>
      <w:r w:rsidRPr="00594F24">
        <w:rPr>
          <w:b/>
          <w:color w:val="000000"/>
          <w:sz w:val="28"/>
          <w:szCs w:val="28"/>
        </w:rPr>
        <w:t>Economic Commission for Europe</w:t>
      </w:r>
    </w:p>
    <w:p w14:paraId="205E4B81" w14:textId="77777777" w:rsidR="00EC0CE8" w:rsidRPr="00594F24" w:rsidRDefault="00EC0CE8"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5C834F81" w14:textId="0DF8D5FE" w:rsidR="00EC0CE8" w:rsidRPr="00594F24" w:rsidRDefault="007F0C87" w:rsidP="0094684F">
      <w:pPr>
        <w:spacing w:before="120"/>
        <w:rPr>
          <w:b/>
          <w:color w:val="000000"/>
        </w:rPr>
      </w:pPr>
      <w:r>
        <w:rPr>
          <w:b/>
          <w:color w:val="000000"/>
        </w:rPr>
        <w:t>Ninth</w:t>
      </w:r>
      <w:r w:rsidR="00EC0CE8">
        <w:rPr>
          <w:b/>
          <w:color w:val="000000"/>
        </w:rPr>
        <w:t xml:space="preserve"> </w:t>
      </w:r>
      <w:r w:rsidR="00EC0CE8" w:rsidRPr="00594F24">
        <w:rPr>
          <w:b/>
          <w:color w:val="000000"/>
        </w:rPr>
        <w:t>session</w:t>
      </w:r>
    </w:p>
    <w:p w14:paraId="348DF82F" w14:textId="77777777" w:rsidR="00EC0CE8" w:rsidRPr="00594F24" w:rsidRDefault="00EC0CE8"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4576E144" w14:textId="63412211" w:rsidR="00EC0CE8" w:rsidRPr="00594F24" w:rsidRDefault="007F0C87" w:rsidP="0094684F">
      <w:pPr>
        <w:autoSpaceDE w:val="0"/>
        <w:autoSpaceDN w:val="0"/>
        <w:adjustRightInd w:val="0"/>
        <w:spacing w:before="120"/>
        <w:rPr>
          <w:b/>
          <w:color w:val="000000"/>
        </w:rPr>
      </w:pPr>
      <w:r>
        <w:rPr>
          <w:b/>
          <w:color w:val="000000"/>
        </w:rPr>
        <w:t>Fifth</w:t>
      </w:r>
      <w:r w:rsidR="00EC0CE8">
        <w:rPr>
          <w:b/>
          <w:color w:val="000000"/>
        </w:rPr>
        <w:t xml:space="preserve"> </w:t>
      </w:r>
      <w:r w:rsidR="00EC0CE8" w:rsidRPr="00594F24">
        <w:rPr>
          <w:b/>
          <w:color w:val="000000"/>
        </w:rPr>
        <w:t>session</w:t>
      </w:r>
    </w:p>
    <w:p w14:paraId="1BD8D5E9" w14:textId="77777777" w:rsidR="00302CA3" w:rsidRPr="00302CA3" w:rsidRDefault="00302CA3" w:rsidP="00302CA3">
      <w:pPr>
        <w:suppressAutoHyphens/>
        <w:spacing w:before="100" w:line="240" w:lineRule="auto"/>
        <w:rPr>
          <w:lang w:eastAsia="en-US"/>
        </w:rPr>
      </w:pPr>
      <w:r w:rsidRPr="00302CA3">
        <w:rPr>
          <w:lang w:eastAsia="en-US"/>
        </w:rPr>
        <w:t>Geneva, 12–15 December 2023</w:t>
      </w:r>
    </w:p>
    <w:p w14:paraId="68931898" w14:textId="77777777" w:rsidR="00302CA3" w:rsidRPr="00302CA3" w:rsidRDefault="00302CA3" w:rsidP="00302CA3">
      <w:pPr>
        <w:suppressAutoHyphens/>
        <w:spacing w:line="240" w:lineRule="auto"/>
        <w:rPr>
          <w:lang w:eastAsia="en-US"/>
        </w:rPr>
      </w:pPr>
      <w:r w:rsidRPr="00302CA3">
        <w:rPr>
          <w:lang w:eastAsia="en-US"/>
        </w:rPr>
        <w:t>Item 4 (a) of the provisional agenda</w:t>
      </w:r>
    </w:p>
    <w:p w14:paraId="6E236DF6" w14:textId="77777777" w:rsidR="00302CA3" w:rsidRPr="00302CA3" w:rsidRDefault="00302CA3" w:rsidP="00302CA3">
      <w:pPr>
        <w:suppressAutoHyphens/>
        <w:rPr>
          <w:b/>
          <w:bCs/>
          <w:lang w:eastAsia="en-US"/>
        </w:rPr>
      </w:pPr>
      <w:r w:rsidRPr="00302CA3">
        <w:rPr>
          <w:b/>
          <w:bCs/>
          <w:lang w:eastAsia="en-US"/>
        </w:rPr>
        <w:t xml:space="preserve">Review of the workplan: compliance with and implementation </w:t>
      </w:r>
      <w:r w:rsidRPr="00302CA3">
        <w:rPr>
          <w:lang w:eastAsia="en-US"/>
        </w:rPr>
        <w:br/>
      </w:r>
      <w:r w:rsidRPr="00302CA3">
        <w:rPr>
          <w:b/>
          <w:bCs/>
          <w:lang w:eastAsia="en-US"/>
        </w:rPr>
        <w:t>of the Convention and the Protocol</w:t>
      </w:r>
    </w:p>
    <w:p w14:paraId="603E620A" w14:textId="3B05BACD" w:rsidR="00302CA3" w:rsidRPr="00302CA3" w:rsidRDefault="00302CA3" w:rsidP="00302CA3">
      <w:pPr>
        <w:pStyle w:val="HChG"/>
        <w:rPr>
          <w:lang w:eastAsia="en-US"/>
        </w:rPr>
      </w:pPr>
      <w:r w:rsidRPr="00302CA3">
        <w:rPr>
          <w:lang w:eastAsia="en-US"/>
        </w:rPr>
        <w:tab/>
      </w:r>
      <w:r w:rsidRPr="00302CA3">
        <w:rPr>
          <w:lang w:eastAsia="en-US"/>
        </w:rPr>
        <w:tab/>
        <w:t>Report on the activities of the Implementation Committee</w:t>
      </w:r>
      <w:r w:rsidR="00AF4055" w:rsidRPr="00AF4055">
        <w:rPr>
          <w:rStyle w:val="FootnoteReference"/>
          <w:sz w:val="20"/>
          <w:vertAlign w:val="baseline"/>
          <w:lang w:eastAsia="en-US"/>
        </w:rPr>
        <w:footnoteReference w:customMarkFollows="1" w:id="2"/>
        <w:t>*</w:t>
      </w:r>
    </w:p>
    <w:p w14:paraId="0D87531C" w14:textId="5443F438" w:rsidR="00995079" w:rsidRDefault="00302CA3" w:rsidP="00302CA3">
      <w:pPr>
        <w:pStyle w:val="H1G"/>
        <w:rPr>
          <w:lang w:eastAsia="en-US"/>
        </w:rPr>
      </w:pPr>
      <w:r w:rsidRPr="00302CA3">
        <w:rPr>
          <w:lang w:eastAsia="en-US"/>
        </w:rPr>
        <w:tab/>
      </w:r>
      <w:r w:rsidRPr="00302CA3">
        <w:rPr>
          <w:lang w:eastAsia="en-US"/>
        </w:rPr>
        <w:tab/>
        <w:t>Note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02CA3" w14:paraId="754295BD" w14:textId="77777777" w:rsidTr="00224BEA">
        <w:trPr>
          <w:jc w:val="center"/>
        </w:trPr>
        <w:tc>
          <w:tcPr>
            <w:tcW w:w="9637" w:type="dxa"/>
            <w:tcBorders>
              <w:bottom w:val="nil"/>
            </w:tcBorders>
            <w:shd w:val="clear" w:color="auto" w:fill="auto"/>
          </w:tcPr>
          <w:p w14:paraId="5CCB1071" w14:textId="77777777" w:rsidR="00302CA3" w:rsidRPr="00C6263E" w:rsidRDefault="00302CA3" w:rsidP="006E5E26">
            <w:pPr>
              <w:spacing w:before="240" w:after="120"/>
              <w:ind w:left="255"/>
              <w:rPr>
                <w:i/>
                <w:sz w:val="24"/>
              </w:rPr>
            </w:pPr>
            <w:r w:rsidRPr="00C6263E">
              <w:rPr>
                <w:i/>
                <w:sz w:val="24"/>
              </w:rPr>
              <w:t>Summary</w:t>
            </w:r>
          </w:p>
        </w:tc>
      </w:tr>
      <w:tr w:rsidR="00302CA3" w14:paraId="008D8C7C" w14:textId="77777777" w:rsidTr="00224BEA">
        <w:trPr>
          <w:jc w:val="center"/>
        </w:trPr>
        <w:tc>
          <w:tcPr>
            <w:tcW w:w="9637" w:type="dxa"/>
            <w:tcBorders>
              <w:top w:val="nil"/>
              <w:bottom w:val="nil"/>
            </w:tcBorders>
            <w:shd w:val="clear" w:color="auto" w:fill="auto"/>
          </w:tcPr>
          <w:p w14:paraId="277CBDB3" w14:textId="77777777" w:rsidR="00302CA3" w:rsidRDefault="00DB51BC" w:rsidP="006E5E26">
            <w:pPr>
              <w:pStyle w:val="SingleTxtG"/>
            </w:pPr>
            <w:r>
              <w:tab/>
            </w:r>
            <w:r w:rsidR="007C0EF7" w:rsidRPr="007C0EF7">
              <w:t xml:space="preserve">This document contains the report of the Implementation Committee under the Convention on Environmental Impact Assessment in a Transboundary Context and its Protocol on Strategic Environmental Assessment on the Committee’s activities since the eighth session of the Meeting of the Parties to the Convention and the fourth session of the Meeting of the Parties to the Protocol) (Vilnius (online), 8–11 December 2020). It was prepared in accordance with the Committee’s structure and functions </w:t>
            </w:r>
            <w:r w:rsidR="00B40CDC" w:rsidRPr="00B40CDC">
              <w:rPr>
                <w:vertAlign w:val="superscript"/>
              </w:rPr>
              <w:t>a</w:t>
            </w:r>
            <w:r w:rsidR="007C0EF7" w:rsidRPr="007C0EF7">
              <w:t>, and the workplan adopted at the eighth and fourth sessions, respectively, of the Convention’s and Protocol’s governing bodies</w:t>
            </w:r>
            <w:r>
              <w:t xml:space="preserve"> </w:t>
            </w:r>
            <w:r w:rsidRPr="00DB51BC">
              <w:rPr>
                <w:vertAlign w:val="superscript"/>
              </w:rPr>
              <w:t>b</w:t>
            </w:r>
            <w:r w:rsidR="007C0EF7" w:rsidRPr="007C0EF7">
              <w:t xml:space="preserve"> and adopted by the Committee on 25 October 2023 by electronic decision-making procedure</w:t>
            </w:r>
            <w:r w:rsidR="007C0EF7">
              <w:t>.</w:t>
            </w:r>
          </w:p>
          <w:p w14:paraId="70F08F7E" w14:textId="788DD44F" w:rsidR="00193D40" w:rsidRDefault="00193D40" w:rsidP="00193D40">
            <w:pPr>
              <w:pStyle w:val="SingleTxtG"/>
            </w:pPr>
            <w:r>
              <w:tab/>
              <w:t>More details on the Committee’s deliberations are presented in the Committee’s reports on its sessions during the intersessional period 2021–2023.</w:t>
            </w:r>
            <w:r w:rsidR="00680231" w:rsidRPr="00680231">
              <w:rPr>
                <w:vertAlign w:val="superscript"/>
              </w:rPr>
              <w:t>c</w:t>
            </w:r>
            <w:r>
              <w:t xml:space="preserve"> </w:t>
            </w:r>
          </w:p>
          <w:p w14:paraId="28EA637F" w14:textId="77777777" w:rsidR="00DB51BC" w:rsidRDefault="00193D40" w:rsidP="00193D40">
            <w:pPr>
              <w:pStyle w:val="SingleTxtG"/>
            </w:pPr>
            <w:r>
              <w:tab/>
              <w:t>The Meetings of the Parties to the Convention and the Protocol are expected to consider the information provided.</w:t>
            </w:r>
          </w:p>
          <w:p w14:paraId="2C369D51" w14:textId="77777777" w:rsidR="005E5AC4" w:rsidRPr="006809F7" w:rsidRDefault="005E5AC4" w:rsidP="005E5AC4">
            <w:pPr>
              <w:spacing w:after="120"/>
              <w:ind w:left="1134" w:right="1134"/>
              <w:jc w:val="both"/>
              <w:rPr>
                <w:rFonts w:eastAsia="SimSun"/>
              </w:rPr>
            </w:pPr>
            <w:r w:rsidRPr="006809F7">
              <w:rPr>
                <w:rFonts w:eastAsia="SimSun"/>
              </w:rPr>
              <w:t>_______________</w:t>
            </w:r>
          </w:p>
          <w:p w14:paraId="49514530" w14:textId="732386BF" w:rsidR="00680231" w:rsidRPr="0046194D" w:rsidRDefault="005E5AC4" w:rsidP="005E5AC4">
            <w:pPr>
              <w:pStyle w:val="SingleTxtG"/>
              <w:rPr>
                <w:rStyle w:val="cf01"/>
                <w:rFonts w:asciiTheme="majorBidi" w:hAnsiTheme="majorBidi" w:cstheme="majorBidi"/>
              </w:rPr>
            </w:pPr>
            <w:r w:rsidRPr="006809F7">
              <w:rPr>
                <w:rFonts w:eastAsia="SimSun"/>
                <w:i/>
                <w:iCs/>
                <w:vertAlign w:val="superscript"/>
              </w:rPr>
              <w:lastRenderedPageBreak/>
              <w:t xml:space="preserve">a </w:t>
            </w:r>
            <w:r w:rsidR="0046194D">
              <w:rPr>
                <w:rFonts w:eastAsia="SimSun"/>
                <w:i/>
                <w:iCs/>
                <w:vertAlign w:val="superscript"/>
              </w:rPr>
              <w:t xml:space="preserve"> </w:t>
            </w:r>
            <w:r w:rsidR="0046194D" w:rsidRPr="0046194D">
              <w:rPr>
                <w:rStyle w:val="cf01"/>
                <w:rFonts w:asciiTheme="majorBidi" w:hAnsiTheme="majorBidi" w:cstheme="majorBidi"/>
              </w:rPr>
              <w:t>ECE/MP.EIA/6, annex II, appendix, para.11.</w:t>
            </w:r>
          </w:p>
          <w:p w14:paraId="52CF5A74" w14:textId="77777777" w:rsidR="0046194D" w:rsidRDefault="0046194D" w:rsidP="008B7C01">
            <w:pPr>
              <w:pStyle w:val="SingleTxtG"/>
              <w:rPr>
                <w:sz w:val="18"/>
                <w:szCs w:val="18"/>
              </w:rPr>
            </w:pPr>
            <w:r w:rsidRPr="0046194D">
              <w:rPr>
                <w:rFonts w:asciiTheme="majorBidi" w:hAnsiTheme="majorBidi" w:cstheme="majorBidi"/>
                <w:i/>
                <w:iCs/>
                <w:sz w:val="18"/>
                <w:szCs w:val="18"/>
                <w:vertAlign w:val="superscript"/>
              </w:rPr>
              <w:t>b</w:t>
            </w:r>
            <w:r>
              <w:rPr>
                <w:rFonts w:asciiTheme="majorBidi" w:hAnsiTheme="majorBidi" w:cstheme="majorBidi"/>
                <w:i/>
                <w:iCs/>
                <w:sz w:val="18"/>
                <w:szCs w:val="18"/>
                <w:vertAlign w:val="superscript"/>
              </w:rPr>
              <w:t xml:space="preserve"> </w:t>
            </w:r>
            <w:r>
              <w:rPr>
                <w:i/>
                <w:iCs/>
                <w:vertAlign w:val="superscript"/>
              </w:rPr>
              <w:t xml:space="preserve"> </w:t>
            </w:r>
            <w:r w:rsidR="008B7C01" w:rsidRPr="008B7C01">
              <w:rPr>
                <w:sz w:val="18"/>
                <w:szCs w:val="18"/>
              </w:rPr>
              <w:t>ECE/MP.EIA/30/Add.1-ECE/MP.EIA/SEA/13/Add.1, decision VIII/2–IV/2, annex I, item II.A.4.</w:t>
            </w:r>
          </w:p>
          <w:p w14:paraId="167779EF" w14:textId="5BCC6274" w:rsidR="008B7C01" w:rsidRPr="007E7186" w:rsidRDefault="008A6737" w:rsidP="008B7C01">
            <w:pPr>
              <w:pStyle w:val="SingleTxtG"/>
              <w:rPr>
                <w:sz w:val="18"/>
                <w:szCs w:val="18"/>
              </w:rPr>
            </w:pPr>
            <w:r w:rsidRPr="00B34605">
              <w:rPr>
                <w:i/>
                <w:iCs/>
                <w:sz w:val="18"/>
                <w:szCs w:val="18"/>
                <w:vertAlign w:val="superscript"/>
              </w:rPr>
              <w:t>c</w:t>
            </w:r>
            <w:r w:rsidRPr="00B34605">
              <w:rPr>
                <w:sz w:val="18"/>
                <w:szCs w:val="18"/>
                <w:vertAlign w:val="superscript"/>
              </w:rPr>
              <w:t xml:space="preserve"> </w:t>
            </w:r>
            <w:r w:rsidR="00B34605" w:rsidRPr="00B34605">
              <w:rPr>
                <w:sz w:val="18"/>
                <w:szCs w:val="18"/>
                <w:vertAlign w:val="superscript"/>
              </w:rPr>
              <w:t xml:space="preserve"> </w:t>
            </w:r>
            <w:r w:rsidR="007E7186" w:rsidRPr="007E7186">
              <w:rPr>
                <w:rFonts w:asciiTheme="majorBidi" w:hAnsiTheme="majorBidi" w:cstheme="majorBidi"/>
                <w:sz w:val="18"/>
                <w:szCs w:val="18"/>
              </w:rPr>
              <w:t>See https://unece.org/sessions-3.</w:t>
            </w:r>
          </w:p>
        </w:tc>
      </w:tr>
      <w:tr w:rsidR="00302CA3" w14:paraId="7F538757" w14:textId="77777777" w:rsidTr="00224BEA">
        <w:trPr>
          <w:jc w:val="center"/>
        </w:trPr>
        <w:tc>
          <w:tcPr>
            <w:tcW w:w="9637" w:type="dxa"/>
            <w:tcBorders>
              <w:top w:val="nil"/>
            </w:tcBorders>
            <w:shd w:val="clear" w:color="auto" w:fill="auto"/>
          </w:tcPr>
          <w:p w14:paraId="51532F89" w14:textId="77777777" w:rsidR="00302CA3" w:rsidRDefault="00302CA3" w:rsidP="006E5E26"/>
        </w:tc>
      </w:tr>
    </w:tbl>
    <w:p w14:paraId="3F8141EE" w14:textId="67FC1AB3" w:rsidR="00224BEA" w:rsidRDefault="00224BEA" w:rsidP="00302CA3">
      <w:pPr>
        <w:rPr>
          <w:lang w:eastAsia="en-US"/>
        </w:rPr>
      </w:pPr>
      <w:r>
        <w:rPr>
          <w:lang w:eastAsia="en-US"/>
        </w:rPr>
        <w:br w:type="page"/>
      </w:r>
    </w:p>
    <w:p w14:paraId="09488C89" w14:textId="27E0F9A8" w:rsidR="008530F1" w:rsidRPr="008530F1" w:rsidRDefault="007E7186" w:rsidP="007E7186">
      <w:pPr>
        <w:pStyle w:val="HChG"/>
        <w:rPr>
          <w:lang w:eastAsia="en-US"/>
        </w:rPr>
      </w:pPr>
      <w:bookmarkStart w:id="0" w:name="_Toc147827434"/>
      <w:bookmarkStart w:id="1" w:name="_Toc1385187743"/>
      <w:r>
        <w:rPr>
          <w:lang w:eastAsia="en-US"/>
        </w:rPr>
        <w:lastRenderedPageBreak/>
        <w:tab/>
      </w:r>
      <w:r w:rsidR="008530F1" w:rsidRPr="008530F1">
        <w:rPr>
          <w:lang w:eastAsia="en-US"/>
        </w:rPr>
        <w:t>I.</w:t>
      </w:r>
      <w:r w:rsidR="008530F1" w:rsidRPr="008530F1">
        <w:rPr>
          <w:lang w:eastAsia="en-US"/>
        </w:rPr>
        <w:tab/>
        <w:t>Introduction</w:t>
      </w:r>
      <w:bookmarkEnd w:id="0"/>
      <w:bookmarkEnd w:id="1"/>
    </w:p>
    <w:p w14:paraId="32FD34E5" w14:textId="5567976D" w:rsidR="008530F1" w:rsidRPr="008530F1" w:rsidRDefault="007E7186" w:rsidP="007E7186">
      <w:pPr>
        <w:pStyle w:val="H1G"/>
        <w:rPr>
          <w:lang w:eastAsia="en-US"/>
        </w:rPr>
      </w:pPr>
      <w:r>
        <w:rPr>
          <w:lang w:eastAsia="en-US"/>
        </w:rPr>
        <w:tab/>
      </w:r>
      <w:r w:rsidR="008530F1" w:rsidRPr="008530F1">
        <w:rPr>
          <w:lang w:eastAsia="en-US"/>
        </w:rPr>
        <w:t>A.</w:t>
      </w:r>
      <w:bookmarkStart w:id="2" w:name="_Toc255499143"/>
      <w:bookmarkStart w:id="3" w:name="_Toc147827435"/>
      <w:r>
        <w:rPr>
          <w:lang w:eastAsia="en-US"/>
        </w:rPr>
        <w:tab/>
      </w:r>
      <w:r w:rsidR="008530F1" w:rsidRPr="008530F1">
        <w:rPr>
          <w:lang w:eastAsia="en-US"/>
        </w:rPr>
        <w:t>Mandate</w:t>
      </w:r>
      <w:bookmarkEnd w:id="2"/>
      <w:bookmarkEnd w:id="3"/>
    </w:p>
    <w:p w14:paraId="36E30704" w14:textId="77777777" w:rsidR="008530F1" w:rsidRPr="008530F1" w:rsidRDefault="008530F1" w:rsidP="007E7186">
      <w:pPr>
        <w:pStyle w:val="SingleTxtG"/>
        <w:rPr>
          <w:lang w:eastAsia="en-US"/>
        </w:rPr>
      </w:pPr>
      <w:r w:rsidRPr="008530F1">
        <w:rPr>
          <w:lang w:eastAsia="en-US"/>
        </w:rPr>
        <w:t>1.</w:t>
      </w:r>
      <w:r w:rsidRPr="008530F1">
        <w:rPr>
          <w:lang w:eastAsia="en-US"/>
        </w:rPr>
        <w:tab/>
        <w:t>In the intersessional period 2021–2023, the Implementation Committee under the Convention on Environmental Impact Assessment in a Transboundary Context (Espoo Convention) and its Protocol on Strategic Environmental Assessment reviewed compliance by the Parties with their obligations under the Convention and the Protocol with a view to assisting them to fully meet their commitments, in accordance with decision  II/4, adopted by the Meeting of the Parties to the Convention at its second session,</w:t>
      </w:r>
      <w:r w:rsidRPr="008530F1">
        <w:rPr>
          <w:sz w:val="18"/>
          <w:vertAlign w:val="superscript"/>
          <w:lang w:eastAsia="en-US"/>
        </w:rPr>
        <w:footnoteReference w:id="3"/>
      </w:r>
      <w:r w:rsidRPr="008530F1">
        <w:rPr>
          <w:lang w:eastAsia="en-US"/>
        </w:rPr>
        <w:t xml:space="preserve"> article 14 (6) of the Protocol and decision V/6–I/6, adopted at the fifth session of the Meeting of the Parties to the Convention and the first session of the Meeting of the Parties to the Protocol (Geneva, 20–23 June 2011).</w:t>
      </w:r>
      <w:r w:rsidRPr="008530F1">
        <w:rPr>
          <w:sz w:val="18"/>
          <w:vertAlign w:val="superscript"/>
          <w:lang w:eastAsia="en-US"/>
        </w:rPr>
        <w:footnoteReference w:id="4"/>
      </w:r>
    </w:p>
    <w:p w14:paraId="3E90E56B" w14:textId="77777777" w:rsidR="008530F1" w:rsidRPr="008530F1" w:rsidRDefault="008530F1" w:rsidP="007E7186">
      <w:pPr>
        <w:pStyle w:val="SingleTxtG"/>
        <w:rPr>
          <w:lang w:eastAsia="en-US"/>
        </w:rPr>
      </w:pPr>
      <w:r w:rsidRPr="008530F1">
        <w:rPr>
          <w:lang w:eastAsia="en-US"/>
        </w:rPr>
        <w:t>2.</w:t>
      </w:r>
      <w:r w:rsidRPr="008530F1">
        <w:rPr>
          <w:lang w:eastAsia="en-US"/>
        </w:rPr>
        <w:tab/>
        <w:t>The Committee carried out activities as set out in the workplan for 2021–2023</w:t>
      </w:r>
      <w:r w:rsidRPr="008530F1">
        <w:rPr>
          <w:sz w:val="18"/>
          <w:vertAlign w:val="superscript"/>
          <w:lang w:eastAsia="en-US"/>
        </w:rPr>
        <w:footnoteReference w:id="5"/>
      </w:r>
      <w:r w:rsidRPr="008530F1">
        <w:rPr>
          <w:lang w:eastAsia="en-US"/>
        </w:rPr>
        <w:t xml:space="preserve"> and decisions adopted by the Meetings of the Parties to the Convention and the Protocol at their eighth and fourth sessions respectively (Vilnius (online) 8–11 December 2020), including decisions on reporting and review of implementation of the Convention and the Protocol (respectively, decisions VIII/5 and IV/5).</w:t>
      </w:r>
      <w:r w:rsidRPr="008530F1">
        <w:rPr>
          <w:sz w:val="18"/>
          <w:vertAlign w:val="superscript"/>
          <w:lang w:eastAsia="en-US"/>
        </w:rPr>
        <w:footnoteReference w:id="6"/>
      </w:r>
      <w:r w:rsidRPr="008530F1">
        <w:rPr>
          <w:lang w:eastAsia="en-US"/>
        </w:rPr>
        <w:t xml:space="preserve"> The Committee conducted its work following its structure and functions and operating rules.</w:t>
      </w:r>
      <w:r w:rsidRPr="008530F1">
        <w:rPr>
          <w:sz w:val="18"/>
          <w:vertAlign w:val="superscript"/>
          <w:lang w:eastAsia="en-US"/>
        </w:rPr>
        <w:footnoteReference w:id="7"/>
      </w:r>
    </w:p>
    <w:p w14:paraId="2F0D4110" w14:textId="0464A2B5" w:rsidR="008530F1" w:rsidRPr="008530F1" w:rsidRDefault="00811D20" w:rsidP="00811D20">
      <w:pPr>
        <w:pStyle w:val="H1G"/>
        <w:rPr>
          <w:lang w:eastAsia="en-US"/>
        </w:rPr>
      </w:pPr>
      <w:bookmarkStart w:id="4" w:name="_Toc491897158"/>
      <w:bookmarkStart w:id="5" w:name="_Toc147827436"/>
      <w:r>
        <w:rPr>
          <w:lang w:eastAsia="en-US"/>
        </w:rPr>
        <w:tab/>
      </w:r>
      <w:r w:rsidR="008530F1" w:rsidRPr="008530F1">
        <w:rPr>
          <w:lang w:eastAsia="en-US"/>
        </w:rPr>
        <w:t>B.</w:t>
      </w:r>
      <w:r w:rsidR="008530F1" w:rsidRPr="008530F1">
        <w:rPr>
          <w:lang w:eastAsia="en-US"/>
        </w:rPr>
        <w:tab/>
        <w:t>Membership and sessions</w:t>
      </w:r>
      <w:bookmarkEnd w:id="4"/>
      <w:bookmarkEnd w:id="5"/>
      <w:r w:rsidR="008530F1" w:rsidRPr="008530F1">
        <w:rPr>
          <w:lang w:eastAsia="en-US"/>
        </w:rPr>
        <w:t xml:space="preserve"> of the Committee</w:t>
      </w:r>
    </w:p>
    <w:p w14:paraId="2A85C7C0" w14:textId="14990244" w:rsidR="008530F1" w:rsidRPr="008530F1" w:rsidRDefault="008530F1" w:rsidP="00811D20">
      <w:pPr>
        <w:pStyle w:val="SingleTxtG"/>
        <w:rPr>
          <w:lang w:eastAsia="en-GB"/>
        </w:rPr>
      </w:pPr>
      <w:r w:rsidRPr="008530F1">
        <w:rPr>
          <w:lang w:eastAsia="en-US"/>
        </w:rPr>
        <w:t>3.</w:t>
      </w:r>
      <w:r w:rsidRPr="008530F1">
        <w:rPr>
          <w:lang w:eastAsia="en-US"/>
        </w:rPr>
        <w:tab/>
        <w:t xml:space="preserve">The Committee members and the Parties they represented on the Committee for Convention and Protocol matters were: Mr. </w:t>
      </w:r>
      <w:r w:rsidRPr="008530F1">
        <w:rPr>
          <w:rFonts w:eastAsia="SimSun"/>
          <w:color w:val="000000"/>
          <w:lang w:eastAsia="en-US"/>
        </w:rPr>
        <w:t>Christian Baumgartner (Austria)</w:t>
      </w:r>
      <w:r w:rsidRPr="008530F1">
        <w:rPr>
          <w:rFonts w:eastAsia="SimSun"/>
          <w:lang w:eastAsia="en-US"/>
        </w:rPr>
        <w:t xml:space="preserve">, Mr. Anders Bengtsson (Sweden), Mr. Ralph Bodle (succeeding Ms. Heidi </w:t>
      </w:r>
      <w:proofErr w:type="spellStart"/>
      <w:r w:rsidRPr="008530F1">
        <w:rPr>
          <w:rFonts w:eastAsia="SimSun"/>
          <w:lang w:eastAsia="en-US"/>
        </w:rPr>
        <w:t>Stockhaus</w:t>
      </w:r>
      <w:proofErr w:type="spellEnd"/>
      <w:r w:rsidRPr="008530F1">
        <w:rPr>
          <w:rFonts w:eastAsia="SimSun"/>
          <w:lang w:eastAsia="en-US"/>
        </w:rPr>
        <w:t xml:space="preserve"> from the fifty-fourth session on) (Germany), Mr. Joe Ducomble (Luxembourg), Ms. Maria do </w:t>
      </w:r>
      <w:proofErr w:type="spellStart"/>
      <w:r w:rsidRPr="008530F1">
        <w:rPr>
          <w:rFonts w:eastAsia="SimSun"/>
          <w:lang w:eastAsia="en-US"/>
        </w:rPr>
        <w:t>Carmo</w:t>
      </w:r>
      <w:proofErr w:type="spellEnd"/>
      <w:r w:rsidRPr="008530F1">
        <w:rPr>
          <w:rFonts w:eastAsia="SimSun"/>
          <w:lang w:eastAsia="en-US"/>
        </w:rPr>
        <w:t xml:space="preserve"> </w:t>
      </w:r>
      <w:proofErr w:type="spellStart"/>
      <w:r w:rsidRPr="008530F1">
        <w:rPr>
          <w:rFonts w:eastAsia="SimSun"/>
          <w:lang w:eastAsia="en-US"/>
        </w:rPr>
        <w:t>Figueira</w:t>
      </w:r>
      <w:proofErr w:type="spellEnd"/>
      <w:r w:rsidRPr="008530F1">
        <w:rPr>
          <w:rFonts w:eastAsia="SimSun"/>
          <w:lang w:eastAsia="en-US"/>
        </w:rPr>
        <w:t xml:space="preserve"> (Portugal), Ms. Barbora Pavlačič Doneva (Slovakia), Ms. Zsuzsanna Pocsai (Hungary) and Ms. </w:t>
      </w:r>
      <w:r w:rsidRPr="008530F1">
        <w:rPr>
          <w:lang w:eastAsia="en-US"/>
        </w:rPr>
        <w:t xml:space="preserve">Aysel Rzayeva (Azerbaijan – only for Convention matters). Azerbaijan, Hungary, </w:t>
      </w:r>
      <w:proofErr w:type="gramStart"/>
      <w:r w:rsidRPr="008530F1">
        <w:rPr>
          <w:lang w:eastAsia="en-US"/>
        </w:rPr>
        <w:t>Portugal</w:t>
      </w:r>
      <w:proofErr w:type="gramEnd"/>
      <w:r w:rsidRPr="008530F1">
        <w:rPr>
          <w:lang w:eastAsia="en-US"/>
        </w:rPr>
        <w:t xml:space="preserve"> and Sweden were elected to nominate members at the seventh session of the Meeting of the Parties to the Convention (Minsk, 13–16 June 2017),</w:t>
      </w:r>
      <w:r w:rsidRPr="008530F1">
        <w:rPr>
          <w:sz w:val="18"/>
          <w:vertAlign w:val="superscript"/>
          <w:lang w:eastAsia="en-US"/>
        </w:rPr>
        <w:footnoteReference w:id="8"/>
      </w:r>
      <w:r w:rsidRPr="008530F1">
        <w:rPr>
          <w:lang w:eastAsia="en-US"/>
        </w:rPr>
        <w:t xml:space="preserve"> so members nominated by it were serving their second term (exceptionally, the third term in the case of Hungary). Austria, Germany, </w:t>
      </w:r>
      <w:proofErr w:type="gramStart"/>
      <w:r w:rsidRPr="008530F1">
        <w:rPr>
          <w:lang w:eastAsia="en-US"/>
        </w:rPr>
        <w:t>Luxembourg</w:t>
      </w:r>
      <w:proofErr w:type="gramEnd"/>
      <w:r w:rsidRPr="008530F1">
        <w:rPr>
          <w:lang w:eastAsia="en-US"/>
        </w:rPr>
        <w:t xml:space="preserve"> and Slovakia were elected to nominate members at the eighth session of the Meeting of the Parties to the Convention.</w:t>
      </w:r>
      <w:r w:rsidRPr="008530F1">
        <w:rPr>
          <w:sz w:val="18"/>
          <w:vertAlign w:val="superscript"/>
          <w:lang w:eastAsia="en-US"/>
        </w:rPr>
        <w:footnoteReference w:id="9"/>
      </w:r>
      <w:r w:rsidRPr="008530F1">
        <w:rPr>
          <w:lang w:eastAsia="en-US"/>
        </w:rPr>
        <w:t xml:space="preserve"> The elected member for Protocol matters was Mr. Lasse </w:t>
      </w:r>
      <w:proofErr w:type="spellStart"/>
      <w:r w:rsidRPr="008530F1">
        <w:rPr>
          <w:lang w:eastAsia="en-US"/>
        </w:rPr>
        <w:t>Tallskog</w:t>
      </w:r>
      <w:proofErr w:type="spellEnd"/>
      <w:r w:rsidRPr="008530F1">
        <w:rPr>
          <w:lang w:eastAsia="en-US"/>
        </w:rPr>
        <w:t xml:space="preserve"> (Finland). </w:t>
      </w:r>
      <w:r w:rsidRPr="008530F1">
        <w:rPr>
          <w:lang w:eastAsia="en-GB"/>
        </w:rPr>
        <w:t>Finland had been elected by the Meeting of the Parties to the Protocol at its third session (Minsk, 13</w:t>
      </w:r>
      <w:r w:rsidRPr="008530F1">
        <w:rPr>
          <w:lang w:eastAsia="en-US"/>
        </w:rPr>
        <w:t>–</w:t>
      </w:r>
      <w:r w:rsidRPr="008530F1">
        <w:rPr>
          <w:lang w:eastAsia="en-GB"/>
        </w:rPr>
        <w:t>16 June 2017) to serve as an alternate to Azerbaijan.</w:t>
      </w:r>
      <w:r w:rsidRPr="008530F1">
        <w:rPr>
          <w:sz w:val="18"/>
          <w:vertAlign w:val="superscript"/>
          <w:lang w:eastAsia="en-GB"/>
        </w:rPr>
        <w:footnoteReference w:id="10"/>
      </w:r>
    </w:p>
    <w:p w14:paraId="694CC86B" w14:textId="4E2D6705" w:rsidR="008530F1" w:rsidRPr="008530F1" w:rsidRDefault="008530F1" w:rsidP="00811D20">
      <w:pPr>
        <w:pStyle w:val="SingleTxtG"/>
        <w:rPr>
          <w:lang w:eastAsia="en-US"/>
        </w:rPr>
      </w:pPr>
      <w:bookmarkStart w:id="6" w:name="_Hlk44958824"/>
      <w:r w:rsidRPr="008530F1">
        <w:rPr>
          <w:lang w:eastAsia="en-GB"/>
        </w:rPr>
        <w:t>4.</w:t>
      </w:r>
      <w:r w:rsidRPr="008530F1">
        <w:rPr>
          <w:lang w:eastAsia="en-US"/>
        </w:rPr>
        <w:tab/>
      </w:r>
      <w:r w:rsidRPr="008530F1">
        <w:rPr>
          <w:lang w:eastAsia="en-GB"/>
        </w:rPr>
        <w:t>In line with the Committee’s structure and functions and operating rules</w:t>
      </w:r>
      <w:r w:rsidRPr="008530F1">
        <w:rPr>
          <w:lang w:eastAsia="en-US"/>
        </w:rPr>
        <w:t>, in addition to the permanent members, the following alternate members</w:t>
      </w:r>
      <w:bookmarkEnd w:id="6"/>
      <w:r w:rsidRPr="008530F1">
        <w:rPr>
          <w:lang w:eastAsia="en-US"/>
        </w:rPr>
        <w:t xml:space="preserve"> were </w:t>
      </w:r>
      <w:r w:rsidRPr="008530F1">
        <w:rPr>
          <w:lang w:eastAsia="en-GB"/>
        </w:rPr>
        <w:t>appointed</w:t>
      </w:r>
      <w:r w:rsidRPr="008530F1">
        <w:rPr>
          <w:lang w:eastAsia="en-US"/>
        </w:rPr>
        <w:t xml:space="preserve"> by the elected Parties for the same term of office: Ms. Ursula Platzer-Schneider (Austria), Ms. Leyla Aliyeva (Azerbaijan); Ms. </w:t>
      </w:r>
      <w:proofErr w:type="spellStart"/>
      <w:r w:rsidRPr="008530F1">
        <w:rPr>
          <w:lang w:eastAsia="en-US"/>
        </w:rPr>
        <w:t>Charlotta</w:t>
      </w:r>
      <w:proofErr w:type="spellEnd"/>
      <w:r w:rsidRPr="008530F1">
        <w:rPr>
          <w:lang w:eastAsia="en-US"/>
        </w:rPr>
        <w:t xml:space="preserve"> von </w:t>
      </w:r>
      <w:proofErr w:type="spellStart"/>
      <w:r w:rsidRPr="008530F1">
        <w:rPr>
          <w:lang w:eastAsia="en-US"/>
        </w:rPr>
        <w:t>Troil</w:t>
      </w:r>
      <w:proofErr w:type="spellEnd"/>
      <w:r w:rsidRPr="008530F1">
        <w:rPr>
          <w:lang w:eastAsia="en-US"/>
        </w:rPr>
        <w:t xml:space="preserve"> (Finland); Mr. Christof Sangenstedt (Germany); Ms. Evelyn </w:t>
      </w:r>
      <w:proofErr w:type="spellStart"/>
      <w:r w:rsidRPr="008530F1">
        <w:rPr>
          <w:lang w:eastAsia="en-US"/>
        </w:rPr>
        <w:t>Fábián</w:t>
      </w:r>
      <w:proofErr w:type="spellEnd"/>
      <w:r w:rsidRPr="008530F1">
        <w:rPr>
          <w:lang w:eastAsia="en-US"/>
        </w:rPr>
        <w:t xml:space="preserve">-Mayer (Hungary); Mr. Tom Uri (from the fifty-sixth session) (Luxembourg); Ms. </w:t>
      </w:r>
      <w:proofErr w:type="spellStart"/>
      <w:r w:rsidRPr="008530F1">
        <w:rPr>
          <w:lang w:eastAsia="en-US"/>
        </w:rPr>
        <w:t>Águeda</w:t>
      </w:r>
      <w:proofErr w:type="spellEnd"/>
      <w:r w:rsidRPr="008530F1">
        <w:rPr>
          <w:lang w:eastAsia="en-US"/>
        </w:rPr>
        <w:t xml:space="preserve"> Silva (Portugal), Mr. Roman Skorka (Slovakia) and Ms. </w:t>
      </w:r>
      <w:r w:rsidRPr="008530F1">
        <w:rPr>
          <w:lang w:eastAsia="en-US"/>
        </w:rPr>
        <w:lastRenderedPageBreak/>
        <w:t xml:space="preserve">Christina Olsen </w:t>
      </w:r>
      <w:proofErr w:type="spellStart"/>
      <w:r w:rsidRPr="008530F1">
        <w:rPr>
          <w:lang w:eastAsia="en-US"/>
        </w:rPr>
        <w:t>Lundh</w:t>
      </w:r>
      <w:proofErr w:type="spellEnd"/>
      <w:r w:rsidRPr="008530F1">
        <w:rPr>
          <w:lang w:eastAsia="en-US"/>
        </w:rPr>
        <w:t xml:space="preserve"> (Sweden).</w:t>
      </w:r>
      <w:r w:rsidRPr="008530F1">
        <w:rPr>
          <w:sz w:val="18"/>
          <w:vertAlign w:val="superscript"/>
          <w:lang w:eastAsia="en-US"/>
        </w:rPr>
        <w:footnoteReference w:id="11"/>
      </w:r>
      <w:r w:rsidRPr="008530F1">
        <w:rPr>
          <w:lang w:eastAsia="en-US"/>
        </w:rPr>
        <w:t xml:space="preserve"> Due to delays in that respect by some Parties, the Chair repeatedly recalled operating rule 4 in order to stress the obligation of all Parties to also appoint an alternate member.</w:t>
      </w:r>
    </w:p>
    <w:p w14:paraId="41B1AF80" w14:textId="77777777" w:rsidR="008530F1" w:rsidRPr="008530F1" w:rsidRDefault="008530F1" w:rsidP="00811D20">
      <w:pPr>
        <w:pStyle w:val="SingleTxtG"/>
        <w:rPr>
          <w:lang w:eastAsia="en-US"/>
        </w:rPr>
      </w:pPr>
      <w:r w:rsidRPr="008530F1">
        <w:rPr>
          <w:lang w:eastAsia="en-US"/>
        </w:rPr>
        <w:t>5.</w:t>
      </w:r>
      <w:r w:rsidRPr="008530F1">
        <w:rPr>
          <w:lang w:eastAsia="en-US"/>
        </w:rPr>
        <w:tab/>
        <w:t xml:space="preserve">At its forty-ninth session (Geneva, 25 February 20–21), the Committee elected Mr. Ducomble as Chair of the Committee, Ms. </w:t>
      </w:r>
      <w:proofErr w:type="spellStart"/>
      <w:r w:rsidRPr="008530F1">
        <w:rPr>
          <w:lang w:eastAsia="en-US"/>
        </w:rPr>
        <w:t>do</w:t>
      </w:r>
      <w:proofErr w:type="spellEnd"/>
      <w:r w:rsidRPr="008530F1">
        <w:rPr>
          <w:lang w:eastAsia="en-US"/>
        </w:rPr>
        <w:t xml:space="preserve"> </w:t>
      </w:r>
      <w:proofErr w:type="spellStart"/>
      <w:r w:rsidRPr="008530F1">
        <w:rPr>
          <w:lang w:eastAsia="en-US"/>
        </w:rPr>
        <w:t>Carmo</w:t>
      </w:r>
      <w:proofErr w:type="spellEnd"/>
      <w:r w:rsidRPr="008530F1">
        <w:rPr>
          <w:lang w:eastAsia="en-US"/>
        </w:rPr>
        <w:t xml:space="preserve"> </w:t>
      </w:r>
      <w:proofErr w:type="spellStart"/>
      <w:r w:rsidRPr="008530F1">
        <w:rPr>
          <w:lang w:eastAsia="en-US"/>
        </w:rPr>
        <w:t>Figueira</w:t>
      </w:r>
      <w:proofErr w:type="spellEnd"/>
      <w:r w:rsidRPr="008530F1">
        <w:rPr>
          <w:lang w:eastAsia="en-US"/>
        </w:rPr>
        <w:t xml:space="preserve"> as first Vice-Chair and Mr. Baumgartner as second Vice-Chair.</w:t>
      </w:r>
      <w:r w:rsidRPr="008530F1">
        <w:rPr>
          <w:sz w:val="18"/>
          <w:vertAlign w:val="superscript"/>
          <w:lang w:eastAsia="en-US"/>
        </w:rPr>
        <w:footnoteReference w:id="12"/>
      </w:r>
    </w:p>
    <w:p w14:paraId="58A69A4A" w14:textId="4CF8B1A9" w:rsidR="008530F1" w:rsidRPr="008530F1" w:rsidRDefault="008530F1" w:rsidP="00811D20">
      <w:pPr>
        <w:pStyle w:val="SingleTxtG"/>
        <w:rPr>
          <w:lang w:eastAsia="en-US"/>
        </w:rPr>
      </w:pPr>
      <w:r w:rsidRPr="008530F1">
        <w:rPr>
          <w:lang w:eastAsia="en-US"/>
        </w:rPr>
        <w:t>6.</w:t>
      </w:r>
      <w:r w:rsidRPr="008530F1">
        <w:rPr>
          <w:lang w:eastAsia="en-US"/>
        </w:rPr>
        <w:tab/>
        <w:t>The Committee held nine sessions during the intersessional period. Due to the COVID-19 pandemic, and later upon decision of the Committee, four online and five hybrid sessions were held. Reports on the Committee’s sessions were made available to the Working Group on Environmental Impact Assessment and Strategic Environmental Assessment (Working Group) and published on the Convention’s website. Members nominated by Parties whose compliance was at issue were not present when the Committee considered the respective items in closed session.</w:t>
      </w:r>
      <w:r w:rsidRPr="008530F1">
        <w:rPr>
          <w:sz w:val="18"/>
          <w:vertAlign w:val="superscript"/>
          <w:lang w:eastAsia="en-US"/>
        </w:rPr>
        <w:footnoteReference w:id="13"/>
      </w:r>
      <w:r w:rsidRPr="008530F1">
        <w:rPr>
          <w:lang w:eastAsia="en-US"/>
        </w:rPr>
        <w:t xml:space="preserve"> The related documents and information on the compliance issues considered by the Committee, as specified in operating rule 16, were posted on the Convention’s website.</w:t>
      </w:r>
      <w:r w:rsidRPr="008530F1">
        <w:rPr>
          <w:vertAlign w:val="superscript"/>
          <w:lang w:eastAsia="en-US"/>
        </w:rPr>
        <w:footnoteReference w:id="14"/>
      </w:r>
      <w:r w:rsidRPr="008530F1">
        <w:rPr>
          <w:vertAlign w:val="superscript"/>
          <w:lang w:eastAsia="en-US"/>
        </w:rPr>
        <w:t xml:space="preserve"> </w:t>
      </w:r>
      <w:r w:rsidRPr="008530F1">
        <w:rPr>
          <w:lang w:eastAsia="en-US"/>
        </w:rPr>
        <w:t>The opinions of the Committee in the period 2021–2023 are included in the revised informal electronic publication of these opinions from 2001 onwards prepared by the secretariat.</w:t>
      </w:r>
      <w:r w:rsidRPr="008530F1">
        <w:rPr>
          <w:sz w:val="18"/>
          <w:vertAlign w:val="superscript"/>
          <w:lang w:eastAsia="en-US"/>
        </w:rPr>
        <w:footnoteReference w:id="15"/>
      </w:r>
      <w:r w:rsidRPr="008530F1">
        <w:rPr>
          <w:lang w:eastAsia="en-US"/>
        </w:rPr>
        <w:t xml:space="preserve"> The summaries of compliance issues in sections II–VI below provide an overview of each case considered by the Committee. For the Committee’s full conclusions, the respective session report is the primary source.</w:t>
      </w:r>
    </w:p>
    <w:p w14:paraId="0A79EC17" w14:textId="6E88B1B2" w:rsidR="008530F1" w:rsidRPr="008530F1" w:rsidRDefault="00811D20" w:rsidP="00811D20">
      <w:pPr>
        <w:pStyle w:val="H1G"/>
        <w:rPr>
          <w:lang w:eastAsia="en-US"/>
        </w:rPr>
      </w:pPr>
      <w:bookmarkStart w:id="7" w:name="_Toc147827437"/>
      <w:bookmarkStart w:id="8" w:name="_Toc1027341486"/>
      <w:r>
        <w:rPr>
          <w:lang w:eastAsia="en-US"/>
        </w:rPr>
        <w:tab/>
      </w:r>
      <w:r w:rsidR="008530F1" w:rsidRPr="008530F1">
        <w:rPr>
          <w:lang w:eastAsia="en-US"/>
        </w:rPr>
        <w:t>C.</w:t>
      </w:r>
      <w:r w:rsidR="008530F1" w:rsidRPr="008530F1">
        <w:rPr>
          <w:lang w:eastAsia="en-US"/>
        </w:rPr>
        <w:tab/>
        <w:t>Workload</w:t>
      </w:r>
      <w:bookmarkEnd w:id="7"/>
      <w:bookmarkEnd w:id="8"/>
    </w:p>
    <w:p w14:paraId="0262F4B8" w14:textId="77777777" w:rsidR="008530F1" w:rsidRPr="008530F1" w:rsidRDefault="008530F1" w:rsidP="00811D20">
      <w:pPr>
        <w:pStyle w:val="SingleTxtG"/>
        <w:rPr>
          <w:lang w:eastAsia="en-US"/>
        </w:rPr>
      </w:pPr>
      <w:r w:rsidRPr="008530F1">
        <w:rPr>
          <w:lang w:eastAsia="en-US"/>
        </w:rPr>
        <w:t>7.</w:t>
      </w:r>
      <w:r w:rsidRPr="008530F1">
        <w:rPr>
          <w:lang w:eastAsia="en-US"/>
        </w:rPr>
        <w:tab/>
        <w:t xml:space="preserve">The Committee’s workload continued to grow due to a constantly increasing number of compliance issues and their complexity. As summarized in sections II–VI below, the Committee </w:t>
      </w:r>
      <w:bookmarkStart w:id="9" w:name="_Hlk46574471"/>
      <w:r w:rsidRPr="008530F1">
        <w:rPr>
          <w:lang w:eastAsia="en-US"/>
        </w:rPr>
        <w:t>had been considering 53 compliance issues (5 cases to follow-up on previous decisions of the Meetings of the Parties, 4 submissions, 7 Committee initiatives, 20 information gathering cases and 17 specific compliance issues arising from reviews of implementation of the treaties</w:t>
      </w:r>
      <w:bookmarkEnd w:id="9"/>
      <w:r w:rsidRPr="008530F1">
        <w:rPr>
          <w:lang w:eastAsia="en-US"/>
        </w:rPr>
        <w:t>). The consultations with the European Commission on the European Union reporting templates (paras. 108–109 below) took up a significant share from the scarce resources of the Committee and the secretariat in 2021–2023. Long-term (full- or part-time) staff sick leaves and staff changes in the secretariat further increased the precarious situation and created delays in the Committee’s consideration of numerous compliance issues. Additional challenges during the reporting period included the continuation of the coronavirus disease (COVID-19) pandemic, requiring new working arrangements, and the war in Ukraine.</w:t>
      </w:r>
    </w:p>
    <w:p w14:paraId="6A6D5A8F" w14:textId="6ED41148" w:rsidR="008530F1" w:rsidRPr="008530F1" w:rsidRDefault="00811D20" w:rsidP="00811D20">
      <w:pPr>
        <w:pStyle w:val="HChG"/>
        <w:rPr>
          <w:lang w:eastAsia="en-US"/>
        </w:rPr>
      </w:pPr>
      <w:bookmarkStart w:id="10" w:name="_Toc147827438"/>
      <w:bookmarkStart w:id="11" w:name="_Toc1283662418"/>
      <w:r>
        <w:rPr>
          <w:lang w:eastAsia="en-US"/>
        </w:rPr>
        <w:tab/>
      </w:r>
      <w:r w:rsidR="008530F1" w:rsidRPr="008530F1">
        <w:rPr>
          <w:lang w:eastAsia="en-US"/>
        </w:rPr>
        <w:t>II.</w:t>
      </w:r>
      <w:r w:rsidR="008530F1" w:rsidRPr="008530F1">
        <w:rPr>
          <w:lang w:eastAsia="en-US"/>
        </w:rPr>
        <w:tab/>
        <w:t>Follow-up to decisions VIII/4 a–e</w:t>
      </w:r>
      <w:bookmarkEnd w:id="10"/>
      <w:bookmarkEnd w:id="11"/>
      <w:r w:rsidR="008530F1" w:rsidRPr="008530F1">
        <w:rPr>
          <w:sz w:val="18"/>
          <w:vertAlign w:val="superscript"/>
          <w:lang w:eastAsia="en-US"/>
        </w:rPr>
        <w:footnoteReference w:id="16"/>
      </w:r>
    </w:p>
    <w:p w14:paraId="003816DD" w14:textId="58A7E54D" w:rsidR="008530F1" w:rsidRPr="008530F1" w:rsidRDefault="008530F1" w:rsidP="00811D20">
      <w:pPr>
        <w:pStyle w:val="SingleTxtG"/>
        <w:rPr>
          <w:rFonts w:eastAsia="Calibri"/>
          <w:lang w:eastAsia="en-US"/>
        </w:rPr>
      </w:pPr>
      <w:r w:rsidRPr="008530F1">
        <w:rPr>
          <w:lang w:eastAsia="en-US"/>
        </w:rPr>
        <w:t>8.</w:t>
      </w:r>
      <w:r w:rsidRPr="008530F1">
        <w:rPr>
          <w:lang w:eastAsia="en-US"/>
        </w:rPr>
        <w:tab/>
        <w:t xml:space="preserve">In its follow-up to previous decisions of the Meetings of the Parties, the Committee considered the information regularly requested from the Parties on the steps they have taken to fulfil the requirements and recommendations of those decisions. The concerned Parties had three years to take the necessary actions and inform the Committee about them. </w:t>
      </w:r>
    </w:p>
    <w:p w14:paraId="02D1D9E1" w14:textId="57E17DC0" w:rsidR="008530F1" w:rsidRPr="008530F1" w:rsidRDefault="00811D20" w:rsidP="00811D20">
      <w:pPr>
        <w:pStyle w:val="H1G"/>
        <w:rPr>
          <w:lang w:eastAsia="en-US"/>
        </w:rPr>
      </w:pPr>
      <w:bookmarkStart w:id="12" w:name="_Toc147827439"/>
      <w:bookmarkStart w:id="13" w:name="_Toc1581510084"/>
      <w:r>
        <w:rPr>
          <w:lang w:eastAsia="en-US"/>
        </w:rPr>
        <w:lastRenderedPageBreak/>
        <w:tab/>
      </w:r>
      <w:r w:rsidR="008530F1" w:rsidRPr="008530F1">
        <w:rPr>
          <w:lang w:eastAsia="en-US"/>
        </w:rPr>
        <w:t>A.</w:t>
      </w:r>
      <w:r w:rsidR="008530F1" w:rsidRPr="008530F1">
        <w:rPr>
          <w:lang w:eastAsia="en-US"/>
        </w:rPr>
        <w:tab/>
        <w:t>Armenia</w:t>
      </w:r>
      <w:bookmarkEnd w:id="12"/>
      <w:bookmarkEnd w:id="13"/>
    </w:p>
    <w:p w14:paraId="47A04C0E" w14:textId="6FB9EE90" w:rsidR="008530F1" w:rsidRPr="008530F1" w:rsidRDefault="00811D20" w:rsidP="00811D20">
      <w:pPr>
        <w:pStyle w:val="H4G"/>
        <w:rPr>
          <w:lang w:eastAsia="en-US"/>
        </w:rPr>
      </w:pPr>
      <w:r>
        <w:rPr>
          <w:lang w:eastAsia="en-US"/>
        </w:rPr>
        <w:tab/>
      </w:r>
      <w:r>
        <w:rPr>
          <w:lang w:eastAsia="en-US"/>
        </w:rPr>
        <w:tab/>
      </w:r>
      <w:r w:rsidR="008530F1" w:rsidRPr="008530F1">
        <w:rPr>
          <w:lang w:eastAsia="en-US"/>
        </w:rPr>
        <w:t>EIA/IC/CI/1 and SEA/IC/SCI/3/1</w:t>
      </w:r>
    </w:p>
    <w:p w14:paraId="6B928997" w14:textId="77777777" w:rsidR="008530F1" w:rsidRPr="008530F1" w:rsidRDefault="008530F1" w:rsidP="00EA7720">
      <w:pPr>
        <w:pStyle w:val="SingleTxtG"/>
        <w:rPr>
          <w:lang w:eastAsia="en-US"/>
        </w:rPr>
      </w:pPr>
      <w:r w:rsidRPr="008530F1">
        <w:rPr>
          <w:rFonts w:eastAsia="Calibri"/>
          <w:lang w:eastAsia="en-US"/>
        </w:rPr>
        <w:t>9.</w:t>
      </w:r>
      <w:r w:rsidRPr="008530F1">
        <w:rPr>
          <w:lang w:eastAsia="en-US"/>
        </w:rPr>
        <w:tab/>
      </w:r>
      <w:r w:rsidRPr="008530F1">
        <w:rPr>
          <w:rFonts w:eastAsia="Calibri"/>
          <w:lang w:eastAsia="en-US"/>
        </w:rPr>
        <w:t xml:space="preserve">The Committee initiative on Armenia </w:t>
      </w:r>
      <w:proofErr w:type="gramStart"/>
      <w:r w:rsidRPr="008530F1">
        <w:rPr>
          <w:rFonts w:eastAsia="Calibri"/>
          <w:lang w:eastAsia="en-US"/>
        </w:rPr>
        <w:t>dates back to</w:t>
      </w:r>
      <w:proofErr w:type="gramEnd"/>
      <w:r w:rsidRPr="008530F1">
        <w:rPr>
          <w:rFonts w:eastAsia="Calibri"/>
          <w:lang w:eastAsia="en-US"/>
        </w:rPr>
        <w:t xml:space="preserve"> 2007, prompted by the Committee’s examination of national responses to the questionnaire for the first review of implementation of the Convention (to mid-2003) and the request from Armenia for technical assistance from the Committee in developing national legislation for implementing the Convention. The secretariat has provided legislative assistance to </w:t>
      </w:r>
      <w:r w:rsidRPr="008530F1">
        <w:rPr>
          <w:lang w:eastAsia="en-US"/>
        </w:rPr>
        <w:t>Armenia since 2011, including most recently with European Union funding under the European Union for Environment (EU4Environment) programme.</w:t>
      </w:r>
      <w:r w:rsidRPr="008530F1">
        <w:rPr>
          <w:rFonts w:eastAsia="Calibri"/>
          <w:lang w:eastAsia="en-US"/>
        </w:rPr>
        <w:t xml:space="preserve"> In 2014, Armenia adopted the </w:t>
      </w:r>
      <w:r w:rsidRPr="008530F1">
        <w:rPr>
          <w:lang w:eastAsia="en-US"/>
        </w:rPr>
        <w:t xml:space="preserve">Law on Environmental Impact Assessment and Expert Examination, which only partially complied with the Convention. Consequently, during the subsequent intersessional periods, </w:t>
      </w:r>
      <w:proofErr w:type="gramStart"/>
      <w:r w:rsidRPr="008530F1">
        <w:rPr>
          <w:lang w:eastAsia="en-US"/>
        </w:rPr>
        <w:t>in order to</w:t>
      </w:r>
      <w:proofErr w:type="gramEnd"/>
      <w:r w:rsidRPr="008530F1">
        <w:rPr>
          <w:lang w:eastAsia="en-US"/>
        </w:rPr>
        <w:t xml:space="preserve"> comply with the Convention and the Protocol, which Armenia ratified in 2011, Armenia has been invited to amend its legislation and adopt secondary legislation. </w:t>
      </w:r>
    </w:p>
    <w:p w14:paraId="6FB561EF" w14:textId="77777777" w:rsidR="008530F1" w:rsidRPr="008530F1" w:rsidRDefault="008530F1" w:rsidP="00EA7720">
      <w:pPr>
        <w:pStyle w:val="SingleTxtG"/>
        <w:rPr>
          <w:lang w:eastAsia="en-US"/>
        </w:rPr>
      </w:pPr>
      <w:r w:rsidRPr="008530F1">
        <w:rPr>
          <w:lang w:eastAsia="en-US"/>
        </w:rPr>
        <w:t>10.</w:t>
      </w:r>
      <w:r w:rsidRPr="008530F1">
        <w:rPr>
          <w:lang w:eastAsia="en-US"/>
        </w:rPr>
        <w:tab/>
        <w:t xml:space="preserve">Since the eighth session of the Meeting of the Parties to the Convention, Armenia has repeatedly informed the Committee about its intention to adopt amendments to the Law of 2014 and secondary legislation, </w:t>
      </w:r>
      <w:proofErr w:type="gramStart"/>
      <w:r w:rsidRPr="008530F1">
        <w:rPr>
          <w:lang w:eastAsia="en-US"/>
        </w:rPr>
        <w:t>in order to</w:t>
      </w:r>
      <w:proofErr w:type="gramEnd"/>
      <w:r w:rsidRPr="008530F1">
        <w:rPr>
          <w:lang w:eastAsia="en-US"/>
        </w:rPr>
        <w:t xml:space="preserve"> bring its national legislative framework into full compliance with the Convention and the Protocol, as requested by decision VIII/4a. </w:t>
      </w:r>
    </w:p>
    <w:p w14:paraId="1C7B063D" w14:textId="77777777" w:rsidR="008530F1" w:rsidRPr="008530F1" w:rsidRDefault="008530F1" w:rsidP="00EA7720">
      <w:pPr>
        <w:pStyle w:val="SingleTxtG"/>
        <w:rPr>
          <w:lang w:eastAsia="en-US"/>
        </w:rPr>
      </w:pPr>
      <w:r w:rsidRPr="008530F1">
        <w:rPr>
          <w:lang w:eastAsia="en-US"/>
        </w:rPr>
        <w:t>11.</w:t>
      </w:r>
      <w:r w:rsidRPr="008530F1">
        <w:rPr>
          <w:lang w:eastAsia="en-US"/>
        </w:rPr>
        <w:tab/>
        <w:t>Following the third review of implementation of the Protocol, the Committee requested at its fifty-second session (Geneva, 29–31 March 2022) clarification on how “minor modifications” to a plan or a programme (art. 4 (4) of the Protocol) were identified in the legislation and administrative instructions of Armenia.</w:t>
      </w:r>
      <w:r w:rsidRPr="008530F1">
        <w:rPr>
          <w:sz w:val="18"/>
          <w:vertAlign w:val="superscript"/>
          <w:lang w:eastAsia="en-US"/>
        </w:rPr>
        <w:footnoteReference w:id="17"/>
      </w:r>
      <w:r w:rsidRPr="008530F1">
        <w:rPr>
          <w:lang w:eastAsia="en-US"/>
        </w:rPr>
        <w:t xml:space="preserve"> At its fifty-sixth session (Geneva, 2–5 May 2023), the Committee decided to continue its further examination of this specific compliance issue as part of the follow-up to decision VIII/4a (see also table 3 below).</w:t>
      </w:r>
      <w:r w:rsidRPr="008530F1">
        <w:rPr>
          <w:sz w:val="18"/>
          <w:vertAlign w:val="superscript"/>
          <w:lang w:eastAsia="en-US"/>
        </w:rPr>
        <w:footnoteReference w:id="18"/>
      </w:r>
      <w:r w:rsidRPr="008530F1">
        <w:rPr>
          <w:lang w:eastAsia="en-US"/>
        </w:rPr>
        <w:t xml:space="preserve"> </w:t>
      </w:r>
    </w:p>
    <w:p w14:paraId="36AB01BE" w14:textId="77777777" w:rsidR="008530F1" w:rsidRPr="008530F1" w:rsidRDefault="008530F1" w:rsidP="00EA7720">
      <w:pPr>
        <w:pStyle w:val="SingleTxtG"/>
        <w:rPr>
          <w:lang w:eastAsia="en-US"/>
        </w:rPr>
      </w:pPr>
      <w:r w:rsidRPr="008530F1">
        <w:rPr>
          <w:lang w:eastAsia="en-US"/>
        </w:rPr>
        <w:t>12.</w:t>
      </w:r>
      <w:r w:rsidRPr="008530F1">
        <w:rPr>
          <w:lang w:eastAsia="en-US"/>
        </w:rPr>
        <w:tab/>
        <w:t xml:space="preserve">Armenia informed the Committee about its adoption of the new </w:t>
      </w:r>
      <w:r w:rsidRPr="008530F1">
        <w:rPr>
          <w:rFonts w:eastAsia="SimSun"/>
          <w:lang w:eastAsia="en-US"/>
        </w:rPr>
        <w:t xml:space="preserve">Law on Environmental Impact Assessment and Expert Examination </w:t>
      </w:r>
      <w:r w:rsidRPr="008530F1">
        <w:rPr>
          <w:lang w:eastAsia="en-US"/>
        </w:rPr>
        <w:t xml:space="preserve">on 3 May 2023. </w:t>
      </w:r>
    </w:p>
    <w:p w14:paraId="596E969C" w14:textId="77777777" w:rsidR="008530F1" w:rsidRPr="008530F1" w:rsidRDefault="008530F1" w:rsidP="00EA7720">
      <w:pPr>
        <w:pStyle w:val="SingleTxtG"/>
        <w:rPr>
          <w:lang w:eastAsia="en-US"/>
        </w:rPr>
      </w:pPr>
      <w:r w:rsidRPr="008530F1">
        <w:rPr>
          <w:lang w:eastAsia="en-US"/>
        </w:rPr>
        <w:t>13.</w:t>
      </w:r>
      <w:r w:rsidRPr="008530F1">
        <w:rPr>
          <w:lang w:eastAsia="en-US"/>
        </w:rPr>
        <w:tab/>
        <w:t xml:space="preserve">In draft decision </w:t>
      </w:r>
      <w:r w:rsidRPr="008530F1">
        <w:rPr>
          <w:rFonts w:eastAsia="Calibri"/>
          <w:lang w:eastAsia="en-US"/>
        </w:rPr>
        <w:t>IX/4b</w:t>
      </w:r>
      <w:r w:rsidRPr="008530F1">
        <w:rPr>
          <w:lang w:eastAsia="en-US"/>
        </w:rPr>
        <w:t>–</w:t>
      </w:r>
      <w:r w:rsidRPr="008530F1">
        <w:rPr>
          <w:rFonts w:eastAsia="Calibri"/>
          <w:lang w:eastAsia="en-US"/>
        </w:rPr>
        <w:t>V/4b,</w:t>
      </w:r>
      <w:r w:rsidRPr="008530F1">
        <w:rPr>
          <w:rFonts w:eastAsia="Calibri"/>
          <w:sz w:val="18"/>
          <w:vertAlign w:val="superscript"/>
          <w:lang w:eastAsia="en-US"/>
        </w:rPr>
        <w:footnoteReference w:id="19"/>
      </w:r>
      <w:r w:rsidRPr="008530F1">
        <w:rPr>
          <w:rFonts w:eastAsia="Calibri"/>
          <w:lang w:eastAsia="en-US"/>
        </w:rPr>
        <w:t xml:space="preserve"> based on its review of the amended legislation, the Committee recommended </w:t>
      </w:r>
      <w:bookmarkStart w:id="14" w:name="_Hlk46664701"/>
      <w:r w:rsidRPr="008530F1">
        <w:rPr>
          <w:lang w:eastAsia="en-US"/>
        </w:rPr>
        <w:t xml:space="preserve">that the Meetings of the Parties </w:t>
      </w:r>
      <w:bookmarkEnd w:id="14"/>
      <w:r w:rsidRPr="008530F1">
        <w:rPr>
          <w:lang w:eastAsia="en-US"/>
        </w:rPr>
        <w:t>note with concern that, while providing some improvements, the new law did not address most of the fundamental deficiencies of the previous law, therefore not ensuring full compliance by Armenia with its obligations under the Convention and the Protocol.</w:t>
      </w:r>
    </w:p>
    <w:p w14:paraId="21C4653E" w14:textId="6FD779A7" w:rsidR="008530F1" w:rsidRPr="008530F1" w:rsidRDefault="00EA7720" w:rsidP="00EA7720">
      <w:pPr>
        <w:pStyle w:val="H1G"/>
        <w:rPr>
          <w:lang w:eastAsia="en-US"/>
        </w:rPr>
      </w:pPr>
      <w:bookmarkStart w:id="15" w:name="_Toc147827440"/>
      <w:bookmarkStart w:id="16" w:name="_Toc2108781976"/>
      <w:r>
        <w:rPr>
          <w:lang w:eastAsia="en-US"/>
        </w:rPr>
        <w:tab/>
      </w:r>
      <w:r w:rsidR="008530F1" w:rsidRPr="008530F1">
        <w:rPr>
          <w:lang w:eastAsia="en-US"/>
        </w:rPr>
        <w:t>B.</w:t>
      </w:r>
      <w:r>
        <w:rPr>
          <w:lang w:eastAsia="en-US"/>
        </w:rPr>
        <w:tab/>
      </w:r>
      <w:r w:rsidR="008530F1" w:rsidRPr="008530F1">
        <w:rPr>
          <w:lang w:eastAsia="en-US"/>
        </w:rPr>
        <w:t>Azerbaijan</w:t>
      </w:r>
      <w:bookmarkEnd w:id="15"/>
      <w:bookmarkEnd w:id="16"/>
    </w:p>
    <w:p w14:paraId="066CBE97" w14:textId="1E56ED64" w:rsidR="008530F1" w:rsidRPr="008530F1" w:rsidRDefault="00F5471D" w:rsidP="00EA7720">
      <w:pPr>
        <w:pStyle w:val="H4G"/>
        <w:rPr>
          <w:lang w:eastAsia="en-US"/>
        </w:rPr>
      </w:pPr>
      <w:r>
        <w:rPr>
          <w:lang w:eastAsia="en-US"/>
        </w:rPr>
        <w:tab/>
      </w:r>
      <w:r>
        <w:rPr>
          <w:lang w:eastAsia="en-US"/>
        </w:rPr>
        <w:tab/>
      </w:r>
      <w:r w:rsidR="008530F1" w:rsidRPr="008530F1">
        <w:rPr>
          <w:lang w:eastAsia="en-US"/>
        </w:rPr>
        <w:t>EIA/IC/CI/2</w:t>
      </w:r>
    </w:p>
    <w:p w14:paraId="14D860C7" w14:textId="77777777" w:rsidR="008530F1" w:rsidRPr="008530F1" w:rsidRDefault="008530F1" w:rsidP="00F5471D">
      <w:pPr>
        <w:pStyle w:val="SingleTxtG"/>
        <w:rPr>
          <w:rFonts w:eastAsia="Calibri"/>
          <w:lang w:eastAsia="en-US"/>
        </w:rPr>
      </w:pPr>
      <w:r w:rsidRPr="008530F1">
        <w:rPr>
          <w:lang w:eastAsia="en-US"/>
        </w:rPr>
        <w:t>14.</w:t>
      </w:r>
      <w:r w:rsidRPr="008530F1">
        <w:rPr>
          <w:lang w:eastAsia="en-US"/>
        </w:rPr>
        <w:tab/>
        <w:t xml:space="preserve">The Committee initiative on Azerbaijan was prompted by the responses of Azerbaijan to the </w:t>
      </w:r>
      <w:r w:rsidRPr="008530F1">
        <w:rPr>
          <w:rFonts w:eastAsia="Calibri"/>
          <w:lang w:eastAsia="en-US"/>
        </w:rPr>
        <w:t>questionnaire</w:t>
      </w:r>
      <w:r w:rsidRPr="008530F1">
        <w:rPr>
          <w:lang w:eastAsia="en-US"/>
        </w:rPr>
        <w:t xml:space="preserve"> on implementation of the Convention in the period 2009–2011, indicating that it lacked national legislation on the Convention’s application, and by the request from Azerbaijan for technical assistance from the Committee. To support the efforts of Azerbaijan to develop compliant legislation to implement the Convention, (</w:t>
      </w:r>
      <w:proofErr w:type="gramStart"/>
      <w:r w:rsidRPr="008530F1">
        <w:rPr>
          <w:lang w:eastAsia="en-US"/>
        </w:rPr>
        <w:t>and also</w:t>
      </w:r>
      <w:proofErr w:type="gramEnd"/>
      <w:r w:rsidRPr="008530F1">
        <w:rPr>
          <w:lang w:eastAsia="en-US"/>
        </w:rPr>
        <w:t xml:space="preserve"> the Protocol), Azerbaijan has benefitted from technical assistance from the secretariat since 2011, including most recently with European Union funding under the EU4Environment programme.</w:t>
      </w:r>
      <w:r w:rsidRPr="008530F1">
        <w:rPr>
          <w:rFonts w:eastAsia="Calibri"/>
          <w:lang w:eastAsia="en-US"/>
        </w:rPr>
        <w:t xml:space="preserve"> </w:t>
      </w:r>
      <w:bookmarkStart w:id="17" w:name="_Hlk46665076"/>
    </w:p>
    <w:p w14:paraId="4C05756E" w14:textId="77777777" w:rsidR="008530F1" w:rsidRPr="008530F1" w:rsidRDefault="008530F1" w:rsidP="00F5471D">
      <w:pPr>
        <w:pStyle w:val="SingleTxtG"/>
        <w:rPr>
          <w:lang w:eastAsia="en-US"/>
        </w:rPr>
      </w:pPr>
      <w:r w:rsidRPr="008530F1">
        <w:rPr>
          <w:lang w:eastAsia="en-US"/>
        </w:rPr>
        <w:t>15.</w:t>
      </w:r>
      <w:r w:rsidRPr="008530F1">
        <w:rPr>
          <w:lang w:eastAsia="en-US"/>
        </w:rPr>
        <w:tab/>
        <w:t xml:space="preserve">In 2018, Azerbaijan adopted a framework Law on Environmental Impact Assessment, followed by the adoption between 2018 and 2022 of six pieces of secondary legislation to implement said framework Law. In the intersessional period, Azerbaijan informed the Committee about steps taken to fulfil decision VIII/4b. The Committee noted deficiencies of the framework Law and the final two of the above-mentioned pieces of secondary legislation. </w:t>
      </w:r>
    </w:p>
    <w:p w14:paraId="0876CD36" w14:textId="77777777" w:rsidR="008530F1" w:rsidRPr="008530F1" w:rsidRDefault="008530F1" w:rsidP="00F5471D">
      <w:pPr>
        <w:pStyle w:val="SingleTxtG"/>
        <w:rPr>
          <w:lang w:eastAsia="en-US"/>
        </w:rPr>
      </w:pPr>
      <w:r w:rsidRPr="008530F1">
        <w:rPr>
          <w:lang w:eastAsia="en-US"/>
        </w:rPr>
        <w:lastRenderedPageBreak/>
        <w:t>16.</w:t>
      </w:r>
      <w:r w:rsidRPr="008530F1">
        <w:rPr>
          <w:lang w:eastAsia="en-US"/>
        </w:rPr>
        <w:tab/>
        <w:t>In draft decision IX/4d,</w:t>
      </w:r>
      <w:r w:rsidRPr="008530F1">
        <w:rPr>
          <w:sz w:val="18"/>
          <w:vertAlign w:val="superscript"/>
          <w:lang w:eastAsia="en-US"/>
        </w:rPr>
        <w:footnoteReference w:id="20"/>
      </w:r>
      <w:r w:rsidRPr="008530F1">
        <w:rPr>
          <w:lang w:eastAsia="en-US"/>
        </w:rPr>
        <w:t xml:space="preserve"> the Committee recommended that the Meeting of the Parties note with concern that the legislation adopted by Azerbaijan to implement the Convention was not fully compliant therewith but contained deficiencies, as described in said draft decision. </w:t>
      </w:r>
    </w:p>
    <w:p w14:paraId="58769AD3" w14:textId="3F83E55B" w:rsidR="008530F1" w:rsidRPr="008530F1" w:rsidRDefault="00F5471D" w:rsidP="00F5471D">
      <w:pPr>
        <w:pStyle w:val="H1G"/>
        <w:rPr>
          <w:lang w:eastAsia="en-US"/>
        </w:rPr>
      </w:pPr>
      <w:bookmarkStart w:id="18" w:name="_Toc147827441"/>
      <w:bookmarkStart w:id="19" w:name="_Toc112641892"/>
      <w:bookmarkEnd w:id="17"/>
      <w:r>
        <w:rPr>
          <w:lang w:eastAsia="en-US"/>
        </w:rPr>
        <w:tab/>
      </w:r>
      <w:r w:rsidR="008530F1" w:rsidRPr="008530F1">
        <w:rPr>
          <w:lang w:eastAsia="en-US"/>
        </w:rPr>
        <w:t>C.</w:t>
      </w:r>
      <w:r w:rsidR="008530F1" w:rsidRPr="008530F1">
        <w:rPr>
          <w:lang w:eastAsia="en-US"/>
        </w:rPr>
        <w:tab/>
        <w:t>Belarus</w:t>
      </w:r>
      <w:bookmarkEnd w:id="18"/>
      <w:bookmarkEnd w:id="19"/>
    </w:p>
    <w:p w14:paraId="591E7BA6" w14:textId="7C748247" w:rsidR="008530F1" w:rsidRPr="008530F1" w:rsidRDefault="00F5471D" w:rsidP="00F5471D">
      <w:pPr>
        <w:pStyle w:val="H4G"/>
        <w:rPr>
          <w:lang w:eastAsia="en-US"/>
        </w:rPr>
      </w:pPr>
      <w:r>
        <w:rPr>
          <w:lang w:eastAsia="en-US"/>
        </w:rPr>
        <w:tab/>
      </w:r>
      <w:r>
        <w:rPr>
          <w:lang w:eastAsia="en-US"/>
        </w:rPr>
        <w:tab/>
      </w:r>
      <w:r w:rsidR="008530F1" w:rsidRPr="008530F1">
        <w:rPr>
          <w:lang w:eastAsia="en-US"/>
        </w:rPr>
        <w:t>EIA/IC/S/4</w:t>
      </w:r>
    </w:p>
    <w:p w14:paraId="017A77D5" w14:textId="77777777" w:rsidR="008530F1" w:rsidRPr="008530F1" w:rsidRDefault="008530F1" w:rsidP="00F5471D">
      <w:pPr>
        <w:pStyle w:val="SingleTxtG"/>
        <w:rPr>
          <w:rFonts w:eastAsia="SimSun"/>
          <w:lang w:eastAsia="en-US"/>
        </w:rPr>
      </w:pPr>
      <w:r w:rsidRPr="008530F1">
        <w:rPr>
          <w:rFonts w:eastAsia="Calibri"/>
          <w:lang w:eastAsia="en-US"/>
        </w:rPr>
        <w:t>17.</w:t>
      </w:r>
      <w:r w:rsidRPr="008530F1">
        <w:rPr>
          <w:lang w:eastAsia="en-US"/>
        </w:rPr>
        <w:tab/>
      </w:r>
      <w:r w:rsidRPr="008530F1">
        <w:rPr>
          <w:rFonts w:eastAsia="Calibri"/>
          <w:lang w:eastAsia="en-US"/>
        </w:rPr>
        <w:t xml:space="preserve">The Committee continued its consideration of its follow-up to decision VIII/4c concerning the Belarusian nuclear power plant in </w:t>
      </w:r>
      <w:proofErr w:type="spellStart"/>
      <w:r w:rsidRPr="008530F1">
        <w:rPr>
          <w:rFonts w:eastAsia="Calibri"/>
          <w:lang w:eastAsia="en-US"/>
        </w:rPr>
        <w:t>Ostrovets</w:t>
      </w:r>
      <w:proofErr w:type="spellEnd"/>
      <w:r w:rsidRPr="008530F1">
        <w:rPr>
          <w:rFonts w:eastAsia="Calibri"/>
          <w:lang w:eastAsia="en-US"/>
        </w:rPr>
        <w:t xml:space="preserve">. </w:t>
      </w:r>
      <w:r w:rsidRPr="008530F1">
        <w:rPr>
          <w:lang w:eastAsia="en-US"/>
        </w:rPr>
        <w:t xml:space="preserve">By decision VIII/4c, the Meeting of the Parties at its eighth session recalled its decisions VI/2 and IS/1d, and urged Belarus to apply the Convention in the future </w:t>
      </w:r>
      <w:proofErr w:type="gramStart"/>
      <w:r w:rsidRPr="008530F1">
        <w:rPr>
          <w:lang w:eastAsia="en-US"/>
        </w:rPr>
        <w:t>with regard to</w:t>
      </w:r>
      <w:proofErr w:type="gramEnd"/>
      <w:r w:rsidRPr="008530F1">
        <w:rPr>
          <w:lang w:eastAsia="en-US"/>
        </w:rPr>
        <w:t xml:space="preserve"> a proper evaluation of reasonable alternatives. Furthermore, it again encouraged Belarus and Lithuania to </w:t>
      </w:r>
      <w:r w:rsidRPr="008530F1">
        <w:rPr>
          <w:rFonts w:eastAsia="SimSun"/>
          <w:lang w:eastAsia="en-US"/>
        </w:rPr>
        <w:t xml:space="preserve">conclude a bilateral agreement for the implementation of the Convention further to article 8 thereof, carry out a post-project analysis, and continue bilateral expert consultations on issues of disagreement. </w:t>
      </w:r>
    </w:p>
    <w:p w14:paraId="5253E8C4" w14:textId="77777777" w:rsidR="008530F1" w:rsidRPr="008530F1" w:rsidRDefault="008530F1" w:rsidP="00F5471D">
      <w:pPr>
        <w:pStyle w:val="SingleTxtG"/>
        <w:rPr>
          <w:lang w:eastAsia="en-US"/>
        </w:rPr>
      </w:pPr>
      <w:r w:rsidRPr="008530F1">
        <w:rPr>
          <w:rFonts w:eastAsia="SimSun"/>
          <w:lang w:eastAsia="en-US"/>
        </w:rPr>
        <w:t>18.</w:t>
      </w:r>
      <w:r w:rsidRPr="008530F1">
        <w:rPr>
          <w:lang w:eastAsia="en-US"/>
        </w:rPr>
        <w:tab/>
      </w:r>
      <w:r w:rsidRPr="008530F1">
        <w:rPr>
          <w:rFonts w:eastAsia="SimSun"/>
          <w:lang w:eastAsia="en-US"/>
        </w:rPr>
        <w:t xml:space="preserve">The Committee expressed appreciation for the timely submission of the annual reports by Belarus and Lithuania, </w:t>
      </w:r>
      <w:r w:rsidRPr="008530F1">
        <w:rPr>
          <w:lang w:eastAsia="en-US"/>
        </w:rPr>
        <w:t>further to paragraph 5 of decision VIII/4, but noted the lack of progress in their bilateral cooperation.</w:t>
      </w:r>
      <w:r w:rsidRPr="008530F1">
        <w:rPr>
          <w:sz w:val="18"/>
          <w:vertAlign w:val="superscript"/>
          <w:lang w:eastAsia="en-US"/>
        </w:rPr>
        <w:footnoteReference w:id="21"/>
      </w:r>
      <w:r w:rsidRPr="008530F1">
        <w:rPr>
          <w:lang w:eastAsia="en-US"/>
        </w:rPr>
        <w:t xml:space="preserve">  During the intersessional period, Belarus and Lithuania held only one bilateral expert meeting with the aim of discussing remaining differences, and to make progress in accordance with decision VIII/4c, but were unable to agree on the outcomes of said meeting. </w:t>
      </w:r>
    </w:p>
    <w:p w14:paraId="78157E7E" w14:textId="77777777" w:rsidR="008530F1" w:rsidRPr="008530F1" w:rsidRDefault="008530F1" w:rsidP="00F5471D">
      <w:pPr>
        <w:pStyle w:val="SingleTxtG"/>
        <w:rPr>
          <w:lang w:eastAsia="en-US"/>
        </w:rPr>
      </w:pPr>
      <w:r w:rsidRPr="008530F1">
        <w:rPr>
          <w:lang w:eastAsia="en-US"/>
        </w:rPr>
        <w:t>19.</w:t>
      </w:r>
      <w:r w:rsidRPr="008530F1">
        <w:rPr>
          <w:lang w:eastAsia="en-US"/>
        </w:rPr>
        <w:tab/>
        <w:t xml:space="preserve">During its fifty-fourth session (Geneva, 4–7 October 2022), the Committee conducted informal consultations – held separately, at the request of Lithuania – with the two Parties. </w:t>
      </w:r>
    </w:p>
    <w:p w14:paraId="6BA2A487" w14:textId="77777777" w:rsidR="008530F1" w:rsidRPr="008530F1" w:rsidRDefault="008530F1" w:rsidP="00F5471D">
      <w:pPr>
        <w:pStyle w:val="SingleTxtG"/>
        <w:rPr>
          <w:lang w:eastAsia="en-US"/>
        </w:rPr>
      </w:pPr>
      <w:r w:rsidRPr="008530F1">
        <w:rPr>
          <w:lang w:eastAsia="en-US"/>
        </w:rPr>
        <w:t>20.</w:t>
      </w:r>
      <w:r w:rsidRPr="008530F1">
        <w:rPr>
          <w:lang w:eastAsia="en-US"/>
        </w:rPr>
        <w:tab/>
        <w:t>In draft decision IX/4e,</w:t>
      </w:r>
      <w:r w:rsidRPr="008530F1">
        <w:rPr>
          <w:sz w:val="18"/>
          <w:vertAlign w:val="superscript"/>
          <w:lang w:eastAsia="en-US"/>
        </w:rPr>
        <w:footnoteReference w:id="22"/>
      </w:r>
      <w:r w:rsidRPr="008530F1">
        <w:rPr>
          <w:lang w:eastAsia="en-US"/>
        </w:rPr>
        <w:t xml:space="preserve"> the Committee recommended that Belarus and Lithuania complete the actions requested by previous decisions of the Meeting of the Parties, except for the establishment of a joint bilateral body, by the tenth session of the Meeting of the Parties to the Convention (at the latest) and continue their annual reporting. </w:t>
      </w:r>
    </w:p>
    <w:p w14:paraId="536FDB23" w14:textId="58BF07AD" w:rsidR="008530F1" w:rsidRPr="008530F1" w:rsidRDefault="007A14D9" w:rsidP="007A14D9">
      <w:pPr>
        <w:pStyle w:val="H1G"/>
        <w:rPr>
          <w:lang w:eastAsia="en-US"/>
        </w:rPr>
      </w:pPr>
      <w:bookmarkStart w:id="20" w:name="_Toc147827442"/>
      <w:bookmarkStart w:id="21" w:name="_Toc122510281"/>
      <w:r>
        <w:rPr>
          <w:lang w:eastAsia="en-US"/>
        </w:rPr>
        <w:tab/>
      </w:r>
      <w:r w:rsidR="008530F1" w:rsidRPr="008530F1">
        <w:rPr>
          <w:lang w:eastAsia="en-US"/>
        </w:rPr>
        <w:t>D.</w:t>
      </w:r>
      <w:r>
        <w:rPr>
          <w:lang w:eastAsia="en-US"/>
        </w:rPr>
        <w:tab/>
      </w:r>
      <w:r w:rsidR="008530F1" w:rsidRPr="008530F1">
        <w:rPr>
          <w:lang w:eastAsia="en-US"/>
        </w:rPr>
        <w:t>Ukraine</w:t>
      </w:r>
      <w:bookmarkEnd w:id="20"/>
      <w:bookmarkEnd w:id="21"/>
    </w:p>
    <w:p w14:paraId="0536B3EC" w14:textId="77777777" w:rsidR="008530F1" w:rsidRPr="008530F1" w:rsidRDefault="008530F1" w:rsidP="007A14D9">
      <w:pPr>
        <w:pStyle w:val="SingleTxtG"/>
        <w:rPr>
          <w:lang w:eastAsia="en-US"/>
        </w:rPr>
      </w:pPr>
      <w:r w:rsidRPr="008530F1">
        <w:rPr>
          <w:lang w:eastAsia="en-US"/>
        </w:rPr>
        <w:t>21.</w:t>
      </w:r>
      <w:r w:rsidRPr="008530F1">
        <w:rPr>
          <w:lang w:eastAsia="en-US"/>
        </w:rPr>
        <w:tab/>
        <w:t>Further to the military aggression of the Russian Federation against Ukraine, the Committee, at its fifty-second session,</w:t>
      </w:r>
      <w:r w:rsidRPr="008530F1">
        <w:rPr>
          <w:sz w:val="18"/>
          <w:vertAlign w:val="superscript"/>
          <w:lang w:eastAsia="en-US"/>
        </w:rPr>
        <w:footnoteReference w:id="23"/>
      </w:r>
      <w:r w:rsidRPr="008530F1">
        <w:rPr>
          <w:lang w:eastAsia="en-US"/>
        </w:rPr>
        <w:t xml:space="preserve"> postponed its consideration of all compliance issues concerning Ukraine.</w:t>
      </w:r>
      <w:r w:rsidRPr="008530F1">
        <w:rPr>
          <w:vertAlign w:val="superscript"/>
          <w:lang w:eastAsia="en-US"/>
        </w:rPr>
        <w:footnoteReference w:id="24"/>
      </w:r>
      <w:r w:rsidRPr="008530F1">
        <w:rPr>
          <w:lang w:eastAsia="en-US"/>
        </w:rPr>
        <w:t xml:space="preserve"> Based on the interest expressed by Ukraine to resolve the compliance matters, the Committee resumed its deliberations at its fifty-sixth session and conducted informal consultations with Ukraine during that session.</w:t>
      </w:r>
    </w:p>
    <w:p w14:paraId="1EA10EEC" w14:textId="56FD730E" w:rsidR="008530F1" w:rsidRPr="008530F1" w:rsidRDefault="007A14D9" w:rsidP="007A14D9">
      <w:pPr>
        <w:pStyle w:val="H4G"/>
        <w:rPr>
          <w:lang w:eastAsia="en-US"/>
        </w:rPr>
      </w:pPr>
      <w:r>
        <w:rPr>
          <w:lang w:eastAsia="en-US"/>
        </w:rPr>
        <w:tab/>
      </w:r>
      <w:r>
        <w:rPr>
          <w:lang w:eastAsia="en-US"/>
        </w:rPr>
        <w:tab/>
      </w:r>
      <w:r w:rsidR="008530F1" w:rsidRPr="008530F1">
        <w:rPr>
          <w:lang w:eastAsia="en-US"/>
        </w:rPr>
        <w:t>EIA/IC/S/1</w:t>
      </w:r>
    </w:p>
    <w:p w14:paraId="23C63154" w14:textId="660483ED" w:rsidR="008530F1" w:rsidRPr="008530F1" w:rsidRDefault="008530F1" w:rsidP="007A14D9">
      <w:pPr>
        <w:pStyle w:val="SingleTxtG"/>
        <w:rPr>
          <w:lang w:eastAsia="en-US"/>
        </w:rPr>
      </w:pPr>
      <w:r w:rsidRPr="008530F1">
        <w:rPr>
          <w:lang w:eastAsia="en-US"/>
        </w:rPr>
        <w:t>22.</w:t>
      </w:r>
      <w:r w:rsidR="007A14D9">
        <w:rPr>
          <w:lang w:eastAsia="en-US"/>
        </w:rPr>
        <w:tab/>
      </w:r>
      <w:r w:rsidRPr="008530F1">
        <w:rPr>
          <w:lang w:eastAsia="en-US"/>
        </w:rPr>
        <w:t>The issue of compliance by Ukraine with its obligations under the Convention regarding its legislation and the Danube-Black Sea Deep Water Navigation Canal in the Ukrainian sector of the Danube Delta (</w:t>
      </w:r>
      <w:proofErr w:type="spellStart"/>
      <w:r w:rsidRPr="008530F1">
        <w:rPr>
          <w:lang w:eastAsia="en-US"/>
        </w:rPr>
        <w:t>Bystroe</w:t>
      </w:r>
      <w:proofErr w:type="spellEnd"/>
      <w:r w:rsidRPr="008530F1">
        <w:rPr>
          <w:lang w:eastAsia="en-US"/>
        </w:rPr>
        <w:t xml:space="preserve"> Canal Project) has been under the Committee’s consideration since 2004. </w:t>
      </w:r>
    </w:p>
    <w:p w14:paraId="055F22D5" w14:textId="010A1D6A" w:rsidR="008530F1" w:rsidRPr="008530F1" w:rsidRDefault="008530F1" w:rsidP="007A14D9">
      <w:pPr>
        <w:pStyle w:val="SingleTxtG"/>
        <w:rPr>
          <w:rFonts w:eastAsia="SimSun"/>
          <w:lang w:eastAsia="en-US"/>
        </w:rPr>
      </w:pPr>
      <w:r w:rsidRPr="008530F1">
        <w:rPr>
          <w:rFonts w:eastAsia="SimSun"/>
          <w:lang w:eastAsia="en-US"/>
        </w:rPr>
        <w:t>23.</w:t>
      </w:r>
      <w:r w:rsidR="007A14D9">
        <w:rPr>
          <w:rFonts w:eastAsia="SimSun"/>
          <w:lang w:eastAsia="en-US"/>
        </w:rPr>
        <w:tab/>
      </w:r>
      <w:r w:rsidRPr="008530F1">
        <w:rPr>
          <w:rFonts w:eastAsia="SimSun"/>
          <w:lang w:eastAsia="en-US"/>
        </w:rPr>
        <w:t xml:space="preserve">The Committee welcomed the progress made by Ukraine in the implementation of decision VIII/4d, </w:t>
      </w:r>
      <w:proofErr w:type="gramStart"/>
      <w:r w:rsidRPr="008530F1">
        <w:rPr>
          <w:rFonts w:eastAsia="SimSun"/>
          <w:lang w:eastAsia="en-US"/>
        </w:rPr>
        <w:t>in particular the</w:t>
      </w:r>
      <w:proofErr w:type="gramEnd"/>
      <w:r w:rsidRPr="008530F1">
        <w:rPr>
          <w:rFonts w:eastAsia="SimSun"/>
          <w:lang w:eastAsia="en-US"/>
        </w:rPr>
        <w:t xml:space="preserve"> conclusion of a bilateral agreement between Ukraine and Romania on the implementation of the Convention on 18 November 2022, as requested by the Meeting of the Parties in 2008</w:t>
      </w:r>
      <w:r w:rsidRPr="008530F1">
        <w:rPr>
          <w:rFonts w:eastAsia="SimSun"/>
          <w:sz w:val="18"/>
          <w:vertAlign w:val="superscript"/>
          <w:lang w:eastAsia="en-US"/>
        </w:rPr>
        <w:footnoteReference w:id="25"/>
      </w:r>
      <w:r w:rsidRPr="008530F1">
        <w:rPr>
          <w:rFonts w:eastAsia="SimSun"/>
          <w:lang w:eastAsia="en-US"/>
        </w:rPr>
        <w:t xml:space="preserve"> and repeated subsequently, </w:t>
      </w:r>
      <w:r w:rsidRPr="008530F1">
        <w:rPr>
          <w:lang w:eastAsia="en-US"/>
        </w:rPr>
        <w:t xml:space="preserve">with the secretariat’s support and European Union funding. </w:t>
      </w:r>
    </w:p>
    <w:p w14:paraId="2DC80B83" w14:textId="593422E1" w:rsidR="008530F1" w:rsidRPr="008530F1" w:rsidRDefault="008530F1" w:rsidP="005C7AFA">
      <w:pPr>
        <w:pStyle w:val="SingleTxtG"/>
        <w:rPr>
          <w:lang w:eastAsia="en-US"/>
        </w:rPr>
      </w:pPr>
      <w:r w:rsidRPr="008530F1">
        <w:rPr>
          <w:lang w:eastAsia="en-US"/>
        </w:rPr>
        <w:lastRenderedPageBreak/>
        <w:t>24.</w:t>
      </w:r>
      <w:r w:rsidR="005C7AFA">
        <w:rPr>
          <w:lang w:eastAsia="en-US"/>
        </w:rPr>
        <w:tab/>
      </w:r>
      <w:r w:rsidRPr="008530F1">
        <w:rPr>
          <w:lang w:eastAsia="en-US"/>
        </w:rPr>
        <w:t xml:space="preserve">The Committee also welcomed the information by Ukraine that operational dredging in the </w:t>
      </w:r>
      <w:proofErr w:type="spellStart"/>
      <w:r w:rsidRPr="008530F1">
        <w:rPr>
          <w:rFonts w:eastAsia="SimSun"/>
          <w:lang w:eastAsia="en-US"/>
        </w:rPr>
        <w:t>Bystroe</w:t>
      </w:r>
      <w:proofErr w:type="spellEnd"/>
      <w:r w:rsidRPr="008530F1">
        <w:rPr>
          <w:rFonts w:eastAsia="SimSun"/>
          <w:lang w:eastAsia="en-US"/>
        </w:rPr>
        <w:t xml:space="preserve"> Channel </w:t>
      </w:r>
      <w:r w:rsidRPr="008530F1">
        <w:rPr>
          <w:lang w:eastAsia="en-US"/>
        </w:rPr>
        <w:t xml:space="preserve">had been halted further to paragraph 11 of decision VIII/4d. The Committee also expressed appreciation for the steps taken by Ukraine in the environmental impact assessment procedure on the new project, the </w:t>
      </w:r>
      <w:proofErr w:type="spellStart"/>
      <w:r w:rsidRPr="008530F1">
        <w:rPr>
          <w:lang w:eastAsia="en-US"/>
        </w:rPr>
        <w:t>Bystroe</w:t>
      </w:r>
      <w:proofErr w:type="spellEnd"/>
      <w:r w:rsidRPr="008530F1">
        <w:rPr>
          <w:lang w:eastAsia="en-US"/>
        </w:rPr>
        <w:t xml:space="preserve"> Route project, referred to in paragraphs 7 and 14 of decision VIII/4d,</w:t>
      </w:r>
      <w:r w:rsidRPr="008530F1">
        <w:rPr>
          <w:rFonts w:eastAsia="SimSun"/>
          <w:lang w:eastAsia="en-US"/>
        </w:rPr>
        <w:t xml:space="preserve"> </w:t>
      </w:r>
      <w:r w:rsidRPr="008530F1">
        <w:rPr>
          <w:lang w:eastAsia="en-US"/>
        </w:rPr>
        <w:t>the notification of Romania on</w:t>
      </w:r>
      <w:r w:rsidRPr="008530F1">
        <w:rPr>
          <w:rFonts w:eastAsia="SimSun"/>
          <w:lang w:eastAsia="en-US"/>
        </w:rPr>
        <w:t xml:space="preserve"> 22 June 2020, and the submission of the environmental impact assessment report, including </w:t>
      </w:r>
      <w:r w:rsidRPr="008530F1">
        <w:rPr>
          <w:lang w:eastAsia="en-US"/>
        </w:rPr>
        <w:t xml:space="preserve">a plan for compensatory measures and post-project monitoring, to Romania on 3 May 2023. </w:t>
      </w:r>
    </w:p>
    <w:p w14:paraId="6E6E7B07" w14:textId="05BB717F" w:rsidR="008530F1" w:rsidRPr="008530F1" w:rsidRDefault="008530F1" w:rsidP="005C7AFA">
      <w:pPr>
        <w:pStyle w:val="SingleTxtG"/>
        <w:rPr>
          <w:lang w:eastAsia="en-US"/>
        </w:rPr>
      </w:pPr>
      <w:r w:rsidRPr="008530F1">
        <w:rPr>
          <w:lang w:eastAsia="en-US"/>
        </w:rPr>
        <w:t>25.</w:t>
      </w:r>
      <w:r w:rsidR="005C7AFA">
        <w:rPr>
          <w:lang w:eastAsia="en-US"/>
        </w:rPr>
        <w:tab/>
      </w:r>
      <w:r w:rsidRPr="008530F1">
        <w:rPr>
          <w:lang w:eastAsia="en-US"/>
        </w:rPr>
        <w:t xml:space="preserve">However, the Committee noted with regret that, despite important steps taken to bring the </w:t>
      </w:r>
      <w:proofErr w:type="spellStart"/>
      <w:r w:rsidRPr="008530F1">
        <w:rPr>
          <w:lang w:eastAsia="en-US"/>
        </w:rPr>
        <w:t>Bystroe</w:t>
      </w:r>
      <w:proofErr w:type="spellEnd"/>
      <w:r w:rsidRPr="008530F1">
        <w:rPr>
          <w:lang w:eastAsia="en-US"/>
        </w:rPr>
        <w:t xml:space="preserve"> Canal Project into compliance with the Convention, paragraphs 4–6 and 12 of decision VIII/4d and preceding decisions have yet to be fully implemented. In draft decision IX/4k,</w:t>
      </w:r>
      <w:r w:rsidRPr="008530F1">
        <w:rPr>
          <w:sz w:val="18"/>
          <w:vertAlign w:val="superscript"/>
          <w:lang w:eastAsia="en-US"/>
        </w:rPr>
        <w:footnoteReference w:id="26"/>
      </w:r>
      <w:r w:rsidRPr="008530F1">
        <w:rPr>
          <w:lang w:eastAsia="en-US"/>
        </w:rPr>
        <w:t xml:space="preserve"> the Committee recommended that the Meeting of the Parties, inter alia, endorse the Committee’s finding that the caution issued to the Government of Ukraine at its fourth session (Bucharest, 19–21 May 2008) still could not be lifted. </w:t>
      </w:r>
      <w:bookmarkStart w:id="22" w:name="_Hlk46665843"/>
    </w:p>
    <w:bookmarkEnd w:id="22"/>
    <w:p w14:paraId="0B3B3285" w14:textId="6E129B45" w:rsidR="008530F1" w:rsidRPr="008530F1" w:rsidRDefault="005C7AFA" w:rsidP="005C7AFA">
      <w:pPr>
        <w:pStyle w:val="H4G"/>
        <w:rPr>
          <w:lang w:eastAsia="en-US"/>
        </w:rPr>
      </w:pPr>
      <w:r>
        <w:rPr>
          <w:lang w:eastAsia="en-US"/>
        </w:rPr>
        <w:tab/>
      </w:r>
      <w:r>
        <w:rPr>
          <w:lang w:eastAsia="en-US"/>
        </w:rPr>
        <w:tab/>
      </w:r>
      <w:r w:rsidR="008530F1" w:rsidRPr="008530F1">
        <w:rPr>
          <w:lang w:eastAsia="en-US"/>
        </w:rPr>
        <w:t>EIA/IC/CI/4</w:t>
      </w:r>
    </w:p>
    <w:p w14:paraId="790DD11C" w14:textId="77777777" w:rsidR="008530F1" w:rsidRPr="008530F1" w:rsidRDefault="008530F1" w:rsidP="005C7AFA">
      <w:pPr>
        <w:pStyle w:val="SingleTxtG"/>
        <w:rPr>
          <w:lang w:eastAsia="en-US"/>
        </w:rPr>
      </w:pPr>
      <w:r w:rsidRPr="008530F1">
        <w:rPr>
          <w:lang w:eastAsia="en-US"/>
        </w:rPr>
        <w:t>26.</w:t>
      </w:r>
      <w:r w:rsidRPr="008530F1">
        <w:rPr>
          <w:lang w:eastAsia="en-US"/>
        </w:rPr>
        <w:tab/>
        <w:t>The Committee followed up to decision VIII/4e regarding the extension of the lifetime of reactors 1 and 2 of Rivne nuclear power plant by Ukraine.</w:t>
      </w:r>
    </w:p>
    <w:p w14:paraId="221C133D" w14:textId="77777777" w:rsidR="008530F1" w:rsidRPr="008530F1" w:rsidRDefault="008530F1" w:rsidP="005C7AFA">
      <w:pPr>
        <w:pStyle w:val="SingleTxtG"/>
        <w:rPr>
          <w:lang w:eastAsia="en-US"/>
        </w:rPr>
      </w:pPr>
      <w:r w:rsidRPr="008530F1">
        <w:rPr>
          <w:lang w:eastAsia="en-US"/>
        </w:rPr>
        <w:t>27.</w:t>
      </w:r>
      <w:r w:rsidRPr="008530F1">
        <w:rPr>
          <w:lang w:eastAsia="en-US"/>
        </w:rPr>
        <w:tab/>
        <w:t xml:space="preserve">It welcomed the steps taken by Ukraine to complete the transboundary environmental impact assessment procedure but noted that it had thus far not fully completed the procedure under the Convention. </w:t>
      </w:r>
    </w:p>
    <w:p w14:paraId="4D9940BC" w14:textId="2A1ACC93" w:rsidR="00302CA3" w:rsidRDefault="008530F1" w:rsidP="005C7AFA">
      <w:pPr>
        <w:pStyle w:val="SingleTxtG"/>
        <w:rPr>
          <w:lang w:eastAsia="en-US"/>
        </w:rPr>
      </w:pPr>
      <w:r w:rsidRPr="008530F1">
        <w:rPr>
          <w:lang w:eastAsia="en-US"/>
        </w:rPr>
        <w:t>28.</w:t>
      </w:r>
      <w:r w:rsidRPr="008530F1">
        <w:rPr>
          <w:lang w:eastAsia="en-US"/>
        </w:rPr>
        <w:tab/>
        <w:t>It recommended that, in draft decision IX/4k,</w:t>
      </w:r>
      <w:r w:rsidRPr="008530F1">
        <w:rPr>
          <w:vertAlign w:val="superscript"/>
          <w:lang w:eastAsia="en-US"/>
        </w:rPr>
        <w:footnoteReference w:id="27"/>
      </w:r>
      <w:r w:rsidRPr="008530F1">
        <w:rPr>
          <w:lang w:eastAsia="en-US"/>
        </w:rPr>
        <w:t xml:space="preserve"> the Meeting of the Parties, inter alia, request Ukraine to finalize the transboundary environmental impact assessment procedure with the Parties that still considered themselves to be affected.</w:t>
      </w:r>
    </w:p>
    <w:p w14:paraId="62FEF0EC" w14:textId="74A17392" w:rsidR="006041D9" w:rsidRPr="006041D9" w:rsidRDefault="005C7AFA" w:rsidP="005C7AFA">
      <w:pPr>
        <w:pStyle w:val="HChG"/>
        <w:rPr>
          <w:lang w:eastAsia="en-US"/>
        </w:rPr>
      </w:pPr>
      <w:bookmarkStart w:id="23" w:name="_Toc147827443"/>
      <w:bookmarkStart w:id="24" w:name="_Toc361480772"/>
      <w:r>
        <w:rPr>
          <w:lang w:eastAsia="en-US"/>
        </w:rPr>
        <w:tab/>
      </w:r>
      <w:r w:rsidR="006041D9" w:rsidRPr="006041D9">
        <w:rPr>
          <w:lang w:eastAsia="en-US"/>
        </w:rPr>
        <w:t>III.</w:t>
      </w:r>
      <w:r w:rsidR="006041D9" w:rsidRPr="006041D9">
        <w:rPr>
          <w:lang w:eastAsia="en-US"/>
        </w:rPr>
        <w:tab/>
        <w:t>Submissions by Parties</w:t>
      </w:r>
      <w:bookmarkEnd w:id="23"/>
      <w:bookmarkEnd w:id="24"/>
    </w:p>
    <w:p w14:paraId="696D750F" w14:textId="77777777" w:rsidR="006041D9" w:rsidRPr="006041D9" w:rsidRDefault="006041D9" w:rsidP="005C7AFA">
      <w:pPr>
        <w:pStyle w:val="SingleTxtG"/>
        <w:rPr>
          <w:lang w:eastAsia="en-US"/>
        </w:rPr>
      </w:pPr>
      <w:r w:rsidRPr="006041D9">
        <w:rPr>
          <w:lang w:eastAsia="en-US"/>
        </w:rPr>
        <w:t>29.</w:t>
      </w:r>
      <w:r w:rsidRPr="006041D9">
        <w:rPr>
          <w:lang w:eastAsia="en-US"/>
        </w:rPr>
        <w:tab/>
        <w:t xml:space="preserve">The Committee considered three submissions from Parties expressing concerns about the Convention’s application (two of them had been initiated in the previous intersessional period), and one concerning the Convention and the Protocol (see table 1 below).  </w:t>
      </w:r>
    </w:p>
    <w:p w14:paraId="720C7DF7" w14:textId="21212EF8" w:rsidR="006041D9" w:rsidRPr="006041D9" w:rsidRDefault="006041D9" w:rsidP="002674B3">
      <w:pPr>
        <w:pStyle w:val="SingleTxtG"/>
        <w:jc w:val="left"/>
        <w:rPr>
          <w:lang w:eastAsia="en-US"/>
        </w:rPr>
      </w:pPr>
      <w:bookmarkStart w:id="25" w:name="_Toc147827444"/>
      <w:bookmarkStart w:id="26" w:name="_Toc154026166"/>
      <w:bookmarkStart w:id="27" w:name="_Hlk50549515"/>
      <w:r w:rsidRPr="006041D9">
        <w:rPr>
          <w:lang w:eastAsia="en-US"/>
        </w:rPr>
        <w:t>Table 1</w:t>
      </w:r>
      <w:bookmarkEnd w:id="25"/>
      <w:bookmarkEnd w:id="26"/>
      <w:r w:rsidR="002674B3">
        <w:rPr>
          <w:lang w:eastAsia="en-US"/>
        </w:rPr>
        <w:br/>
      </w:r>
      <w:r w:rsidRPr="006041D9">
        <w:rPr>
          <w:b/>
          <w:bCs/>
          <w:lang w:eastAsia="en-US"/>
        </w:rPr>
        <w:t>Submissions</w:t>
      </w:r>
    </w:p>
    <w:tbl>
      <w:tblPr>
        <w:tblW w:w="7370" w:type="dxa"/>
        <w:tblInd w:w="1134" w:type="dxa"/>
        <w:tblLayout w:type="fixed"/>
        <w:tblCellMar>
          <w:left w:w="0" w:type="dxa"/>
          <w:right w:w="0" w:type="dxa"/>
        </w:tblCellMar>
        <w:tblLook w:val="04A0" w:firstRow="1" w:lastRow="0" w:firstColumn="1" w:lastColumn="0" w:noHBand="0" w:noVBand="1"/>
      </w:tblPr>
      <w:tblGrid>
        <w:gridCol w:w="1288"/>
        <w:gridCol w:w="1243"/>
        <w:gridCol w:w="1258"/>
        <w:gridCol w:w="3581"/>
      </w:tblGrid>
      <w:tr w:rsidR="0012769F" w:rsidRPr="0012769F" w14:paraId="7EFB936C" w14:textId="77777777" w:rsidTr="0012769F">
        <w:trPr>
          <w:tblHeader/>
        </w:trPr>
        <w:tc>
          <w:tcPr>
            <w:tcW w:w="1288" w:type="dxa"/>
            <w:tcBorders>
              <w:top w:val="single" w:sz="4" w:space="0" w:color="auto"/>
              <w:bottom w:val="single" w:sz="12" w:space="0" w:color="auto"/>
            </w:tcBorders>
            <w:shd w:val="clear" w:color="auto" w:fill="auto"/>
            <w:vAlign w:val="bottom"/>
            <w:hideMark/>
          </w:tcPr>
          <w:p w14:paraId="64497120" w14:textId="77777777" w:rsidR="006041D9" w:rsidRPr="0012769F" w:rsidRDefault="006041D9" w:rsidP="0012769F">
            <w:pPr>
              <w:spacing w:before="80" w:after="80" w:line="200" w:lineRule="exact"/>
              <w:ind w:right="113"/>
              <w:rPr>
                <w:i/>
                <w:sz w:val="16"/>
                <w:szCs w:val="24"/>
                <w:lang w:eastAsia="en-US"/>
              </w:rPr>
            </w:pPr>
            <w:r w:rsidRPr="0012769F">
              <w:rPr>
                <w:i/>
                <w:sz w:val="16"/>
                <w:lang w:eastAsia="en-US"/>
              </w:rPr>
              <w:t>Committee reference </w:t>
            </w:r>
          </w:p>
        </w:tc>
        <w:tc>
          <w:tcPr>
            <w:tcW w:w="1243" w:type="dxa"/>
            <w:tcBorders>
              <w:top w:val="single" w:sz="4" w:space="0" w:color="auto"/>
              <w:bottom w:val="single" w:sz="12" w:space="0" w:color="auto"/>
            </w:tcBorders>
            <w:shd w:val="clear" w:color="auto" w:fill="auto"/>
            <w:vAlign w:val="bottom"/>
            <w:hideMark/>
          </w:tcPr>
          <w:p w14:paraId="7085D753" w14:textId="77777777" w:rsidR="006041D9" w:rsidRPr="0012769F" w:rsidRDefault="006041D9" w:rsidP="0012769F">
            <w:pPr>
              <w:spacing w:before="80" w:after="80" w:line="200" w:lineRule="exact"/>
              <w:ind w:right="113"/>
              <w:rPr>
                <w:i/>
                <w:sz w:val="16"/>
                <w:szCs w:val="24"/>
                <w:lang w:eastAsia="en-US"/>
              </w:rPr>
            </w:pPr>
            <w:r w:rsidRPr="0012769F">
              <w:rPr>
                <w:i/>
                <w:sz w:val="16"/>
                <w:lang w:eastAsia="en-US"/>
              </w:rPr>
              <w:t>Party concerned </w:t>
            </w:r>
          </w:p>
        </w:tc>
        <w:tc>
          <w:tcPr>
            <w:tcW w:w="1258" w:type="dxa"/>
            <w:tcBorders>
              <w:top w:val="single" w:sz="4" w:space="0" w:color="auto"/>
              <w:bottom w:val="single" w:sz="12" w:space="0" w:color="auto"/>
            </w:tcBorders>
            <w:shd w:val="clear" w:color="auto" w:fill="auto"/>
            <w:vAlign w:val="bottom"/>
            <w:hideMark/>
          </w:tcPr>
          <w:p w14:paraId="59A29146" w14:textId="77777777" w:rsidR="006041D9" w:rsidRPr="0012769F" w:rsidRDefault="006041D9" w:rsidP="0012769F">
            <w:pPr>
              <w:spacing w:before="80" w:after="80" w:line="200" w:lineRule="exact"/>
              <w:ind w:right="113"/>
              <w:rPr>
                <w:i/>
                <w:sz w:val="16"/>
                <w:szCs w:val="24"/>
                <w:lang w:eastAsia="en-US"/>
              </w:rPr>
            </w:pPr>
            <w:r w:rsidRPr="0012769F">
              <w:rPr>
                <w:i/>
                <w:sz w:val="16"/>
                <w:lang w:eastAsia="en-US"/>
              </w:rPr>
              <w:t>Submitted by </w:t>
            </w:r>
          </w:p>
        </w:tc>
        <w:tc>
          <w:tcPr>
            <w:tcW w:w="3581" w:type="dxa"/>
            <w:tcBorders>
              <w:top w:val="single" w:sz="4" w:space="0" w:color="auto"/>
              <w:bottom w:val="single" w:sz="12" w:space="0" w:color="auto"/>
            </w:tcBorders>
            <w:shd w:val="clear" w:color="auto" w:fill="auto"/>
            <w:vAlign w:val="bottom"/>
            <w:hideMark/>
          </w:tcPr>
          <w:p w14:paraId="4CAC09AA" w14:textId="77777777" w:rsidR="006041D9" w:rsidRPr="0012769F" w:rsidRDefault="006041D9" w:rsidP="0012769F">
            <w:pPr>
              <w:spacing w:before="80" w:after="80" w:line="200" w:lineRule="exact"/>
              <w:ind w:right="113"/>
              <w:rPr>
                <w:i/>
                <w:sz w:val="16"/>
                <w:szCs w:val="24"/>
                <w:lang w:eastAsia="en-US"/>
              </w:rPr>
            </w:pPr>
            <w:r w:rsidRPr="0012769F">
              <w:rPr>
                <w:i/>
                <w:sz w:val="16"/>
                <w:lang w:eastAsia="en-US"/>
              </w:rPr>
              <w:t>Issue </w:t>
            </w:r>
          </w:p>
        </w:tc>
      </w:tr>
      <w:tr w:rsidR="0012769F" w:rsidRPr="0012769F" w14:paraId="4EFC98C6" w14:textId="77777777" w:rsidTr="0012769F">
        <w:trPr>
          <w:trHeight w:hRule="exact" w:val="113"/>
        </w:trPr>
        <w:tc>
          <w:tcPr>
            <w:tcW w:w="1288" w:type="dxa"/>
            <w:tcBorders>
              <w:top w:val="single" w:sz="12" w:space="0" w:color="auto"/>
            </w:tcBorders>
            <w:shd w:val="clear" w:color="auto" w:fill="auto"/>
          </w:tcPr>
          <w:p w14:paraId="04811FC4" w14:textId="77777777" w:rsidR="0012769F" w:rsidRPr="0012769F" w:rsidRDefault="0012769F" w:rsidP="0012769F">
            <w:pPr>
              <w:spacing w:before="40" w:after="120"/>
              <w:ind w:right="113"/>
              <w:rPr>
                <w:lang w:eastAsia="en-US"/>
              </w:rPr>
            </w:pPr>
          </w:p>
        </w:tc>
        <w:tc>
          <w:tcPr>
            <w:tcW w:w="1243" w:type="dxa"/>
            <w:tcBorders>
              <w:top w:val="single" w:sz="12" w:space="0" w:color="auto"/>
            </w:tcBorders>
            <w:shd w:val="clear" w:color="auto" w:fill="auto"/>
          </w:tcPr>
          <w:p w14:paraId="68AC4A23" w14:textId="77777777" w:rsidR="0012769F" w:rsidRPr="0012769F" w:rsidRDefault="0012769F" w:rsidP="0012769F">
            <w:pPr>
              <w:spacing w:before="40" w:after="120"/>
              <w:ind w:right="113"/>
              <w:rPr>
                <w:lang w:eastAsia="en-US"/>
              </w:rPr>
            </w:pPr>
          </w:p>
        </w:tc>
        <w:tc>
          <w:tcPr>
            <w:tcW w:w="1258" w:type="dxa"/>
            <w:tcBorders>
              <w:top w:val="single" w:sz="12" w:space="0" w:color="auto"/>
            </w:tcBorders>
            <w:shd w:val="clear" w:color="auto" w:fill="auto"/>
          </w:tcPr>
          <w:p w14:paraId="34A519CD" w14:textId="77777777" w:rsidR="0012769F" w:rsidRPr="0012769F" w:rsidRDefault="0012769F" w:rsidP="0012769F">
            <w:pPr>
              <w:spacing w:before="40" w:after="120"/>
              <w:ind w:right="113"/>
              <w:rPr>
                <w:lang w:eastAsia="en-US"/>
              </w:rPr>
            </w:pPr>
          </w:p>
        </w:tc>
        <w:tc>
          <w:tcPr>
            <w:tcW w:w="3581" w:type="dxa"/>
            <w:tcBorders>
              <w:top w:val="single" w:sz="12" w:space="0" w:color="auto"/>
            </w:tcBorders>
            <w:shd w:val="clear" w:color="auto" w:fill="auto"/>
          </w:tcPr>
          <w:p w14:paraId="3CDB9554" w14:textId="77777777" w:rsidR="0012769F" w:rsidRPr="0012769F" w:rsidRDefault="0012769F" w:rsidP="0012769F">
            <w:pPr>
              <w:spacing w:before="40" w:after="120"/>
              <w:ind w:right="113"/>
              <w:rPr>
                <w:lang w:eastAsia="en-US"/>
              </w:rPr>
            </w:pPr>
          </w:p>
        </w:tc>
      </w:tr>
      <w:tr w:rsidR="006041D9" w:rsidRPr="0012769F" w14:paraId="3EF9B2B6" w14:textId="77777777" w:rsidTr="0012769F">
        <w:tc>
          <w:tcPr>
            <w:tcW w:w="1288" w:type="dxa"/>
            <w:shd w:val="clear" w:color="auto" w:fill="auto"/>
            <w:hideMark/>
          </w:tcPr>
          <w:p w14:paraId="0BEA2BC6" w14:textId="4C6B3BCD" w:rsidR="006041D9" w:rsidRPr="0012769F" w:rsidRDefault="006041D9" w:rsidP="0012769F">
            <w:pPr>
              <w:spacing w:before="40" w:after="120"/>
              <w:ind w:right="113"/>
              <w:rPr>
                <w:szCs w:val="24"/>
                <w:lang w:eastAsia="en-US"/>
              </w:rPr>
            </w:pPr>
            <w:r w:rsidRPr="0012769F">
              <w:rPr>
                <w:lang w:eastAsia="en-US"/>
              </w:rPr>
              <w:t>EIA/IC/S/6</w:t>
            </w:r>
          </w:p>
        </w:tc>
        <w:tc>
          <w:tcPr>
            <w:tcW w:w="1243" w:type="dxa"/>
            <w:shd w:val="clear" w:color="auto" w:fill="auto"/>
            <w:hideMark/>
          </w:tcPr>
          <w:p w14:paraId="319DFA10" w14:textId="77777777" w:rsidR="006041D9" w:rsidRPr="0012769F" w:rsidRDefault="006041D9" w:rsidP="0012769F">
            <w:pPr>
              <w:spacing w:before="40" w:after="120"/>
              <w:ind w:right="113"/>
              <w:rPr>
                <w:szCs w:val="24"/>
                <w:lang w:eastAsia="en-US"/>
              </w:rPr>
            </w:pPr>
            <w:r w:rsidRPr="0012769F">
              <w:rPr>
                <w:lang w:eastAsia="en-US"/>
              </w:rPr>
              <w:t>Serbia  </w:t>
            </w:r>
          </w:p>
        </w:tc>
        <w:tc>
          <w:tcPr>
            <w:tcW w:w="1258" w:type="dxa"/>
            <w:shd w:val="clear" w:color="auto" w:fill="auto"/>
            <w:hideMark/>
          </w:tcPr>
          <w:p w14:paraId="148EF4F5" w14:textId="2E2494BF" w:rsidR="006041D9" w:rsidRPr="0012769F" w:rsidRDefault="006041D9" w:rsidP="0012769F">
            <w:pPr>
              <w:spacing w:before="40" w:after="120"/>
              <w:ind w:right="113"/>
              <w:rPr>
                <w:szCs w:val="24"/>
                <w:lang w:eastAsia="en-US"/>
              </w:rPr>
            </w:pPr>
            <w:r w:rsidRPr="0012769F">
              <w:rPr>
                <w:lang w:eastAsia="en-US"/>
              </w:rPr>
              <w:t>Bulgaria</w:t>
            </w:r>
          </w:p>
        </w:tc>
        <w:tc>
          <w:tcPr>
            <w:tcW w:w="3581" w:type="dxa"/>
            <w:shd w:val="clear" w:color="auto" w:fill="auto"/>
            <w:hideMark/>
          </w:tcPr>
          <w:p w14:paraId="743C0E33" w14:textId="5D597AB4" w:rsidR="006041D9" w:rsidRPr="0012769F" w:rsidRDefault="006041D9" w:rsidP="0012769F">
            <w:pPr>
              <w:spacing w:before="40" w:after="120"/>
              <w:ind w:right="113"/>
              <w:rPr>
                <w:lang w:eastAsia="en-US"/>
              </w:rPr>
            </w:pPr>
            <w:r w:rsidRPr="0012769F">
              <w:rPr>
                <w:lang w:eastAsia="en-US"/>
              </w:rPr>
              <w:t>Mining-related activities by Serbia</w:t>
            </w:r>
          </w:p>
        </w:tc>
      </w:tr>
      <w:tr w:rsidR="006041D9" w:rsidRPr="0012769F" w14:paraId="4F68E40E" w14:textId="77777777" w:rsidTr="0012769F">
        <w:tc>
          <w:tcPr>
            <w:tcW w:w="1288" w:type="dxa"/>
            <w:shd w:val="clear" w:color="auto" w:fill="auto"/>
          </w:tcPr>
          <w:p w14:paraId="0C49D772" w14:textId="48E20E33" w:rsidR="006041D9" w:rsidRPr="0012769F" w:rsidRDefault="006041D9" w:rsidP="0012769F">
            <w:pPr>
              <w:spacing w:before="40" w:after="120"/>
              <w:ind w:right="113"/>
              <w:rPr>
                <w:lang w:eastAsia="en-US"/>
              </w:rPr>
            </w:pPr>
            <w:r w:rsidRPr="0012769F">
              <w:rPr>
                <w:lang w:eastAsia="en-US"/>
              </w:rPr>
              <w:t>EIA/IC/S/7</w:t>
            </w:r>
          </w:p>
        </w:tc>
        <w:tc>
          <w:tcPr>
            <w:tcW w:w="1243" w:type="dxa"/>
            <w:shd w:val="clear" w:color="auto" w:fill="auto"/>
          </w:tcPr>
          <w:p w14:paraId="07DAF667" w14:textId="77777777" w:rsidR="006041D9" w:rsidRPr="0012769F" w:rsidRDefault="006041D9" w:rsidP="0012769F">
            <w:pPr>
              <w:spacing w:before="40" w:after="120"/>
              <w:ind w:right="113"/>
              <w:rPr>
                <w:lang w:eastAsia="en-US"/>
              </w:rPr>
            </w:pPr>
            <w:r w:rsidRPr="0012769F">
              <w:rPr>
                <w:lang w:eastAsia="en-US"/>
              </w:rPr>
              <w:t>Albania  </w:t>
            </w:r>
          </w:p>
        </w:tc>
        <w:tc>
          <w:tcPr>
            <w:tcW w:w="1258" w:type="dxa"/>
            <w:shd w:val="clear" w:color="auto" w:fill="auto"/>
          </w:tcPr>
          <w:p w14:paraId="762B738E" w14:textId="1CB6DC0D" w:rsidR="006041D9" w:rsidRPr="0012769F" w:rsidRDefault="006041D9" w:rsidP="0012769F">
            <w:pPr>
              <w:spacing w:before="40" w:after="120"/>
              <w:ind w:right="113"/>
              <w:rPr>
                <w:lang w:eastAsia="en-US"/>
              </w:rPr>
            </w:pPr>
            <w:r w:rsidRPr="0012769F">
              <w:rPr>
                <w:lang w:eastAsia="en-US"/>
              </w:rPr>
              <w:t>Montenegro</w:t>
            </w:r>
          </w:p>
        </w:tc>
        <w:tc>
          <w:tcPr>
            <w:tcW w:w="3581" w:type="dxa"/>
            <w:shd w:val="clear" w:color="auto" w:fill="auto"/>
          </w:tcPr>
          <w:p w14:paraId="330B3123" w14:textId="1D1A220D" w:rsidR="006041D9" w:rsidRPr="0012769F" w:rsidRDefault="006041D9" w:rsidP="0012769F">
            <w:pPr>
              <w:spacing w:before="40" w:after="120"/>
              <w:ind w:right="113"/>
              <w:rPr>
                <w:lang w:eastAsia="en-US"/>
              </w:rPr>
            </w:pPr>
            <w:r w:rsidRPr="0012769F">
              <w:rPr>
                <w:lang w:eastAsia="en-US"/>
              </w:rPr>
              <w:t>Planned construction of number of small hydropower plants by Albania on Cijevna River</w:t>
            </w:r>
          </w:p>
        </w:tc>
      </w:tr>
      <w:tr w:rsidR="006041D9" w:rsidRPr="0012769F" w14:paraId="56938769" w14:textId="77777777" w:rsidTr="0012769F">
        <w:tc>
          <w:tcPr>
            <w:tcW w:w="1288" w:type="dxa"/>
            <w:shd w:val="clear" w:color="auto" w:fill="auto"/>
          </w:tcPr>
          <w:p w14:paraId="0601CCD9" w14:textId="2347957E" w:rsidR="006041D9" w:rsidRPr="0012769F" w:rsidRDefault="006041D9" w:rsidP="0012769F">
            <w:pPr>
              <w:spacing w:before="40" w:after="120"/>
              <w:ind w:right="113"/>
              <w:rPr>
                <w:lang w:val="en-US" w:eastAsia="en-US"/>
              </w:rPr>
            </w:pPr>
            <w:r w:rsidRPr="0012769F">
              <w:rPr>
                <w:lang w:eastAsia="en-US"/>
              </w:rPr>
              <w:t>EIA/IC/S/8-SEA/IC/S/1</w:t>
            </w:r>
          </w:p>
        </w:tc>
        <w:tc>
          <w:tcPr>
            <w:tcW w:w="1243" w:type="dxa"/>
            <w:shd w:val="clear" w:color="auto" w:fill="auto"/>
          </w:tcPr>
          <w:p w14:paraId="0E1C598E" w14:textId="77777777" w:rsidR="006041D9" w:rsidRPr="0012769F" w:rsidRDefault="006041D9" w:rsidP="0012769F">
            <w:pPr>
              <w:spacing w:before="40" w:after="120"/>
              <w:ind w:right="113"/>
              <w:rPr>
                <w:lang w:eastAsia="en-US"/>
              </w:rPr>
            </w:pPr>
            <w:r w:rsidRPr="0012769F">
              <w:rPr>
                <w:lang w:eastAsia="en-US"/>
              </w:rPr>
              <w:t>Bosnia and Herzegovina</w:t>
            </w:r>
          </w:p>
        </w:tc>
        <w:tc>
          <w:tcPr>
            <w:tcW w:w="1258" w:type="dxa"/>
            <w:shd w:val="clear" w:color="auto" w:fill="auto"/>
          </w:tcPr>
          <w:p w14:paraId="70A46351" w14:textId="77777777" w:rsidR="006041D9" w:rsidRPr="0012769F" w:rsidRDefault="006041D9" w:rsidP="0012769F">
            <w:pPr>
              <w:spacing w:before="40" w:after="120"/>
              <w:ind w:right="113"/>
              <w:rPr>
                <w:lang w:eastAsia="en-US"/>
              </w:rPr>
            </w:pPr>
            <w:r w:rsidRPr="0012769F">
              <w:rPr>
                <w:lang w:eastAsia="en-US"/>
              </w:rPr>
              <w:t>Montenegro</w:t>
            </w:r>
          </w:p>
        </w:tc>
        <w:tc>
          <w:tcPr>
            <w:tcW w:w="3581" w:type="dxa"/>
            <w:shd w:val="clear" w:color="auto" w:fill="auto"/>
          </w:tcPr>
          <w:p w14:paraId="6D83063F" w14:textId="77777777" w:rsidR="006041D9" w:rsidRPr="0012769F" w:rsidRDefault="006041D9" w:rsidP="0012769F">
            <w:pPr>
              <w:spacing w:before="40" w:after="120"/>
              <w:ind w:right="113"/>
              <w:rPr>
                <w:highlight w:val="yellow"/>
                <w:lang w:eastAsia="en-US"/>
              </w:rPr>
            </w:pPr>
            <w:r w:rsidRPr="0012769F">
              <w:rPr>
                <w:lang w:eastAsia="en-US"/>
              </w:rPr>
              <w:t>Construction of Buk Bijela hydropower plant on Drina River</w:t>
            </w:r>
          </w:p>
        </w:tc>
      </w:tr>
      <w:tr w:rsidR="006041D9" w:rsidRPr="0012769F" w14:paraId="23D6156D" w14:textId="77777777" w:rsidTr="0012769F">
        <w:tc>
          <w:tcPr>
            <w:tcW w:w="1288" w:type="dxa"/>
            <w:tcBorders>
              <w:bottom w:val="single" w:sz="12" w:space="0" w:color="auto"/>
            </w:tcBorders>
            <w:shd w:val="clear" w:color="auto" w:fill="auto"/>
            <w:hideMark/>
          </w:tcPr>
          <w:p w14:paraId="6DDAB3BC" w14:textId="77777777" w:rsidR="006041D9" w:rsidRPr="0012769F" w:rsidRDefault="006041D9" w:rsidP="0012769F">
            <w:pPr>
              <w:spacing w:before="40" w:after="120"/>
              <w:ind w:right="113"/>
              <w:rPr>
                <w:szCs w:val="24"/>
                <w:lang w:val="en-US" w:eastAsia="en-US"/>
              </w:rPr>
            </w:pPr>
            <w:r w:rsidRPr="0012769F">
              <w:rPr>
                <w:lang w:eastAsia="en-US"/>
              </w:rPr>
              <w:t>EIA/IC/S/9</w:t>
            </w:r>
          </w:p>
        </w:tc>
        <w:tc>
          <w:tcPr>
            <w:tcW w:w="1243" w:type="dxa"/>
            <w:tcBorders>
              <w:bottom w:val="single" w:sz="12" w:space="0" w:color="auto"/>
            </w:tcBorders>
            <w:shd w:val="clear" w:color="auto" w:fill="auto"/>
            <w:hideMark/>
          </w:tcPr>
          <w:p w14:paraId="7A2E2243" w14:textId="0C3EC9E2" w:rsidR="006041D9" w:rsidRPr="0012769F" w:rsidRDefault="006041D9" w:rsidP="0012769F">
            <w:pPr>
              <w:spacing w:before="40" w:after="120"/>
              <w:ind w:right="113"/>
              <w:rPr>
                <w:szCs w:val="24"/>
                <w:lang w:val="en-US" w:eastAsia="en-US"/>
              </w:rPr>
            </w:pPr>
            <w:r w:rsidRPr="0012769F">
              <w:rPr>
                <w:lang w:val="en-US" w:eastAsia="en-US"/>
              </w:rPr>
              <w:t>Poland</w:t>
            </w:r>
          </w:p>
        </w:tc>
        <w:tc>
          <w:tcPr>
            <w:tcW w:w="1258" w:type="dxa"/>
            <w:tcBorders>
              <w:bottom w:val="single" w:sz="12" w:space="0" w:color="auto"/>
            </w:tcBorders>
            <w:shd w:val="clear" w:color="auto" w:fill="auto"/>
            <w:hideMark/>
          </w:tcPr>
          <w:p w14:paraId="56E564FE" w14:textId="77777777" w:rsidR="006041D9" w:rsidRPr="0012769F" w:rsidRDefault="006041D9" w:rsidP="0012769F">
            <w:pPr>
              <w:spacing w:before="40" w:after="120"/>
              <w:ind w:right="113"/>
              <w:rPr>
                <w:lang w:val="en-US" w:eastAsia="en-US"/>
              </w:rPr>
            </w:pPr>
            <w:r w:rsidRPr="0012769F">
              <w:rPr>
                <w:lang w:val="en-US" w:eastAsia="en-US"/>
              </w:rPr>
              <w:t>Belarus</w:t>
            </w:r>
          </w:p>
        </w:tc>
        <w:tc>
          <w:tcPr>
            <w:tcW w:w="3581" w:type="dxa"/>
            <w:tcBorders>
              <w:bottom w:val="single" w:sz="12" w:space="0" w:color="auto"/>
            </w:tcBorders>
            <w:shd w:val="clear" w:color="auto" w:fill="auto"/>
            <w:hideMark/>
          </w:tcPr>
          <w:p w14:paraId="3B89783A" w14:textId="51334493" w:rsidR="006041D9" w:rsidRPr="00A867B3" w:rsidRDefault="006041D9" w:rsidP="00A867B3">
            <w:pPr>
              <w:spacing w:before="40" w:after="120"/>
              <w:ind w:right="113"/>
              <w:rPr>
                <w:lang w:eastAsia="en-US"/>
              </w:rPr>
            </w:pPr>
            <w:r w:rsidRPr="0012769F">
              <w:rPr>
                <w:lang w:eastAsia="en-US"/>
              </w:rPr>
              <w:t>Construction of barrier in “</w:t>
            </w:r>
            <w:proofErr w:type="spellStart"/>
            <w:r w:rsidRPr="0012769F">
              <w:rPr>
                <w:lang w:eastAsia="en-US"/>
              </w:rPr>
              <w:t>Bialowieza</w:t>
            </w:r>
            <w:proofErr w:type="spellEnd"/>
            <w:r w:rsidRPr="0012769F">
              <w:rPr>
                <w:lang w:eastAsia="en-US"/>
              </w:rPr>
              <w:t xml:space="preserve"> Forest” by Poland</w:t>
            </w:r>
          </w:p>
        </w:tc>
      </w:tr>
    </w:tbl>
    <w:p w14:paraId="35048DA7" w14:textId="707D821C" w:rsidR="006041D9" w:rsidRPr="006041D9" w:rsidRDefault="00A867B3" w:rsidP="00A867B3">
      <w:pPr>
        <w:pStyle w:val="H1G"/>
        <w:rPr>
          <w:lang w:eastAsia="en-US"/>
        </w:rPr>
      </w:pPr>
      <w:bookmarkStart w:id="28" w:name="_Toc147827445"/>
      <w:bookmarkStart w:id="29" w:name="_Toc2106176461"/>
      <w:bookmarkEnd w:id="27"/>
      <w:r>
        <w:rPr>
          <w:lang w:eastAsia="en-US"/>
        </w:rPr>
        <w:tab/>
      </w:r>
      <w:r w:rsidR="006041D9" w:rsidRPr="006041D9">
        <w:rPr>
          <w:lang w:eastAsia="en-US"/>
        </w:rPr>
        <w:t>A.</w:t>
      </w:r>
      <w:r w:rsidR="006041D9" w:rsidRPr="006041D9">
        <w:rPr>
          <w:lang w:eastAsia="en-US"/>
        </w:rPr>
        <w:tab/>
        <w:t>Serbia</w:t>
      </w:r>
      <w:bookmarkEnd w:id="28"/>
      <w:bookmarkEnd w:id="29"/>
    </w:p>
    <w:p w14:paraId="0ABB1F81" w14:textId="4A15B41A" w:rsidR="006041D9" w:rsidRPr="006041D9" w:rsidRDefault="00A867B3" w:rsidP="00A867B3">
      <w:pPr>
        <w:pStyle w:val="H4G"/>
        <w:rPr>
          <w:lang w:eastAsia="en-US"/>
        </w:rPr>
      </w:pPr>
      <w:r>
        <w:rPr>
          <w:lang w:eastAsia="en-US"/>
        </w:rPr>
        <w:tab/>
      </w:r>
      <w:r>
        <w:rPr>
          <w:lang w:eastAsia="en-US"/>
        </w:rPr>
        <w:tab/>
      </w:r>
      <w:r w:rsidR="006041D9" w:rsidRPr="006041D9">
        <w:rPr>
          <w:lang w:eastAsia="en-US"/>
        </w:rPr>
        <w:t>EIA/IC/S/6</w:t>
      </w:r>
    </w:p>
    <w:p w14:paraId="47B4578D" w14:textId="77777777" w:rsidR="006041D9" w:rsidRPr="006041D9" w:rsidRDefault="006041D9" w:rsidP="00A867B3">
      <w:pPr>
        <w:pStyle w:val="SingleTxtG"/>
        <w:rPr>
          <w:lang w:eastAsia="en-US"/>
        </w:rPr>
      </w:pPr>
      <w:r w:rsidRPr="006041D9">
        <w:rPr>
          <w:lang w:eastAsia="en-US"/>
        </w:rPr>
        <w:t>30.</w:t>
      </w:r>
      <w:r w:rsidRPr="006041D9">
        <w:rPr>
          <w:lang w:eastAsia="en-US"/>
        </w:rPr>
        <w:tab/>
        <w:t xml:space="preserve">On 30 May 2019, Bulgaria made a submission to the Committee expressing concerns about compliance by Serbia with its obligations under the Convention regarding several </w:t>
      </w:r>
      <w:r w:rsidRPr="006041D9">
        <w:rPr>
          <w:lang w:eastAsia="en-US"/>
        </w:rPr>
        <w:lastRenderedPageBreak/>
        <w:t xml:space="preserve">mining activities close to the border with Bulgaria. The activities concerned the construction of an experimental facility to test flotation technology for processing copper, lead and zinc ore in </w:t>
      </w:r>
      <w:proofErr w:type="spellStart"/>
      <w:r w:rsidRPr="006041D9">
        <w:rPr>
          <w:lang w:eastAsia="en-US"/>
        </w:rPr>
        <w:t>Karamanica</w:t>
      </w:r>
      <w:proofErr w:type="spellEnd"/>
      <w:r w:rsidRPr="006041D9">
        <w:rPr>
          <w:lang w:eastAsia="en-US"/>
        </w:rPr>
        <w:t xml:space="preserve">, ore exploitation and mining at the </w:t>
      </w:r>
      <w:proofErr w:type="spellStart"/>
      <w:r w:rsidRPr="006041D9">
        <w:rPr>
          <w:lang w:eastAsia="en-US"/>
        </w:rPr>
        <w:t>Podvirovi</w:t>
      </w:r>
      <w:proofErr w:type="spellEnd"/>
      <w:r w:rsidRPr="006041D9">
        <w:rPr>
          <w:lang w:eastAsia="en-US"/>
        </w:rPr>
        <w:t xml:space="preserve"> and </w:t>
      </w:r>
      <w:proofErr w:type="spellStart"/>
      <w:r w:rsidRPr="006041D9">
        <w:rPr>
          <w:lang w:eastAsia="en-US"/>
        </w:rPr>
        <w:t>Popovica</w:t>
      </w:r>
      <w:proofErr w:type="spellEnd"/>
      <w:r w:rsidRPr="006041D9">
        <w:rPr>
          <w:lang w:eastAsia="en-US"/>
        </w:rPr>
        <w:t xml:space="preserve"> mines and the extension of production of metals at the Grot mine. Under this matter, the Committee also considered information provided on 10 February 2019 by the Bulgarian non-governmental organization (NGO) </w:t>
      </w:r>
      <w:proofErr w:type="spellStart"/>
      <w:r w:rsidRPr="006041D9">
        <w:rPr>
          <w:lang w:eastAsia="en-US"/>
        </w:rPr>
        <w:t>Balkanka</w:t>
      </w:r>
      <w:proofErr w:type="spellEnd"/>
      <w:r w:rsidRPr="006041D9">
        <w:rPr>
          <w:lang w:eastAsia="en-US"/>
        </w:rPr>
        <w:t xml:space="preserve"> Association, regarding the </w:t>
      </w:r>
      <w:proofErr w:type="spellStart"/>
      <w:r w:rsidRPr="006041D9">
        <w:rPr>
          <w:lang w:eastAsia="en-US"/>
        </w:rPr>
        <w:t>Karamanica</w:t>
      </w:r>
      <w:proofErr w:type="spellEnd"/>
      <w:r w:rsidRPr="006041D9">
        <w:rPr>
          <w:lang w:eastAsia="en-US"/>
        </w:rPr>
        <w:t xml:space="preserve"> experimental facility (EIA/IC/INFO/31).</w:t>
      </w:r>
    </w:p>
    <w:p w14:paraId="6C8FA532" w14:textId="77777777" w:rsidR="006041D9" w:rsidRPr="006041D9" w:rsidRDefault="006041D9" w:rsidP="00F84367">
      <w:pPr>
        <w:pStyle w:val="SingleTxtG"/>
        <w:rPr>
          <w:lang w:eastAsia="en-US"/>
        </w:rPr>
      </w:pPr>
      <w:r w:rsidRPr="006041D9">
        <w:rPr>
          <w:lang w:eastAsia="en-US"/>
        </w:rPr>
        <w:t>31.</w:t>
      </w:r>
      <w:r w:rsidRPr="006041D9">
        <w:rPr>
          <w:lang w:eastAsia="en-US"/>
        </w:rPr>
        <w:tab/>
        <w:t xml:space="preserve">The Committee invited both Parties to </w:t>
      </w:r>
      <w:proofErr w:type="gramStart"/>
      <w:r w:rsidRPr="006041D9">
        <w:rPr>
          <w:lang w:eastAsia="en-US"/>
        </w:rPr>
        <w:t>enter into</w:t>
      </w:r>
      <w:proofErr w:type="gramEnd"/>
      <w:r w:rsidRPr="006041D9">
        <w:rPr>
          <w:lang w:eastAsia="en-US"/>
        </w:rPr>
        <w:t xml:space="preserve"> bilateral discussions, with a view to identifying possible solutions. At a hearing during the Committee’s fiftieth session (Geneva, 4–7 May 2021), Bulgaria and Serbia provided clarifications.</w:t>
      </w:r>
      <w:r w:rsidRPr="006041D9">
        <w:rPr>
          <w:sz w:val="18"/>
          <w:vertAlign w:val="superscript"/>
          <w:lang w:eastAsia="en-US"/>
        </w:rPr>
        <w:footnoteReference w:id="28"/>
      </w:r>
      <w:r w:rsidRPr="006041D9">
        <w:rPr>
          <w:lang w:eastAsia="en-US"/>
        </w:rPr>
        <w:t xml:space="preserve"> </w:t>
      </w:r>
    </w:p>
    <w:p w14:paraId="5DC15B5C" w14:textId="77777777" w:rsidR="006041D9" w:rsidRPr="006041D9" w:rsidRDefault="006041D9" w:rsidP="00F84367">
      <w:pPr>
        <w:pStyle w:val="SingleTxtG"/>
        <w:rPr>
          <w:lang w:eastAsia="en-US"/>
        </w:rPr>
      </w:pPr>
      <w:r w:rsidRPr="006041D9">
        <w:rPr>
          <w:lang w:eastAsia="en-US"/>
        </w:rPr>
        <w:t>32.</w:t>
      </w:r>
      <w:r w:rsidRPr="006041D9">
        <w:rPr>
          <w:lang w:eastAsia="en-US"/>
        </w:rPr>
        <w:tab/>
        <w:t xml:space="preserve">The Committee found that Serbia had complied with the Convention concerning the </w:t>
      </w:r>
      <w:proofErr w:type="spellStart"/>
      <w:r w:rsidRPr="006041D9">
        <w:rPr>
          <w:lang w:eastAsia="en-US"/>
        </w:rPr>
        <w:t>Karamanica</w:t>
      </w:r>
      <w:proofErr w:type="spellEnd"/>
      <w:r w:rsidRPr="006041D9">
        <w:rPr>
          <w:lang w:eastAsia="en-US"/>
        </w:rPr>
        <w:t xml:space="preserve"> pilot facility and the expansion of the exploitation of the </w:t>
      </w:r>
      <w:proofErr w:type="spellStart"/>
      <w:r w:rsidRPr="006041D9">
        <w:rPr>
          <w:lang w:eastAsia="en-US"/>
        </w:rPr>
        <w:t>Podvirovi</w:t>
      </w:r>
      <w:proofErr w:type="spellEnd"/>
      <w:r w:rsidRPr="006041D9">
        <w:rPr>
          <w:lang w:eastAsia="en-US"/>
        </w:rPr>
        <w:t xml:space="preserve"> and </w:t>
      </w:r>
      <w:proofErr w:type="spellStart"/>
      <w:r w:rsidRPr="006041D9">
        <w:rPr>
          <w:lang w:eastAsia="en-US"/>
        </w:rPr>
        <w:t>Popovica</w:t>
      </w:r>
      <w:proofErr w:type="spellEnd"/>
      <w:r w:rsidRPr="006041D9">
        <w:rPr>
          <w:lang w:eastAsia="en-US"/>
        </w:rPr>
        <w:t xml:space="preserve"> mining sites by notifying Bulgaria about the proposed activity at the Grot mine in 2009. However, the Committee found that Serbia had failed to comply with the Convention in 2019, by not notifying Bulgaria regarding the major change to the activity. The Committee also found that Bulgaria had failed to fulfil its obligations under the Convention by not responding to the notification of Serbia within the time frame specified therein.</w:t>
      </w:r>
      <w:r w:rsidRPr="006041D9">
        <w:rPr>
          <w:sz w:val="18"/>
          <w:vertAlign w:val="superscript"/>
          <w:lang w:eastAsia="en-US"/>
        </w:rPr>
        <w:footnoteReference w:id="29"/>
      </w:r>
    </w:p>
    <w:p w14:paraId="5DDABD59" w14:textId="77777777" w:rsidR="006041D9" w:rsidRPr="006041D9" w:rsidRDefault="006041D9" w:rsidP="00F84367">
      <w:pPr>
        <w:pStyle w:val="SingleTxtG"/>
        <w:rPr>
          <w:lang w:eastAsia="en-US"/>
        </w:rPr>
      </w:pPr>
      <w:r w:rsidRPr="006041D9">
        <w:rPr>
          <w:lang w:eastAsia="en-US"/>
        </w:rPr>
        <w:t>33.</w:t>
      </w:r>
      <w:r w:rsidRPr="006041D9">
        <w:rPr>
          <w:lang w:eastAsia="en-US"/>
        </w:rPr>
        <w:tab/>
        <w:t xml:space="preserve">On 14 August 2022, following the publication of the Committee’s findings and recommendations, </w:t>
      </w:r>
      <w:proofErr w:type="spellStart"/>
      <w:r w:rsidRPr="006041D9">
        <w:rPr>
          <w:lang w:eastAsia="en-US"/>
        </w:rPr>
        <w:t>Balkanka</w:t>
      </w:r>
      <w:proofErr w:type="spellEnd"/>
      <w:r w:rsidRPr="006041D9">
        <w:rPr>
          <w:lang w:eastAsia="en-US"/>
        </w:rPr>
        <w:t xml:space="preserve"> Association informed the Committee that the </w:t>
      </w:r>
      <w:proofErr w:type="spellStart"/>
      <w:r w:rsidRPr="006041D9">
        <w:rPr>
          <w:lang w:eastAsia="en-US"/>
        </w:rPr>
        <w:t>Podvirovi</w:t>
      </w:r>
      <w:proofErr w:type="spellEnd"/>
      <w:r w:rsidRPr="006041D9">
        <w:rPr>
          <w:lang w:eastAsia="en-US"/>
        </w:rPr>
        <w:t xml:space="preserve"> mine was still operating and no domestic or transboundary environmental impact assessment had been conducted. It also expressed concerns about the planned construction of several small hydropower plants on the </w:t>
      </w:r>
      <w:proofErr w:type="spellStart"/>
      <w:r w:rsidRPr="006041D9">
        <w:rPr>
          <w:lang w:eastAsia="en-US"/>
        </w:rPr>
        <w:t>Dragovishtitsa</w:t>
      </w:r>
      <w:proofErr w:type="spellEnd"/>
      <w:r w:rsidRPr="006041D9">
        <w:rPr>
          <w:lang w:eastAsia="en-US"/>
        </w:rPr>
        <w:t xml:space="preserve"> River. Considering the new information, the Committee included an additional request to Serbia in the draft decision. </w:t>
      </w:r>
    </w:p>
    <w:p w14:paraId="0B735C12" w14:textId="2B9EF2DF" w:rsidR="008530F1" w:rsidRDefault="006041D9" w:rsidP="00F84367">
      <w:pPr>
        <w:pStyle w:val="SingleTxtG"/>
        <w:rPr>
          <w:lang w:eastAsia="en-US"/>
        </w:rPr>
      </w:pPr>
      <w:r w:rsidRPr="006041D9">
        <w:rPr>
          <w:lang w:eastAsia="en-US"/>
        </w:rPr>
        <w:t>34.</w:t>
      </w:r>
      <w:r w:rsidRPr="006041D9">
        <w:rPr>
          <w:lang w:eastAsia="en-US"/>
        </w:rPr>
        <w:tab/>
        <w:t>In draft decision IX/4j,</w:t>
      </w:r>
      <w:r w:rsidRPr="006041D9">
        <w:rPr>
          <w:sz w:val="18"/>
          <w:vertAlign w:val="superscript"/>
          <w:lang w:eastAsia="en-US"/>
        </w:rPr>
        <w:footnoteReference w:id="30"/>
      </w:r>
      <w:r w:rsidRPr="006041D9">
        <w:rPr>
          <w:lang w:eastAsia="en-US"/>
        </w:rPr>
        <w:t xml:space="preserve"> the Committee recommended that the Meeting of the Parties request: inter alia, that Bulgaria and Serbia ensure that the public of Bulgaria be given an opportunity to participate in the ongoing transboundary procedure regarding the </w:t>
      </w:r>
      <w:proofErr w:type="spellStart"/>
      <w:r w:rsidRPr="006041D9">
        <w:rPr>
          <w:lang w:eastAsia="en-US"/>
        </w:rPr>
        <w:t>Karamanica</w:t>
      </w:r>
      <w:proofErr w:type="spellEnd"/>
      <w:r w:rsidRPr="006041D9">
        <w:rPr>
          <w:lang w:eastAsia="en-US"/>
        </w:rPr>
        <w:t xml:space="preserve"> permanent flotation plant; and, that Serbia ensure that the Convention is fully applied in the context of any future decision-making regarding planned mining activities, and that the cumulative impact of new and pre-existing mining activities, as well as the cumulative impact of other activities affecting the conditions in the water system, are properly considered.</w:t>
      </w:r>
    </w:p>
    <w:p w14:paraId="07C85E9B" w14:textId="5F442659" w:rsidR="006A5C13" w:rsidRPr="006A5C13" w:rsidRDefault="00F84367" w:rsidP="00F84367">
      <w:pPr>
        <w:pStyle w:val="H1G"/>
        <w:rPr>
          <w:lang w:eastAsia="en-US"/>
        </w:rPr>
      </w:pPr>
      <w:bookmarkStart w:id="30" w:name="_Toc147827446"/>
      <w:bookmarkStart w:id="31" w:name="_Toc811010408"/>
      <w:r>
        <w:rPr>
          <w:lang w:eastAsia="en-US"/>
        </w:rPr>
        <w:tab/>
      </w:r>
      <w:r w:rsidR="006A5C13" w:rsidRPr="006A5C13">
        <w:rPr>
          <w:lang w:eastAsia="en-US"/>
        </w:rPr>
        <w:t>B.</w:t>
      </w:r>
      <w:r w:rsidR="006A5C13" w:rsidRPr="006A5C13">
        <w:rPr>
          <w:lang w:eastAsia="en-US"/>
        </w:rPr>
        <w:tab/>
        <w:t>Albania</w:t>
      </w:r>
      <w:bookmarkEnd w:id="30"/>
      <w:bookmarkEnd w:id="31"/>
    </w:p>
    <w:p w14:paraId="2CE21A14" w14:textId="67A23470" w:rsidR="006A5C13" w:rsidRPr="006A5C13" w:rsidRDefault="00F84367" w:rsidP="00F84367">
      <w:pPr>
        <w:pStyle w:val="H4G"/>
        <w:rPr>
          <w:lang w:eastAsia="en-US"/>
        </w:rPr>
      </w:pPr>
      <w:r>
        <w:rPr>
          <w:lang w:eastAsia="en-US"/>
        </w:rPr>
        <w:tab/>
      </w:r>
      <w:r>
        <w:rPr>
          <w:lang w:eastAsia="en-US"/>
        </w:rPr>
        <w:tab/>
      </w:r>
      <w:r w:rsidR="006A5C13" w:rsidRPr="006A5C13">
        <w:rPr>
          <w:lang w:eastAsia="en-US"/>
        </w:rPr>
        <w:t>EIA/IC/S/7</w:t>
      </w:r>
    </w:p>
    <w:p w14:paraId="790F4CD3" w14:textId="77777777" w:rsidR="006A5C13" w:rsidRPr="006A5C13" w:rsidRDefault="006A5C13" w:rsidP="00F84367">
      <w:pPr>
        <w:pStyle w:val="SingleTxtG"/>
        <w:rPr>
          <w:lang w:eastAsia="en-US"/>
        </w:rPr>
      </w:pPr>
      <w:r w:rsidRPr="006A5C13">
        <w:rPr>
          <w:lang w:eastAsia="en-US"/>
        </w:rPr>
        <w:t>35.</w:t>
      </w:r>
      <w:r w:rsidRPr="006A5C13">
        <w:rPr>
          <w:lang w:eastAsia="en-US"/>
        </w:rPr>
        <w:tab/>
        <w:t>On 11 September 2019, Montenegro made a submission to the Committee expressing concerns about compliance by Albania with its obligations under the Convention and the Protocol regarding the planned construction of several small hydropower plants on the Cijevna River. As the construction of small hydropower plants is not listed in appendix I to the Convention or in annex I to the Protocol, the Committee examined the application of article 2 (5) of the Convention.</w:t>
      </w:r>
    </w:p>
    <w:p w14:paraId="5B033981" w14:textId="77777777" w:rsidR="006A5C13" w:rsidRPr="006A5C13" w:rsidRDefault="006A5C13" w:rsidP="00F84367">
      <w:pPr>
        <w:pStyle w:val="SingleTxtG"/>
        <w:rPr>
          <w:lang w:val="en-US" w:eastAsia="en-US"/>
        </w:rPr>
      </w:pPr>
      <w:r w:rsidRPr="006A5C13">
        <w:rPr>
          <w:lang w:eastAsia="en-US"/>
        </w:rPr>
        <w:t>36.</w:t>
      </w:r>
      <w:r w:rsidRPr="006A5C13">
        <w:rPr>
          <w:lang w:eastAsia="en-US"/>
        </w:rPr>
        <w:tab/>
        <w:t xml:space="preserve">Also in 2019, following a request by Montenegro, an advisory procedure was initiated </w:t>
      </w:r>
      <w:r w:rsidRPr="006A5C13">
        <w:rPr>
          <w:lang w:val="en-US" w:eastAsia="en-US"/>
        </w:rPr>
        <w:t>under the Convention on the Protection and Use of Transboundary Watercourses and International Lakes (Water Convention).</w:t>
      </w:r>
      <w:r w:rsidRPr="006A5C13">
        <w:rPr>
          <w:sz w:val="18"/>
          <w:vertAlign w:val="superscript"/>
          <w:lang w:val="en-US" w:eastAsia="en-US"/>
        </w:rPr>
        <w:footnoteReference w:id="31"/>
      </w:r>
      <w:r w:rsidRPr="006A5C13">
        <w:rPr>
          <w:lang w:val="en-US" w:eastAsia="en-US"/>
        </w:rPr>
        <w:t xml:space="preserve"> After a delay in the procedure under the Espoo Convention due to resource constraints, the Committee requested an update from the Parties concerned on their bilateral discussions at its fifty-fourth session, before preparing its findings and recommendations.</w:t>
      </w:r>
      <w:r w:rsidRPr="006A5C13">
        <w:rPr>
          <w:sz w:val="18"/>
          <w:vertAlign w:val="superscript"/>
          <w:lang w:val="en-US" w:eastAsia="en-US"/>
        </w:rPr>
        <w:footnoteReference w:id="32"/>
      </w:r>
      <w:r w:rsidRPr="006A5C13">
        <w:rPr>
          <w:lang w:val="en-US" w:eastAsia="en-US"/>
        </w:rPr>
        <w:t xml:space="preserve"> </w:t>
      </w:r>
    </w:p>
    <w:p w14:paraId="25C1F7A3" w14:textId="77777777" w:rsidR="006A5C13" w:rsidRPr="006A5C13" w:rsidRDefault="006A5C13" w:rsidP="00F84367">
      <w:pPr>
        <w:pStyle w:val="SingleTxtG"/>
        <w:rPr>
          <w:lang w:eastAsia="en-US"/>
        </w:rPr>
      </w:pPr>
      <w:r w:rsidRPr="006A5C13">
        <w:rPr>
          <w:lang w:eastAsia="en-US"/>
        </w:rPr>
        <w:t>37.</w:t>
      </w:r>
      <w:r w:rsidRPr="006A5C13">
        <w:rPr>
          <w:lang w:eastAsia="en-US"/>
        </w:rPr>
        <w:tab/>
        <w:t>In draft decision IX/4a–V/4a,</w:t>
      </w:r>
      <w:r w:rsidRPr="006A5C13">
        <w:rPr>
          <w:sz w:val="18"/>
          <w:vertAlign w:val="superscript"/>
          <w:lang w:eastAsia="en-US"/>
        </w:rPr>
        <w:footnoteReference w:id="33"/>
      </w:r>
      <w:r w:rsidRPr="006A5C13">
        <w:rPr>
          <w:lang w:eastAsia="en-US"/>
        </w:rPr>
        <w:t xml:space="preserve"> the Committee recommended that the Meetings of the Parties endorse the Committee’s findings to the effect that: Albania and Montenegro had </w:t>
      </w:r>
      <w:r w:rsidRPr="006A5C13">
        <w:rPr>
          <w:lang w:eastAsia="en-US"/>
        </w:rPr>
        <w:lastRenderedPageBreak/>
        <w:t xml:space="preserve">fulfilled their obligations under article 2 (5) of the Convention; Albania was not in non-compliance with article 2 (2) and (6) of the Convention; and the Protocol was not applicable. </w:t>
      </w:r>
    </w:p>
    <w:p w14:paraId="1CA2401F" w14:textId="3DDA0418" w:rsidR="006A5C13" w:rsidRPr="006A5C13" w:rsidRDefault="00F84367" w:rsidP="00F84367">
      <w:pPr>
        <w:pStyle w:val="H1G"/>
        <w:rPr>
          <w:lang w:eastAsia="en-US"/>
        </w:rPr>
      </w:pPr>
      <w:bookmarkStart w:id="32" w:name="_Toc147827447"/>
      <w:bookmarkStart w:id="33" w:name="_Toc1670844840"/>
      <w:r>
        <w:rPr>
          <w:lang w:eastAsia="en-US"/>
        </w:rPr>
        <w:tab/>
      </w:r>
      <w:r w:rsidR="006A5C13" w:rsidRPr="006A5C13">
        <w:rPr>
          <w:lang w:eastAsia="en-US"/>
        </w:rPr>
        <w:t>C.</w:t>
      </w:r>
      <w:r w:rsidR="006A5C13" w:rsidRPr="006A5C13">
        <w:rPr>
          <w:lang w:eastAsia="en-US"/>
        </w:rPr>
        <w:tab/>
        <w:t>Bosnia and Herzegovina</w:t>
      </w:r>
      <w:bookmarkEnd w:id="32"/>
      <w:bookmarkEnd w:id="33"/>
    </w:p>
    <w:p w14:paraId="1782A40E" w14:textId="1F59006B" w:rsidR="006A5C13" w:rsidRPr="006A5C13" w:rsidRDefault="00F84367" w:rsidP="00F84367">
      <w:pPr>
        <w:pStyle w:val="H4G"/>
        <w:rPr>
          <w:lang w:eastAsia="en-US"/>
        </w:rPr>
      </w:pPr>
      <w:r>
        <w:rPr>
          <w:lang w:eastAsia="en-US"/>
        </w:rPr>
        <w:tab/>
      </w:r>
      <w:r>
        <w:rPr>
          <w:lang w:eastAsia="en-US"/>
        </w:rPr>
        <w:tab/>
      </w:r>
      <w:r w:rsidR="006A5C13" w:rsidRPr="006A5C13">
        <w:rPr>
          <w:lang w:eastAsia="en-US"/>
        </w:rPr>
        <w:t>EIA/IC/S/8-SEA/IC/S/1</w:t>
      </w:r>
    </w:p>
    <w:p w14:paraId="09DC68CF" w14:textId="77777777" w:rsidR="006A5C13" w:rsidRPr="006A5C13" w:rsidRDefault="006A5C13" w:rsidP="00F84367">
      <w:pPr>
        <w:pStyle w:val="SingleTxtG"/>
        <w:rPr>
          <w:lang w:eastAsia="en-US"/>
        </w:rPr>
      </w:pPr>
      <w:r w:rsidRPr="006A5C13">
        <w:rPr>
          <w:lang w:eastAsia="en-US"/>
        </w:rPr>
        <w:t>38.</w:t>
      </w:r>
      <w:r w:rsidRPr="006A5C13">
        <w:rPr>
          <w:lang w:eastAsia="en-US"/>
        </w:rPr>
        <w:tab/>
        <w:t xml:space="preserve">On 11 December 2020, Montenegro submitted information to the </w:t>
      </w:r>
      <w:r w:rsidRPr="006A5C13">
        <w:rPr>
          <w:rFonts w:eastAsia="ヒラギノ角ゴ Pro W3"/>
          <w:lang w:eastAsia="en-GB"/>
        </w:rPr>
        <w:t xml:space="preserve">Committee </w:t>
      </w:r>
      <w:r w:rsidRPr="006A5C13">
        <w:rPr>
          <w:lang w:eastAsia="en-US"/>
        </w:rPr>
        <w:t>expressing concerns about compliance by Bosnia and Herzegovina with its obligations under the Convention and the Protocol regarding the construction of the Buk Bijela hydropower plant on the Drina River.</w:t>
      </w:r>
      <w:r w:rsidRPr="006A5C13">
        <w:rPr>
          <w:rFonts w:eastAsia="ヒラギノ角ゴ Pro W3"/>
          <w:lang w:eastAsia="en-GB"/>
        </w:rPr>
        <w:t xml:space="preserve"> Prior to the submission, on 15 May 2020, the Committee had </w:t>
      </w:r>
      <w:r w:rsidRPr="006A5C13">
        <w:rPr>
          <w:lang w:eastAsia="en-US"/>
        </w:rPr>
        <w:t>received</w:t>
      </w:r>
      <w:r w:rsidRPr="006A5C13">
        <w:rPr>
          <w:rFonts w:eastAsia="ヒラギノ角ゴ Pro W3"/>
          <w:lang w:eastAsia="en-GB"/>
        </w:rPr>
        <w:t xml:space="preserve"> information from four NGOs (</w:t>
      </w:r>
      <w:r w:rsidRPr="006A5C13">
        <w:rPr>
          <w:lang w:eastAsia="en-US"/>
        </w:rPr>
        <w:t xml:space="preserve">Aarhus </w:t>
      </w:r>
      <w:proofErr w:type="spellStart"/>
      <w:r w:rsidRPr="006A5C13">
        <w:rPr>
          <w:lang w:eastAsia="en-US"/>
        </w:rPr>
        <w:t>Centar</w:t>
      </w:r>
      <w:proofErr w:type="spellEnd"/>
      <w:r w:rsidRPr="006A5C13">
        <w:rPr>
          <w:lang w:eastAsia="en-US"/>
        </w:rPr>
        <w:t xml:space="preserve"> and Centre for Environment (Bosnia and Herzegovina), Green Home and Environmental Movement Ozon (Montenegro)) on the same matter.  </w:t>
      </w:r>
    </w:p>
    <w:p w14:paraId="67AD77C2" w14:textId="77777777" w:rsidR="006A5C13" w:rsidRPr="006A5C13" w:rsidRDefault="006A5C13" w:rsidP="00F84367">
      <w:pPr>
        <w:pStyle w:val="SingleTxtG"/>
        <w:rPr>
          <w:rFonts w:eastAsia="SimSun"/>
          <w:lang w:eastAsia="zh-CN"/>
        </w:rPr>
      </w:pPr>
      <w:r w:rsidRPr="006A5C13">
        <w:rPr>
          <w:lang w:eastAsia="en-US"/>
        </w:rPr>
        <w:t>39.</w:t>
      </w:r>
      <w:r w:rsidRPr="006A5C13">
        <w:rPr>
          <w:lang w:eastAsia="en-US"/>
        </w:rPr>
        <w:tab/>
        <w:t>During a hearing at the Committee’s fifty-second session, Bosnia and Herzegovina and Montenegro clarified some facts on their transboundary exchanges during the 2012/2013 environmental impact assessment procedure, and Bosnia and Herzegovina on its energy strategy. After the publication of the Committee’s findings and recommendations</w:t>
      </w:r>
      <w:r w:rsidRPr="006A5C13">
        <w:rPr>
          <w:sz w:val="18"/>
          <w:vertAlign w:val="superscript"/>
          <w:lang w:eastAsia="en-US"/>
        </w:rPr>
        <w:footnoteReference w:id="34"/>
      </w:r>
      <w:r w:rsidRPr="006A5C13">
        <w:rPr>
          <w:lang w:eastAsia="en-US"/>
        </w:rPr>
        <w:t xml:space="preserve"> and the submission of draft decision IX/4c–V/4c to the twelfth meeting of the Working Group (Geneva, 13–15 June 2023), Montenegro informed the Committee that Bosnia and Herzegovina had not set a time limit for Montenegro to respond during the 2012/2013 procedure.  </w:t>
      </w:r>
    </w:p>
    <w:p w14:paraId="04D82DEA" w14:textId="77777777" w:rsidR="006A5C13" w:rsidRPr="006A5C13" w:rsidRDefault="006A5C13" w:rsidP="00F84367">
      <w:pPr>
        <w:pStyle w:val="SingleTxtG"/>
        <w:rPr>
          <w:rFonts w:eastAsia="SimSun"/>
          <w:lang w:eastAsia="zh-CN"/>
        </w:rPr>
      </w:pPr>
      <w:r w:rsidRPr="006A5C13">
        <w:rPr>
          <w:lang w:eastAsia="en-US"/>
        </w:rPr>
        <w:t>40.</w:t>
      </w:r>
      <w:r w:rsidRPr="006A5C13">
        <w:rPr>
          <w:lang w:eastAsia="en-US"/>
        </w:rPr>
        <w:tab/>
        <w:t>Considering the new information, the Committee revised its findings and recommendations</w:t>
      </w:r>
      <w:r w:rsidRPr="006A5C13">
        <w:rPr>
          <w:sz w:val="18"/>
          <w:vertAlign w:val="superscript"/>
          <w:lang w:eastAsia="en-US"/>
        </w:rPr>
        <w:footnoteReference w:id="35"/>
      </w:r>
      <w:r w:rsidRPr="006A5C13">
        <w:rPr>
          <w:lang w:eastAsia="en-US"/>
        </w:rPr>
        <w:t xml:space="preserve"> and draft decision IX/4c–V/4c.</w:t>
      </w:r>
      <w:r w:rsidRPr="006A5C13">
        <w:rPr>
          <w:sz w:val="18"/>
          <w:vertAlign w:val="superscript"/>
          <w:lang w:eastAsia="en-US"/>
        </w:rPr>
        <w:footnoteReference w:id="36"/>
      </w:r>
      <w:r w:rsidRPr="006A5C13">
        <w:rPr>
          <w:lang w:eastAsia="en-US"/>
        </w:rPr>
        <w:t xml:space="preserve"> It recommended that the Meetings of the Parties endorse the Committee’s findings that, by not </w:t>
      </w:r>
      <w:r w:rsidRPr="006A5C13">
        <w:rPr>
          <w:rFonts w:eastAsia="SimSun"/>
          <w:lang w:eastAsia="zh-CN"/>
        </w:rPr>
        <w:t>notifying Montenegro regarding the activity early in the 2012/2013 procedure, Bosnia and Herzegovina had failed to fulfil its obligations under articles</w:t>
      </w:r>
      <w:r w:rsidRPr="006A5C13">
        <w:rPr>
          <w:rFonts w:eastAsia="SimSun"/>
          <w:lang w:val="en-US" w:eastAsia="zh-CN"/>
        </w:rPr>
        <w:t xml:space="preserve"> 2 (4) and 3 (1)</w:t>
      </w:r>
      <w:r w:rsidRPr="006A5C13">
        <w:rPr>
          <w:rFonts w:eastAsia="SimSun"/>
          <w:lang w:eastAsia="zh-CN"/>
        </w:rPr>
        <w:t xml:space="preserve"> of the Convention. By not conducting a new environmental impact assessment before issuing a new permit in 2019, Bosnia and Herzegovina had further failed to comply with its obligations under articles 2 (2)–(3) and 4 (1) of the Convention and was requested to conduct a transboundary environmental impact assessment procedure involving Montenegro </w:t>
      </w:r>
      <w:proofErr w:type="gramStart"/>
      <w:r w:rsidRPr="006A5C13">
        <w:rPr>
          <w:rFonts w:eastAsia="SimSun"/>
          <w:lang w:eastAsia="zh-CN"/>
        </w:rPr>
        <w:t>and,</w:t>
      </w:r>
      <w:proofErr w:type="gramEnd"/>
      <w:r w:rsidRPr="006A5C13">
        <w:rPr>
          <w:rFonts w:eastAsia="SimSun"/>
          <w:lang w:eastAsia="zh-CN"/>
        </w:rPr>
        <w:t xml:space="preserve"> as needed, other affected Parties. </w:t>
      </w:r>
    </w:p>
    <w:p w14:paraId="0B359EDA" w14:textId="3280B9C0" w:rsidR="006A5C13" w:rsidRPr="006A5C13" w:rsidRDefault="00F84367" w:rsidP="00F84367">
      <w:pPr>
        <w:pStyle w:val="H1G"/>
        <w:rPr>
          <w:lang w:eastAsia="en-US"/>
        </w:rPr>
      </w:pPr>
      <w:bookmarkStart w:id="34" w:name="_Toc147827448"/>
      <w:bookmarkStart w:id="35" w:name="_Toc810568830"/>
      <w:r>
        <w:rPr>
          <w:lang w:eastAsia="en-US"/>
        </w:rPr>
        <w:tab/>
      </w:r>
      <w:r w:rsidR="006A5C13" w:rsidRPr="006A5C13">
        <w:rPr>
          <w:lang w:eastAsia="en-US"/>
        </w:rPr>
        <w:t>D.</w:t>
      </w:r>
      <w:r w:rsidR="006A5C13" w:rsidRPr="006A5C13">
        <w:rPr>
          <w:lang w:eastAsia="en-US"/>
        </w:rPr>
        <w:tab/>
        <w:t>Poland</w:t>
      </w:r>
      <w:bookmarkEnd w:id="34"/>
      <w:bookmarkEnd w:id="35"/>
    </w:p>
    <w:p w14:paraId="231BDA1A" w14:textId="18127079" w:rsidR="006A5C13" w:rsidRPr="006A5C13" w:rsidRDefault="00F84367" w:rsidP="00F84367">
      <w:pPr>
        <w:pStyle w:val="H4G"/>
        <w:rPr>
          <w:lang w:eastAsia="en-US"/>
        </w:rPr>
      </w:pPr>
      <w:r>
        <w:rPr>
          <w:lang w:eastAsia="en-US"/>
        </w:rPr>
        <w:tab/>
      </w:r>
      <w:r>
        <w:rPr>
          <w:lang w:eastAsia="en-US"/>
        </w:rPr>
        <w:tab/>
      </w:r>
      <w:r w:rsidR="006A5C13" w:rsidRPr="006A5C13">
        <w:rPr>
          <w:lang w:eastAsia="en-US"/>
        </w:rPr>
        <w:t>EIA/IC/S/9</w:t>
      </w:r>
    </w:p>
    <w:p w14:paraId="7E8AE72A" w14:textId="77777777" w:rsidR="006A5C13" w:rsidRPr="006A5C13" w:rsidRDefault="006A5C13" w:rsidP="00F84367">
      <w:pPr>
        <w:pStyle w:val="SingleTxtG"/>
        <w:rPr>
          <w:rFonts w:eastAsia="SimSun"/>
          <w:lang w:eastAsia="en-US"/>
        </w:rPr>
      </w:pPr>
      <w:r w:rsidRPr="006A5C13">
        <w:rPr>
          <w:lang w:eastAsia="en-US"/>
        </w:rPr>
        <w:t>41.</w:t>
      </w:r>
      <w:r w:rsidRPr="006A5C13">
        <w:rPr>
          <w:lang w:eastAsia="en-US"/>
        </w:rPr>
        <w:tab/>
        <w:t xml:space="preserve">At its fifty-seventh session (Geneva, 29 August–1 September 2023), the Committee began its consideration of the submission by Belarus, dated 12 April 2023, expressing concerns about compliance by Poland with its obligations under the Convention regarding the construction of a barrier </w:t>
      </w:r>
      <w:r w:rsidRPr="006A5C13">
        <w:rPr>
          <w:rFonts w:eastAsia="SimSun"/>
          <w:lang w:eastAsia="en-US"/>
        </w:rPr>
        <w:t>in “</w:t>
      </w:r>
      <w:proofErr w:type="spellStart"/>
      <w:r w:rsidRPr="006A5C13">
        <w:rPr>
          <w:rFonts w:eastAsia="SimSun"/>
          <w:lang w:eastAsia="en-US"/>
        </w:rPr>
        <w:t>Bialowieza</w:t>
      </w:r>
      <w:proofErr w:type="spellEnd"/>
      <w:r w:rsidRPr="006A5C13">
        <w:rPr>
          <w:rFonts w:eastAsia="SimSun"/>
          <w:lang w:eastAsia="en-US"/>
        </w:rPr>
        <w:t xml:space="preserve"> Forest” – a transboundary United Nations Educational, Scientific and Cultural Organization (UNESCO) World Heritage Site – on the Polish-Belarusian border.</w:t>
      </w:r>
      <w:r w:rsidRPr="006A5C13">
        <w:rPr>
          <w:lang w:eastAsia="en-US"/>
        </w:rPr>
        <w:t xml:space="preserve"> According to the response by Poland to the submission, dated 17 July 2023, </w:t>
      </w:r>
      <w:r w:rsidRPr="006A5C13">
        <w:rPr>
          <w:rFonts w:eastAsia="SimSun"/>
          <w:lang w:eastAsia="en-US"/>
        </w:rPr>
        <w:t xml:space="preserve">the construction of the State’s border security wall did not fall under the Convention and, under article 2 (8) thereof, for national security reasons, national laws might be applied and take precedence over the Convention, allowing for the wall to be built. The Committee requested clarifications from Belarus and Poland for its next session (Geneva, 27 February–1 March 2024). </w:t>
      </w:r>
    </w:p>
    <w:p w14:paraId="10640D07" w14:textId="02329DF3" w:rsidR="006A5C13" w:rsidRPr="006A5C13" w:rsidRDefault="00F84367" w:rsidP="00F84367">
      <w:pPr>
        <w:pStyle w:val="HChG"/>
        <w:rPr>
          <w:lang w:eastAsia="en-US"/>
        </w:rPr>
      </w:pPr>
      <w:bookmarkStart w:id="36" w:name="_Toc147827449"/>
      <w:bookmarkStart w:id="37" w:name="_Toc1541166886"/>
      <w:r>
        <w:rPr>
          <w:lang w:eastAsia="en-US"/>
        </w:rPr>
        <w:lastRenderedPageBreak/>
        <w:tab/>
      </w:r>
      <w:r w:rsidR="006A5C13" w:rsidRPr="006A5C13">
        <w:rPr>
          <w:lang w:eastAsia="en-US"/>
        </w:rPr>
        <w:t>IV.</w:t>
      </w:r>
      <w:r w:rsidR="006A5C13" w:rsidRPr="006A5C13">
        <w:rPr>
          <w:lang w:eastAsia="en-US"/>
        </w:rPr>
        <w:tab/>
        <w:t>Committee initiatives</w:t>
      </w:r>
      <w:bookmarkEnd w:id="36"/>
      <w:bookmarkEnd w:id="37"/>
    </w:p>
    <w:p w14:paraId="6BEC815F" w14:textId="77777777" w:rsidR="006A5C13" w:rsidRPr="006A5C13" w:rsidRDefault="006A5C13" w:rsidP="006A5C13">
      <w:pPr>
        <w:suppressAutoHyphens/>
        <w:spacing w:after="120"/>
        <w:ind w:left="1138" w:right="1134"/>
        <w:jc w:val="both"/>
        <w:rPr>
          <w:lang w:eastAsia="en-US"/>
        </w:rPr>
      </w:pPr>
      <w:r w:rsidRPr="006A5C13">
        <w:rPr>
          <w:lang w:eastAsia="en-US"/>
        </w:rPr>
        <w:t>42.</w:t>
      </w:r>
      <w:r w:rsidRPr="006A5C13">
        <w:rPr>
          <w:lang w:eastAsia="en-US"/>
        </w:rPr>
        <w:tab/>
        <w:t>Further to operating rule 15, the Committee opened five Committee initiatives in accordance with paragraph 6 of its structure and functions,</w:t>
      </w:r>
      <w:r w:rsidRPr="006A5C13">
        <w:rPr>
          <w:sz w:val="18"/>
          <w:vertAlign w:val="superscript"/>
          <w:lang w:eastAsia="en-US"/>
        </w:rPr>
        <w:footnoteReference w:id="37"/>
      </w:r>
      <w:r w:rsidRPr="006A5C13">
        <w:rPr>
          <w:lang w:eastAsia="en-US"/>
        </w:rPr>
        <w:t xml:space="preserve"> based on a profound suspicion of non-compliance by a Party with its obligations under the Convention. It closed one Committee initiative concerning the obligations of a Party under the Convention, opened in 2020, and one under the Protocol, opened in 2019.</w:t>
      </w:r>
    </w:p>
    <w:p w14:paraId="110C6AE5" w14:textId="14157A35" w:rsidR="006A5C13" w:rsidRPr="006A5C13" w:rsidRDefault="00F84367" w:rsidP="00F84367">
      <w:pPr>
        <w:pStyle w:val="H1G"/>
        <w:rPr>
          <w:lang w:eastAsia="en-US"/>
        </w:rPr>
      </w:pPr>
      <w:bookmarkStart w:id="38" w:name="_Toc147827450"/>
      <w:bookmarkStart w:id="39" w:name="_Toc1362407604"/>
      <w:r>
        <w:rPr>
          <w:lang w:eastAsia="en-US"/>
        </w:rPr>
        <w:tab/>
      </w:r>
      <w:r w:rsidR="006A5C13" w:rsidRPr="006A5C13">
        <w:rPr>
          <w:lang w:eastAsia="en-US"/>
        </w:rPr>
        <w:t>A.</w:t>
      </w:r>
      <w:r w:rsidR="006A5C13" w:rsidRPr="006A5C13">
        <w:rPr>
          <w:lang w:eastAsia="en-US"/>
        </w:rPr>
        <w:tab/>
      </w:r>
      <w:r w:rsidR="006A5C13" w:rsidRPr="00F84367">
        <w:t>Convention</w:t>
      </w:r>
      <w:r w:rsidR="006A5C13" w:rsidRPr="006A5C13">
        <w:rPr>
          <w:lang w:eastAsia="en-US"/>
        </w:rPr>
        <w:t xml:space="preserve"> matters</w:t>
      </w:r>
      <w:bookmarkEnd w:id="38"/>
      <w:bookmarkEnd w:id="39"/>
    </w:p>
    <w:p w14:paraId="246D91C2" w14:textId="208D5EDD" w:rsidR="006A5C13" w:rsidRPr="006A5C13" w:rsidRDefault="00F84367" w:rsidP="00F84367">
      <w:pPr>
        <w:pStyle w:val="H23G"/>
        <w:rPr>
          <w:lang w:eastAsia="en-US"/>
        </w:rPr>
      </w:pPr>
      <w:bookmarkStart w:id="40" w:name="_Toc147827451"/>
      <w:bookmarkStart w:id="41" w:name="_Toc602160488"/>
      <w:r>
        <w:rPr>
          <w:lang w:eastAsia="en-US"/>
        </w:rPr>
        <w:tab/>
      </w:r>
      <w:r w:rsidR="006A5C13" w:rsidRPr="006A5C13">
        <w:rPr>
          <w:lang w:eastAsia="en-US"/>
        </w:rPr>
        <w:t>1.</w:t>
      </w:r>
      <w:r w:rsidR="006A5C13" w:rsidRPr="006A5C13">
        <w:rPr>
          <w:lang w:eastAsia="en-US"/>
        </w:rPr>
        <w:tab/>
        <w:t>Belarus</w:t>
      </w:r>
      <w:bookmarkEnd w:id="40"/>
      <w:bookmarkEnd w:id="41"/>
    </w:p>
    <w:p w14:paraId="1A7D8CA8" w14:textId="61A5F94C" w:rsidR="006A5C13" w:rsidRPr="006A5C13" w:rsidRDefault="00F84367" w:rsidP="00F84367">
      <w:pPr>
        <w:pStyle w:val="H4G"/>
        <w:rPr>
          <w:lang w:val="en-US" w:eastAsia="en-US"/>
        </w:rPr>
      </w:pPr>
      <w:r>
        <w:rPr>
          <w:lang w:eastAsia="en-US"/>
        </w:rPr>
        <w:tab/>
      </w:r>
      <w:r>
        <w:rPr>
          <w:lang w:eastAsia="en-US"/>
        </w:rPr>
        <w:tab/>
      </w:r>
      <w:r w:rsidR="006A5C13" w:rsidRPr="006A5C13">
        <w:rPr>
          <w:lang w:eastAsia="en-US"/>
        </w:rPr>
        <w:t>EIA/IC/CI/11</w:t>
      </w:r>
      <w:r w:rsidR="006A5C13" w:rsidRPr="006A5C13">
        <w:rPr>
          <w:lang w:eastAsia="en-US"/>
        </w:rPr>
        <w:tab/>
        <w:t xml:space="preserve">and </w:t>
      </w:r>
      <w:r w:rsidR="006A5C13" w:rsidRPr="006A5C13">
        <w:rPr>
          <w:lang w:val="en-US" w:eastAsia="en-US"/>
        </w:rPr>
        <w:t>EIA/IC/INFO/21</w:t>
      </w:r>
    </w:p>
    <w:p w14:paraId="5D89BFF4" w14:textId="77777777" w:rsidR="006A5C13" w:rsidRPr="006A5C13" w:rsidRDefault="006A5C13" w:rsidP="00F84367">
      <w:pPr>
        <w:pStyle w:val="SingleTxtG"/>
        <w:rPr>
          <w:lang w:val="en-US" w:eastAsia="en-US"/>
        </w:rPr>
      </w:pPr>
      <w:r w:rsidRPr="006A5C13">
        <w:rPr>
          <w:lang w:val="en-US"/>
        </w:rPr>
        <w:t>43.</w:t>
      </w:r>
      <w:r w:rsidRPr="006A5C13">
        <w:rPr>
          <w:lang w:eastAsia="en-US"/>
        </w:rPr>
        <w:tab/>
      </w:r>
      <w:r w:rsidRPr="006A5C13">
        <w:rPr>
          <w:lang w:val="en-US"/>
        </w:rPr>
        <w:t xml:space="preserve">On 18 July 2016, Belarus adopted Law No. 399-3 on State Ecological Expertise, Strategic Environmental Assessment and Environmental Impact Assessment (the Law).  At its thirty-ninth session (Geneva, 5–7 September 2017), the Committee </w:t>
      </w:r>
      <w:r w:rsidRPr="006A5C13">
        <w:rPr>
          <w:lang w:val="en-US" w:eastAsia="en-US"/>
        </w:rPr>
        <w:t>began its information gathering regarding said Law.</w:t>
      </w:r>
      <w:r w:rsidRPr="006A5C13">
        <w:rPr>
          <w:sz w:val="18"/>
          <w:vertAlign w:val="superscript"/>
          <w:lang w:val="en-US" w:eastAsia="en-US"/>
        </w:rPr>
        <w:footnoteReference w:id="38"/>
      </w:r>
      <w:r w:rsidRPr="006A5C13">
        <w:rPr>
          <w:lang w:val="en-US" w:eastAsia="en-US"/>
        </w:rPr>
        <w:t xml:space="preserve"> In examining the Law and the related subsidiary legislation, the Committee noted several deficiencies vis-à-vis the Convention. By letter dated 2 January 2019, it shared a non-exhaustive list of deficiencies with Belarus and requested clarification from Belarus about its plans to address said deficiencies.</w:t>
      </w:r>
      <w:r w:rsidRPr="006A5C13">
        <w:rPr>
          <w:sz w:val="18"/>
          <w:vertAlign w:val="superscript"/>
          <w:lang w:val="en-US" w:eastAsia="en-US"/>
        </w:rPr>
        <w:footnoteReference w:id="39"/>
      </w:r>
      <w:r w:rsidRPr="006A5C13">
        <w:rPr>
          <w:lang w:val="en-US" w:eastAsia="en-US"/>
        </w:rPr>
        <w:t xml:space="preserve"> </w:t>
      </w:r>
    </w:p>
    <w:p w14:paraId="0895D2F4" w14:textId="77777777" w:rsidR="006A5C13" w:rsidRPr="006A5C13" w:rsidRDefault="006A5C13" w:rsidP="00F84367">
      <w:pPr>
        <w:pStyle w:val="SingleTxtG"/>
        <w:rPr>
          <w:lang w:val="en-US" w:eastAsia="en-US"/>
        </w:rPr>
      </w:pPr>
      <w:r w:rsidRPr="006A5C13">
        <w:rPr>
          <w:lang w:val="en-US" w:eastAsia="en-US"/>
        </w:rPr>
        <w:t>44.</w:t>
      </w:r>
      <w:r w:rsidRPr="006A5C13">
        <w:rPr>
          <w:lang w:eastAsia="en-US"/>
        </w:rPr>
        <w:tab/>
      </w:r>
      <w:r w:rsidRPr="006A5C13">
        <w:rPr>
          <w:lang w:val="en-US" w:eastAsia="en-US"/>
        </w:rPr>
        <w:t xml:space="preserve">Between 2017 and 2021, Belarus received European Union-funded legislative assistance, first under the </w:t>
      </w:r>
      <w:r w:rsidRPr="006A5C13">
        <w:rPr>
          <w:lang w:eastAsia="en-US"/>
        </w:rPr>
        <w:t xml:space="preserve">Greening Economies in the European Union’s Eastern Neighbourhood Programme, and later under the EU4Environment programme, and supported by the secretariat. Since 2017, the Committee had repeatedly asked Belarus about steps being taken to bring its legislation into compliance with the Convention. </w:t>
      </w:r>
    </w:p>
    <w:p w14:paraId="76CA8FE9" w14:textId="77777777" w:rsidR="006A5C13" w:rsidRPr="006A5C13" w:rsidRDefault="006A5C13" w:rsidP="00F84367">
      <w:pPr>
        <w:pStyle w:val="SingleTxtG"/>
        <w:rPr>
          <w:lang w:val="en-US" w:eastAsia="en-US"/>
        </w:rPr>
      </w:pPr>
      <w:r w:rsidRPr="006A5C13">
        <w:rPr>
          <w:lang w:val="en-US" w:eastAsia="en-US"/>
        </w:rPr>
        <w:t>45.</w:t>
      </w:r>
      <w:r w:rsidRPr="006A5C13">
        <w:rPr>
          <w:lang w:eastAsia="en-US"/>
        </w:rPr>
        <w:tab/>
      </w:r>
      <w:r w:rsidRPr="006A5C13">
        <w:rPr>
          <w:lang w:val="en-US" w:eastAsia="en-US"/>
        </w:rPr>
        <w:t xml:space="preserve">The Committee conducted informal consultations with Belarus at its fifty-fourth session. It noted with regret </w:t>
      </w:r>
      <w:r w:rsidRPr="006A5C13">
        <w:rPr>
          <w:lang w:eastAsia="en-US"/>
        </w:rPr>
        <w:t>that Belarus had not yet adopted the amended legislation and that it planned to do so only by December 2023. The Committee recalled the 10 years of legislative assistance provided to Belarus with European Union funding, and the recommendations of areas for improvements.</w:t>
      </w:r>
      <w:r w:rsidRPr="006A5C13">
        <w:rPr>
          <w:sz w:val="18"/>
          <w:vertAlign w:val="superscript"/>
          <w:lang w:eastAsia="en-US"/>
        </w:rPr>
        <w:footnoteReference w:id="40"/>
      </w:r>
    </w:p>
    <w:p w14:paraId="53FFE377" w14:textId="77777777" w:rsidR="006A5C13" w:rsidRPr="006A5C13" w:rsidRDefault="006A5C13" w:rsidP="00F84367">
      <w:pPr>
        <w:pStyle w:val="SingleTxtG"/>
        <w:rPr>
          <w:rFonts w:eastAsia="SimSun"/>
          <w:lang w:eastAsia="en-US"/>
        </w:rPr>
      </w:pPr>
      <w:r w:rsidRPr="006A5C13">
        <w:rPr>
          <w:lang w:val="en-US" w:eastAsia="en-US"/>
        </w:rPr>
        <w:t>46.</w:t>
      </w:r>
      <w:r w:rsidRPr="006A5C13">
        <w:rPr>
          <w:lang w:eastAsia="en-US"/>
        </w:rPr>
        <w:tab/>
      </w:r>
      <w:r w:rsidRPr="006A5C13">
        <w:rPr>
          <w:lang w:val="en-US" w:eastAsia="en-US"/>
        </w:rPr>
        <w:t xml:space="preserve">At its fifty-sixth session, the Committee opened, after six years of monitoring of the revision by Belarus of its legislation, a </w:t>
      </w:r>
      <w:proofErr w:type="gramStart"/>
      <w:r w:rsidRPr="006A5C13">
        <w:rPr>
          <w:lang w:val="en-US" w:eastAsia="en-US"/>
        </w:rPr>
        <w:t>Committee</w:t>
      </w:r>
      <w:proofErr w:type="gramEnd"/>
      <w:r w:rsidRPr="006A5C13">
        <w:rPr>
          <w:lang w:val="en-US" w:eastAsia="en-US"/>
        </w:rPr>
        <w:t xml:space="preserve"> initiative, based on a profound suspicion of non-compliance by Belarus with its obligations under the Convention. In its findings and recommendations</w:t>
      </w:r>
      <w:r w:rsidRPr="006A5C13">
        <w:rPr>
          <w:sz w:val="18"/>
          <w:vertAlign w:val="superscript"/>
          <w:lang w:val="en-US" w:eastAsia="en-US"/>
        </w:rPr>
        <w:footnoteReference w:id="41"/>
      </w:r>
      <w:r w:rsidRPr="006A5C13">
        <w:rPr>
          <w:lang w:val="en-US" w:eastAsia="en-US"/>
        </w:rPr>
        <w:t xml:space="preserve"> and draft decision IX/4f</w:t>
      </w:r>
      <w:r w:rsidRPr="006A5C13">
        <w:rPr>
          <w:sz w:val="18"/>
          <w:vertAlign w:val="superscript"/>
          <w:lang w:val="en-US" w:eastAsia="en-US"/>
        </w:rPr>
        <w:footnoteReference w:id="42"/>
      </w:r>
      <w:r w:rsidRPr="006A5C13">
        <w:rPr>
          <w:lang w:val="en-US" w:eastAsia="en-US"/>
        </w:rPr>
        <w:t xml:space="preserve"> the Committee recommended that the Meeting of the Parties welcome the improvement by Belarus of its national legislation through the adoption in July 2023 of the Law, but express regret that not all deficiencies of the previous legislation had been addressed.</w:t>
      </w:r>
    </w:p>
    <w:p w14:paraId="4110B6CB" w14:textId="0747BCF7" w:rsidR="006A5C13" w:rsidRPr="006A5C13" w:rsidRDefault="00F84367" w:rsidP="00F84367">
      <w:pPr>
        <w:pStyle w:val="H23G"/>
        <w:rPr>
          <w:lang w:eastAsia="en-US"/>
        </w:rPr>
      </w:pPr>
      <w:r>
        <w:rPr>
          <w:lang w:eastAsia="en-US"/>
        </w:rPr>
        <w:tab/>
      </w:r>
      <w:r>
        <w:rPr>
          <w:lang w:eastAsia="en-US"/>
        </w:rPr>
        <w:tab/>
      </w:r>
      <w:r w:rsidR="006A5C13" w:rsidRPr="006A5C13">
        <w:rPr>
          <w:lang w:eastAsia="en-US"/>
        </w:rPr>
        <w:t xml:space="preserve">Lifetime extensions of nuclear power plants by Belgium, </w:t>
      </w:r>
      <w:proofErr w:type="gramStart"/>
      <w:r w:rsidR="006A5C13" w:rsidRPr="006A5C13">
        <w:rPr>
          <w:lang w:eastAsia="en-US"/>
        </w:rPr>
        <w:t>Bulgaria</w:t>
      </w:r>
      <w:proofErr w:type="gramEnd"/>
      <w:r w:rsidR="006A5C13" w:rsidRPr="006A5C13">
        <w:rPr>
          <w:lang w:eastAsia="en-US"/>
        </w:rPr>
        <w:t xml:space="preserve"> and Czechia</w:t>
      </w:r>
    </w:p>
    <w:p w14:paraId="39416BD4" w14:textId="77BC2419" w:rsidR="006A5C13" w:rsidRPr="006A5C13" w:rsidRDefault="00F84367" w:rsidP="00F84367">
      <w:pPr>
        <w:pStyle w:val="H4G"/>
        <w:rPr>
          <w:lang w:val="fr-CH" w:eastAsia="en-US"/>
        </w:rPr>
      </w:pPr>
      <w:r w:rsidRPr="00825045">
        <w:rPr>
          <w:lang w:eastAsia="en-US"/>
        </w:rPr>
        <w:tab/>
      </w:r>
      <w:r w:rsidRPr="00825045">
        <w:rPr>
          <w:lang w:eastAsia="en-US"/>
        </w:rPr>
        <w:tab/>
      </w:r>
      <w:r w:rsidR="006A5C13" w:rsidRPr="006A5C13">
        <w:rPr>
          <w:lang w:val="fr-CH" w:eastAsia="en-US"/>
        </w:rPr>
        <w:t>EIA/IC/CI/9, EIA/IC/CI/8 and EIA/IC/CI/10</w:t>
      </w:r>
    </w:p>
    <w:p w14:paraId="1DD274F1" w14:textId="77777777" w:rsidR="006A5C13" w:rsidRPr="006A5C13" w:rsidRDefault="006A5C13" w:rsidP="00F84367">
      <w:pPr>
        <w:pStyle w:val="SingleTxtG"/>
        <w:rPr>
          <w:sz w:val="18"/>
          <w:vertAlign w:val="superscript"/>
          <w:lang w:eastAsia="en-US"/>
        </w:rPr>
      </w:pPr>
      <w:r w:rsidRPr="006A5C13">
        <w:rPr>
          <w:lang w:eastAsia="en-US"/>
        </w:rPr>
        <w:t>47.</w:t>
      </w:r>
      <w:r w:rsidRPr="006A5C13">
        <w:rPr>
          <w:lang w:eastAsia="en-US"/>
        </w:rPr>
        <w:tab/>
        <w:t xml:space="preserve">During the intersessional period, the Committee continued the consideration of lifetime extensions of nuclear power plants that it had put on hold during the preparations of the </w:t>
      </w:r>
      <w:r w:rsidRPr="006A5C13">
        <w:rPr>
          <w:i/>
          <w:iCs/>
          <w:lang w:eastAsia="en-US"/>
        </w:rPr>
        <w:t>Guidance on the Applicability of the Convention to the Lifetime Extension of Nuclear Power Plants</w:t>
      </w:r>
      <w:r w:rsidRPr="006A5C13">
        <w:rPr>
          <w:lang w:eastAsia="en-US"/>
        </w:rPr>
        <w:t xml:space="preserve"> (the Guidance)</w:t>
      </w:r>
      <w:r w:rsidRPr="006A5C13">
        <w:rPr>
          <w:sz w:val="18"/>
          <w:vertAlign w:val="superscript"/>
          <w:lang w:eastAsia="en-US"/>
        </w:rPr>
        <w:footnoteReference w:id="43"/>
      </w:r>
      <w:r w:rsidRPr="006A5C13">
        <w:rPr>
          <w:lang w:eastAsia="en-US"/>
        </w:rPr>
        <w:t xml:space="preserve"> that the Meeting of the Parties to the Convention adopted at </w:t>
      </w:r>
      <w:r w:rsidRPr="006A5C13">
        <w:rPr>
          <w:lang w:eastAsia="en-US"/>
        </w:rPr>
        <w:lastRenderedPageBreak/>
        <w:t xml:space="preserve">its eighth session through decision VIII/6 (ECE/MP.EIA/30/Add.2–ECE/MP.EIA/SEA/13/Add.2). </w:t>
      </w:r>
    </w:p>
    <w:p w14:paraId="2DDCFB9F" w14:textId="77777777" w:rsidR="006A5C13" w:rsidRPr="006A5C13" w:rsidRDefault="006A5C13" w:rsidP="00F84367">
      <w:pPr>
        <w:pStyle w:val="SingleTxtG"/>
        <w:rPr>
          <w:rFonts w:eastAsia="SimSun"/>
          <w:lang w:eastAsia="en-US"/>
        </w:rPr>
      </w:pPr>
      <w:r w:rsidRPr="006A5C13">
        <w:rPr>
          <w:lang w:eastAsia="en-US"/>
        </w:rPr>
        <w:t>48.</w:t>
      </w:r>
      <w:r w:rsidRPr="006A5C13">
        <w:rPr>
          <w:lang w:eastAsia="en-US"/>
        </w:rPr>
        <w:tab/>
        <w:t xml:space="preserve">While several Parties of origin contested the Guidance’s applicability to proposed activities </w:t>
      </w:r>
      <w:r w:rsidRPr="006A5C13">
        <w:rPr>
          <w:rFonts w:eastAsia="SimSun"/>
          <w:lang w:eastAsia="en-US"/>
        </w:rPr>
        <w:t>before its endorsement in 2020, the Committee stressed that the Guidance only interprets the Convention to support its practical application. It neither imposes new obligations on the Parties, nor expands the application of the Convention’s articles. As recommended by the Meeting of the Parties at its eighth session, the Committee considers the Guidance when performing its functions.</w:t>
      </w:r>
      <w:r w:rsidRPr="006A5C13">
        <w:rPr>
          <w:rFonts w:eastAsia="SimSun"/>
          <w:sz w:val="18"/>
          <w:szCs w:val="18"/>
          <w:vertAlign w:val="superscript"/>
          <w:lang w:eastAsia="en-US"/>
        </w:rPr>
        <w:footnoteReference w:id="44"/>
      </w:r>
      <w:r w:rsidRPr="006A5C13">
        <w:rPr>
          <w:rFonts w:eastAsia="SimSun"/>
          <w:lang w:eastAsia="en-US"/>
        </w:rPr>
        <w:t xml:space="preserve">  It does so with a view to ensuring consistent interpretation of the Convention regarding new and pending lifetime extension cases. Therefore, the Committee also considers the Guidance in proceedings already under its review prior to the Guidance’s endorsement.</w:t>
      </w:r>
    </w:p>
    <w:p w14:paraId="54A480BF" w14:textId="2B16E559" w:rsidR="006A5C13" w:rsidRPr="006A5C13" w:rsidRDefault="00F84367" w:rsidP="00F84367">
      <w:pPr>
        <w:pStyle w:val="H23G"/>
        <w:rPr>
          <w:lang w:eastAsia="en-US"/>
        </w:rPr>
      </w:pPr>
      <w:bookmarkStart w:id="42" w:name="_Toc147827452"/>
      <w:bookmarkStart w:id="43" w:name="_Toc1568260341"/>
      <w:r>
        <w:rPr>
          <w:lang w:eastAsia="en-US"/>
        </w:rPr>
        <w:tab/>
      </w:r>
      <w:r w:rsidR="006A5C13" w:rsidRPr="006A5C13">
        <w:rPr>
          <w:lang w:eastAsia="en-US"/>
        </w:rPr>
        <w:t>2.</w:t>
      </w:r>
      <w:r w:rsidR="006A5C13" w:rsidRPr="006A5C13">
        <w:rPr>
          <w:lang w:eastAsia="en-US"/>
        </w:rPr>
        <w:tab/>
        <w:t>Belgium</w:t>
      </w:r>
      <w:bookmarkEnd w:id="42"/>
      <w:bookmarkEnd w:id="43"/>
    </w:p>
    <w:p w14:paraId="45EC0E95" w14:textId="05CC8390" w:rsidR="006A5C13" w:rsidRPr="006A5C13" w:rsidRDefault="00F84367" w:rsidP="00F84367">
      <w:pPr>
        <w:pStyle w:val="H4G"/>
        <w:rPr>
          <w:lang w:eastAsia="en-US"/>
        </w:rPr>
      </w:pPr>
      <w:r>
        <w:rPr>
          <w:lang w:eastAsia="en-US"/>
        </w:rPr>
        <w:tab/>
      </w:r>
      <w:r>
        <w:rPr>
          <w:lang w:eastAsia="en-US"/>
        </w:rPr>
        <w:tab/>
      </w:r>
      <w:r w:rsidR="006A5C13" w:rsidRPr="006A5C13">
        <w:rPr>
          <w:lang w:eastAsia="en-US"/>
        </w:rPr>
        <w:t>EIA/IC/CI/9</w:t>
      </w:r>
    </w:p>
    <w:p w14:paraId="0BF832E3" w14:textId="62FEA978" w:rsidR="006A5C13" w:rsidRPr="006A5C13" w:rsidRDefault="006A5C13" w:rsidP="006B61C1">
      <w:pPr>
        <w:pStyle w:val="SingleTxtG"/>
        <w:rPr>
          <w:rFonts w:eastAsia="SimSun"/>
          <w:lang w:eastAsia="en-US"/>
        </w:rPr>
      </w:pPr>
      <w:r w:rsidRPr="006A5C13">
        <w:rPr>
          <w:rFonts w:eastAsia="SimSun"/>
          <w:lang w:eastAsia="en-US"/>
        </w:rPr>
        <w:t>49.</w:t>
      </w:r>
      <w:r w:rsidRPr="006A5C13">
        <w:rPr>
          <w:lang w:eastAsia="en-US"/>
        </w:rPr>
        <w:tab/>
      </w:r>
      <w:r w:rsidRPr="006A5C13">
        <w:rPr>
          <w:rFonts w:eastAsia="SimSun"/>
          <w:lang w:eastAsia="en-US"/>
        </w:rPr>
        <w:t>On 14 March 2016, the Committee received information from the German Federal States of North Rhine-</w:t>
      </w:r>
      <w:proofErr w:type="spellStart"/>
      <w:r w:rsidRPr="006A5C13">
        <w:rPr>
          <w:rFonts w:eastAsia="SimSun"/>
          <w:lang w:eastAsia="en-US"/>
        </w:rPr>
        <w:t>Westfalia</w:t>
      </w:r>
      <w:proofErr w:type="spellEnd"/>
      <w:r w:rsidRPr="006A5C13">
        <w:rPr>
          <w:rFonts w:eastAsia="SimSun"/>
          <w:lang w:eastAsia="en-US"/>
        </w:rPr>
        <w:t xml:space="preserve"> and Rhineland-Palatinate expressing concerns about compliance by Belgium with its obligations under the Convention regarding the lifetime extensions of units 1 and 2 of Doel nuclear power plant and unit 1 of Tihange nuclear power plant.</w:t>
      </w:r>
      <w:r w:rsidRPr="006A5C13">
        <w:rPr>
          <w:rFonts w:eastAsia="SimSun"/>
          <w:sz w:val="18"/>
          <w:szCs w:val="18"/>
          <w:vertAlign w:val="superscript"/>
          <w:lang w:eastAsia="en-US"/>
        </w:rPr>
        <w:footnoteReference w:id="45"/>
      </w:r>
      <w:r w:rsidRPr="006A5C13">
        <w:rPr>
          <w:rFonts w:eastAsia="SimSun"/>
          <w:lang w:eastAsia="en-US"/>
        </w:rPr>
        <w:t xml:space="preserve"> The German Federal States alleged that Belgium had failed to comply with articles 1–7 of the Convention by not conducting an environmental impact assessment procedure prior to authorizing the extension of the lifetime of the nuclear power plant units.</w:t>
      </w:r>
    </w:p>
    <w:p w14:paraId="4BC4F040" w14:textId="5EB84A51" w:rsidR="006A5C13" w:rsidRPr="006A5C13" w:rsidRDefault="006A5C13" w:rsidP="006B61C1">
      <w:pPr>
        <w:pStyle w:val="SingleTxtG"/>
        <w:rPr>
          <w:rFonts w:eastAsia="SimSun"/>
          <w:lang w:eastAsia="en-US"/>
        </w:rPr>
      </w:pPr>
      <w:r w:rsidRPr="006A5C13">
        <w:rPr>
          <w:rFonts w:eastAsia="SimSun"/>
          <w:lang w:eastAsia="en-US"/>
        </w:rPr>
        <w:t>50.</w:t>
      </w:r>
      <w:r w:rsidRPr="006A5C13">
        <w:rPr>
          <w:lang w:eastAsia="en-US"/>
        </w:rPr>
        <w:tab/>
      </w:r>
      <w:r w:rsidRPr="006A5C13">
        <w:rPr>
          <w:rFonts w:eastAsia="SimSun"/>
          <w:lang w:eastAsia="en-US"/>
        </w:rPr>
        <w:t>Between 2016 and 2017, the Committee gathered information from Belgium, Germany, the two German Federal States, and from a German NGO. Following a request by Belgium in 2017 to await the outcome of the legal proceedings before the Court of Justice of the European Union</w:t>
      </w:r>
      <w:r w:rsidRPr="006A5C13">
        <w:rPr>
          <w:rFonts w:eastAsia="SimSun"/>
          <w:sz w:val="18"/>
          <w:vertAlign w:val="superscript"/>
          <w:lang w:eastAsia="en-US"/>
        </w:rPr>
        <w:footnoteReference w:id="46"/>
      </w:r>
      <w:r w:rsidRPr="006A5C13">
        <w:rPr>
          <w:rFonts w:eastAsia="SimSun"/>
          <w:lang w:eastAsia="en-US"/>
        </w:rPr>
        <w:t xml:space="preserve"> and the Constitutional Court of Belgium concerning Doel nuclear power plant, and due to the then-ongoing preparation of the Guidance, the Committee did not consider the matter further before its fiftieth session (Geneva, 4–7 May 2021).</w:t>
      </w:r>
    </w:p>
    <w:p w14:paraId="5D41B385" w14:textId="5F07EA94" w:rsidR="006A5C13" w:rsidRPr="006A5C13" w:rsidRDefault="006A5C13" w:rsidP="006B61C1">
      <w:pPr>
        <w:pStyle w:val="SingleTxtG"/>
        <w:rPr>
          <w:rFonts w:eastAsia="SimSun"/>
          <w:lang w:eastAsia="en-US"/>
        </w:rPr>
      </w:pPr>
      <w:r w:rsidRPr="006A5C13">
        <w:rPr>
          <w:rFonts w:eastAsia="SimSun"/>
          <w:lang w:eastAsia="en-US"/>
        </w:rPr>
        <w:t>51.</w:t>
      </w:r>
      <w:r w:rsidRPr="006A5C13">
        <w:rPr>
          <w:lang w:eastAsia="en-US"/>
        </w:rPr>
        <w:tab/>
      </w:r>
      <w:r w:rsidRPr="006A5C13">
        <w:rPr>
          <w:rFonts w:eastAsia="SimSun"/>
          <w:lang w:eastAsia="en-US"/>
        </w:rPr>
        <w:t>Further to the decision of the Constitutional Court of Belgium of 5 March 2020, Belgium initiated a transboundary procedure under the Convention regarding units 1 and 2 of Doel nuclear power plant with all Parties who had expressed their interest. The Committee therefore closed the consideration of the matter regarding those two units. It also noted that Belgium had taken no steps to initiate a transboundary procedure regarding unit 1 of Tihange nuclear power plant.</w:t>
      </w:r>
    </w:p>
    <w:p w14:paraId="3C90E137" w14:textId="4DBF11D9" w:rsidR="006A5C13" w:rsidRPr="006A5C13" w:rsidRDefault="006A5C13" w:rsidP="006B61C1">
      <w:pPr>
        <w:pStyle w:val="SingleTxtG"/>
        <w:rPr>
          <w:rFonts w:eastAsia="SimSun"/>
          <w:lang w:eastAsia="en-US"/>
        </w:rPr>
      </w:pPr>
      <w:r w:rsidRPr="006A5C13">
        <w:rPr>
          <w:rFonts w:eastAsia="SimSun"/>
          <w:lang w:eastAsia="en-US"/>
        </w:rPr>
        <w:t>52.</w:t>
      </w:r>
      <w:r w:rsidRPr="006A5C13">
        <w:rPr>
          <w:lang w:eastAsia="en-US"/>
        </w:rPr>
        <w:tab/>
      </w:r>
      <w:r w:rsidRPr="006A5C13">
        <w:rPr>
          <w:rFonts w:eastAsia="SimSun"/>
          <w:lang w:eastAsia="en-US"/>
        </w:rPr>
        <w:t>At its fifty-second session, the Committee opened a Committee initiative regarding unit 1 of Tihange nuclear power plant,</w:t>
      </w:r>
      <w:r w:rsidRPr="006A5C13">
        <w:rPr>
          <w:rFonts w:eastAsia="SimSun"/>
          <w:sz w:val="18"/>
          <w:vertAlign w:val="superscript"/>
          <w:lang w:eastAsia="en-US"/>
        </w:rPr>
        <w:footnoteReference w:id="47"/>
      </w:r>
      <w:r w:rsidRPr="006A5C13">
        <w:rPr>
          <w:rFonts w:eastAsia="SimSun"/>
          <w:lang w:eastAsia="en-US"/>
        </w:rPr>
        <w:t xml:space="preserve"> </w:t>
      </w:r>
      <w:r w:rsidRPr="006A5C13">
        <w:rPr>
          <w:lang w:eastAsia="en-US"/>
        </w:rPr>
        <w:t>and conducted hearings with the concerned Parties at its fifty-fourth session</w:t>
      </w:r>
      <w:r w:rsidRPr="006A5C13">
        <w:rPr>
          <w:rFonts w:eastAsia="SimSun"/>
          <w:lang w:eastAsia="en-US"/>
        </w:rPr>
        <w:t>.</w:t>
      </w:r>
      <w:r w:rsidRPr="006A5C13">
        <w:rPr>
          <w:rFonts w:eastAsia="SimSun"/>
          <w:sz w:val="18"/>
          <w:vertAlign w:val="superscript"/>
          <w:lang w:eastAsia="en-US"/>
        </w:rPr>
        <w:footnoteReference w:id="48"/>
      </w:r>
    </w:p>
    <w:p w14:paraId="1D1CC40A" w14:textId="361C82C1" w:rsidR="006A5C13" w:rsidRPr="006A5C13" w:rsidRDefault="006A5C13" w:rsidP="006B61C1">
      <w:pPr>
        <w:pStyle w:val="SingleTxtG"/>
        <w:rPr>
          <w:rFonts w:eastAsia="SimSun"/>
          <w:lang w:eastAsia="en-US"/>
        </w:rPr>
      </w:pPr>
      <w:r w:rsidRPr="006A5C13">
        <w:rPr>
          <w:rFonts w:eastAsia="SimSun"/>
          <w:lang w:eastAsia="en-US"/>
        </w:rPr>
        <w:t>53.</w:t>
      </w:r>
      <w:r w:rsidRPr="006A5C13">
        <w:rPr>
          <w:lang w:eastAsia="en-US"/>
        </w:rPr>
        <w:tab/>
      </w:r>
      <w:r w:rsidRPr="006A5C13">
        <w:rPr>
          <w:rFonts w:eastAsia="SimSun"/>
          <w:lang w:eastAsia="en-US"/>
        </w:rPr>
        <w:t xml:space="preserve">When examining the relevant provisions of the Convention in articles 2 (3) and 3 (1) and their application, the Committee considered the Guidance (see para. 48 above).  </w:t>
      </w:r>
    </w:p>
    <w:p w14:paraId="6D575052" w14:textId="7ED1068B" w:rsidR="006041D9" w:rsidRDefault="006A5C13" w:rsidP="006B61C1">
      <w:pPr>
        <w:pStyle w:val="SingleTxtG"/>
        <w:rPr>
          <w:lang w:eastAsia="en-US"/>
        </w:rPr>
      </w:pPr>
      <w:r w:rsidRPr="006A5C13">
        <w:rPr>
          <w:rFonts w:eastAsia="SimSun"/>
          <w:lang w:eastAsia="en-US"/>
        </w:rPr>
        <w:t>54.</w:t>
      </w:r>
      <w:r w:rsidRPr="006A5C13">
        <w:rPr>
          <w:lang w:eastAsia="en-US"/>
        </w:rPr>
        <w:tab/>
      </w:r>
      <w:r w:rsidRPr="006A5C13">
        <w:rPr>
          <w:rFonts w:eastAsia="SimSun"/>
          <w:lang w:eastAsia="en-US"/>
        </w:rPr>
        <w:t xml:space="preserve">The Committee found </w:t>
      </w:r>
      <w:r w:rsidRPr="006A5C13">
        <w:rPr>
          <w:rFonts w:eastAsia="SimSun"/>
          <w:lang w:val="en-US" w:eastAsia="en-US"/>
        </w:rPr>
        <w:t>that the implementation of several measures included in the 2012 long-term operation action plan amounted to a major change to an activity listed in appendix I to the Convention.</w:t>
      </w:r>
      <w:r w:rsidRPr="006A5C13">
        <w:rPr>
          <w:rFonts w:eastAsia="SimSun"/>
          <w:sz w:val="18"/>
          <w:vertAlign w:val="superscript"/>
          <w:lang w:val="en-US" w:eastAsia="en-US"/>
        </w:rPr>
        <w:footnoteReference w:id="49"/>
      </w:r>
      <w:r w:rsidRPr="006A5C13">
        <w:rPr>
          <w:rFonts w:eastAsia="SimSun"/>
          <w:lang w:val="en-US" w:eastAsia="en-US"/>
        </w:rPr>
        <w:t xml:space="preserve"> </w:t>
      </w:r>
      <w:r w:rsidRPr="006A5C13">
        <w:rPr>
          <w:rFonts w:eastAsia="SimSun"/>
          <w:color w:val="000000"/>
          <w:lang w:val="en-US" w:eastAsia="en-US"/>
        </w:rPr>
        <w:t xml:space="preserve">It </w:t>
      </w:r>
      <w:r w:rsidRPr="006A5C13">
        <w:rPr>
          <w:rFonts w:eastAsia="SimSun"/>
          <w:lang w:val="en-US" w:eastAsia="en-US"/>
        </w:rPr>
        <w:t xml:space="preserve">found that </w:t>
      </w:r>
      <w:r w:rsidRPr="006A5C13">
        <w:rPr>
          <w:rFonts w:eastAsia="SimSun"/>
          <w:lang w:eastAsia="en-US"/>
        </w:rPr>
        <w:t>the activity was a lifetime extension, falling under the specific situations in chapter II, section C, of the Guidance.</w:t>
      </w:r>
      <w:r w:rsidRPr="006A5C13">
        <w:rPr>
          <w:rFonts w:eastAsia="SimSun"/>
          <w:sz w:val="18"/>
          <w:vertAlign w:val="superscript"/>
          <w:lang w:eastAsia="en-US"/>
        </w:rPr>
        <w:footnoteReference w:id="50"/>
      </w:r>
      <w:r w:rsidRPr="006A5C13">
        <w:rPr>
          <w:rFonts w:eastAsia="SimSun"/>
          <w:lang w:eastAsia="en-US"/>
        </w:rPr>
        <w:t xml:space="preserve"> It also found that </w:t>
      </w:r>
      <w:r w:rsidRPr="006A5C13">
        <w:rPr>
          <w:rFonts w:eastAsia="SimSun"/>
          <w:lang w:val="en-US" w:eastAsia="en-US"/>
        </w:rPr>
        <w:t>Belgium did not assess all significant adverse transboundary impacts of operational states and accidents of the continued operation beyond 2015.</w:t>
      </w:r>
      <w:r w:rsidRPr="006A5C13">
        <w:rPr>
          <w:rFonts w:eastAsia="SimSun"/>
          <w:sz w:val="18"/>
          <w:vertAlign w:val="superscript"/>
          <w:lang w:val="en-US" w:eastAsia="en-US"/>
        </w:rPr>
        <w:footnoteReference w:id="51"/>
      </w:r>
      <w:r w:rsidRPr="006A5C13">
        <w:rPr>
          <w:rFonts w:eastAsia="SimSun"/>
          <w:lang w:val="en-US" w:eastAsia="en-US"/>
        </w:rPr>
        <w:t xml:space="preserve"> </w:t>
      </w:r>
      <w:r w:rsidRPr="006A5C13">
        <w:rPr>
          <w:lang w:eastAsia="en-US"/>
        </w:rPr>
        <w:t xml:space="preserve">The Committee found that Belgium </w:t>
      </w:r>
      <w:r w:rsidRPr="006A5C13">
        <w:rPr>
          <w:lang w:eastAsia="en-US"/>
        </w:rPr>
        <w:lastRenderedPageBreak/>
        <w:t>was in non-compliance with articles 2 (3) and 3 (1) of the Convention by extending the lifetime of unit 1 of Tihange nuclear power plant and preparing the unit for long-term operation without applying the Convention.</w:t>
      </w:r>
    </w:p>
    <w:p w14:paraId="6BE0A82F" w14:textId="77777777" w:rsidR="00860E68" w:rsidRPr="00860E68" w:rsidRDefault="00860E68" w:rsidP="006B61C1">
      <w:pPr>
        <w:pStyle w:val="SingleTxtG"/>
        <w:rPr>
          <w:rFonts w:eastAsia="SimSun"/>
          <w:lang w:eastAsia="en-US"/>
        </w:rPr>
      </w:pPr>
      <w:r w:rsidRPr="00860E68">
        <w:rPr>
          <w:lang w:eastAsia="en-US"/>
        </w:rPr>
        <w:t>55.</w:t>
      </w:r>
      <w:r w:rsidRPr="00860E68">
        <w:rPr>
          <w:lang w:eastAsia="en-US"/>
        </w:rPr>
        <w:tab/>
        <w:t>The Committee welcomed the fact that Belgium had committed itself to notifying possibly affected Parties in accordance with article 3 (1) ahead of any future lifetime extension of other units of Tihange nuclear power plant. It recommended in draft decision IX/4g</w:t>
      </w:r>
      <w:r w:rsidRPr="00860E68">
        <w:rPr>
          <w:sz w:val="18"/>
          <w:vertAlign w:val="superscript"/>
          <w:lang w:eastAsia="en-US"/>
        </w:rPr>
        <w:footnoteReference w:id="52"/>
      </w:r>
      <w:r w:rsidRPr="00860E68">
        <w:rPr>
          <w:lang w:eastAsia="en-US"/>
        </w:rPr>
        <w:t xml:space="preserve"> that the Meeting of the Parties endorse the Committee’s findings (see para. 54 above) and request Belgium to fully apply the Convention in the context of</w:t>
      </w:r>
      <w:r w:rsidRPr="00860E68">
        <w:rPr>
          <w:lang w:val="en-US" w:eastAsia="en-US"/>
        </w:rPr>
        <w:t xml:space="preserve"> any future decision-making regarding Tihange nuclear power plant.</w:t>
      </w:r>
    </w:p>
    <w:p w14:paraId="4F2BC20B" w14:textId="0632C9E3" w:rsidR="00860E68" w:rsidRPr="00860E68" w:rsidRDefault="006B61C1" w:rsidP="006B61C1">
      <w:pPr>
        <w:pStyle w:val="H23G"/>
        <w:rPr>
          <w:rFonts w:eastAsia="SimSun"/>
          <w:lang w:eastAsia="en-US"/>
        </w:rPr>
      </w:pPr>
      <w:bookmarkStart w:id="44" w:name="_Toc147827453"/>
      <w:bookmarkStart w:id="45" w:name="_Toc1913208390"/>
      <w:r>
        <w:rPr>
          <w:rFonts w:eastAsia="SimSun"/>
          <w:lang w:eastAsia="en-US"/>
        </w:rPr>
        <w:tab/>
      </w:r>
      <w:r w:rsidR="00860E68" w:rsidRPr="00860E68">
        <w:rPr>
          <w:rFonts w:eastAsia="SimSun"/>
          <w:lang w:eastAsia="en-US"/>
        </w:rPr>
        <w:t>3.</w:t>
      </w:r>
      <w:r w:rsidR="00860E68" w:rsidRPr="00860E68">
        <w:rPr>
          <w:lang w:eastAsia="en-US"/>
        </w:rPr>
        <w:tab/>
      </w:r>
      <w:r w:rsidR="00860E68" w:rsidRPr="00860E68">
        <w:rPr>
          <w:rFonts w:eastAsia="SimSun"/>
          <w:lang w:eastAsia="en-US"/>
        </w:rPr>
        <w:t>Bulgaria</w:t>
      </w:r>
      <w:bookmarkEnd w:id="44"/>
      <w:bookmarkEnd w:id="45"/>
    </w:p>
    <w:p w14:paraId="5CC00632" w14:textId="304E429F" w:rsidR="00860E68" w:rsidRPr="00860E68" w:rsidRDefault="006B61C1" w:rsidP="006B61C1">
      <w:pPr>
        <w:pStyle w:val="H4G"/>
        <w:rPr>
          <w:lang w:eastAsia="en-US"/>
        </w:rPr>
      </w:pPr>
      <w:r>
        <w:rPr>
          <w:lang w:eastAsia="en-US"/>
        </w:rPr>
        <w:tab/>
      </w:r>
      <w:r>
        <w:rPr>
          <w:lang w:eastAsia="en-US"/>
        </w:rPr>
        <w:tab/>
      </w:r>
      <w:r w:rsidR="00860E68" w:rsidRPr="00860E68">
        <w:rPr>
          <w:lang w:eastAsia="en-US"/>
        </w:rPr>
        <w:t>EIA/IC/CI/8</w:t>
      </w:r>
    </w:p>
    <w:p w14:paraId="4DBAA313" w14:textId="455E947E" w:rsidR="00860E68" w:rsidRPr="00860E68" w:rsidRDefault="00860E68" w:rsidP="006B61C1">
      <w:pPr>
        <w:pStyle w:val="SingleTxtG"/>
        <w:rPr>
          <w:rFonts w:eastAsia="SimSun"/>
          <w:lang w:eastAsia="en-US"/>
        </w:rPr>
      </w:pPr>
      <w:r w:rsidRPr="00860E68">
        <w:rPr>
          <w:rFonts w:eastAsia="SimSun"/>
          <w:lang w:eastAsia="en-US"/>
        </w:rPr>
        <w:t>56.</w:t>
      </w:r>
      <w:r w:rsidRPr="00860E68">
        <w:rPr>
          <w:lang w:eastAsia="en-US"/>
        </w:rPr>
        <w:tab/>
      </w:r>
      <w:r w:rsidRPr="00860E68">
        <w:rPr>
          <w:rFonts w:eastAsia="SimSun"/>
          <w:lang w:eastAsia="en-US"/>
        </w:rPr>
        <w:t xml:space="preserve">On 13 March 2018, the Committee received information from the Romanian NGO </w:t>
      </w:r>
      <w:proofErr w:type="spellStart"/>
      <w:r w:rsidRPr="00860E68">
        <w:rPr>
          <w:rFonts w:eastAsia="SimSun"/>
          <w:lang w:eastAsia="en-US"/>
        </w:rPr>
        <w:t>Actiunea</w:t>
      </w:r>
      <w:proofErr w:type="spellEnd"/>
      <w:r w:rsidRPr="00860E68">
        <w:rPr>
          <w:rFonts w:eastAsia="SimSun"/>
          <w:lang w:eastAsia="en-US"/>
        </w:rPr>
        <w:t xml:space="preserve"> </w:t>
      </w:r>
      <w:proofErr w:type="spellStart"/>
      <w:r w:rsidRPr="00860E68">
        <w:rPr>
          <w:rFonts w:eastAsia="SimSun"/>
          <w:lang w:eastAsia="en-US"/>
        </w:rPr>
        <w:t>pentru</w:t>
      </w:r>
      <w:proofErr w:type="spellEnd"/>
      <w:r w:rsidRPr="00860E68">
        <w:rPr>
          <w:rFonts w:eastAsia="SimSun"/>
          <w:lang w:eastAsia="en-US"/>
        </w:rPr>
        <w:t xml:space="preserve"> </w:t>
      </w:r>
      <w:proofErr w:type="spellStart"/>
      <w:r w:rsidRPr="00860E68">
        <w:rPr>
          <w:rFonts w:eastAsia="SimSun"/>
          <w:lang w:eastAsia="en-US"/>
        </w:rPr>
        <w:t>Renasterea</w:t>
      </w:r>
      <w:proofErr w:type="spellEnd"/>
      <w:r w:rsidRPr="00860E68">
        <w:rPr>
          <w:rFonts w:eastAsia="SimSun"/>
          <w:lang w:eastAsia="en-US"/>
        </w:rPr>
        <w:t xml:space="preserve"> </w:t>
      </w:r>
      <w:proofErr w:type="spellStart"/>
      <w:r w:rsidRPr="00860E68">
        <w:rPr>
          <w:rFonts w:eastAsia="SimSun"/>
          <w:lang w:eastAsia="en-US"/>
        </w:rPr>
        <w:t>Craiovei</w:t>
      </w:r>
      <w:proofErr w:type="spellEnd"/>
      <w:r w:rsidRPr="00860E68">
        <w:rPr>
          <w:rFonts w:eastAsia="SimSun"/>
          <w:lang w:eastAsia="en-US"/>
        </w:rPr>
        <w:t xml:space="preserve"> claiming non-compliance by Bulgaria with its obligations under the Convention regarding the lifetime extension</w:t>
      </w:r>
      <w:r w:rsidRPr="00860E68">
        <w:rPr>
          <w:rFonts w:eastAsia="SimSun"/>
          <w:sz w:val="18"/>
          <w:szCs w:val="18"/>
          <w:vertAlign w:val="superscript"/>
          <w:lang w:eastAsia="en-US"/>
        </w:rPr>
        <w:t xml:space="preserve"> </w:t>
      </w:r>
      <w:r w:rsidRPr="00860E68">
        <w:rPr>
          <w:rFonts w:eastAsia="SimSun"/>
          <w:lang w:eastAsia="en-US"/>
        </w:rPr>
        <w:t>of units 5 and 6 of Kozloduy nuclear power plant by not having undertaken a transboundary environmental impact assessment procedure regarding the decision-making on the planned extension of the two units. Bulgaria, for its part, asserted that the Convention did not apply to the extension of the lifetime of nuclear power plants, as such an extension did not qualify as a “new activity” or as a “major change” within the meaning of article 1 (v) of the Convention and was not expressly listed in appendix I thereto.</w:t>
      </w:r>
    </w:p>
    <w:p w14:paraId="0C0EF3DC" w14:textId="58739198" w:rsidR="00860E68" w:rsidRPr="00860E68" w:rsidRDefault="00860E68" w:rsidP="006B61C1">
      <w:pPr>
        <w:pStyle w:val="SingleTxtG"/>
        <w:rPr>
          <w:rFonts w:eastAsia="SimSun"/>
          <w:lang w:eastAsia="en-US"/>
        </w:rPr>
      </w:pPr>
      <w:r w:rsidRPr="00860E68">
        <w:rPr>
          <w:rFonts w:eastAsia="SimSun"/>
          <w:lang w:eastAsia="en-US"/>
        </w:rPr>
        <w:t>57.</w:t>
      </w:r>
      <w:r w:rsidRPr="00860E68">
        <w:rPr>
          <w:lang w:eastAsia="en-US"/>
        </w:rPr>
        <w:tab/>
      </w:r>
      <w:r w:rsidRPr="00860E68">
        <w:rPr>
          <w:rFonts w:eastAsia="SimSun"/>
          <w:lang w:eastAsia="en-US"/>
        </w:rPr>
        <w:t xml:space="preserve">Between 2018 and 2020, the Committee gathered information from Bulgaria, the affected Parties Austria, Romania and Serbia, and the NGO. </w:t>
      </w:r>
      <w:r w:rsidRPr="00860E68">
        <w:rPr>
          <w:lang w:eastAsia="en-US"/>
        </w:rPr>
        <w:t xml:space="preserve">The Committee’s work was hindered by the uncooperativeness of Bulgaria </w:t>
      </w:r>
      <w:proofErr w:type="gramStart"/>
      <w:r w:rsidRPr="00860E68">
        <w:rPr>
          <w:lang w:eastAsia="en-US"/>
        </w:rPr>
        <w:t>with regard to</w:t>
      </w:r>
      <w:proofErr w:type="gramEnd"/>
      <w:r w:rsidRPr="00860E68">
        <w:rPr>
          <w:lang w:eastAsia="en-US"/>
        </w:rPr>
        <w:t xml:space="preserve"> providing it with the requested information and documentation.</w:t>
      </w:r>
    </w:p>
    <w:p w14:paraId="34ADFE3D" w14:textId="64A55CAB" w:rsidR="00860E68" w:rsidRPr="00860E68" w:rsidRDefault="00860E68" w:rsidP="006B61C1">
      <w:pPr>
        <w:pStyle w:val="SingleTxtG"/>
        <w:rPr>
          <w:rFonts w:eastAsia="SimSun"/>
          <w:lang w:eastAsia="en-US"/>
        </w:rPr>
      </w:pPr>
      <w:r w:rsidRPr="00860E68">
        <w:rPr>
          <w:rFonts w:eastAsia="SimSun"/>
          <w:lang w:eastAsia="en-US"/>
        </w:rPr>
        <w:t>58.</w:t>
      </w:r>
      <w:r w:rsidRPr="00860E68">
        <w:rPr>
          <w:lang w:eastAsia="en-US"/>
        </w:rPr>
        <w:tab/>
      </w:r>
      <w:r w:rsidRPr="00860E68">
        <w:rPr>
          <w:rFonts w:eastAsia="SimSun"/>
          <w:lang w:eastAsia="en-US"/>
        </w:rPr>
        <w:t>At its fifty-second session, the Committee opened a Committee initiative and conducted</w:t>
      </w:r>
      <w:r w:rsidRPr="00860E68">
        <w:rPr>
          <w:lang w:eastAsia="en-US"/>
        </w:rPr>
        <w:t xml:space="preserve"> hearings with Austria, Bulgaria, </w:t>
      </w:r>
      <w:proofErr w:type="gramStart"/>
      <w:r w:rsidRPr="00860E68">
        <w:rPr>
          <w:lang w:eastAsia="en-US"/>
        </w:rPr>
        <w:t>Romania</w:t>
      </w:r>
      <w:proofErr w:type="gramEnd"/>
      <w:r w:rsidRPr="00860E68">
        <w:rPr>
          <w:lang w:eastAsia="en-US"/>
        </w:rPr>
        <w:t xml:space="preserve"> and Serbia at its fifty-third session (Geneva (online), 10–13 May 2022). </w:t>
      </w:r>
    </w:p>
    <w:p w14:paraId="11FF304C" w14:textId="36E0EDE7" w:rsidR="00860E68" w:rsidRPr="00860E68" w:rsidRDefault="00860E68" w:rsidP="006B61C1">
      <w:pPr>
        <w:pStyle w:val="SingleTxtG"/>
        <w:rPr>
          <w:rFonts w:eastAsia="SimSun"/>
          <w:lang w:eastAsia="en-US"/>
        </w:rPr>
      </w:pPr>
      <w:r w:rsidRPr="00860E68">
        <w:rPr>
          <w:rFonts w:eastAsia="SimSun"/>
          <w:lang w:eastAsia="en-US"/>
        </w:rPr>
        <w:t>59.</w:t>
      </w:r>
      <w:r w:rsidRPr="00860E68">
        <w:rPr>
          <w:lang w:eastAsia="en-US"/>
        </w:rPr>
        <w:tab/>
        <w:t>The Committee found that Bulgaria was in non-compliance with articles 2 (3) and 3 (1) of the Convention by extending the lifetime of units 5 and 6 of Kozloduy nuclear power plant and preparing the units for long-term operation without applying the Convention. It welcomed the fact that Bulgaria had committed itself to notifying Austria, Romania and Serbia ahead of any future lifetime extension for units 5 and 6 of Kozloduy nuclear power plant in accordance with article 3 (1) of the Convention.</w:t>
      </w:r>
      <w:r w:rsidRPr="00860E68">
        <w:rPr>
          <w:rFonts w:eastAsia="SimSun"/>
          <w:sz w:val="18"/>
          <w:vertAlign w:val="superscript"/>
          <w:lang w:eastAsia="en-US"/>
        </w:rPr>
        <w:footnoteReference w:id="53"/>
      </w:r>
      <w:r w:rsidRPr="00860E68">
        <w:rPr>
          <w:lang w:eastAsia="en-US"/>
        </w:rPr>
        <w:t xml:space="preserve">  It recommended in draft decision IX/4h</w:t>
      </w:r>
      <w:r w:rsidRPr="00860E68">
        <w:rPr>
          <w:sz w:val="18"/>
          <w:vertAlign w:val="superscript"/>
          <w:lang w:eastAsia="en-US"/>
        </w:rPr>
        <w:footnoteReference w:id="54"/>
      </w:r>
      <w:r w:rsidRPr="00860E68">
        <w:rPr>
          <w:lang w:eastAsia="en-US"/>
        </w:rPr>
        <w:t xml:space="preserve"> that the Meeting of the Parties endorse the Committee’s findings and request Bulgaria to fully apply the Convention in the context of</w:t>
      </w:r>
      <w:r w:rsidRPr="00860E68">
        <w:rPr>
          <w:lang w:val="en-US" w:eastAsia="en-US"/>
        </w:rPr>
        <w:t xml:space="preserve"> any future decision-making </w:t>
      </w:r>
      <w:r w:rsidRPr="00860E68">
        <w:rPr>
          <w:lang w:eastAsia="en-GB"/>
        </w:rPr>
        <w:t>for activities listed in appendix 1 thereto regarding Kozloduy nuclear power plant.</w:t>
      </w:r>
    </w:p>
    <w:p w14:paraId="5E1E27A1" w14:textId="26B8F5E1" w:rsidR="00860E68" w:rsidRPr="00860E68" w:rsidRDefault="006B61C1" w:rsidP="006B61C1">
      <w:pPr>
        <w:pStyle w:val="H23G"/>
        <w:rPr>
          <w:lang w:eastAsia="en-US"/>
        </w:rPr>
      </w:pPr>
      <w:bookmarkStart w:id="46" w:name="_Toc147827454"/>
      <w:bookmarkStart w:id="47" w:name="_Toc1323436745"/>
      <w:r>
        <w:rPr>
          <w:lang w:eastAsia="en-US"/>
        </w:rPr>
        <w:tab/>
      </w:r>
      <w:r w:rsidR="00860E68" w:rsidRPr="00860E68">
        <w:rPr>
          <w:lang w:eastAsia="en-US"/>
        </w:rPr>
        <w:t>4.</w:t>
      </w:r>
      <w:r w:rsidR="00860E68" w:rsidRPr="00860E68">
        <w:rPr>
          <w:lang w:eastAsia="en-US"/>
        </w:rPr>
        <w:tab/>
        <w:t>Czechia</w:t>
      </w:r>
      <w:bookmarkEnd w:id="46"/>
      <w:bookmarkEnd w:id="47"/>
    </w:p>
    <w:p w14:paraId="45E32A46" w14:textId="7F81403C" w:rsidR="00860E68" w:rsidRPr="00860E68" w:rsidRDefault="006B61C1" w:rsidP="006B61C1">
      <w:pPr>
        <w:pStyle w:val="H4G"/>
        <w:rPr>
          <w:lang w:eastAsia="en-US"/>
        </w:rPr>
      </w:pPr>
      <w:r>
        <w:rPr>
          <w:lang w:eastAsia="en-US"/>
        </w:rPr>
        <w:tab/>
      </w:r>
      <w:r>
        <w:rPr>
          <w:lang w:eastAsia="en-US"/>
        </w:rPr>
        <w:tab/>
      </w:r>
      <w:r w:rsidR="00860E68" w:rsidRPr="00860E68">
        <w:rPr>
          <w:lang w:eastAsia="en-US"/>
        </w:rPr>
        <w:t>EIA/IC/CI/10</w:t>
      </w:r>
    </w:p>
    <w:p w14:paraId="36D990A7" w14:textId="1C8A3250" w:rsidR="00860E68" w:rsidRPr="00860E68" w:rsidRDefault="00860E68" w:rsidP="006B61C1">
      <w:pPr>
        <w:pStyle w:val="SingleTxtG"/>
        <w:rPr>
          <w:lang w:eastAsia="en-US"/>
        </w:rPr>
      </w:pPr>
      <w:r w:rsidRPr="00860E68">
        <w:rPr>
          <w:lang w:eastAsia="en-US"/>
        </w:rPr>
        <w:t>60.</w:t>
      </w:r>
      <w:r w:rsidRPr="00860E68">
        <w:rPr>
          <w:lang w:eastAsia="en-US"/>
        </w:rPr>
        <w:tab/>
        <w:t xml:space="preserve">On 27 July 2016, the Committee received information from four NGOs – </w:t>
      </w:r>
      <w:proofErr w:type="spellStart"/>
      <w:r w:rsidRPr="00860E68">
        <w:rPr>
          <w:lang w:eastAsia="en-US"/>
        </w:rPr>
        <w:t>Oekobuero</w:t>
      </w:r>
      <w:proofErr w:type="spellEnd"/>
      <w:r w:rsidRPr="00860E68">
        <w:rPr>
          <w:lang w:eastAsia="en-US"/>
        </w:rPr>
        <w:t xml:space="preserve"> and Global 2000 (Austria), </w:t>
      </w:r>
      <w:proofErr w:type="spellStart"/>
      <w:r w:rsidRPr="00860E68">
        <w:rPr>
          <w:lang w:eastAsia="en-US"/>
        </w:rPr>
        <w:t>Jihočeské</w:t>
      </w:r>
      <w:proofErr w:type="spellEnd"/>
      <w:r w:rsidRPr="00860E68">
        <w:rPr>
          <w:lang w:eastAsia="en-US"/>
        </w:rPr>
        <w:t xml:space="preserve"> </w:t>
      </w:r>
      <w:proofErr w:type="spellStart"/>
      <w:r w:rsidRPr="00860E68">
        <w:rPr>
          <w:lang w:eastAsia="en-US"/>
        </w:rPr>
        <w:t>matky</w:t>
      </w:r>
      <w:proofErr w:type="spellEnd"/>
      <w:r w:rsidRPr="00860E68">
        <w:rPr>
          <w:lang w:eastAsia="en-US"/>
        </w:rPr>
        <w:t xml:space="preserve"> and Calla (Czechia) – expressing concerns about compliance by Czechia with its obligations under the Convention regarding the lifetime extension of four units of Dukovany nuclear power plant.</w:t>
      </w:r>
    </w:p>
    <w:p w14:paraId="538F2C9C" w14:textId="7CB8EBEB" w:rsidR="00860E68" w:rsidRPr="00860E68" w:rsidRDefault="00860E68" w:rsidP="006B61C1">
      <w:pPr>
        <w:pStyle w:val="SingleTxtG"/>
        <w:rPr>
          <w:lang w:eastAsia="en-US"/>
        </w:rPr>
      </w:pPr>
      <w:r w:rsidRPr="00860E68">
        <w:rPr>
          <w:lang w:eastAsia="en-US"/>
        </w:rPr>
        <w:t>61.</w:t>
      </w:r>
      <w:r w:rsidRPr="00860E68">
        <w:rPr>
          <w:lang w:eastAsia="en-US"/>
        </w:rPr>
        <w:tab/>
        <w:t xml:space="preserve">Between 2016 and 2017, </w:t>
      </w:r>
      <w:r w:rsidRPr="00860E68">
        <w:rPr>
          <w:rFonts w:eastAsia="SimSun"/>
          <w:lang w:eastAsia="en-US"/>
        </w:rPr>
        <w:t xml:space="preserve">the Committee gathered information from Austria, Czechia, Germany, Poland and Slovakia and the NGOs.  </w:t>
      </w:r>
      <w:r w:rsidRPr="00860E68">
        <w:rPr>
          <w:lang w:eastAsia="en-US"/>
        </w:rPr>
        <w:t>Due to the then-ongoing preparation of the Guidance,</w:t>
      </w:r>
      <w:r w:rsidRPr="00860E68">
        <w:rPr>
          <w:sz w:val="12"/>
          <w:szCs w:val="12"/>
          <w:lang w:eastAsia="en-US"/>
        </w:rPr>
        <w:t xml:space="preserve"> </w:t>
      </w:r>
      <w:r w:rsidRPr="00860E68">
        <w:rPr>
          <w:lang w:eastAsia="en-US"/>
        </w:rPr>
        <w:t xml:space="preserve">the Committee did not consider the matter further before its forty-ninth session (Geneva, 2–5 February 2021). </w:t>
      </w:r>
    </w:p>
    <w:p w14:paraId="36AF43A0" w14:textId="1BF6E755" w:rsidR="00860E68" w:rsidRPr="00860E68" w:rsidRDefault="00860E68" w:rsidP="00146205">
      <w:pPr>
        <w:pStyle w:val="SingleTxtG"/>
        <w:rPr>
          <w:lang w:eastAsia="en-US"/>
        </w:rPr>
      </w:pPr>
      <w:r w:rsidRPr="00860E68">
        <w:rPr>
          <w:lang w:eastAsia="en-US"/>
        </w:rPr>
        <w:lastRenderedPageBreak/>
        <w:t>62.</w:t>
      </w:r>
      <w:r w:rsidRPr="00860E68">
        <w:rPr>
          <w:lang w:eastAsia="en-US"/>
        </w:rPr>
        <w:tab/>
        <w:t>At its fifty-third session, the Committee opened a Committee initiative</w:t>
      </w:r>
      <w:r w:rsidRPr="00860E68">
        <w:rPr>
          <w:sz w:val="18"/>
          <w:vertAlign w:val="superscript"/>
          <w:lang w:eastAsia="en-US"/>
        </w:rPr>
        <w:footnoteReference w:id="55"/>
      </w:r>
      <w:r w:rsidRPr="00860E68">
        <w:rPr>
          <w:lang w:eastAsia="en-US"/>
        </w:rPr>
        <w:t xml:space="preserve"> and conducted hearings with Austria, </w:t>
      </w:r>
      <w:proofErr w:type="gramStart"/>
      <w:r w:rsidRPr="00860E68">
        <w:rPr>
          <w:lang w:eastAsia="en-US"/>
        </w:rPr>
        <w:t>Czechia</w:t>
      </w:r>
      <w:proofErr w:type="gramEnd"/>
      <w:r w:rsidRPr="00860E68">
        <w:rPr>
          <w:lang w:eastAsia="en-US"/>
        </w:rPr>
        <w:t xml:space="preserve"> and Germany at its fifty-fourth session.</w:t>
      </w:r>
      <w:r w:rsidRPr="00860E68">
        <w:rPr>
          <w:sz w:val="18"/>
          <w:vertAlign w:val="superscript"/>
          <w:lang w:eastAsia="en-US"/>
        </w:rPr>
        <w:footnoteReference w:id="56"/>
      </w:r>
      <w:r w:rsidRPr="00860E68">
        <w:rPr>
          <w:lang w:eastAsia="en-US"/>
        </w:rPr>
        <w:t xml:space="preserve"> </w:t>
      </w:r>
    </w:p>
    <w:p w14:paraId="7CC21AA0" w14:textId="6A157BDF" w:rsidR="00860E68" w:rsidRPr="00860E68" w:rsidRDefault="00860E68" w:rsidP="00146205">
      <w:pPr>
        <w:pStyle w:val="SingleTxtG"/>
        <w:rPr>
          <w:lang w:eastAsia="en-US"/>
        </w:rPr>
      </w:pPr>
      <w:r w:rsidRPr="00860E68">
        <w:rPr>
          <w:rFonts w:eastAsia="SimSun"/>
          <w:lang w:eastAsia="en-US"/>
        </w:rPr>
        <w:t>63.</w:t>
      </w:r>
      <w:r w:rsidRPr="00860E68">
        <w:rPr>
          <w:lang w:eastAsia="en-US"/>
        </w:rPr>
        <w:tab/>
      </w:r>
      <w:r w:rsidRPr="00860E68">
        <w:rPr>
          <w:rFonts w:eastAsia="SimSun"/>
          <w:lang w:eastAsia="en-US"/>
        </w:rPr>
        <w:t xml:space="preserve">When examining the relevant provisions of the Convention in articles 2 (3) and 3 (1) and their application, the Committee considered the Guidance (see para. 48 above). </w:t>
      </w:r>
    </w:p>
    <w:p w14:paraId="3D847399" w14:textId="553E0B9A" w:rsidR="00860E68" w:rsidRPr="00860E68" w:rsidRDefault="00860E68" w:rsidP="00146205">
      <w:pPr>
        <w:pStyle w:val="SingleTxtG"/>
        <w:rPr>
          <w:sz w:val="12"/>
          <w:szCs w:val="12"/>
          <w:lang w:eastAsia="en-US"/>
        </w:rPr>
      </w:pPr>
      <w:r w:rsidRPr="00860E68">
        <w:rPr>
          <w:lang w:eastAsia="en-US"/>
        </w:rPr>
        <w:t>64.</w:t>
      </w:r>
      <w:r w:rsidRPr="00860E68">
        <w:rPr>
          <w:lang w:eastAsia="en-US"/>
        </w:rPr>
        <w:tab/>
        <w:t>The Committee welcomed the good cooperation with Czechia that had facilitated its work, providing it with the requested information in a timely manner and in good quality</w:t>
      </w:r>
      <w:r w:rsidRPr="00860E68">
        <w:rPr>
          <w:sz w:val="12"/>
          <w:szCs w:val="12"/>
          <w:lang w:eastAsia="en-US"/>
        </w:rPr>
        <w:t>.</w:t>
      </w:r>
    </w:p>
    <w:p w14:paraId="1D5377A5" w14:textId="484FFADF" w:rsidR="00860E68" w:rsidRPr="00860E68" w:rsidRDefault="00860E68" w:rsidP="00146205">
      <w:pPr>
        <w:pStyle w:val="SingleTxtG"/>
        <w:rPr>
          <w:lang w:eastAsia="en-US"/>
        </w:rPr>
      </w:pPr>
      <w:r w:rsidRPr="00860E68">
        <w:rPr>
          <w:lang w:eastAsia="en-US"/>
        </w:rPr>
        <w:t>65.</w:t>
      </w:r>
      <w:r w:rsidRPr="00860E68">
        <w:rPr>
          <w:lang w:eastAsia="en-US"/>
        </w:rPr>
        <w:tab/>
        <w:t>The Committee clarified that it might review compliance with the Convention even after the final decision on the activity in question had been taken, consistent with the Committee’s objective and functions.</w:t>
      </w:r>
      <w:r w:rsidRPr="00860E68">
        <w:rPr>
          <w:sz w:val="18"/>
          <w:vertAlign w:val="superscript"/>
          <w:lang w:eastAsia="en-US"/>
        </w:rPr>
        <w:footnoteReference w:id="57"/>
      </w:r>
    </w:p>
    <w:p w14:paraId="2621BE39" w14:textId="3F581461" w:rsidR="00860E68" w:rsidRPr="00860E68" w:rsidRDefault="00860E68" w:rsidP="00146205">
      <w:pPr>
        <w:pStyle w:val="SingleTxtG"/>
        <w:rPr>
          <w:lang w:eastAsia="en-US"/>
        </w:rPr>
      </w:pPr>
      <w:r w:rsidRPr="00860E68">
        <w:rPr>
          <w:lang w:eastAsia="en-US"/>
        </w:rPr>
        <w:t>66.</w:t>
      </w:r>
      <w:r w:rsidRPr="00860E68">
        <w:rPr>
          <w:lang w:eastAsia="en-US"/>
        </w:rPr>
        <w:tab/>
      </w:r>
      <w:r w:rsidRPr="00860E68">
        <w:rPr>
          <w:rFonts w:eastAsia="SimSun"/>
          <w:lang w:eastAsia="en-US"/>
        </w:rPr>
        <w:t>The Committee concluded that the Guidance was applicable to the lifetime extension of units 1–4 of Dukovany nuclear power plant, as the activity was related to a specific situation described in chapter II, section C, of the Guidance.</w:t>
      </w:r>
      <w:r w:rsidRPr="00860E68">
        <w:rPr>
          <w:rFonts w:eastAsia="SimSun"/>
          <w:sz w:val="18"/>
          <w:vertAlign w:val="superscript"/>
          <w:lang w:eastAsia="en-US"/>
        </w:rPr>
        <w:footnoteReference w:id="58"/>
      </w:r>
      <w:r w:rsidRPr="00860E68">
        <w:rPr>
          <w:rFonts w:eastAsia="SimSun"/>
          <w:lang w:eastAsia="en-US"/>
        </w:rPr>
        <w:t xml:space="preserve"> It also concluded that the licence renewal for units 1–4 and the investment project for the long-term operation of the four units constituted a “major change” to an activity listed in appendix I to the Convention.</w:t>
      </w:r>
      <w:r w:rsidRPr="00860E68">
        <w:rPr>
          <w:rFonts w:eastAsia="SimSun"/>
          <w:sz w:val="18"/>
          <w:vertAlign w:val="superscript"/>
          <w:lang w:eastAsia="en-US"/>
        </w:rPr>
        <w:footnoteReference w:id="59"/>
      </w:r>
    </w:p>
    <w:p w14:paraId="778B5CE8" w14:textId="31129F23" w:rsidR="00860E68" w:rsidRPr="00860E68" w:rsidRDefault="00860E68" w:rsidP="00146205">
      <w:pPr>
        <w:pStyle w:val="SingleTxtG"/>
        <w:rPr>
          <w:lang w:eastAsia="en-US"/>
        </w:rPr>
      </w:pPr>
      <w:r w:rsidRPr="00860E68">
        <w:rPr>
          <w:lang w:eastAsia="en-US"/>
        </w:rPr>
        <w:t>67.</w:t>
      </w:r>
      <w:r w:rsidRPr="00860E68">
        <w:rPr>
          <w:lang w:eastAsia="en-US"/>
        </w:rPr>
        <w:tab/>
        <w:t>The Committee found that Czechia was in non-compliance with articles 2 (3) and 3 (1) of the Convention when extending the lifetime of units 1</w:t>
      </w:r>
      <w:r w:rsidRPr="00860E68">
        <w:rPr>
          <w:rFonts w:eastAsia="SimSun"/>
          <w:lang w:eastAsia="en-US"/>
        </w:rPr>
        <w:t>–</w:t>
      </w:r>
      <w:r w:rsidRPr="00860E68">
        <w:rPr>
          <w:lang w:eastAsia="en-US"/>
        </w:rPr>
        <w:t>4 of Dukovany nuclear power plant and preparing them for long-term operation without applying the Convention.</w:t>
      </w:r>
    </w:p>
    <w:p w14:paraId="38782612" w14:textId="326FC9A6" w:rsidR="00860E68" w:rsidRPr="00860E68" w:rsidRDefault="00860E68" w:rsidP="00146205">
      <w:pPr>
        <w:pStyle w:val="SingleTxtG"/>
        <w:rPr>
          <w:lang w:eastAsia="en-US"/>
        </w:rPr>
      </w:pPr>
      <w:r w:rsidRPr="00860E68">
        <w:rPr>
          <w:lang w:eastAsia="en-US"/>
        </w:rPr>
        <w:t>68.</w:t>
      </w:r>
      <w:r w:rsidRPr="00860E68">
        <w:rPr>
          <w:lang w:eastAsia="en-US"/>
        </w:rPr>
        <w:tab/>
        <w:t>It welcomed the fact that Czechia had committed to notifying Austria and Germany ahead of future lifetime extensions of nuclear power plants or significant changes in the licences of the operating units of the nuclear power plants in its territory. It recommended in draft decision IX/4i</w:t>
      </w:r>
      <w:r w:rsidRPr="00860E68">
        <w:rPr>
          <w:sz w:val="18"/>
          <w:vertAlign w:val="superscript"/>
          <w:lang w:eastAsia="en-US"/>
        </w:rPr>
        <w:footnoteReference w:id="60"/>
      </w:r>
      <w:r w:rsidRPr="00860E68">
        <w:rPr>
          <w:lang w:eastAsia="en-US"/>
        </w:rPr>
        <w:t xml:space="preserve"> that the Meeting of the Parties endorse the Committee’s findings and request Czechia to fully apply the Convention regarding any lifetime extension activities of any Czech nuclear power plant.</w:t>
      </w:r>
    </w:p>
    <w:p w14:paraId="2046AB6F" w14:textId="51726450" w:rsidR="00860E68" w:rsidRPr="00860E68" w:rsidRDefault="00146205" w:rsidP="00146205">
      <w:pPr>
        <w:pStyle w:val="H23G"/>
        <w:rPr>
          <w:lang w:eastAsia="en-US"/>
        </w:rPr>
      </w:pPr>
      <w:bookmarkStart w:id="48" w:name="_Toc147827455"/>
      <w:bookmarkStart w:id="49" w:name="_Toc589491909"/>
      <w:r>
        <w:rPr>
          <w:lang w:eastAsia="en-US"/>
        </w:rPr>
        <w:tab/>
      </w:r>
      <w:r w:rsidR="00860E68" w:rsidRPr="00860E68">
        <w:rPr>
          <w:lang w:eastAsia="en-US"/>
        </w:rPr>
        <w:t>5.</w:t>
      </w:r>
      <w:r w:rsidR="00860E68" w:rsidRPr="00860E68">
        <w:rPr>
          <w:lang w:eastAsia="en-US"/>
        </w:rPr>
        <w:tab/>
        <w:t>France</w:t>
      </w:r>
      <w:bookmarkEnd w:id="48"/>
      <w:bookmarkEnd w:id="49"/>
      <w:r w:rsidR="00860E68" w:rsidRPr="00860E68">
        <w:rPr>
          <w:lang w:eastAsia="en-US"/>
        </w:rPr>
        <w:t xml:space="preserve"> </w:t>
      </w:r>
    </w:p>
    <w:p w14:paraId="6A269762" w14:textId="486BC57C" w:rsidR="00860E68" w:rsidRPr="00860E68" w:rsidRDefault="00146205" w:rsidP="00146205">
      <w:pPr>
        <w:pStyle w:val="H4G"/>
        <w:rPr>
          <w:lang w:eastAsia="en-US"/>
        </w:rPr>
      </w:pPr>
      <w:r>
        <w:rPr>
          <w:lang w:eastAsia="en-US"/>
        </w:rPr>
        <w:tab/>
      </w:r>
      <w:r>
        <w:rPr>
          <w:lang w:eastAsia="en-US"/>
        </w:rPr>
        <w:tab/>
      </w:r>
      <w:r w:rsidR="00860E68" w:rsidRPr="00860E68">
        <w:rPr>
          <w:lang w:eastAsia="en-US"/>
        </w:rPr>
        <w:t>EIA/IC/CI/12 and EIA/IC/INFO/32</w:t>
      </w:r>
    </w:p>
    <w:p w14:paraId="658A6796" w14:textId="77777777" w:rsidR="00860E68" w:rsidRPr="00860E68" w:rsidRDefault="00860E68" w:rsidP="00146205">
      <w:pPr>
        <w:pStyle w:val="SingleTxtG"/>
        <w:rPr>
          <w:lang w:eastAsia="en-US"/>
        </w:rPr>
      </w:pPr>
      <w:r w:rsidRPr="00860E68">
        <w:rPr>
          <w:lang w:eastAsia="en-US"/>
        </w:rPr>
        <w:t>69.</w:t>
      </w:r>
      <w:r w:rsidRPr="00860E68">
        <w:rPr>
          <w:lang w:eastAsia="en-US"/>
        </w:rPr>
        <w:tab/>
        <w:t xml:space="preserve">On 9 March 2020, the Committee received information from the NGO Greenpeace France </w:t>
      </w:r>
      <w:r w:rsidRPr="00860E68">
        <w:rPr>
          <w:lang w:val="en-US" w:eastAsia="en-US"/>
        </w:rPr>
        <w:t>regarding the planned lifetime extension by France of 32 units of eight nuclear power plants.</w:t>
      </w:r>
      <w:r w:rsidRPr="00860E68">
        <w:rPr>
          <w:vertAlign w:val="superscript"/>
          <w:lang w:val="en-US" w:eastAsia="en-US"/>
        </w:rPr>
        <w:footnoteReference w:id="61"/>
      </w:r>
      <w:r w:rsidRPr="00860E68">
        <w:rPr>
          <w:lang w:val="en-US" w:eastAsia="en-US"/>
        </w:rPr>
        <w:t xml:space="preserve"> </w:t>
      </w:r>
      <w:r w:rsidRPr="00860E68">
        <w:rPr>
          <w:rFonts w:eastAsia="SimSun"/>
          <w:lang w:eastAsia="en-US"/>
        </w:rPr>
        <w:t xml:space="preserve">Between 2020 and 2023, the Committee gathered information from France and the NGO. In view of the </w:t>
      </w:r>
      <w:r w:rsidRPr="00860E68">
        <w:rPr>
          <w:lang w:eastAsia="en-US"/>
        </w:rPr>
        <w:t>apparent plans by France to continue operating the 32 units beyond the fourth periodic safety review without a prior transboundary procedure in accordance with the Convention, the Committee issued on 18 February 2022 a guidance letter to France to ensure compliance with the Convention.</w:t>
      </w:r>
      <w:r w:rsidRPr="00860E68">
        <w:rPr>
          <w:sz w:val="18"/>
          <w:vertAlign w:val="superscript"/>
          <w:lang w:eastAsia="en-US"/>
        </w:rPr>
        <w:footnoteReference w:id="62"/>
      </w:r>
    </w:p>
    <w:p w14:paraId="09B4CF4B" w14:textId="77777777" w:rsidR="00860E68" w:rsidRPr="00860E68" w:rsidRDefault="00860E68" w:rsidP="00146205">
      <w:pPr>
        <w:pStyle w:val="SingleTxtG"/>
        <w:rPr>
          <w:rFonts w:eastAsia="SimSun"/>
          <w:lang w:eastAsia="en-US"/>
        </w:rPr>
      </w:pPr>
      <w:r w:rsidRPr="00860E68">
        <w:rPr>
          <w:lang w:eastAsia="en-US"/>
        </w:rPr>
        <w:t>70.</w:t>
      </w:r>
      <w:r w:rsidRPr="00860E68">
        <w:rPr>
          <w:lang w:eastAsia="en-US"/>
        </w:rPr>
        <w:tab/>
        <w:t xml:space="preserve">Following the conclusion of the fourth periodic review of the 900 MWe reactors, the Nuclear Safety Authority of France issued decisions regarding </w:t>
      </w:r>
      <w:proofErr w:type="spellStart"/>
      <w:r w:rsidRPr="00860E68">
        <w:rPr>
          <w:lang w:eastAsia="en-US"/>
        </w:rPr>
        <w:t>Tricastin</w:t>
      </w:r>
      <w:proofErr w:type="spellEnd"/>
      <w:r w:rsidRPr="00860E68">
        <w:rPr>
          <w:lang w:eastAsia="en-US"/>
        </w:rPr>
        <w:t xml:space="preserve"> nuclear power plant on 23 February 2021, 29 </w:t>
      </w:r>
      <w:proofErr w:type="gramStart"/>
      <w:r w:rsidRPr="00860E68">
        <w:rPr>
          <w:lang w:eastAsia="en-US"/>
        </w:rPr>
        <w:t>June</w:t>
      </w:r>
      <w:proofErr w:type="gramEnd"/>
      <w:r w:rsidRPr="00860E68">
        <w:rPr>
          <w:lang w:eastAsia="en-US"/>
        </w:rPr>
        <w:t xml:space="preserve"> and 7 July 2023, prescribing </w:t>
      </w:r>
      <w:r w:rsidRPr="00860E68">
        <w:rPr>
          <w:rFonts w:eastAsia="SimSun"/>
          <w:lang w:eastAsia="en-US"/>
        </w:rPr>
        <w:t xml:space="preserve">the conditions for the continued operation and authorizing the modifications. Despite the Committee’s guidance to France of February 2022 regarding possible transboundary impacts of lifetime extensions and the request of Italy of 14 January 2021 to France to be involved in a transboundary procedure, France argued that there was no transboundary impact. </w:t>
      </w:r>
    </w:p>
    <w:p w14:paraId="78813600" w14:textId="77777777" w:rsidR="00860E68" w:rsidRPr="00860E68" w:rsidRDefault="00860E68" w:rsidP="00146205">
      <w:pPr>
        <w:pStyle w:val="SingleTxtG"/>
        <w:rPr>
          <w:rFonts w:eastAsia="SimSun"/>
          <w:lang w:eastAsia="en-US"/>
        </w:rPr>
      </w:pPr>
      <w:r w:rsidRPr="00860E68">
        <w:rPr>
          <w:rFonts w:eastAsia="SimSun"/>
          <w:lang w:eastAsia="en-US"/>
        </w:rPr>
        <w:t>71.</w:t>
      </w:r>
      <w:r w:rsidRPr="00860E68">
        <w:rPr>
          <w:lang w:eastAsia="en-US"/>
        </w:rPr>
        <w:tab/>
      </w:r>
      <w:r w:rsidRPr="00860E68">
        <w:rPr>
          <w:rFonts w:eastAsia="SimSun"/>
          <w:lang w:eastAsia="en-US"/>
        </w:rPr>
        <w:t xml:space="preserve">At its fifty-seventh session, the Committee found that there was a profound suspicion of non-compliance by France with its obligations under articles 2 (2)–(3) and 3 (1) and (7) of the Convention regarding the lifetime extension of unit 1 of </w:t>
      </w:r>
      <w:proofErr w:type="spellStart"/>
      <w:r w:rsidRPr="00860E68">
        <w:rPr>
          <w:rFonts w:eastAsia="SimSun"/>
          <w:lang w:eastAsia="en-US"/>
        </w:rPr>
        <w:t>Tricastin</w:t>
      </w:r>
      <w:proofErr w:type="spellEnd"/>
      <w:r w:rsidRPr="00860E68">
        <w:rPr>
          <w:rFonts w:eastAsia="SimSun"/>
          <w:lang w:eastAsia="en-US"/>
        </w:rPr>
        <w:t xml:space="preserve"> nuclear power plant, </w:t>
      </w:r>
      <w:r w:rsidRPr="00860E68">
        <w:rPr>
          <w:rFonts w:eastAsia="SimSun"/>
          <w:lang w:eastAsia="en-US"/>
        </w:rPr>
        <w:lastRenderedPageBreak/>
        <w:t>and opened a Committee initiative. It invited France to a hearing at its fifty-ninth session (Geneva, 18–21 June 2024).</w:t>
      </w:r>
      <w:r w:rsidRPr="00860E68">
        <w:rPr>
          <w:rFonts w:eastAsia="SimSun"/>
          <w:sz w:val="18"/>
          <w:vertAlign w:val="superscript"/>
          <w:lang w:eastAsia="en-US"/>
        </w:rPr>
        <w:footnoteReference w:id="63"/>
      </w:r>
    </w:p>
    <w:p w14:paraId="29BD1B9A" w14:textId="3BB8FF4B" w:rsidR="00860E68" w:rsidRPr="00860E68" w:rsidRDefault="00C6238A" w:rsidP="00C6238A">
      <w:pPr>
        <w:pStyle w:val="H23G"/>
        <w:rPr>
          <w:lang w:eastAsia="en-US"/>
        </w:rPr>
      </w:pPr>
      <w:bookmarkStart w:id="50" w:name="_Toc147827456"/>
      <w:bookmarkStart w:id="51" w:name="_Toc1854454664"/>
      <w:r>
        <w:rPr>
          <w:lang w:eastAsia="en-US"/>
        </w:rPr>
        <w:tab/>
      </w:r>
      <w:r w:rsidR="00860E68" w:rsidRPr="00860E68">
        <w:rPr>
          <w:lang w:eastAsia="en-US"/>
        </w:rPr>
        <w:t>6.</w:t>
      </w:r>
      <w:r w:rsidR="00860E68" w:rsidRPr="00860E68">
        <w:rPr>
          <w:lang w:eastAsia="en-US"/>
        </w:rPr>
        <w:tab/>
        <w:t>Ukraine</w:t>
      </w:r>
      <w:bookmarkEnd w:id="50"/>
      <w:bookmarkEnd w:id="51"/>
    </w:p>
    <w:p w14:paraId="56D8A76E" w14:textId="78EC7CC8" w:rsidR="00860E68" w:rsidRPr="00860E68" w:rsidRDefault="00C6238A" w:rsidP="00C6238A">
      <w:pPr>
        <w:pStyle w:val="H4G"/>
        <w:rPr>
          <w:lang w:eastAsia="en-US"/>
        </w:rPr>
      </w:pPr>
      <w:r>
        <w:rPr>
          <w:lang w:eastAsia="en-US"/>
        </w:rPr>
        <w:tab/>
      </w:r>
      <w:r>
        <w:rPr>
          <w:lang w:eastAsia="en-US"/>
        </w:rPr>
        <w:tab/>
      </w:r>
      <w:r w:rsidR="00860E68" w:rsidRPr="00860E68">
        <w:rPr>
          <w:lang w:eastAsia="en-US"/>
        </w:rPr>
        <w:t>EIA/IC/CI/7</w:t>
      </w:r>
    </w:p>
    <w:p w14:paraId="509C018C" w14:textId="77777777" w:rsidR="00860E68" w:rsidRPr="00860E68" w:rsidRDefault="00860E68" w:rsidP="00C6238A">
      <w:pPr>
        <w:pStyle w:val="SingleTxtG"/>
        <w:rPr>
          <w:lang w:eastAsia="en-US"/>
        </w:rPr>
      </w:pPr>
      <w:r w:rsidRPr="00860E68">
        <w:rPr>
          <w:lang w:eastAsia="en-US"/>
        </w:rPr>
        <w:t>72.</w:t>
      </w:r>
      <w:r w:rsidRPr="00860E68">
        <w:rPr>
          <w:lang w:eastAsia="en-US"/>
        </w:rPr>
        <w:tab/>
        <w:t xml:space="preserve">The Committee continued the consideration of its initiative on compliance by Ukraine with its obligations under the Convention regarding the construction of a large tourism complex in the </w:t>
      </w:r>
      <w:proofErr w:type="spellStart"/>
      <w:r w:rsidRPr="00860E68">
        <w:rPr>
          <w:lang w:eastAsia="en-US"/>
        </w:rPr>
        <w:t>Svydovets</w:t>
      </w:r>
      <w:proofErr w:type="spellEnd"/>
      <w:r w:rsidRPr="00860E68">
        <w:rPr>
          <w:lang w:eastAsia="en-US"/>
        </w:rPr>
        <w:t xml:space="preserve"> mountains (Ukraine), opened at the Committee’s forty-eighth session (Geneva, 1</w:t>
      </w:r>
      <w:r w:rsidRPr="00860E68">
        <w:rPr>
          <w:rFonts w:eastAsia="SimSun"/>
          <w:lang w:eastAsia="en-US"/>
        </w:rPr>
        <w:t>–</w:t>
      </w:r>
      <w:r w:rsidRPr="00860E68">
        <w:rPr>
          <w:lang w:eastAsia="en-US"/>
        </w:rPr>
        <w:t xml:space="preserve">4 September 2020). It recalled that Ukraine had informed its own public about the planned activity close to the border with Hungary and Romania in March 2018. Despite requests from Hungary and Romania, Ukraine had not notified them in accordance with articles 2 (4) and 3 (1) of the Convention. It also noted that Ukraine had not responded to the reiterated request from Romania to exchange sufficient information and to </w:t>
      </w:r>
      <w:proofErr w:type="gramStart"/>
      <w:r w:rsidRPr="00860E68">
        <w:rPr>
          <w:lang w:eastAsia="en-US"/>
        </w:rPr>
        <w:t>enter into</w:t>
      </w:r>
      <w:proofErr w:type="gramEnd"/>
      <w:r w:rsidRPr="00860E68">
        <w:rPr>
          <w:lang w:eastAsia="en-US"/>
        </w:rPr>
        <w:t xml:space="preserve"> discussions under article 3 (7) of the Convention.</w:t>
      </w:r>
    </w:p>
    <w:p w14:paraId="0BF448DB" w14:textId="237C089B" w:rsidR="00860E68" w:rsidRPr="00860E68" w:rsidRDefault="00860E68" w:rsidP="00C6238A">
      <w:pPr>
        <w:pStyle w:val="SingleTxtG"/>
        <w:rPr>
          <w:lang w:eastAsia="en-US"/>
        </w:rPr>
      </w:pPr>
      <w:r w:rsidRPr="00860E68">
        <w:rPr>
          <w:lang w:eastAsia="en-US"/>
        </w:rPr>
        <w:t>73.</w:t>
      </w:r>
      <w:r w:rsidRPr="00860E68">
        <w:rPr>
          <w:lang w:eastAsia="en-US"/>
        </w:rPr>
        <w:tab/>
        <w:t xml:space="preserve">The Committee held a hearing with Hungary, </w:t>
      </w:r>
      <w:proofErr w:type="gramStart"/>
      <w:r w:rsidRPr="00860E68">
        <w:rPr>
          <w:lang w:eastAsia="en-US"/>
        </w:rPr>
        <w:t>Romania</w:t>
      </w:r>
      <w:proofErr w:type="gramEnd"/>
      <w:r w:rsidRPr="00860E68">
        <w:rPr>
          <w:lang w:eastAsia="en-US"/>
        </w:rPr>
        <w:t xml:space="preserve"> and Ukraine at its fifty-first session (Geneva, 4–7 October 2021), noting the clarification of Ukraine that the activity constituted a mere project, with no activity going on at the current time. </w:t>
      </w:r>
    </w:p>
    <w:p w14:paraId="359BA9BD" w14:textId="6862F733" w:rsidR="00860E68" w:rsidRPr="00860E68" w:rsidRDefault="00860E68" w:rsidP="00C6238A">
      <w:pPr>
        <w:pStyle w:val="SingleTxtG"/>
        <w:rPr>
          <w:rFonts w:eastAsia="SimSun"/>
          <w:lang w:eastAsia="en-US"/>
        </w:rPr>
      </w:pPr>
      <w:r w:rsidRPr="00860E68">
        <w:rPr>
          <w:rFonts w:eastAsia="SimSun"/>
          <w:lang w:eastAsia="en-US"/>
        </w:rPr>
        <w:t>74.</w:t>
      </w:r>
      <w:r w:rsidRPr="00860E68">
        <w:rPr>
          <w:lang w:eastAsia="en-US"/>
        </w:rPr>
        <w:tab/>
      </w:r>
      <w:r w:rsidRPr="00860E68">
        <w:rPr>
          <w:rFonts w:eastAsia="SimSun"/>
          <w:lang w:eastAsia="en-US"/>
        </w:rPr>
        <w:t xml:space="preserve">The Committee resumed its considerations at its fifty-sixth session and held informal consultations with Ukraine (see para. 21 above).  Ukraine confirmed that, currently, the activity still constituted a project and that no permits for any preparatory or construction works had been issued. </w:t>
      </w:r>
    </w:p>
    <w:p w14:paraId="2FCB89A2" w14:textId="37B25803" w:rsidR="00860E68" w:rsidRPr="00860E68" w:rsidRDefault="00860E68" w:rsidP="00C6238A">
      <w:pPr>
        <w:pStyle w:val="SingleTxtG"/>
        <w:rPr>
          <w:lang w:eastAsia="en-US"/>
        </w:rPr>
      </w:pPr>
      <w:r w:rsidRPr="00860E68">
        <w:rPr>
          <w:rFonts w:eastAsia="SimSun"/>
          <w:lang w:eastAsia="en-US"/>
        </w:rPr>
        <w:t>75.</w:t>
      </w:r>
      <w:r w:rsidRPr="00860E68">
        <w:rPr>
          <w:lang w:eastAsia="en-US"/>
        </w:rPr>
        <w:tab/>
      </w:r>
      <w:r w:rsidRPr="00860E68">
        <w:rPr>
          <w:rFonts w:eastAsia="SimSun"/>
          <w:lang w:eastAsia="en-US"/>
        </w:rPr>
        <w:t xml:space="preserve">The Committee </w:t>
      </w:r>
      <w:r w:rsidRPr="00860E68">
        <w:rPr>
          <w:rFonts w:eastAsia="SimSun"/>
          <w:lang w:eastAsia="zh-CN"/>
        </w:rPr>
        <w:t xml:space="preserve">agreed </w:t>
      </w:r>
      <w:r w:rsidRPr="00860E68">
        <w:rPr>
          <w:rFonts w:eastAsia="SimSun"/>
          <w:lang w:eastAsia="en-US"/>
        </w:rPr>
        <w:t>at its fifty-seventh session (Geneva, 29 August</w:t>
      </w:r>
      <w:r w:rsidRPr="00860E68">
        <w:rPr>
          <w:lang w:eastAsia="en-US"/>
        </w:rPr>
        <w:t>–</w:t>
      </w:r>
      <w:r w:rsidRPr="00860E68">
        <w:rPr>
          <w:rFonts w:eastAsia="SimSun"/>
          <w:lang w:eastAsia="en-US"/>
        </w:rPr>
        <w:t xml:space="preserve">1 September 2023) </w:t>
      </w:r>
      <w:r w:rsidRPr="00860E68">
        <w:rPr>
          <w:rFonts w:eastAsia="SimSun"/>
          <w:lang w:eastAsia="zh-CN"/>
        </w:rPr>
        <w:t xml:space="preserve">that, without evidence that the activity was expected to be implemented, there were no grounds for it to continue its consideration of the matter and </w:t>
      </w:r>
      <w:r w:rsidRPr="00860E68">
        <w:rPr>
          <w:rFonts w:eastAsia="SimSun"/>
          <w:lang w:eastAsia="en-US"/>
        </w:rPr>
        <w:t xml:space="preserve">closed the case. It reminded Ukraine that if the </w:t>
      </w:r>
      <w:r w:rsidRPr="00860E68">
        <w:rPr>
          <w:rFonts w:eastAsia="SimSun"/>
          <w:lang w:eastAsia="zh-CN"/>
        </w:rPr>
        <w:t>proposed activity was be implemented in the future, Ukraine should assess whether it fell under the Convention, and recalled previous opinions of the Committee regarding such assessment.</w:t>
      </w:r>
      <w:r w:rsidRPr="00860E68">
        <w:rPr>
          <w:rFonts w:eastAsia="SimSun"/>
          <w:sz w:val="18"/>
          <w:vertAlign w:val="superscript"/>
          <w:lang w:eastAsia="zh-CN"/>
        </w:rPr>
        <w:footnoteReference w:id="64"/>
      </w:r>
    </w:p>
    <w:p w14:paraId="7AB3DBDA" w14:textId="626D6E16" w:rsidR="00860E68" w:rsidRPr="00860E68" w:rsidRDefault="004F3C5C" w:rsidP="004F3C5C">
      <w:pPr>
        <w:pStyle w:val="H1G"/>
        <w:rPr>
          <w:rFonts w:eastAsia="SimSun"/>
          <w:lang w:eastAsia="en-US"/>
        </w:rPr>
      </w:pPr>
      <w:bookmarkStart w:id="52" w:name="_Toc147827457"/>
      <w:bookmarkStart w:id="53" w:name="_Toc49363496"/>
      <w:r>
        <w:rPr>
          <w:rFonts w:eastAsia="SimSun"/>
          <w:lang w:eastAsia="en-US"/>
        </w:rPr>
        <w:tab/>
      </w:r>
      <w:r w:rsidR="00860E68" w:rsidRPr="00860E68">
        <w:rPr>
          <w:rFonts w:eastAsia="SimSun"/>
          <w:lang w:eastAsia="en-US"/>
        </w:rPr>
        <w:t>B.</w:t>
      </w:r>
      <w:r w:rsidR="00860E68" w:rsidRPr="00860E68">
        <w:rPr>
          <w:lang w:eastAsia="en-US"/>
        </w:rPr>
        <w:tab/>
      </w:r>
      <w:r w:rsidR="00860E68" w:rsidRPr="00860E68">
        <w:rPr>
          <w:rFonts w:eastAsia="SimSun"/>
          <w:lang w:eastAsia="en-US"/>
        </w:rPr>
        <w:t>Protocol matters</w:t>
      </w:r>
      <w:bookmarkEnd w:id="52"/>
      <w:bookmarkEnd w:id="53"/>
    </w:p>
    <w:p w14:paraId="45184287" w14:textId="01059049" w:rsidR="00860E68" w:rsidRPr="00860E68" w:rsidRDefault="004F3C5C" w:rsidP="004F3C5C">
      <w:pPr>
        <w:pStyle w:val="H23G"/>
        <w:rPr>
          <w:rFonts w:eastAsia="SimSun"/>
          <w:lang w:eastAsia="en-US"/>
        </w:rPr>
      </w:pPr>
      <w:bookmarkStart w:id="54" w:name="_Toc147827458"/>
      <w:bookmarkStart w:id="55" w:name="_Toc84533419"/>
      <w:r>
        <w:rPr>
          <w:rFonts w:eastAsia="SimSun"/>
          <w:lang w:eastAsia="en-US"/>
        </w:rPr>
        <w:tab/>
      </w:r>
      <w:r>
        <w:rPr>
          <w:rFonts w:eastAsia="SimSun"/>
          <w:lang w:eastAsia="en-US"/>
        </w:rPr>
        <w:tab/>
      </w:r>
      <w:r w:rsidR="00860E68" w:rsidRPr="00860E68">
        <w:rPr>
          <w:rFonts w:eastAsia="SimSun"/>
          <w:lang w:eastAsia="en-US"/>
        </w:rPr>
        <w:t>Serbia</w:t>
      </w:r>
      <w:bookmarkEnd w:id="54"/>
      <w:bookmarkEnd w:id="55"/>
      <w:r w:rsidR="00860E68" w:rsidRPr="00860E68">
        <w:rPr>
          <w:rFonts w:eastAsia="SimSun"/>
          <w:lang w:eastAsia="en-US"/>
        </w:rPr>
        <w:t xml:space="preserve"> </w:t>
      </w:r>
    </w:p>
    <w:p w14:paraId="4EBD1733" w14:textId="77777777" w:rsidR="00860E68" w:rsidRPr="00860E68" w:rsidRDefault="00860E68" w:rsidP="004F3C5C">
      <w:pPr>
        <w:pStyle w:val="H4G"/>
        <w:rPr>
          <w:rFonts w:eastAsia="SimSun"/>
          <w:lang w:eastAsia="en-US"/>
        </w:rPr>
      </w:pPr>
      <w:r w:rsidRPr="00860E68">
        <w:rPr>
          <w:rFonts w:eastAsia="SimSun"/>
          <w:lang w:eastAsia="en-US"/>
        </w:rPr>
        <w:tab/>
      </w:r>
      <w:r w:rsidRPr="00860E68">
        <w:rPr>
          <w:rFonts w:eastAsia="SimSun"/>
          <w:lang w:eastAsia="en-US"/>
        </w:rPr>
        <w:tab/>
        <w:t>EIA/IC/CI/6</w:t>
      </w:r>
    </w:p>
    <w:p w14:paraId="472FD76B" w14:textId="77777777" w:rsidR="00860E68" w:rsidRPr="00860E68" w:rsidRDefault="00860E68" w:rsidP="00860E68">
      <w:pPr>
        <w:suppressAutoHyphens/>
        <w:rPr>
          <w:rFonts w:eastAsia="SimSun"/>
          <w:lang w:eastAsia="en-US"/>
        </w:rPr>
      </w:pPr>
    </w:p>
    <w:p w14:paraId="11680030" w14:textId="77777777" w:rsidR="00860E68" w:rsidRPr="00860E68" w:rsidRDefault="00860E68" w:rsidP="004F3C5C">
      <w:pPr>
        <w:pStyle w:val="SingleTxtG"/>
        <w:rPr>
          <w:rFonts w:eastAsia="SimSun"/>
          <w:lang w:eastAsia="en-US"/>
        </w:rPr>
      </w:pPr>
      <w:r w:rsidRPr="00860E68">
        <w:rPr>
          <w:rFonts w:eastAsia="SimSun"/>
          <w:lang w:eastAsia="en-US"/>
        </w:rPr>
        <w:t>76.</w:t>
      </w:r>
      <w:r w:rsidRPr="00860E68">
        <w:rPr>
          <w:lang w:eastAsia="en-US"/>
        </w:rPr>
        <w:tab/>
      </w:r>
      <w:r w:rsidRPr="00860E68">
        <w:rPr>
          <w:rFonts w:eastAsia="SimSun"/>
          <w:lang w:eastAsia="en-US"/>
        </w:rPr>
        <w:t>Further to the Committee’s information gathering (SEA/IC/INFO/1) started at its thirty-second session (Geneva, 9</w:t>
      </w:r>
      <w:r w:rsidRPr="00860E68">
        <w:rPr>
          <w:lang w:eastAsia="en-US"/>
        </w:rPr>
        <w:t>–</w:t>
      </w:r>
      <w:r w:rsidRPr="00860E68">
        <w:rPr>
          <w:rFonts w:eastAsia="SimSun"/>
          <w:lang w:eastAsia="en-US"/>
        </w:rPr>
        <w:t>11 December 2014),</w:t>
      </w:r>
      <w:r w:rsidRPr="00860E68">
        <w:rPr>
          <w:rFonts w:eastAsia="SimSun"/>
          <w:sz w:val="18"/>
          <w:vertAlign w:val="superscript"/>
          <w:lang w:eastAsia="en-US"/>
        </w:rPr>
        <w:footnoteReference w:id="65"/>
      </w:r>
      <w:r w:rsidRPr="00860E68">
        <w:rPr>
          <w:rFonts w:eastAsia="SimSun"/>
          <w:lang w:eastAsia="en-US"/>
        </w:rPr>
        <w:t xml:space="preserve"> following information provided by the NGO </w:t>
      </w:r>
      <w:proofErr w:type="spellStart"/>
      <w:r w:rsidRPr="00860E68">
        <w:rPr>
          <w:rFonts w:eastAsia="SimSun"/>
          <w:lang w:eastAsia="en-US"/>
        </w:rPr>
        <w:t>Bankwatch</w:t>
      </w:r>
      <w:proofErr w:type="spellEnd"/>
      <w:r w:rsidRPr="00860E68">
        <w:rPr>
          <w:rFonts w:eastAsia="SimSun"/>
          <w:lang w:eastAsia="en-US"/>
        </w:rPr>
        <w:t xml:space="preserve"> Romania, the Committee opened, at its forty-sixth session (Geneva, 10–13 December 2019), a Committee initiative based on the profound suspicion of non-compliance by Serbia with its obligations under article 10 (1) and (2) of the Protocol regarding the Energy Sector Development Strategy of the Republic of Serbia for the Period up to 2025 with Projections up to 2030 and the Strategy’s Implementation Programme for the Period 2017–2023.</w:t>
      </w:r>
      <w:r w:rsidRPr="00860E68">
        <w:rPr>
          <w:rFonts w:eastAsia="SimSun"/>
          <w:sz w:val="18"/>
          <w:vertAlign w:val="superscript"/>
          <w:lang w:eastAsia="en-US"/>
        </w:rPr>
        <w:footnoteReference w:id="66"/>
      </w:r>
    </w:p>
    <w:p w14:paraId="5DDBDC85" w14:textId="6CF98D63" w:rsidR="00860E68" w:rsidRPr="00860E68" w:rsidRDefault="00860E68" w:rsidP="004F3C5C">
      <w:pPr>
        <w:pStyle w:val="SingleTxtG"/>
        <w:rPr>
          <w:rFonts w:eastAsia="SimSun"/>
          <w:lang w:eastAsia="en-US"/>
        </w:rPr>
      </w:pPr>
      <w:r w:rsidRPr="00860E68">
        <w:rPr>
          <w:rFonts w:eastAsia="SimSun"/>
          <w:lang w:eastAsia="en-US"/>
        </w:rPr>
        <w:t>77.</w:t>
      </w:r>
      <w:r w:rsidRPr="00860E68">
        <w:rPr>
          <w:lang w:eastAsia="en-US"/>
        </w:rPr>
        <w:tab/>
      </w:r>
      <w:r w:rsidRPr="00860E68">
        <w:rPr>
          <w:rFonts w:eastAsia="SimSun"/>
          <w:lang w:eastAsia="en-US"/>
        </w:rPr>
        <w:t xml:space="preserve">In the intersessional period, the Committee requested further information from Serbia and the affected Parties Croatia, </w:t>
      </w:r>
      <w:proofErr w:type="gramStart"/>
      <w:r w:rsidRPr="00860E68">
        <w:rPr>
          <w:rFonts w:eastAsia="SimSun"/>
          <w:lang w:eastAsia="en-US"/>
        </w:rPr>
        <w:t>Hungary</w:t>
      </w:r>
      <w:proofErr w:type="gramEnd"/>
      <w:r w:rsidRPr="00860E68">
        <w:rPr>
          <w:rFonts w:eastAsia="SimSun"/>
          <w:lang w:eastAsia="en-US"/>
        </w:rPr>
        <w:t xml:space="preserve"> and Romania, following a hearing with Serbia in November 2020. </w:t>
      </w:r>
    </w:p>
    <w:p w14:paraId="56A7C52A" w14:textId="3CB1FA1D" w:rsidR="00860E68" w:rsidRPr="00860E68" w:rsidRDefault="00860E68" w:rsidP="004F3C5C">
      <w:pPr>
        <w:pStyle w:val="SingleTxtG"/>
        <w:rPr>
          <w:rFonts w:eastAsia="SimSun"/>
          <w:lang w:eastAsia="en-US"/>
        </w:rPr>
      </w:pPr>
      <w:r w:rsidRPr="00860E68">
        <w:rPr>
          <w:rFonts w:eastAsia="SimSun"/>
          <w:lang w:eastAsia="en-US"/>
        </w:rPr>
        <w:t>78.</w:t>
      </w:r>
      <w:r w:rsidRPr="00860E68">
        <w:rPr>
          <w:lang w:eastAsia="en-US"/>
        </w:rPr>
        <w:tab/>
        <w:t xml:space="preserve">The Committee found that Serbia was in non-compliance with its obligations under article 3 (1) of the Protocol regarding legislative, </w:t>
      </w:r>
      <w:proofErr w:type="gramStart"/>
      <w:r w:rsidRPr="00860E68">
        <w:rPr>
          <w:lang w:eastAsia="en-US"/>
        </w:rPr>
        <w:t>regulatory</w:t>
      </w:r>
      <w:proofErr w:type="gramEnd"/>
      <w:r w:rsidRPr="00860E68">
        <w:rPr>
          <w:lang w:eastAsia="en-US"/>
        </w:rPr>
        <w:t xml:space="preserve"> and other measures to ensure proper implementation of article 10 regarding transboundary consultations and article 11 on decision-making and informing the Parties consulted about the decision. It also found that </w:t>
      </w:r>
      <w:r w:rsidRPr="00860E68">
        <w:rPr>
          <w:lang w:eastAsia="en-US"/>
        </w:rPr>
        <w:lastRenderedPageBreak/>
        <w:t>Serbia was in non-compliance with its obligations under the Protocol concerning the Energy Sector Development Strategy, for not having notified Croatia, Hungary and Romania, and regarding the Strategy’s Implementation Programme for the Period 2017–2023, concerning transboundary consultations with Hungary and detailed arrangements thereof, and on taking into account the results of the transboundary consultations in decision-making and informing the affected Parties accordingly.</w:t>
      </w:r>
      <w:r w:rsidRPr="00860E68">
        <w:rPr>
          <w:rFonts w:eastAsia="SimSun"/>
          <w:sz w:val="18"/>
          <w:vertAlign w:val="superscript"/>
          <w:lang w:eastAsia="en-US"/>
        </w:rPr>
        <w:footnoteReference w:id="67"/>
      </w:r>
    </w:p>
    <w:p w14:paraId="727BC616" w14:textId="7A3DBE50" w:rsidR="006A5C13" w:rsidRDefault="00860E68" w:rsidP="0044347A">
      <w:pPr>
        <w:pStyle w:val="SingleTxtG"/>
        <w:rPr>
          <w:lang w:eastAsia="en-US"/>
        </w:rPr>
      </w:pPr>
      <w:r w:rsidRPr="00860E68">
        <w:rPr>
          <w:lang w:eastAsia="en-US"/>
        </w:rPr>
        <w:t>79.</w:t>
      </w:r>
      <w:r w:rsidRPr="00860E68">
        <w:rPr>
          <w:lang w:eastAsia="en-US"/>
        </w:rPr>
        <w:tab/>
        <w:t>It recommended in draft decision V/4d</w:t>
      </w:r>
      <w:r w:rsidRPr="00860E68">
        <w:rPr>
          <w:sz w:val="18"/>
          <w:vertAlign w:val="superscript"/>
          <w:lang w:eastAsia="en-US"/>
        </w:rPr>
        <w:footnoteReference w:id="68"/>
      </w:r>
      <w:r w:rsidRPr="00860E68">
        <w:rPr>
          <w:lang w:eastAsia="en-US"/>
        </w:rPr>
        <w:t xml:space="preserve"> that the Meeting of the Parties endorse the Committee’s findings.</w:t>
      </w:r>
    </w:p>
    <w:p w14:paraId="4DC2FB38" w14:textId="4BCE9BE7" w:rsidR="006E59E1" w:rsidRPr="006E59E1" w:rsidRDefault="0044347A" w:rsidP="0044347A">
      <w:pPr>
        <w:pStyle w:val="HChG"/>
        <w:rPr>
          <w:lang w:eastAsia="en-US"/>
        </w:rPr>
      </w:pPr>
      <w:bookmarkStart w:id="56" w:name="_Toc147827459"/>
      <w:bookmarkStart w:id="57" w:name="_Toc1538581884"/>
      <w:r>
        <w:rPr>
          <w:lang w:eastAsia="en-US"/>
        </w:rPr>
        <w:tab/>
      </w:r>
      <w:r w:rsidR="006E59E1" w:rsidRPr="006E59E1">
        <w:rPr>
          <w:lang w:eastAsia="en-US"/>
        </w:rPr>
        <w:t>V.</w:t>
      </w:r>
      <w:r>
        <w:rPr>
          <w:lang w:eastAsia="en-US"/>
        </w:rPr>
        <w:tab/>
      </w:r>
      <w:r w:rsidR="006E59E1" w:rsidRPr="006E59E1">
        <w:rPr>
          <w:lang w:eastAsia="en-US"/>
        </w:rPr>
        <w:t>Information from other sources (information gathering</w:t>
      </w:r>
      <w:r w:rsidR="00917B16">
        <w:rPr>
          <w:lang w:eastAsia="en-US"/>
        </w:rPr>
        <w:t xml:space="preserve"> </w:t>
      </w:r>
      <w:r w:rsidR="006E59E1" w:rsidRPr="006E59E1">
        <w:rPr>
          <w:lang w:eastAsia="en-US"/>
        </w:rPr>
        <w:t>cases)</w:t>
      </w:r>
      <w:bookmarkEnd w:id="56"/>
      <w:bookmarkEnd w:id="57"/>
    </w:p>
    <w:p w14:paraId="5DADB4FF" w14:textId="63416252" w:rsidR="006E59E1" w:rsidRPr="006E59E1" w:rsidRDefault="006E59E1" w:rsidP="0044347A">
      <w:pPr>
        <w:pStyle w:val="SingleTxtG"/>
        <w:rPr>
          <w:lang w:eastAsia="en-US"/>
        </w:rPr>
      </w:pPr>
      <w:r w:rsidRPr="006E59E1">
        <w:rPr>
          <w:lang w:eastAsia="en-US"/>
        </w:rPr>
        <w:t>80.</w:t>
      </w:r>
      <w:r w:rsidRPr="006E59E1">
        <w:rPr>
          <w:lang w:eastAsia="en-US"/>
        </w:rPr>
        <w:tab/>
        <w:t xml:space="preserve">The Committee also considered information received from sources other than Parties further to operating rule 15 (1). These included in total 20 matters: 18 on the application of the Convention and 2 on the application of the Protocol (see table 2 below). </w:t>
      </w:r>
    </w:p>
    <w:p w14:paraId="586292A2" w14:textId="6E505507" w:rsidR="006E59E1" w:rsidRPr="006E59E1" w:rsidRDefault="006E59E1" w:rsidP="00547000">
      <w:pPr>
        <w:pStyle w:val="SingleTxtG"/>
        <w:jc w:val="left"/>
        <w:rPr>
          <w:lang w:eastAsia="en-US"/>
        </w:rPr>
      </w:pPr>
      <w:bookmarkStart w:id="58" w:name="_Toc147827460"/>
      <w:bookmarkStart w:id="59" w:name="_Toc741262154"/>
      <w:r w:rsidRPr="006E59E1">
        <w:rPr>
          <w:lang w:eastAsia="en-US"/>
        </w:rPr>
        <w:t>Table 2</w:t>
      </w:r>
      <w:bookmarkEnd w:id="58"/>
      <w:bookmarkEnd w:id="59"/>
      <w:r w:rsidR="00547000">
        <w:rPr>
          <w:lang w:eastAsia="en-US"/>
        </w:rPr>
        <w:br/>
      </w:r>
      <w:r w:rsidRPr="006E59E1">
        <w:rPr>
          <w:b/>
          <w:lang w:eastAsia="en-US"/>
        </w:rPr>
        <w:t>Information from other sources</w:t>
      </w:r>
    </w:p>
    <w:tbl>
      <w:tblPr>
        <w:tblW w:w="7655" w:type="dxa"/>
        <w:tblInd w:w="1134" w:type="dxa"/>
        <w:tblLayout w:type="fixed"/>
        <w:tblCellMar>
          <w:left w:w="0" w:type="dxa"/>
          <w:right w:w="0" w:type="dxa"/>
        </w:tblCellMar>
        <w:tblLook w:val="01E0" w:firstRow="1" w:lastRow="1" w:firstColumn="1" w:lastColumn="1" w:noHBand="0" w:noVBand="0"/>
      </w:tblPr>
      <w:tblGrid>
        <w:gridCol w:w="1868"/>
        <w:gridCol w:w="1336"/>
        <w:gridCol w:w="1747"/>
        <w:gridCol w:w="2704"/>
      </w:tblGrid>
      <w:tr w:rsidR="00471B25" w:rsidRPr="00471B25" w14:paraId="6D10AEF4" w14:textId="77777777" w:rsidTr="009E378B">
        <w:trPr>
          <w:tblHeader/>
        </w:trPr>
        <w:tc>
          <w:tcPr>
            <w:tcW w:w="1868" w:type="dxa"/>
            <w:tcBorders>
              <w:top w:val="single" w:sz="4" w:space="0" w:color="auto"/>
              <w:bottom w:val="single" w:sz="12" w:space="0" w:color="auto"/>
            </w:tcBorders>
            <w:shd w:val="clear" w:color="auto" w:fill="auto"/>
            <w:vAlign w:val="bottom"/>
          </w:tcPr>
          <w:p w14:paraId="58A04849" w14:textId="77777777" w:rsidR="006E59E1" w:rsidRPr="00471B25" w:rsidRDefault="006E59E1" w:rsidP="00471B25">
            <w:pPr>
              <w:spacing w:before="80" w:after="80" w:line="200" w:lineRule="exact"/>
              <w:ind w:right="113"/>
              <w:rPr>
                <w:i/>
                <w:sz w:val="16"/>
                <w:lang w:eastAsia="en-US"/>
              </w:rPr>
            </w:pPr>
            <w:r w:rsidRPr="00471B25">
              <w:rPr>
                <w:i/>
                <w:sz w:val="16"/>
                <w:lang w:eastAsia="en-US"/>
              </w:rPr>
              <w:t>Committee reference</w:t>
            </w:r>
          </w:p>
        </w:tc>
        <w:tc>
          <w:tcPr>
            <w:tcW w:w="1336" w:type="dxa"/>
            <w:tcBorders>
              <w:top w:val="single" w:sz="4" w:space="0" w:color="auto"/>
              <w:bottom w:val="single" w:sz="12" w:space="0" w:color="auto"/>
            </w:tcBorders>
            <w:shd w:val="clear" w:color="auto" w:fill="auto"/>
            <w:vAlign w:val="bottom"/>
          </w:tcPr>
          <w:p w14:paraId="180206E4" w14:textId="77777777" w:rsidR="006E59E1" w:rsidRPr="00471B25" w:rsidRDefault="006E59E1" w:rsidP="00471B25">
            <w:pPr>
              <w:spacing w:before="80" w:after="80" w:line="200" w:lineRule="exact"/>
              <w:ind w:right="113"/>
              <w:rPr>
                <w:i/>
                <w:sz w:val="16"/>
                <w:lang w:eastAsia="en-US"/>
              </w:rPr>
            </w:pPr>
            <w:r w:rsidRPr="00471B25">
              <w:rPr>
                <w:i/>
                <w:sz w:val="16"/>
                <w:lang w:eastAsia="en-US"/>
              </w:rPr>
              <w:t>Party concerned</w:t>
            </w:r>
          </w:p>
        </w:tc>
        <w:tc>
          <w:tcPr>
            <w:tcW w:w="1747" w:type="dxa"/>
            <w:tcBorders>
              <w:top w:val="single" w:sz="4" w:space="0" w:color="auto"/>
              <w:bottom w:val="single" w:sz="12" w:space="0" w:color="auto"/>
            </w:tcBorders>
            <w:shd w:val="clear" w:color="auto" w:fill="auto"/>
            <w:vAlign w:val="bottom"/>
          </w:tcPr>
          <w:p w14:paraId="20CF21A9" w14:textId="77777777" w:rsidR="006E59E1" w:rsidRPr="00471B25" w:rsidRDefault="006E59E1" w:rsidP="00471B25">
            <w:pPr>
              <w:spacing w:before="80" w:after="80" w:line="200" w:lineRule="exact"/>
              <w:ind w:right="113"/>
              <w:rPr>
                <w:i/>
                <w:sz w:val="16"/>
                <w:lang w:eastAsia="en-US"/>
              </w:rPr>
            </w:pPr>
            <w:r w:rsidRPr="00471B25">
              <w:rPr>
                <w:i/>
                <w:sz w:val="16"/>
                <w:lang w:eastAsia="en-US"/>
              </w:rPr>
              <w:t>Status</w:t>
            </w:r>
          </w:p>
        </w:tc>
        <w:tc>
          <w:tcPr>
            <w:tcW w:w="2704" w:type="dxa"/>
            <w:tcBorders>
              <w:top w:val="single" w:sz="4" w:space="0" w:color="auto"/>
              <w:bottom w:val="single" w:sz="12" w:space="0" w:color="auto"/>
            </w:tcBorders>
            <w:shd w:val="clear" w:color="auto" w:fill="auto"/>
            <w:vAlign w:val="bottom"/>
          </w:tcPr>
          <w:p w14:paraId="454B1926" w14:textId="77777777" w:rsidR="006E59E1" w:rsidRPr="00471B25" w:rsidRDefault="006E59E1" w:rsidP="00471B25">
            <w:pPr>
              <w:spacing w:before="80" w:after="80" w:line="200" w:lineRule="exact"/>
              <w:ind w:right="113"/>
              <w:rPr>
                <w:i/>
                <w:sz w:val="16"/>
                <w:lang w:eastAsia="en-US"/>
              </w:rPr>
            </w:pPr>
            <w:r w:rsidRPr="00471B25">
              <w:rPr>
                <w:i/>
                <w:sz w:val="16"/>
                <w:lang w:eastAsia="en-US"/>
              </w:rPr>
              <w:t>Issue</w:t>
            </w:r>
          </w:p>
        </w:tc>
      </w:tr>
      <w:tr w:rsidR="00471B25" w:rsidRPr="00471B25" w14:paraId="62A8D5F3" w14:textId="77777777" w:rsidTr="009E378B">
        <w:trPr>
          <w:trHeight w:hRule="exact" w:val="113"/>
        </w:trPr>
        <w:tc>
          <w:tcPr>
            <w:tcW w:w="1868" w:type="dxa"/>
            <w:tcBorders>
              <w:top w:val="single" w:sz="12" w:space="0" w:color="auto"/>
            </w:tcBorders>
            <w:shd w:val="clear" w:color="auto" w:fill="auto"/>
          </w:tcPr>
          <w:p w14:paraId="6E1C99C9" w14:textId="77777777" w:rsidR="00471B25" w:rsidRPr="00471B25" w:rsidRDefault="00471B25" w:rsidP="00471B25">
            <w:pPr>
              <w:spacing w:before="40" w:after="120"/>
              <w:ind w:right="113"/>
              <w:rPr>
                <w:lang w:eastAsia="en-US"/>
              </w:rPr>
            </w:pPr>
          </w:p>
        </w:tc>
        <w:tc>
          <w:tcPr>
            <w:tcW w:w="1336" w:type="dxa"/>
            <w:tcBorders>
              <w:top w:val="single" w:sz="12" w:space="0" w:color="auto"/>
            </w:tcBorders>
            <w:shd w:val="clear" w:color="auto" w:fill="auto"/>
          </w:tcPr>
          <w:p w14:paraId="5A44A011" w14:textId="77777777" w:rsidR="00471B25" w:rsidRPr="00471B25" w:rsidRDefault="00471B25" w:rsidP="00471B25">
            <w:pPr>
              <w:spacing w:before="40" w:after="120"/>
              <w:ind w:right="113"/>
              <w:rPr>
                <w:lang w:eastAsia="en-US"/>
              </w:rPr>
            </w:pPr>
          </w:p>
        </w:tc>
        <w:tc>
          <w:tcPr>
            <w:tcW w:w="1747" w:type="dxa"/>
            <w:tcBorders>
              <w:top w:val="single" w:sz="12" w:space="0" w:color="auto"/>
            </w:tcBorders>
            <w:shd w:val="clear" w:color="auto" w:fill="auto"/>
          </w:tcPr>
          <w:p w14:paraId="15BD8352" w14:textId="77777777" w:rsidR="00471B25" w:rsidRPr="00471B25" w:rsidRDefault="00471B25" w:rsidP="00471B25">
            <w:pPr>
              <w:spacing w:before="40" w:after="120"/>
              <w:ind w:right="113"/>
              <w:rPr>
                <w:lang w:eastAsia="en-US"/>
              </w:rPr>
            </w:pPr>
          </w:p>
        </w:tc>
        <w:tc>
          <w:tcPr>
            <w:tcW w:w="2704" w:type="dxa"/>
            <w:tcBorders>
              <w:top w:val="single" w:sz="12" w:space="0" w:color="auto"/>
            </w:tcBorders>
            <w:shd w:val="clear" w:color="auto" w:fill="auto"/>
          </w:tcPr>
          <w:p w14:paraId="22639DC8" w14:textId="77777777" w:rsidR="00471B25" w:rsidRPr="00471B25" w:rsidRDefault="00471B25" w:rsidP="00471B25">
            <w:pPr>
              <w:spacing w:before="40" w:after="120"/>
              <w:ind w:right="113"/>
              <w:rPr>
                <w:lang w:eastAsia="en-US"/>
              </w:rPr>
            </w:pPr>
          </w:p>
        </w:tc>
      </w:tr>
      <w:tr w:rsidR="00547000" w:rsidRPr="00471B25" w14:paraId="0D98FB5B" w14:textId="77777777" w:rsidTr="009E378B">
        <w:tc>
          <w:tcPr>
            <w:tcW w:w="1868" w:type="dxa"/>
            <w:shd w:val="clear" w:color="auto" w:fill="auto"/>
          </w:tcPr>
          <w:p w14:paraId="21CDFD3B" w14:textId="77777777" w:rsidR="006E59E1" w:rsidRPr="00471B25" w:rsidRDefault="006E59E1" w:rsidP="00471B25">
            <w:pPr>
              <w:spacing w:before="40" w:after="120"/>
              <w:ind w:right="113"/>
              <w:rPr>
                <w:lang w:eastAsia="en-US"/>
              </w:rPr>
            </w:pPr>
            <w:r w:rsidRPr="00471B25">
              <w:rPr>
                <w:lang w:eastAsia="en-US"/>
              </w:rPr>
              <w:t>Convention matters</w:t>
            </w:r>
          </w:p>
        </w:tc>
        <w:tc>
          <w:tcPr>
            <w:tcW w:w="1336" w:type="dxa"/>
            <w:shd w:val="clear" w:color="auto" w:fill="auto"/>
          </w:tcPr>
          <w:p w14:paraId="76788D28" w14:textId="77777777" w:rsidR="006E59E1" w:rsidRPr="00471B25" w:rsidRDefault="006E59E1" w:rsidP="00471B25">
            <w:pPr>
              <w:spacing w:before="40" w:after="120"/>
              <w:ind w:right="113"/>
              <w:rPr>
                <w:lang w:eastAsia="en-US"/>
              </w:rPr>
            </w:pPr>
          </w:p>
        </w:tc>
        <w:tc>
          <w:tcPr>
            <w:tcW w:w="1747" w:type="dxa"/>
            <w:shd w:val="clear" w:color="auto" w:fill="auto"/>
          </w:tcPr>
          <w:p w14:paraId="09CC37BD" w14:textId="77777777" w:rsidR="006E59E1" w:rsidRPr="00471B25" w:rsidRDefault="006E59E1" w:rsidP="00471B25">
            <w:pPr>
              <w:spacing w:before="40" w:after="120"/>
              <w:ind w:right="113"/>
              <w:rPr>
                <w:lang w:eastAsia="en-US"/>
              </w:rPr>
            </w:pPr>
          </w:p>
        </w:tc>
        <w:tc>
          <w:tcPr>
            <w:tcW w:w="2704" w:type="dxa"/>
            <w:shd w:val="clear" w:color="auto" w:fill="auto"/>
          </w:tcPr>
          <w:p w14:paraId="7A82F90A" w14:textId="77777777" w:rsidR="006E59E1" w:rsidRPr="00471B25" w:rsidRDefault="006E59E1" w:rsidP="00471B25">
            <w:pPr>
              <w:spacing w:before="40" w:after="120"/>
              <w:ind w:right="113"/>
              <w:rPr>
                <w:lang w:eastAsia="en-US"/>
              </w:rPr>
            </w:pPr>
          </w:p>
        </w:tc>
      </w:tr>
      <w:tr w:rsidR="00547000" w:rsidRPr="00471B25" w14:paraId="2F3A32B9" w14:textId="77777777" w:rsidTr="009E378B">
        <w:tc>
          <w:tcPr>
            <w:tcW w:w="1868" w:type="dxa"/>
            <w:shd w:val="clear" w:color="auto" w:fill="auto"/>
          </w:tcPr>
          <w:p w14:paraId="40EF9C50" w14:textId="77777777" w:rsidR="006E59E1" w:rsidRPr="00471B25" w:rsidRDefault="006E59E1" w:rsidP="00471B25">
            <w:pPr>
              <w:spacing w:before="40" w:after="120"/>
              <w:ind w:right="113"/>
              <w:rPr>
                <w:lang w:eastAsia="en-US"/>
              </w:rPr>
            </w:pPr>
            <w:r w:rsidRPr="00471B25">
              <w:rPr>
                <w:lang w:eastAsia="en-US"/>
              </w:rPr>
              <w:t>EIA/IC/INFO/10</w:t>
            </w:r>
          </w:p>
        </w:tc>
        <w:tc>
          <w:tcPr>
            <w:tcW w:w="1336" w:type="dxa"/>
            <w:shd w:val="clear" w:color="auto" w:fill="auto"/>
          </w:tcPr>
          <w:p w14:paraId="434C8320" w14:textId="77777777" w:rsidR="006E59E1" w:rsidRPr="00471B25" w:rsidRDefault="006E59E1" w:rsidP="00471B25">
            <w:pPr>
              <w:spacing w:before="40" w:after="120"/>
              <w:ind w:right="113"/>
              <w:rPr>
                <w:lang w:eastAsia="en-US"/>
              </w:rPr>
            </w:pPr>
            <w:r w:rsidRPr="00471B25">
              <w:rPr>
                <w:lang w:eastAsia="en-US"/>
              </w:rPr>
              <w:t>Ukraine</w:t>
            </w:r>
          </w:p>
        </w:tc>
        <w:tc>
          <w:tcPr>
            <w:tcW w:w="1747" w:type="dxa"/>
            <w:shd w:val="clear" w:color="auto" w:fill="auto"/>
          </w:tcPr>
          <w:p w14:paraId="694F4933" w14:textId="77777777" w:rsidR="006E59E1" w:rsidRPr="00471B25" w:rsidRDefault="006E59E1" w:rsidP="00471B25">
            <w:pPr>
              <w:spacing w:before="40" w:after="120"/>
              <w:ind w:right="113"/>
              <w:rPr>
                <w:lang w:eastAsia="en-US"/>
              </w:rPr>
            </w:pPr>
            <w:r w:rsidRPr="00471B25">
              <w:rPr>
                <w:lang w:eastAsia="en-US"/>
              </w:rPr>
              <w:t xml:space="preserve">Ongoing since Nov. 2012 </w:t>
            </w:r>
          </w:p>
        </w:tc>
        <w:tc>
          <w:tcPr>
            <w:tcW w:w="2704" w:type="dxa"/>
            <w:shd w:val="clear" w:color="auto" w:fill="auto"/>
          </w:tcPr>
          <w:p w14:paraId="21B81CEB" w14:textId="77777777" w:rsidR="006E59E1" w:rsidRPr="00471B25" w:rsidRDefault="006E59E1" w:rsidP="00471B25">
            <w:pPr>
              <w:spacing w:before="40" w:after="120"/>
              <w:ind w:right="113"/>
              <w:rPr>
                <w:lang w:val="en-US" w:eastAsia="en-US"/>
              </w:rPr>
            </w:pPr>
            <w:r w:rsidRPr="00471B25">
              <w:rPr>
                <w:lang w:val="en-US" w:eastAsia="en-US"/>
              </w:rPr>
              <w:t xml:space="preserve">Planned construction of nuclear reactors 3 and 4 at </w:t>
            </w:r>
            <w:proofErr w:type="spellStart"/>
            <w:r w:rsidRPr="00471B25">
              <w:rPr>
                <w:lang w:val="en-US" w:eastAsia="en-US"/>
              </w:rPr>
              <w:t>Khmelnytsky</w:t>
            </w:r>
            <w:proofErr w:type="spellEnd"/>
            <w:r w:rsidRPr="00471B25">
              <w:rPr>
                <w:lang w:val="en-US" w:eastAsia="en-US"/>
              </w:rPr>
              <w:t xml:space="preserve"> NPP</w:t>
            </w:r>
          </w:p>
        </w:tc>
      </w:tr>
      <w:tr w:rsidR="00547000" w:rsidRPr="00471B25" w14:paraId="1401B12C" w14:textId="77777777" w:rsidTr="009E378B">
        <w:tc>
          <w:tcPr>
            <w:tcW w:w="1868" w:type="dxa"/>
            <w:shd w:val="clear" w:color="auto" w:fill="auto"/>
          </w:tcPr>
          <w:p w14:paraId="66B8A465" w14:textId="77777777" w:rsidR="006E59E1" w:rsidRPr="00471B25" w:rsidRDefault="006E59E1" w:rsidP="00471B25">
            <w:pPr>
              <w:spacing w:before="40" w:after="120"/>
              <w:ind w:right="113"/>
              <w:rPr>
                <w:lang w:eastAsia="en-US"/>
              </w:rPr>
            </w:pPr>
            <w:r w:rsidRPr="00471B25">
              <w:rPr>
                <w:lang w:eastAsia="en-US"/>
              </w:rPr>
              <w:t>EIA/IC/INFO/13</w:t>
            </w:r>
          </w:p>
        </w:tc>
        <w:tc>
          <w:tcPr>
            <w:tcW w:w="1336" w:type="dxa"/>
            <w:shd w:val="clear" w:color="auto" w:fill="auto"/>
          </w:tcPr>
          <w:p w14:paraId="54879194" w14:textId="77777777" w:rsidR="006E59E1" w:rsidRPr="00471B25" w:rsidRDefault="006E59E1" w:rsidP="00471B25">
            <w:pPr>
              <w:spacing w:before="40" w:after="120"/>
              <w:ind w:right="113"/>
              <w:rPr>
                <w:lang w:eastAsia="en-US"/>
              </w:rPr>
            </w:pPr>
            <w:r w:rsidRPr="00471B25">
              <w:rPr>
                <w:lang w:eastAsia="en-US"/>
              </w:rPr>
              <w:t>Ukraine</w:t>
            </w:r>
          </w:p>
        </w:tc>
        <w:tc>
          <w:tcPr>
            <w:tcW w:w="1747" w:type="dxa"/>
            <w:shd w:val="clear" w:color="auto" w:fill="auto"/>
          </w:tcPr>
          <w:p w14:paraId="6FE8C144" w14:textId="77777777" w:rsidR="006E59E1" w:rsidRPr="00471B25" w:rsidRDefault="006E59E1" w:rsidP="00471B25">
            <w:pPr>
              <w:spacing w:before="40" w:after="120"/>
              <w:ind w:right="113"/>
              <w:rPr>
                <w:lang w:val="en-US" w:eastAsia="en-US"/>
              </w:rPr>
            </w:pPr>
            <w:r w:rsidRPr="00471B25">
              <w:rPr>
                <w:lang w:val="en-US" w:eastAsia="en-US"/>
              </w:rPr>
              <w:t>Ongoing since June 2014/reopened Sept. 2020</w:t>
            </w:r>
          </w:p>
        </w:tc>
        <w:tc>
          <w:tcPr>
            <w:tcW w:w="2704" w:type="dxa"/>
            <w:shd w:val="clear" w:color="auto" w:fill="auto"/>
          </w:tcPr>
          <w:p w14:paraId="4F4B3A20" w14:textId="77777777" w:rsidR="006E59E1" w:rsidRPr="00471B25" w:rsidRDefault="006E59E1" w:rsidP="00471B25">
            <w:pPr>
              <w:spacing w:before="40" w:after="120"/>
              <w:ind w:right="113"/>
              <w:rPr>
                <w:lang w:val="en-US" w:eastAsia="en-US"/>
              </w:rPr>
            </w:pPr>
            <w:r w:rsidRPr="00471B25">
              <w:rPr>
                <w:lang w:val="en-US" w:eastAsia="en-US"/>
              </w:rPr>
              <w:t xml:space="preserve">Planned construction and operation at </w:t>
            </w:r>
            <w:proofErr w:type="spellStart"/>
            <w:r w:rsidRPr="00471B25">
              <w:rPr>
                <w:lang w:val="en-US" w:eastAsia="en-US"/>
              </w:rPr>
              <w:t>Muzhiyevo</w:t>
            </w:r>
            <w:proofErr w:type="spellEnd"/>
            <w:r w:rsidRPr="00471B25">
              <w:rPr>
                <w:lang w:val="en-US" w:eastAsia="en-US"/>
              </w:rPr>
              <w:t xml:space="preserve"> gold mine</w:t>
            </w:r>
          </w:p>
        </w:tc>
      </w:tr>
      <w:tr w:rsidR="00547000" w:rsidRPr="00471B25" w14:paraId="4E023E08" w14:textId="77777777" w:rsidTr="009E378B">
        <w:tc>
          <w:tcPr>
            <w:tcW w:w="1868" w:type="dxa"/>
            <w:shd w:val="clear" w:color="auto" w:fill="auto"/>
          </w:tcPr>
          <w:p w14:paraId="1FF6ACC5" w14:textId="77777777" w:rsidR="006E59E1" w:rsidRPr="00471B25" w:rsidRDefault="006E59E1" w:rsidP="00471B25">
            <w:pPr>
              <w:spacing w:before="40" w:after="120"/>
              <w:ind w:right="113"/>
              <w:rPr>
                <w:lang w:eastAsia="en-US"/>
              </w:rPr>
            </w:pPr>
            <w:r w:rsidRPr="00471B25">
              <w:rPr>
                <w:lang w:eastAsia="en-US"/>
              </w:rPr>
              <w:t>EIA/IC/INFO/15</w:t>
            </w:r>
          </w:p>
        </w:tc>
        <w:tc>
          <w:tcPr>
            <w:tcW w:w="1336" w:type="dxa"/>
            <w:shd w:val="clear" w:color="auto" w:fill="auto"/>
          </w:tcPr>
          <w:p w14:paraId="554EB57E" w14:textId="77777777" w:rsidR="006E59E1" w:rsidRPr="00471B25" w:rsidRDefault="006E59E1" w:rsidP="00471B25">
            <w:pPr>
              <w:spacing w:before="40" w:after="120"/>
              <w:ind w:right="113"/>
              <w:rPr>
                <w:lang w:eastAsia="en-US"/>
              </w:rPr>
            </w:pPr>
            <w:r w:rsidRPr="00471B25">
              <w:rPr>
                <w:lang w:eastAsia="en-US"/>
              </w:rPr>
              <w:t>Netherlands</w:t>
            </w:r>
          </w:p>
        </w:tc>
        <w:tc>
          <w:tcPr>
            <w:tcW w:w="1747" w:type="dxa"/>
            <w:shd w:val="clear" w:color="auto" w:fill="auto"/>
          </w:tcPr>
          <w:p w14:paraId="479577E4" w14:textId="77777777" w:rsidR="006E59E1" w:rsidRPr="00471B25" w:rsidRDefault="006E59E1" w:rsidP="00471B25">
            <w:pPr>
              <w:spacing w:before="40" w:after="120"/>
              <w:ind w:right="113"/>
              <w:rPr>
                <w:lang w:eastAsia="en-US"/>
              </w:rPr>
            </w:pPr>
            <w:r w:rsidRPr="00471B25">
              <w:rPr>
                <w:lang w:eastAsia="en-US"/>
              </w:rPr>
              <w:t>Started Sept. 2014/closed Aug. 2023</w:t>
            </w:r>
          </w:p>
        </w:tc>
        <w:tc>
          <w:tcPr>
            <w:tcW w:w="2704" w:type="dxa"/>
            <w:shd w:val="clear" w:color="auto" w:fill="auto"/>
          </w:tcPr>
          <w:p w14:paraId="4C254CDB" w14:textId="77777777" w:rsidR="006E59E1" w:rsidRPr="00471B25" w:rsidRDefault="006E59E1" w:rsidP="00471B25">
            <w:pPr>
              <w:spacing w:before="40" w:after="120"/>
              <w:ind w:right="113"/>
              <w:rPr>
                <w:lang w:val="en-US" w:eastAsia="en-US"/>
              </w:rPr>
            </w:pPr>
            <w:r w:rsidRPr="00471B25">
              <w:rPr>
                <w:lang w:val="en-US" w:eastAsia="en-US"/>
              </w:rPr>
              <w:t>Lifetime extension of Borssele NPP</w:t>
            </w:r>
          </w:p>
        </w:tc>
      </w:tr>
      <w:tr w:rsidR="00547000" w:rsidRPr="00471B25" w14:paraId="6AEB0DE6" w14:textId="77777777" w:rsidTr="00547000">
        <w:tc>
          <w:tcPr>
            <w:tcW w:w="1868" w:type="dxa"/>
            <w:shd w:val="clear" w:color="auto" w:fill="auto"/>
          </w:tcPr>
          <w:p w14:paraId="471295E4" w14:textId="77777777" w:rsidR="006E59E1" w:rsidRPr="00471B25" w:rsidRDefault="006E59E1" w:rsidP="00471B25">
            <w:pPr>
              <w:spacing w:before="40" w:after="120"/>
              <w:ind w:right="113"/>
              <w:rPr>
                <w:lang w:eastAsia="en-US"/>
              </w:rPr>
            </w:pPr>
            <w:r w:rsidRPr="00471B25">
              <w:rPr>
                <w:lang w:eastAsia="en-US"/>
              </w:rPr>
              <w:t>EIA/IC/INFO/16</w:t>
            </w:r>
          </w:p>
        </w:tc>
        <w:tc>
          <w:tcPr>
            <w:tcW w:w="1336" w:type="dxa"/>
            <w:shd w:val="clear" w:color="auto" w:fill="auto"/>
          </w:tcPr>
          <w:p w14:paraId="2F0D35A1" w14:textId="77777777" w:rsidR="006E59E1" w:rsidRPr="00471B25" w:rsidRDefault="006E59E1" w:rsidP="00471B25">
            <w:pPr>
              <w:spacing w:before="40" w:after="120"/>
              <w:ind w:right="113"/>
              <w:rPr>
                <w:lang w:eastAsia="en-US"/>
              </w:rPr>
            </w:pPr>
            <w:r w:rsidRPr="00471B25">
              <w:rPr>
                <w:lang w:eastAsia="en-US"/>
              </w:rPr>
              <w:t>Bosnia and Herzegovina</w:t>
            </w:r>
          </w:p>
        </w:tc>
        <w:tc>
          <w:tcPr>
            <w:tcW w:w="1747" w:type="dxa"/>
            <w:shd w:val="clear" w:color="auto" w:fill="auto"/>
          </w:tcPr>
          <w:p w14:paraId="28CF2740" w14:textId="77777777" w:rsidR="006E59E1" w:rsidRPr="00471B25" w:rsidRDefault="006E59E1" w:rsidP="00471B25">
            <w:pPr>
              <w:spacing w:before="40" w:after="120"/>
              <w:ind w:right="113"/>
              <w:rPr>
                <w:lang w:eastAsia="en-US"/>
              </w:rPr>
            </w:pPr>
            <w:r w:rsidRPr="00471B25">
              <w:rPr>
                <w:lang w:eastAsia="en-US"/>
              </w:rPr>
              <w:t>Closed Feb. 2021</w:t>
            </w:r>
          </w:p>
        </w:tc>
        <w:tc>
          <w:tcPr>
            <w:tcW w:w="2704" w:type="dxa"/>
            <w:shd w:val="clear" w:color="auto" w:fill="auto"/>
          </w:tcPr>
          <w:p w14:paraId="554C4B21" w14:textId="15235C4B" w:rsidR="006E59E1" w:rsidRPr="00471B25" w:rsidRDefault="006E59E1" w:rsidP="00825045">
            <w:pPr>
              <w:spacing w:before="40" w:after="120"/>
              <w:ind w:right="113"/>
              <w:rPr>
                <w:lang w:val="en-US" w:eastAsia="en-US"/>
              </w:rPr>
            </w:pPr>
            <w:r w:rsidRPr="00471B25">
              <w:rPr>
                <w:lang w:val="en-US" w:eastAsia="en-US"/>
              </w:rPr>
              <w:t>Construction of Ugljevik TPP</w:t>
            </w:r>
          </w:p>
        </w:tc>
      </w:tr>
      <w:tr w:rsidR="00547000" w:rsidRPr="00471B25" w14:paraId="40ADB2B6" w14:textId="77777777" w:rsidTr="009E378B">
        <w:tc>
          <w:tcPr>
            <w:tcW w:w="1868" w:type="dxa"/>
            <w:shd w:val="clear" w:color="auto" w:fill="auto"/>
          </w:tcPr>
          <w:p w14:paraId="56811362" w14:textId="77777777" w:rsidR="006E59E1" w:rsidRPr="00471B25" w:rsidRDefault="006E59E1" w:rsidP="00471B25">
            <w:pPr>
              <w:spacing w:before="40" w:after="120"/>
              <w:ind w:right="113"/>
              <w:rPr>
                <w:lang w:eastAsia="en-US"/>
              </w:rPr>
            </w:pPr>
            <w:r w:rsidRPr="00471B25">
              <w:rPr>
                <w:lang w:eastAsia="en-US"/>
              </w:rPr>
              <w:t xml:space="preserve">EIA/IC/INFO/18  </w:t>
            </w:r>
          </w:p>
        </w:tc>
        <w:tc>
          <w:tcPr>
            <w:tcW w:w="1336" w:type="dxa"/>
            <w:shd w:val="clear" w:color="auto" w:fill="auto"/>
          </w:tcPr>
          <w:p w14:paraId="30D186EC" w14:textId="77777777" w:rsidR="006E59E1" w:rsidRPr="00471B25" w:rsidRDefault="006E59E1" w:rsidP="00471B25">
            <w:pPr>
              <w:spacing w:before="40" w:after="120"/>
              <w:ind w:right="113"/>
              <w:rPr>
                <w:lang w:eastAsia="en-US"/>
              </w:rPr>
            </w:pPr>
            <w:r w:rsidRPr="00471B25">
              <w:rPr>
                <w:lang w:eastAsia="en-US"/>
              </w:rPr>
              <w:t>Belgium</w:t>
            </w:r>
          </w:p>
        </w:tc>
        <w:tc>
          <w:tcPr>
            <w:tcW w:w="1747" w:type="dxa"/>
            <w:shd w:val="clear" w:color="auto" w:fill="auto"/>
          </w:tcPr>
          <w:p w14:paraId="7131C9EC" w14:textId="764CA70F" w:rsidR="006E59E1" w:rsidRPr="00471B25" w:rsidRDefault="006E59E1" w:rsidP="00471B25">
            <w:pPr>
              <w:spacing w:before="40" w:after="120"/>
              <w:ind w:right="113"/>
              <w:rPr>
                <w:lang w:val="en-US" w:eastAsia="en-US"/>
              </w:rPr>
            </w:pPr>
            <w:r w:rsidRPr="00471B25">
              <w:rPr>
                <w:lang w:val="en-US" w:eastAsia="en-US"/>
              </w:rPr>
              <w:t>Started Sept. 2016/closed Oct. 2022/led to EIA/IC/CI/9</w:t>
            </w:r>
            <w:r w:rsidR="008E21F5" w:rsidRPr="008E21F5">
              <w:rPr>
                <w:vertAlign w:val="superscript"/>
                <w:lang w:val="en-US" w:eastAsia="en-US"/>
              </w:rPr>
              <w:t>a</w:t>
            </w:r>
          </w:p>
        </w:tc>
        <w:tc>
          <w:tcPr>
            <w:tcW w:w="2704" w:type="dxa"/>
            <w:shd w:val="clear" w:color="auto" w:fill="auto"/>
          </w:tcPr>
          <w:p w14:paraId="1E1C59CC" w14:textId="77777777" w:rsidR="006E59E1" w:rsidRPr="00471B25" w:rsidRDefault="006E59E1" w:rsidP="00471B25">
            <w:pPr>
              <w:spacing w:before="40" w:after="120"/>
              <w:ind w:right="113"/>
              <w:rPr>
                <w:lang w:val="en-US" w:eastAsia="en-US"/>
              </w:rPr>
            </w:pPr>
            <w:r w:rsidRPr="00471B25">
              <w:rPr>
                <w:lang w:val="en-US" w:eastAsia="en-US"/>
              </w:rPr>
              <w:t xml:space="preserve">Lifetime extension of Doel and Tihange NPPs </w:t>
            </w:r>
          </w:p>
        </w:tc>
      </w:tr>
      <w:tr w:rsidR="00547000" w:rsidRPr="00471B25" w14:paraId="742E61BE" w14:textId="77777777" w:rsidTr="009E378B">
        <w:tc>
          <w:tcPr>
            <w:tcW w:w="1868" w:type="dxa"/>
            <w:shd w:val="clear" w:color="auto" w:fill="auto"/>
          </w:tcPr>
          <w:p w14:paraId="62ADD485" w14:textId="77777777" w:rsidR="006E59E1" w:rsidRPr="00471B25" w:rsidRDefault="006E59E1" w:rsidP="00471B25">
            <w:pPr>
              <w:spacing w:before="40" w:after="120"/>
              <w:ind w:right="113"/>
              <w:rPr>
                <w:lang w:eastAsia="en-US"/>
              </w:rPr>
            </w:pPr>
            <w:r w:rsidRPr="00471B25">
              <w:rPr>
                <w:lang w:eastAsia="en-US"/>
              </w:rPr>
              <w:t>EIA/IC/INFO/19</w:t>
            </w:r>
          </w:p>
        </w:tc>
        <w:tc>
          <w:tcPr>
            <w:tcW w:w="1336" w:type="dxa"/>
            <w:shd w:val="clear" w:color="auto" w:fill="auto"/>
          </w:tcPr>
          <w:p w14:paraId="41BEDB71" w14:textId="77777777" w:rsidR="006E59E1" w:rsidRPr="00471B25" w:rsidRDefault="006E59E1" w:rsidP="00471B25">
            <w:pPr>
              <w:spacing w:before="40" w:after="120"/>
              <w:ind w:right="113"/>
              <w:rPr>
                <w:lang w:eastAsia="en-US"/>
              </w:rPr>
            </w:pPr>
            <w:r w:rsidRPr="00471B25">
              <w:rPr>
                <w:lang w:eastAsia="en-US"/>
              </w:rPr>
              <w:t>Czechia</w:t>
            </w:r>
          </w:p>
        </w:tc>
        <w:tc>
          <w:tcPr>
            <w:tcW w:w="1747" w:type="dxa"/>
            <w:shd w:val="clear" w:color="auto" w:fill="auto"/>
          </w:tcPr>
          <w:p w14:paraId="51F551D2" w14:textId="2A335445" w:rsidR="006E59E1" w:rsidRPr="00471B25" w:rsidRDefault="006E59E1" w:rsidP="00471B25">
            <w:pPr>
              <w:spacing w:before="40" w:after="120"/>
              <w:ind w:right="113"/>
              <w:rPr>
                <w:lang w:val="en-US" w:eastAsia="en-US"/>
              </w:rPr>
            </w:pPr>
            <w:r w:rsidRPr="00471B25">
              <w:rPr>
                <w:lang w:val="en-US" w:eastAsia="en-US"/>
              </w:rPr>
              <w:t>Started Mar. 2016/closed Mar. 2022/led to EIA/IC/CI/10</w:t>
            </w:r>
            <w:r w:rsidR="009E378B">
              <w:rPr>
                <w:vertAlign w:val="superscript"/>
                <w:lang w:val="en-US" w:eastAsia="en-US"/>
              </w:rPr>
              <w:t>a</w:t>
            </w:r>
          </w:p>
        </w:tc>
        <w:tc>
          <w:tcPr>
            <w:tcW w:w="2704" w:type="dxa"/>
            <w:shd w:val="clear" w:color="auto" w:fill="auto"/>
          </w:tcPr>
          <w:p w14:paraId="4B50C1FA" w14:textId="77777777" w:rsidR="006E59E1" w:rsidRPr="00471B25" w:rsidRDefault="006E59E1" w:rsidP="00471B25">
            <w:pPr>
              <w:spacing w:before="40" w:after="120"/>
              <w:ind w:right="113"/>
              <w:rPr>
                <w:lang w:val="en-US" w:eastAsia="en-US"/>
              </w:rPr>
            </w:pPr>
            <w:r w:rsidRPr="00471B25">
              <w:rPr>
                <w:lang w:val="en-US" w:eastAsia="en-US"/>
              </w:rPr>
              <w:t>Lifetime extension of Dukovany NPP</w:t>
            </w:r>
          </w:p>
        </w:tc>
      </w:tr>
      <w:tr w:rsidR="00547000" w:rsidRPr="00471B25" w14:paraId="028C1849" w14:textId="77777777" w:rsidTr="009E378B">
        <w:tc>
          <w:tcPr>
            <w:tcW w:w="1868" w:type="dxa"/>
            <w:shd w:val="clear" w:color="auto" w:fill="auto"/>
          </w:tcPr>
          <w:p w14:paraId="3268B2A1" w14:textId="77777777" w:rsidR="006E59E1" w:rsidRPr="00471B25" w:rsidRDefault="006E59E1" w:rsidP="00471B25">
            <w:pPr>
              <w:spacing w:before="40" w:after="120"/>
              <w:ind w:right="113"/>
              <w:rPr>
                <w:lang w:eastAsia="en-US"/>
              </w:rPr>
            </w:pPr>
            <w:r w:rsidRPr="00471B25">
              <w:rPr>
                <w:lang w:eastAsia="en-US"/>
              </w:rPr>
              <w:t>EIA/IC/INFO/20</w:t>
            </w:r>
          </w:p>
        </w:tc>
        <w:tc>
          <w:tcPr>
            <w:tcW w:w="1336" w:type="dxa"/>
            <w:shd w:val="clear" w:color="auto" w:fill="auto"/>
          </w:tcPr>
          <w:p w14:paraId="7599A706" w14:textId="77777777" w:rsidR="006E59E1" w:rsidRPr="00471B25" w:rsidRDefault="006E59E1" w:rsidP="00471B25">
            <w:pPr>
              <w:spacing w:before="40" w:after="120"/>
              <w:ind w:right="113"/>
              <w:rPr>
                <w:lang w:eastAsia="en-US"/>
              </w:rPr>
            </w:pPr>
            <w:r w:rsidRPr="00471B25">
              <w:rPr>
                <w:lang w:eastAsia="en-US"/>
              </w:rPr>
              <w:t>Ukraine</w:t>
            </w:r>
          </w:p>
        </w:tc>
        <w:tc>
          <w:tcPr>
            <w:tcW w:w="1747" w:type="dxa"/>
            <w:shd w:val="clear" w:color="auto" w:fill="auto"/>
          </w:tcPr>
          <w:p w14:paraId="22A97789" w14:textId="77777777" w:rsidR="006E59E1" w:rsidRPr="00471B25" w:rsidRDefault="006E59E1" w:rsidP="00471B25">
            <w:pPr>
              <w:spacing w:before="40" w:after="120"/>
              <w:ind w:right="113"/>
              <w:rPr>
                <w:lang w:eastAsia="en-US"/>
              </w:rPr>
            </w:pPr>
            <w:r w:rsidRPr="00471B25">
              <w:rPr>
                <w:lang w:eastAsia="en-US"/>
              </w:rPr>
              <w:t>Ongoing since Sept. 2016</w:t>
            </w:r>
          </w:p>
        </w:tc>
        <w:tc>
          <w:tcPr>
            <w:tcW w:w="2704" w:type="dxa"/>
            <w:shd w:val="clear" w:color="auto" w:fill="auto"/>
          </w:tcPr>
          <w:p w14:paraId="5A5B7B0A" w14:textId="77777777" w:rsidR="006E59E1" w:rsidRPr="00471B25" w:rsidRDefault="006E59E1" w:rsidP="00471B25">
            <w:pPr>
              <w:spacing w:before="40" w:after="120"/>
              <w:ind w:right="113"/>
              <w:rPr>
                <w:lang w:val="en-US" w:eastAsia="en-US"/>
              </w:rPr>
            </w:pPr>
            <w:r w:rsidRPr="00471B25">
              <w:rPr>
                <w:lang w:val="en-US" w:eastAsia="en-US"/>
              </w:rPr>
              <w:t xml:space="preserve">Lifetime extension of 12 units at Rivne, South Ukrainian, </w:t>
            </w:r>
            <w:proofErr w:type="spellStart"/>
            <w:r w:rsidRPr="00471B25">
              <w:rPr>
                <w:lang w:val="en-US" w:eastAsia="en-US"/>
              </w:rPr>
              <w:t>Zaporizhia</w:t>
            </w:r>
            <w:proofErr w:type="spellEnd"/>
            <w:r w:rsidRPr="00471B25">
              <w:rPr>
                <w:lang w:val="en-US" w:eastAsia="en-US"/>
              </w:rPr>
              <w:t xml:space="preserve"> and Khmelnitsky NPPs</w:t>
            </w:r>
          </w:p>
        </w:tc>
      </w:tr>
      <w:tr w:rsidR="00547000" w:rsidRPr="00471B25" w14:paraId="6BDDBAE6" w14:textId="77777777" w:rsidTr="009E378B">
        <w:tc>
          <w:tcPr>
            <w:tcW w:w="1868" w:type="dxa"/>
            <w:shd w:val="clear" w:color="auto" w:fill="auto"/>
          </w:tcPr>
          <w:p w14:paraId="538C6057" w14:textId="77777777" w:rsidR="006E59E1" w:rsidRPr="00471B25" w:rsidRDefault="006E59E1" w:rsidP="00471B25">
            <w:pPr>
              <w:spacing w:before="40" w:after="120"/>
              <w:ind w:right="113"/>
              <w:rPr>
                <w:lang w:eastAsia="en-US"/>
              </w:rPr>
            </w:pPr>
            <w:r w:rsidRPr="00471B25">
              <w:rPr>
                <w:lang w:eastAsia="en-US"/>
              </w:rPr>
              <w:t>EIA/IC/INFO/21</w:t>
            </w:r>
          </w:p>
        </w:tc>
        <w:tc>
          <w:tcPr>
            <w:tcW w:w="1336" w:type="dxa"/>
            <w:shd w:val="clear" w:color="auto" w:fill="auto"/>
          </w:tcPr>
          <w:p w14:paraId="4B58CFCF" w14:textId="77777777" w:rsidR="006E59E1" w:rsidRPr="00471B25" w:rsidRDefault="006E59E1" w:rsidP="00471B25">
            <w:pPr>
              <w:spacing w:before="40" w:after="120"/>
              <w:ind w:right="113"/>
              <w:rPr>
                <w:lang w:eastAsia="en-US"/>
              </w:rPr>
            </w:pPr>
            <w:r w:rsidRPr="00471B25">
              <w:rPr>
                <w:lang w:eastAsia="en-US"/>
              </w:rPr>
              <w:t>Belarus</w:t>
            </w:r>
          </w:p>
        </w:tc>
        <w:tc>
          <w:tcPr>
            <w:tcW w:w="1747" w:type="dxa"/>
            <w:shd w:val="clear" w:color="auto" w:fill="auto"/>
          </w:tcPr>
          <w:p w14:paraId="29291FC0" w14:textId="703ABE82" w:rsidR="006E59E1" w:rsidRPr="00471B25" w:rsidRDefault="006E59E1" w:rsidP="00471B25">
            <w:pPr>
              <w:spacing w:before="40" w:after="120"/>
              <w:ind w:right="113"/>
              <w:rPr>
                <w:lang w:val="en-US" w:eastAsia="en-US"/>
              </w:rPr>
            </w:pPr>
            <w:r w:rsidRPr="00471B25">
              <w:rPr>
                <w:lang w:val="en-US" w:eastAsia="en-US"/>
              </w:rPr>
              <w:t>Started Sept. 2017/closed May 2023/led to EIA/IC/CI/11</w:t>
            </w:r>
            <w:r w:rsidR="006E39F2">
              <w:rPr>
                <w:vertAlign w:val="superscript"/>
                <w:lang w:val="en-US" w:eastAsia="en-US"/>
              </w:rPr>
              <w:t>a</w:t>
            </w:r>
          </w:p>
        </w:tc>
        <w:tc>
          <w:tcPr>
            <w:tcW w:w="2704" w:type="dxa"/>
            <w:shd w:val="clear" w:color="auto" w:fill="auto"/>
          </w:tcPr>
          <w:p w14:paraId="7530CAB7" w14:textId="4BC68C11" w:rsidR="006E59E1" w:rsidRPr="00471B25" w:rsidRDefault="006E59E1" w:rsidP="00A23071">
            <w:pPr>
              <w:spacing w:before="40" w:after="120"/>
              <w:ind w:right="113"/>
              <w:rPr>
                <w:lang w:val="en-US" w:eastAsia="en-US"/>
              </w:rPr>
            </w:pPr>
            <w:r w:rsidRPr="00471B25">
              <w:rPr>
                <w:lang w:val="en-US" w:eastAsia="en-US"/>
              </w:rPr>
              <w:t xml:space="preserve">Compliance with Convention of Law and regulations of Belarus on environmental impact assessment, strategic </w:t>
            </w:r>
            <w:r w:rsidRPr="00471B25">
              <w:rPr>
                <w:lang w:val="en-US" w:eastAsia="en-US"/>
              </w:rPr>
              <w:lastRenderedPageBreak/>
              <w:t xml:space="preserve">environmental </w:t>
            </w:r>
            <w:proofErr w:type="gramStart"/>
            <w:r w:rsidRPr="00471B25">
              <w:rPr>
                <w:lang w:val="en-US" w:eastAsia="en-US"/>
              </w:rPr>
              <w:t>assessment</w:t>
            </w:r>
            <w:proofErr w:type="gramEnd"/>
            <w:r w:rsidRPr="00471B25">
              <w:rPr>
                <w:lang w:val="en-US" w:eastAsia="en-US"/>
              </w:rPr>
              <w:t xml:space="preserve"> and State ecological expertise </w:t>
            </w:r>
          </w:p>
        </w:tc>
      </w:tr>
      <w:tr w:rsidR="00547000" w:rsidRPr="00471B25" w14:paraId="67E6F949" w14:textId="77777777" w:rsidTr="009E378B">
        <w:tc>
          <w:tcPr>
            <w:tcW w:w="1868" w:type="dxa"/>
            <w:shd w:val="clear" w:color="auto" w:fill="auto"/>
          </w:tcPr>
          <w:p w14:paraId="34580377" w14:textId="77777777" w:rsidR="006E59E1" w:rsidRPr="00471B25" w:rsidRDefault="006E59E1" w:rsidP="00471B25">
            <w:pPr>
              <w:spacing w:before="40" w:after="120"/>
              <w:ind w:right="113"/>
              <w:rPr>
                <w:lang w:eastAsia="en-US"/>
              </w:rPr>
            </w:pPr>
            <w:r w:rsidRPr="00471B25">
              <w:rPr>
                <w:lang w:eastAsia="en-US"/>
              </w:rPr>
              <w:lastRenderedPageBreak/>
              <w:t>EIA/IC/INFO/23</w:t>
            </w:r>
          </w:p>
        </w:tc>
        <w:tc>
          <w:tcPr>
            <w:tcW w:w="1336" w:type="dxa"/>
            <w:shd w:val="clear" w:color="auto" w:fill="auto"/>
          </w:tcPr>
          <w:p w14:paraId="2F89B417" w14:textId="77777777" w:rsidR="006E59E1" w:rsidRPr="00471B25" w:rsidRDefault="006E59E1" w:rsidP="00471B25">
            <w:pPr>
              <w:spacing w:before="40" w:after="120"/>
              <w:ind w:right="113"/>
              <w:rPr>
                <w:lang w:eastAsia="en-US"/>
              </w:rPr>
            </w:pPr>
            <w:r w:rsidRPr="00471B25">
              <w:rPr>
                <w:lang w:eastAsia="en-US"/>
              </w:rPr>
              <w:t>Bosnia and Herzegovina</w:t>
            </w:r>
          </w:p>
        </w:tc>
        <w:tc>
          <w:tcPr>
            <w:tcW w:w="1747" w:type="dxa"/>
            <w:shd w:val="clear" w:color="auto" w:fill="auto"/>
          </w:tcPr>
          <w:p w14:paraId="50CE9140" w14:textId="77777777" w:rsidR="006E59E1" w:rsidRPr="00471B25" w:rsidRDefault="006E59E1" w:rsidP="00471B25">
            <w:pPr>
              <w:spacing w:before="40" w:after="120"/>
              <w:ind w:right="113"/>
              <w:rPr>
                <w:lang w:eastAsia="en-US"/>
              </w:rPr>
            </w:pPr>
            <w:r w:rsidRPr="00471B25">
              <w:rPr>
                <w:lang w:eastAsia="en-US"/>
              </w:rPr>
              <w:t>Closed May 2021</w:t>
            </w:r>
          </w:p>
        </w:tc>
        <w:tc>
          <w:tcPr>
            <w:tcW w:w="2704" w:type="dxa"/>
            <w:shd w:val="clear" w:color="auto" w:fill="auto"/>
          </w:tcPr>
          <w:p w14:paraId="1FA71540" w14:textId="77777777" w:rsidR="006E59E1" w:rsidRPr="00471B25" w:rsidRDefault="006E59E1" w:rsidP="00471B25">
            <w:pPr>
              <w:spacing w:before="40" w:after="120"/>
              <w:ind w:right="113"/>
              <w:rPr>
                <w:lang w:val="en-US" w:eastAsia="en-US"/>
              </w:rPr>
            </w:pPr>
            <w:r w:rsidRPr="00471B25">
              <w:rPr>
                <w:lang w:val="en-US" w:eastAsia="en-US"/>
              </w:rPr>
              <w:t xml:space="preserve">Construction of </w:t>
            </w:r>
            <w:proofErr w:type="spellStart"/>
            <w:r w:rsidRPr="00471B25">
              <w:rPr>
                <w:lang w:val="en-US" w:eastAsia="en-US"/>
              </w:rPr>
              <w:t>Banovići</w:t>
            </w:r>
            <w:proofErr w:type="spellEnd"/>
            <w:r w:rsidRPr="00471B25">
              <w:rPr>
                <w:lang w:val="en-US" w:eastAsia="en-US"/>
              </w:rPr>
              <w:t xml:space="preserve"> TPP </w:t>
            </w:r>
          </w:p>
        </w:tc>
      </w:tr>
      <w:tr w:rsidR="00547000" w:rsidRPr="00471B25" w14:paraId="45FA1644" w14:textId="77777777" w:rsidTr="009E378B">
        <w:tc>
          <w:tcPr>
            <w:tcW w:w="1868" w:type="dxa"/>
            <w:shd w:val="clear" w:color="auto" w:fill="auto"/>
          </w:tcPr>
          <w:p w14:paraId="22F658D6" w14:textId="77777777" w:rsidR="006E59E1" w:rsidRPr="00471B25" w:rsidRDefault="006E59E1" w:rsidP="00471B25">
            <w:pPr>
              <w:spacing w:before="40" w:after="120"/>
              <w:ind w:right="113"/>
              <w:rPr>
                <w:lang w:eastAsia="en-US"/>
              </w:rPr>
            </w:pPr>
            <w:r w:rsidRPr="00471B25">
              <w:rPr>
                <w:lang w:eastAsia="en-US"/>
              </w:rPr>
              <w:t>EIA/IC/INFO/24</w:t>
            </w:r>
          </w:p>
        </w:tc>
        <w:tc>
          <w:tcPr>
            <w:tcW w:w="1336" w:type="dxa"/>
            <w:shd w:val="clear" w:color="auto" w:fill="auto"/>
          </w:tcPr>
          <w:p w14:paraId="5FBAD21F" w14:textId="77777777" w:rsidR="006E59E1" w:rsidRPr="00471B25" w:rsidRDefault="006E59E1" w:rsidP="00471B25">
            <w:pPr>
              <w:spacing w:before="40" w:after="120"/>
              <w:ind w:right="113"/>
              <w:rPr>
                <w:lang w:eastAsia="en-US"/>
              </w:rPr>
            </w:pPr>
            <w:r w:rsidRPr="00471B25">
              <w:rPr>
                <w:lang w:eastAsia="en-US"/>
              </w:rPr>
              <w:t>Bosnia and Herzegovina</w:t>
            </w:r>
          </w:p>
        </w:tc>
        <w:tc>
          <w:tcPr>
            <w:tcW w:w="1747" w:type="dxa"/>
            <w:shd w:val="clear" w:color="auto" w:fill="auto"/>
          </w:tcPr>
          <w:p w14:paraId="1D1BDAF0" w14:textId="77777777" w:rsidR="006E59E1" w:rsidRPr="00471B25" w:rsidRDefault="006E59E1" w:rsidP="00471B25">
            <w:pPr>
              <w:spacing w:before="40" w:after="120"/>
              <w:ind w:right="113"/>
              <w:rPr>
                <w:lang w:eastAsia="en-US"/>
              </w:rPr>
            </w:pPr>
            <w:r w:rsidRPr="00471B25">
              <w:rPr>
                <w:lang w:eastAsia="en-US"/>
              </w:rPr>
              <w:t>Closed Oct. 2021</w:t>
            </w:r>
          </w:p>
        </w:tc>
        <w:tc>
          <w:tcPr>
            <w:tcW w:w="2704" w:type="dxa"/>
            <w:shd w:val="clear" w:color="auto" w:fill="auto"/>
          </w:tcPr>
          <w:p w14:paraId="50AADD56" w14:textId="77777777" w:rsidR="006E59E1" w:rsidRPr="00471B25" w:rsidRDefault="006E59E1" w:rsidP="00471B25">
            <w:pPr>
              <w:spacing w:before="40" w:after="120"/>
              <w:ind w:right="113"/>
              <w:rPr>
                <w:lang w:val="en-US" w:eastAsia="en-US"/>
              </w:rPr>
            </w:pPr>
            <w:r w:rsidRPr="00471B25">
              <w:rPr>
                <w:lang w:val="en-US" w:eastAsia="en-US"/>
              </w:rPr>
              <w:t xml:space="preserve">Construction of Tuzla TPP </w:t>
            </w:r>
          </w:p>
        </w:tc>
      </w:tr>
      <w:tr w:rsidR="00547000" w:rsidRPr="00471B25" w14:paraId="4FD9763D" w14:textId="77777777" w:rsidTr="009E378B">
        <w:tc>
          <w:tcPr>
            <w:tcW w:w="1868" w:type="dxa"/>
            <w:shd w:val="clear" w:color="auto" w:fill="auto"/>
          </w:tcPr>
          <w:p w14:paraId="2635095E" w14:textId="77777777" w:rsidR="006E59E1" w:rsidRPr="00471B25" w:rsidRDefault="006E59E1" w:rsidP="00471B25">
            <w:pPr>
              <w:spacing w:before="40" w:after="120"/>
              <w:ind w:right="113"/>
              <w:rPr>
                <w:lang w:eastAsia="en-US"/>
              </w:rPr>
            </w:pPr>
            <w:r w:rsidRPr="00471B25">
              <w:rPr>
                <w:lang w:eastAsia="en-US"/>
              </w:rPr>
              <w:t>EIA/IC/INFO/25</w:t>
            </w:r>
          </w:p>
        </w:tc>
        <w:tc>
          <w:tcPr>
            <w:tcW w:w="1336" w:type="dxa"/>
            <w:shd w:val="clear" w:color="auto" w:fill="auto"/>
          </w:tcPr>
          <w:p w14:paraId="5BB52CBE" w14:textId="77777777" w:rsidR="006E59E1" w:rsidRPr="00471B25" w:rsidRDefault="006E59E1" w:rsidP="00471B25">
            <w:pPr>
              <w:spacing w:before="40" w:after="120"/>
              <w:ind w:right="113"/>
              <w:rPr>
                <w:lang w:eastAsia="en-US"/>
              </w:rPr>
            </w:pPr>
            <w:r w:rsidRPr="00471B25">
              <w:rPr>
                <w:lang w:eastAsia="en-US"/>
              </w:rPr>
              <w:t>Switzerland</w:t>
            </w:r>
          </w:p>
        </w:tc>
        <w:tc>
          <w:tcPr>
            <w:tcW w:w="1747" w:type="dxa"/>
            <w:shd w:val="clear" w:color="auto" w:fill="auto"/>
          </w:tcPr>
          <w:p w14:paraId="50826DCF" w14:textId="77777777" w:rsidR="006E59E1" w:rsidRPr="00471B25" w:rsidRDefault="006E59E1" w:rsidP="00471B25">
            <w:pPr>
              <w:spacing w:before="40" w:after="120"/>
              <w:ind w:right="113"/>
              <w:rPr>
                <w:lang w:eastAsia="en-US"/>
              </w:rPr>
            </w:pPr>
            <w:r w:rsidRPr="00471B25">
              <w:rPr>
                <w:lang w:eastAsia="en-US"/>
              </w:rPr>
              <w:t xml:space="preserve">Closed May 2021 </w:t>
            </w:r>
          </w:p>
        </w:tc>
        <w:tc>
          <w:tcPr>
            <w:tcW w:w="2704" w:type="dxa"/>
            <w:shd w:val="clear" w:color="auto" w:fill="auto"/>
          </w:tcPr>
          <w:p w14:paraId="36BB708C" w14:textId="77777777" w:rsidR="006E59E1" w:rsidRPr="00471B25" w:rsidRDefault="006E59E1" w:rsidP="00471B25">
            <w:pPr>
              <w:spacing w:before="40" w:after="120"/>
              <w:ind w:right="113"/>
              <w:rPr>
                <w:lang w:val="en-US" w:eastAsia="en-US"/>
              </w:rPr>
            </w:pPr>
            <w:r w:rsidRPr="00471B25">
              <w:rPr>
                <w:lang w:val="en-US" w:eastAsia="en-US"/>
              </w:rPr>
              <w:t xml:space="preserve">Construction of runways at and change in operating rules of Zurich Airport </w:t>
            </w:r>
          </w:p>
        </w:tc>
      </w:tr>
      <w:tr w:rsidR="00547000" w:rsidRPr="00471B25" w14:paraId="16C3B1A6" w14:textId="77777777" w:rsidTr="009E378B">
        <w:tc>
          <w:tcPr>
            <w:tcW w:w="1868" w:type="dxa"/>
            <w:shd w:val="clear" w:color="auto" w:fill="auto"/>
          </w:tcPr>
          <w:p w14:paraId="6499D1A8" w14:textId="77777777" w:rsidR="006E59E1" w:rsidRPr="00471B25" w:rsidRDefault="006E59E1" w:rsidP="00471B25">
            <w:pPr>
              <w:spacing w:before="40" w:after="120"/>
              <w:ind w:right="113"/>
              <w:rPr>
                <w:lang w:eastAsia="en-US"/>
              </w:rPr>
            </w:pPr>
            <w:r w:rsidRPr="00471B25">
              <w:rPr>
                <w:lang w:eastAsia="en-US"/>
              </w:rPr>
              <w:t>EIA/IC/INFO/28</w:t>
            </w:r>
          </w:p>
        </w:tc>
        <w:tc>
          <w:tcPr>
            <w:tcW w:w="1336" w:type="dxa"/>
            <w:shd w:val="clear" w:color="auto" w:fill="auto"/>
          </w:tcPr>
          <w:p w14:paraId="7C0D0F84" w14:textId="77777777" w:rsidR="006E59E1" w:rsidRPr="00471B25" w:rsidRDefault="006E59E1" w:rsidP="00471B25">
            <w:pPr>
              <w:spacing w:before="40" w:after="120"/>
              <w:ind w:right="113"/>
              <w:rPr>
                <w:lang w:eastAsia="en-US"/>
              </w:rPr>
            </w:pPr>
            <w:r w:rsidRPr="00471B25">
              <w:rPr>
                <w:lang w:eastAsia="en-US"/>
              </w:rPr>
              <w:t>Bulgaria</w:t>
            </w:r>
          </w:p>
        </w:tc>
        <w:tc>
          <w:tcPr>
            <w:tcW w:w="1747" w:type="dxa"/>
            <w:shd w:val="clear" w:color="auto" w:fill="auto"/>
          </w:tcPr>
          <w:p w14:paraId="1C1933F7" w14:textId="0135AF8E" w:rsidR="006E59E1" w:rsidRPr="00471B25" w:rsidRDefault="006E59E1" w:rsidP="00471B25">
            <w:pPr>
              <w:spacing w:before="40" w:after="120"/>
              <w:ind w:right="113"/>
              <w:rPr>
                <w:lang w:val="en-US" w:eastAsia="en-US"/>
              </w:rPr>
            </w:pPr>
            <w:r w:rsidRPr="00471B25">
              <w:rPr>
                <w:lang w:val="en-US" w:eastAsia="en-US"/>
              </w:rPr>
              <w:t>Started Mar. 2019/closed Mar. 2022/led to EIA/IC/CI/8</w:t>
            </w:r>
            <w:r w:rsidR="009E378B">
              <w:rPr>
                <w:vertAlign w:val="superscript"/>
                <w:lang w:val="en-US" w:eastAsia="en-US"/>
              </w:rPr>
              <w:t>a</w:t>
            </w:r>
          </w:p>
        </w:tc>
        <w:tc>
          <w:tcPr>
            <w:tcW w:w="2704" w:type="dxa"/>
            <w:shd w:val="clear" w:color="auto" w:fill="auto"/>
          </w:tcPr>
          <w:p w14:paraId="0DEB4BB2" w14:textId="77777777" w:rsidR="006E59E1" w:rsidRPr="00471B25" w:rsidRDefault="006E59E1" w:rsidP="00471B25">
            <w:pPr>
              <w:spacing w:before="40" w:after="120"/>
              <w:ind w:right="113"/>
              <w:rPr>
                <w:lang w:val="en-US" w:eastAsia="en-US"/>
              </w:rPr>
            </w:pPr>
            <w:r w:rsidRPr="00471B25">
              <w:rPr>
                <w:lang w:val="en-US" w:eastAsia="en-US"/>
              </w:rPr>
              <w:t>Lifetime extension of Kozloduy NPP</w:t>
            </w:r>
          </w:p>
        </w:tc>
      </w:tr>
      <w:tr w:rsidR="00547000" w:rsidRPr="00471B25" w14:paraId="427A2718" w14:textId="77777777" w:rsidTr="009E378B">
        <w:tc>
          <w:tcPr>
            <w:tcW w:w="1868" w:type="dxa"/>
            <w:shd w:val="clear" w:color="auto" w:fill="auto"/>
          </w:tcPr>
          <w:p w14:paraId="6C82F9CE" w14:textId="77777777" w:rsidR="006E59E1" w:rsidRPr="00471B25" w:rsidRDefault="006E59E1" w:rsidP="00471B25">
            <w:pPr>
              <w:spacing w:before="40" w:after="120"/>
              <w:ind w:right="113"/>
              <w:rPr>
                <w:lang w:eastAsia="en-US"/>
              </w:rPr>
            </w:pPr>
            <w:r w:rsidRPr="00471B25">
              <w:rPr>
                <w:lang w:eastAsia="en-US"/>
              </w:rPr>
              <w:t>EIA/IC/INFO/30</w:t>
            </w:r>
          </w:p>
        </w:tc>
        <w:tc>
          <w:tcPr>
            <w:tcW w:w="1336" w:type="dxa"/>
            <w:shd w:val="clear" w:color="auto" w:fill="auto"/>
          </w:tcPr>
          <w:p w14:paraId="77B63F21" w14:textId="77777777" w:rsidR="006E59E1" w:rsidRPr="00471B25" w:rsidRDefault="006E59E1" w:rsidP="00471B25">
            <w:pPr>
              <w:spacing w:before="40" w:after="120"/>
              <w:ind w:right="113"/>
              <w:rPr>
                <w:lang w:eastAsia="en-US"/>
              </w:rPr>
            </w:pPr>
            <w:r w:rsidRPr="00471B25">
              <w:rPr>
                <w:lang w:eastAsia="en-US"/>
              </w:rPr>
              <w:t>Denmark</w:t>
            </w:r>
          </w:p>
        </w:tc>
        <w:tc>
          <w:tcPr>
            <w:tcW w:w="1747" w:type="dxa"/>
            <w:shd w:val="clear" w:color="auto" w:fill="auto"/>
          </w:tcPr>
          <w:p w14:paraId="25A0D963" w14:textId="77777777" w:rsidR="006E59E1" w:rsidRPr="00471B25" w:rsidRDefault="006E59E1" w:rsidP="00471B25">
            <w:pPr>
              <w:spacing w:before="40" w:after="120"/>
              <w:ind w:right="113"/>
              <w:rPr>
                <w:lang w:eastAsia="en-US"/>
              </w:rPr>
            </w:pPr>
            <w:r w:rsidRPr="00471B25">
              <w:rPr>
                <w:lang w:eastAsia="en-US"/>
              </w:rPr>
              <w:t>Closed Feb. 2021</w:t>
            </w:r>
          </w:p>
        </w:tc>
        <w:tc>
          <w:tcPr>
            <w:tcW w:w="2704" w:type="dxa"/>
            <w:shd w:val="clear" w:color="auto" w:fill="auto"/>
          </w:tcPr>
          <w:p w14:paraId="26C0834F" w14:textId="77777777" w:rsidR="006E59E1" w:rsidRPr="00471B25" w:rsidRDefault="006E59E1" w:rsidP="00471B25">
            <w:pPr>
              <w:spacing w:before="40" w:after="120"/>
              <w:ind w:right="113"/>
              <w:rPr>
                <w:lang w:val="en-US" w:eastAsia="en-US"/>
              </w:rPr>
            </w:pPr>
            <w:r w:rsidRPr="00471B25">
              <w:rPr>
                <w:lang w:val="en-US" w:eastAsia="en-US"/>
              </w:rPr>
              <w:t xml:space="preserve">Nord Stream 2: preconditions for inquiry commission </w:t>
            </w:r>
          </w:p>
        </w:tc>
      </w:tr>
      <w:tr w:rsidR="00547000" w:rsidRPr="00471B25" w14:paraId="69EE5D45" w14:textId="77777777" w:rsidTr="009E378B">
        <w:tc>
          <w:tcPr>
            <w:tcW w:w="1868" w:type="dxa"/>
            <w:shd w:val="clear" w:color="auto" w:fill="auto"/>
          </w:tcPr>
          <w:p w14:paraId="633AA2CD" w14:textId="77777777" w:rsidR="006E59E1" w:rsidRPr="00471B25" w:rsidRDefault="006E59E1" w:rsidP="00471B25">
            <w:pPr>
              <w:spacing w:before="40" w:after="120"/>
              <w:ind w:right="113"/>
              <w:rPr>
                <w:lang w:eastAsia="en-US"/>
              </w:rPr>
            </w:pPr>
            <w:r w:rsidRPr="00471B25">
              <w:rPr>
                <w:lang w:eastAsia="en-US"/>
              </w:rPr>
              <w:t>EIA/IC/INFO/32</w:t>
            </w:r>
          </w:p>
        </w:tc>
        <w:tc>
          <w:tcPr>
            <w:tcW w:w="1336" w:type="dxa"/>
            <w:shd w:val="clear" w:color="auto" w:fill="auto"/>
          </w:tcPr>
          <w:p w14:paraId="5B847F91" w14:textId="77777777" w:rsidR="006E59E1" w:rsidRPr="00471B25" w:rsidRDefault="006E59E1" w:rsidP="00471B25">
            <w:pPr>
              <w:spacing w:before="40" w:after="120"/>
              <w:ind w:right="113"/>
              <w:rPr>
                <w:lang w:eastAsia="en-US"/>
              </w:rPr>
            </w:pPr>
            <w:r w:rsidRPr="00471B25">
              <w:rPr>
                <w:lang w:eastAsia="en-US"/>
              </w:rPr>
              <w:t>France</w:t>
            </w:r>
          </w:p>
        </w:tc>
        <w:tc>
          <w:tcPr>
            <w:tcW w:w="1747" w:type="dxa"/>
            <w:shd w:val="clear" w:color="auto" w:fill="auto"/>
          </w:tcPr>
          <w:p w14:paraId="051EC980" w14:textId="658E476B" w:rsidR="006E59E1" w:rsidRPr="00471B25" w:rsidRDefault="006E59E1" w:rsidP="00471B25">
            <w:pPr>
              <w:spacing w:before="40" w:after="120"/>
              <w:ind w:right="113"/>
              <w:rPr>
                <w:lang w:eastAsia="en-US"/>
              </w:rPr>
            </w:pPr>
            <w:r w:rsidRPr="00471B25">
              <w:rPr>
                <w:lang w:eastAsia="en-US"/>
              </w:rPr>
              <w:t>Started Mar. 2020/closed Sept. 2023/led to EIA/IC/CI/12</w:t>
            </w:r>
            <w:r w:rsidR="009E378B">
              <w:rPr>
                <w:vertAlign w:val="superscript"/>
                <w:lang w:eastAsia="en-US"/>
              </w:rPr>
              <w:t>a</w:t>
            </w:r>
          </w:p>
        </w:tc>
        <w:tc>
          <w:tcPr>
            <w:tcW w:w="2704" w:type="dxa"/>
            <w:shd w:val="clear" w:color="auto" w:fill="auto"/>
          </w:tcPr>
          <w:p w14:paraId="0924F597" w14:textId="77777777" w:rsidR="006E59E1" w:rsidRPr="00471B25" w:rsidRDefault="006E59E1" w:rsidP="00471B25">
            <w:pPr>
              <w:spacing w:before="40" w:after="120"/>
              <w:ind w:right="113"/>
              <w:rPr>
                <w:lang w:val="en-US" w:eastAsia="en-US"/>
              </w:rPr>
            </w:pPr>
            <w:r w:rsidRPr="00471B25">
              <w:rPr>
                <w:lang w:val="en-US" w:eastAsia="en-US"/>
              </w:rPr>
              <w:t>Lifetime extension of 32 units of 8 NPPs</w:t>
            </w:r>
          </w:p>
        </w:tc>
      </w:tr>
      <w:tr w:rsidR="00547000" w:rsidRPr="00471B25" w14:paraId="73125E8A" w14:textId="77777777" w:rsidTr="009E378B">
        <w:tc>
          <w:tcPr>
            <w:tcW w:w="1868" w:type="dxa"/>
            <w:shd w:val="clear" w:color="auto" w:fill="auto"/>
          </w:tcPr>
          <w:p w14:paraId="787D21D7" w14:textId="77777777" w:rsidR="006E59E1" w:rsidRPr="00471B25" w:rsidRDefault="006E59E1" w:rsidP="00471B25">
            <w:pPr>
              <w:spacing w:before="40" w:after="120"/>
              <w:ind w:right="113"/>
              <w:rPr>
                <w:lang w:eastAsia="en-US"/>
              </w:rPr>
            </w:pPr>
            <w:r w:rsidRPr="00471B25">
              <w:rPr>
                <w:lang w:eastAsia="en-US"/>
              </w:rPr>
              <w:t>EIA/IC/INFO/34</w:t>
            </w:r>
          </w:p>
        </w:tc>
        <w:tc>
          <w:tcPr>
            <w:tcW w:w="1336" w:type="dxa"/>
            <w:shd w:val="clear" w:color="auto" w:fill="auto"/>
          </w:tcPr>
          <w:p w14:paraId="73882605" w14:textId="77777777" w:rsidR="006E59E1" w:rsidRPr="00471B25" w:rsidRDefault="006E59E1" w:rsidP="00471B25">
            <w:pPr>
              <w:spacing w:before="40" w:after="120"/>
              <w:ind w:right="113"/>
              <w:rPr>
                <w:lang w:eastAsia="en-US"/>
              </w:rPr>
            </w:pPr>
            <w:r w:rsidRPr="00471B25">
              <w:rPr>
                <w:lang w:eastAsia="en-US"/>
              </w:rPr>
              <w:t>Spain</w:t>
            </w:r>
          </w:p>
        </w:tc>
        <w:tc>
          <w:tcPr>
            <w:tcW w:w="1747" w:type="dxa"/>
            <w:shd w:val="clear" w:color="auto" w:fill="auto"/>
          </w:tcPr>
          <w:p w14:paraId="492783D4" w14:textId="77777777" w:rsidR="006E59E1" w:rsidRPr="00471B25" w:rsidRDefault="006E59E1" w:rsidP="00471B25">
            <w:pPr>
              <w:spacing w:before="40" w:after="120"/>
              <w:ind w:right="113"/>
              <w:rPr>
                <w:lang w:eastAsia="en-US"/>
              </w:rPr>
            </w:pPr>
            <w:r w:rsidRPr="00471B25">
              <w:rPr>
                <w:lang w:eastAsia="en-US"/>
              </w:rPr>
              <w:t>Closed Oct. 2022</w:t>
            </w:r>
          </w:p>
        </w:tc>
        <w:tc>
          <w:tcPr>
            <w:tcW w:w="2704" w:type="dxa"/>
            <w:shd w:val="clear" w:color="auto" w:fill="auto"/>
          </w:tcPr>
          <w:p w14:paraId="0BF93928" w14:textId="77777777" w:rsidR="006E59E1" w:rsidRPr="00471B25" w:rsidRDefault="006E59E1" w:rsidP="00471B25">
            <w:pPr>
              <w:spacing w:before="40" w:after="120"/>
              <w:ind w:right="113"/>
              <w:rPr>
                <w:lang w:val="en-US" w:eastAsia="en-US"/>
              </w:rPr>
            </w:pPr>
            <w:r w:rsidRPr="00471B25">
              <w:rPr>
                <w:lang w:val="en-US" w:eastAsia="en-US"/>
              </w:rPr>
              <w:t>Lifetime extension of Almaraz NPP</w:t>
            </w:r>
          </w:p>
        </w:tc>
      </w:tr>
      <w:tr w:rsidR="00547000" w:rsidRPr="00471B25" w14:paraId="7C8F91B4" w14:textId="77777777" w:rsidTr="009E378B">
        <w:tc>
          <w:tcPr>
            <w:tcW w:w="1868" w:type="dxa"/>
            <w:shd w:val="clear" w:color="auto" w:fill="auto"/>
          </w:tcPr>
          <w:p w14:paraId="22C1B804" w14:textId="77777777" w:rsidR="006E59E1" w:rsidRPr="00471B25" w:rsidRDefault="006E59E1" w:rsidP="00471B25">
            <w:pPr>
              <w:spacing w:before="40" w:after="120"/>
              <w:ind w:right="113"/>
              <w:rPr>
                <w:lang w:eastAsia="en-US"/>
              </w:rPr>
            </w:pPr>
            <w:r w:rsidRPr="00471B25">
              <w:rPr>
                <w:lang w:eastAsia="en-US"/>
              </w:rPr>
              <w:t>EIA/IC/INFO/35</w:t>
            </w:r>
          </w:p>
        </w:tc>
        <w:tc>
          <w:tcPr>
            <w:tcW w:w="1336" w:type="dxa"/>
            <w:shd w:val="clear" w:color="auto" w:fill="auto"/>
          </w:tcPr>
          <w:p w14:paraId="7CBD29DF" w14:textId="77777777" w:rsidR="006E59E1" w:rsidRPr="00471B25" w:rsidRDefault="006E59E1" w:rsidP="00471B25">
            <w:pPr>
              <w:spacing w:before="40" w:after="120"/>
              <w:ind w:right="113"/>
              <w:rPr>
                <w:lang w:eastAsia="en-US"/>
              </w:rPr>
            </w:pPr>
            <w:r w:rsidRPr="00471B25">
              <w:rPr>
                <w:lang w:eastAsia="en-US"/>
              </w:rPr>
              <w:t>Germany</w:t>
            </w:r>
          </w:p>
        </w:tc>
        <w:tc>
          <w:tcPr>
            <w:tcW w:w="1747" w:type="dxa"/>
            <w:shd w:val="clear" w:color="auto" w:fill="auto"/>
          </w:tcPr>
          <w:p w14:paraId="7FFC4798" w14:textId="77777777" w:rsidR="006E59E1" w:rsidRPr="00471B25" w:rsidRDefault="006E59E1" w:rsidP="00471B25">
            <w:pPr>
              <w:spacing w:before="40" w:after="120"/>
              <w:ind w:right="113"/>
              <w:rPr>
                <w:lang w:eastAsia="en-US"/>
              </w:rPr>
            </w:pPr>
            <w:r w:rsidRPr="00471B25">
              <w:rPr>
                <w:lang w:eastAsia="en-US"/>
              </w:rPr>
              <w:t xml:space="preserve">Ongoing since Aug. 2023 </w:t>
            </w:r>
          </w:p>
        </w:tc>
        <w:tc>
          <w:tcPr>
            <w:tcW w:w="2704" w:type="dxa"/>
            <w:shd w:val="clear" w:color="auto" w:fill="auto"/>
          </w:tcPr>
          <w:p w14:paraId="0C538E87" w14:textId="77777777" w:rsidR="006E59E1" w:rsidRPr="00471B25" w:rsidRDefault="006E59E1" w:rsidP="00471B25">
            <w:pPr>
              <w:spacing w:before="40" w:after="120"/>
              <w:ind w:right="113"/>
              <w:rPr>
                <w:lang w:val="en-US" w:eastAsia="en-US"/>
              </w:rPr>
            </w:pPr>
            <w:r w:rsidRPr="00471B25">
              <w:rPr>
                <w:lang w:val="en-US" w:eastAsia="en-US"/>
              </w:rPr>
              <w:t xml:space="preserve">Liquified natural gas project </w:t>
            </w:r>
          </w:p>
        </w:tc>
      </w:tr>
      <w:tr w:rsidR="00547000" w:rsidRPr="00471B25" w14:paraId="37D7F013" w14:textId="77777777" w:rsidTr="009E378B">
        <w:tc>
          <w:tcPr>
            <w:tcW w:w="1868" w:type="dxa"/>
            <w:shd w:val="clear" w:color="auto" w:fill="auto"/>
          </w:tcPr>
          <w:p w14:paraId="2AD59D3B" w14:textId="77777777" w:rsidR="006E59E1" w:rsidRPr="00471B25" w:rsidRDefault="006E59E1" w:rsidP="00471B25">
            <w:pPr>
              <w:spacing w:before="40" w:after="120"/>
              <w:ind w:right="113"/>
              <w:rPr>
                <w:lang w:eastAsia="en-US"/>
              </w:rPr>
            </w:pPr>
            <w:r w:rsidRPr="00471B25">
              <w:rPr>
                <w:lang w:eastAsia="en-US"/>
              </w:rPr>
              <w:t>EIA/IC/INFO/36</w:t>
            </w:r>
          </w:p>
        </w:tc>
        <w:tc>
          <w:tcPr>
            <w:tcW w:w="1336" w:type="dxa"/>
            <w:shd w:val="clear" w:color="auto" w:fill="auto"/>
          </w:tcPr>
          <w:p w14:paraId="5FFD9734" w14:textId="77777777" w:rsidR="006E59E1" w:rsidRPr="00471B25" w:rsidRDefault="006E59E1" w:rsidP="00471B25">
            <w:pPr>
              <w:spacing w:before="40" w:after="120"/>
              <w:ind w:right="113"/>
              <w:rPr>
                <w:lang w:eastAsia="en-US"/>
              </w:rPr>
            </w:pPr>
            <w:r w:rsidRPr="00471B25">
              <w:rPr>
                <w:lang w:eastAsia="en-US"/>
              </w:rPr>
              <w:t>North Macedonia</w:t>
            </w:r>
          </w:p>
        </w:tc>
        <w:tc>
          <w:tcPr>
            <w:tcW w:w="1747" w:type="dxa"/>
            <w:shd w:val="clear" w:color="auto" w:fill="auto"/>
          </w:tcPr>
          <w:p w14:paraId="1E9E9DA1" w14:textId="77777777" w:rsidR="006E59E1" w:rsidRPr="00471B25" w:rsidRDefault="006E59E1" w:rsidP="00471B25">
            <w:pPr>
              <w:spacing w:before="40" w:after="120"/>
              <w:ind w:right="113"/>
              <w:rPr>
                <w:lang w:eastAsia="en-US"/>
              </w:rPr>
            </w:pPr>
            <w:r w:rsidRPr="00471B25">
              <w:rPr>
                <w:lang w:eastAsia="en-US"/>
              </w:rPr>
              <w:t>Ongoing since Aug. 2023</w:t>
            </w:r>
          </w:p>
        </w:tc>
        <w:tc>
          <w:tcPr>
            <w:tcW w:w="2704" w:type="dxa"/>
            <w:shd w:val="clear" w:color="auto" w:fill="auto"/>
          </w:tcPr>
          <w:p w14:paraId="4611E701" w14:textId="77777777" w:rsidR="006E59E1" w:rsidRPr="00471B25" w:rsidRDefault="006E59E1" w:rsidP="00471B25">
            <w:pPr>
              <w:spacing w:before="40" w:after="120"/>
              <w:ind w:right="113"/>
              <w:rPr>
                <w:lang w:val="en-US" w:eastAsia="en-US"/>
              </w:rPr>
            </w:pPr>
            <w:r w:rsidRPr="00471B25">
              <w:rPr>
                <w:lang w:val="en-US" w:eastAsia="en-US"/>
              </w:rPr>
              <w:t>Development of gold-copper mine</w:t>
            </w:r>
          </w:p>
        </w:tc>
      </w:tr>
      <w:tr w:rsidR="00547000" w:rsidRPr="00471B25" w14:paraId="70D6B4D8" w14:textId="77777777" w:rsidTr="009E378B">
        <w:tc>
          <w:tcPr>
            <w:tcW w:w="1868" w:type="dxa"/>
            <w:shd w:val="clear" w:color="auto" w:fill="auto"/>
          </w:tcPr>
          <w:p w14:paraId="7221D327" w14:textId="77777777" w:rsidR="006E59E1" w:rsidRPr="00471B25" w:rsidRDefault="006E59E1" w:rsidP="00471B25">
            <w:pPr>
              <w:spacing w:before="40" w:after="120"/>
              <w:ind w:right="113"/>
              <w:rPr>
                <w:lang w:eastAsia="en-US"/>
              </w:rPr>
            </w:pPr>
            <w:r w:rsidRPr="00471B25">
              <w:rPr>
                <w:lang w:eastAsia="en-US"/>
              </w:rPr>
              <w:t>EIA/IC/INFO/37</w:t>
            </w:r>
          </w:p>
        </w:tc>
        <w:tc>
          <w:tcPr>
            <w:tcW w:w="1336" w:type="dxa"/>
            <w:shd w:val="clear" w:color="auto" w:fill="auto"/>
          </w:tcPr>
          <w:p w14:paraId="16AE7F99" w14:textId="77777777" w:rsidR="006E59E1" w:rsidRPr="00471B25" w:rsidRDefault="006E59E1" w:rsidP="00471B25">
            <w:pPr>
              <w:spacing w:before="40" w:after="120"/>
              <w:ind w:right="113"/>
              <w:rPr>
                <w:lang w:eastAsia="en-US"/>
              </w:rPr>
            </w:pPr>
            <w:r w:rsidRPr="00471B25">
              <w:rPr>
                <w:lang w:eastAsia="en-US"/>
              </w:rPr>
              <w:t>Bulgaria</w:t>
            </w:r>
          </w:p>
        </w:tc>
        <w:tc>
          <w:tcPr>
            <w:tcW w:w="1747" w:type="dxa"/>
            <w:shd w:val="clear" w:color="auto" w:fill="auto"/>
          </w:tcPr>
          <w:p w14:paraId="3F61D0F2" w14:textId="77777777" w:rsidR="006E59E1" w:rsidRPr="00471B25" w:rsidRDefault="006E59E1" w:rsidP="00471B25">
            <w:pPr>
              <w:spacing w:before="40" w:after="120"/>
              <w:ind w:right="113"/>
              <w:rPr>
                <w:lang w:eastAsia="en-US"/>
              </w:rPr>
            </w:pPr>
            <w:r w:rsidRPr="00471B25">
              <w:rPr>
                <w:lang w:eastAsia="en-US"/>
              </w:rPr>
              <w:t>Ongoing since Aug. 2023</w:t>
            </w:r>
          </w:p>
        </w:tc>
        <w:tc>
          <w:tcPr>
            <w:tcW w:w="2704" w:type="dxa"/>
            <w:shd w:val="clear" w:color="auto" w:fill="auto"/>
          </w:tcPr>
          <w:p w14:paraId="2699AEE1" w14:textId="77777777" w:rsidR="006E59E1" w:rsidRPr="00471B25" w:rsidRDefault="006E59E1" w:rsidP="00471B25">
            <w:pPr>
              <w:spacing w:before="40" w:after="120"/>
              <w:ind w:right="113"/>
              <w:rPr>
                <w:lang w:val="en-US" w:eastAsia="en-US"/>
              </w:rPr>
            </w:pPr>
            <w:r w:rsidRPr="00471B25">
              <w:rPr>
                <w:lang w:val="en-US" w:eastAsia="en-US"/>
              </w:rPr>
              <w:t>Mining activities in Bulgaria</w:t>
            </w:r>
          </w:p>
        </w:tc>
      </w:tr>
      <w:tr w:rsidR="00547000" w:rsidRPr="00471B25" w14:paraId="03C47C4E" w14:textId="77777777" w:rsidTr="009E378B">
        <w:tc>
          <w:tcPr>
            <w:tcW w:w="1868" w:type="dxa"/>
            <w:shd w:val="clear" w:color="auto" w:fill="auto"/>
          </w:tcPr>
          <w:p w14:paraId="77E4AAC4" w14:textId="77777777" w:rsidR="006E59E1" w:rsidRPr="00471B25" w:rsidRDefault="006E59E1" w:rsidP="00471B25">
            <w:pPr>
              <w:spacing w:before="40" w:after="120"/>
              <w:ind w:right="113"/>
              <w:rPr>
                <w:lang w:eastAsia="en-US"/>
              </w:rPr>
            </w:pPr>
            <w:r w:rsidRPr="00471B25">
              <w:rPr>
                <w:lang w:eastAsia="en-US"/>
              </w:rPr>
              <w:t>Protocol matters</w:t>
            </w:r>
          </w:p>
        </w:tc>
        <w:tc>
          <w:tcPr>
            <w:tcW w:w="1336" w:type="dxa"/>
            <w:shd w:val="clear" w:color="auto" w:fill="auto"/>
          </w:tcPr>
          <w:p w14:paraId="1A781B6A" w14:textId="77777777" w:rsidR="006E59E1" w:rsidRPr="00471B25" w:rsidRDefault="006E59E1" w:rsidP="00471B25">
            <w:pPr>
              <w:spacing w:before="40" w:after="120"/>
              <w:ind w:right="113"/>
              <w:rPr>
                <w:lang w:eastAsia="en-US"/>
              </w:rPr>
            </w:pPr>
          </w:p>
        </w:tc>
        <w:tc>
          <w:tcPr>
            <w:tcW w:w="1747" w:type="dxa"/>
            <w:shd w:val="clear" w:color="auto" w:fill="auto"/>
          </w:tcPr>
          <w:p w14:paraId="0CC06EE1" w14:textId="77777777" w:rsidR="006E59E1" w:rsidRPr="00471B25" w:rsidRDefault="006E59E1" w:rsidP="00471B25">
            <w:pPr>
              <w:spacing w:before="40" w:after="120"/>
              <w:ind w:right="113"/>
              <w:rPr>
                <w:lang w:eastAsia="en-US"/>
              </w:rPr>
            </w:pPr>
          </w:p>
        </w:tc>
        <w:tc>
          <w:tcPr>
            <w:tcW w:w="2704" w:type="dxa"/>
            <w:shd w:val="clear" w:color="auto" w:fill="auto"/>
          </w:tcPr>
          <w:p w14:paraId="4D6A5826" w14:textId="77777777" w:rsidR="006E59E1" w:rsidRPr="00471B25" w:rsidRDefault="006E59E1" w:rsidP="00471B25">
            <w:pPr>
              <w:spacing w:before="40" w:after="120"/>
              <w:ind w:right="113"/>
              <w:rPr>
                <w:lang w:val="en-US" w:eastAsia="en-US"/>
              </w:rPr>
            </w:pPr>
          </w:p>
        </w:tc>
      </w:tr>
      <w:tr w:rsidR="00547000" w:rsidRPr="00471B25" w14:paraId="52F763ED" w14:textId="77777777" w:rsidTr="009E378B">
        <w:tc>
          <w:tcPr>
            <w:tcW w:w="1868" w:type="dxa"/>
            <w:shd w:val="clear" w:color="auto" w:fill="auto"/>
          </w:tcPr>
          <w:p w14:paraId="23E16F4A" w14:textId="77777777" w:rsidR="006E59E1" w:rsidRPr="00471B25" w:rsidRDefault="006E59E1" w:rsidP="00471B25">
            <w:pPr>
              <w:spacing w:before="40" w:after="120"/>
              <w:ind w:right="113"/>
              <w:rPr>
                <w:lang w:eastAsia="en-US"/>
              </w:rPr>
            </w:pPr>
            <w:r w:rsidRPr="00471B25">
              <w:rPr>
                <w:lang w:eastAsia="en-US"/>
              </w:rPr>
              <w:t>SEA/IC/INFO/4</w:t>
            </w:r>
          </w:p>
        </w:tc>
        <w:tc>
          <w:tcPr>
            <w:tcW w:w="1336" w:type="dxa"/>
            <w:shd w:val="clear" w:color="auto" w:fill="auto"/>
          </w:tcPr>
          <w:p w14:paraId="1A773124" w14:textId="77777777" w:rsidR="006E59E1" w:rsidRPr="00471B25" w:rsidRDefault="006E59E1" w:rsidP="00471B25">
            <w:pPr>
              <w:spacing w:before="40" w:after="120"/>
              <w:ind w:right="113"/>
              <w:rPr>
                <w:lang w:eastAsia="en-US"/>
              </w:rPr>
            </w:pPr>
            <w:r w:rsidRPr="00471B25">
              <w:rPr>
                <w:lang w:eastAsia="en-US"/>
              </w:rPr>
              <w:t>Poland</w:t>
            </w:r>
          </w:p>
        </w:tc>
        <w:tc>
          <w:tcPr>
            <w:tcW w:w="1747" w:type="dxa"/>
            <w:shd w:val="clear" w:color="auto" w:fill="auto"/>
          </w:tcPr>
          <w:p w14:paraId="69A501F3" w14:textId="77777777" w:rsidR="006E59E1" w:rsidRPr="00471B25" w:rsidRDefault="006E59E1" w:rsidP="00471B25">
            <w:pPr>
              <w:spacing w:before="40" w:after="120"/>
              <w:ind w:right="113"/>
              <w:rPr>
                <w:lang w:eastAsia="en-US"/>
              </w:rPr>
            </w:pPr>
            <w:r w:rsidRPr="00471B25">
              <w:rPr>
                <w:lang w:eastAsia="en-US"/>
              </w:rPr>
              <w:t xml:space="preserve">Closed May 2022 </w:t>
            </w:r>
          </w:p>
        </w:tc>
        <w:tc>
          <w:tcPr>
            <w:tcW w:w="2704" w:type="dxa"/>
            <w:shd w:val="clear" w:color="auto" w:fill="auto"/>
          </w:tcPr>
          <w:p w14:paraId="7A48B93D" w14:textId="77777777" w:rsidR="006E59E1" w:rsidRPr="00471B25" w:rsidRDefault="006E59E1" w:rsidP="00471B25">
            <w:pPr>
              <w:spacing w:before="40" w:after="120"/>
              <w:ind w:right="113"/>
              <w:rPr>
                <w:lang w:val="en-US" w:eastAsia="en-US"/>
              </w:rPr>
            </w:pPr>
            <w:r w:rsidRPr="00471B25">
              <w:rPr>
                <w:lang w:val="en-US" w:eastAsia="en-US"/>
              </w:rPr>
              <w:t xml:space="preserve">Energy Policy of Poland until 2040 </w:t>
            </w:r>
          </w:p>
        </w:tc>
      </w:tr>
      <w:tr w:rsidR="00547000" w:rsidRPr="00471B25" w14:paraId="690FA9B1" w14:textId="77777777" w:rsidTr="009E378B">
        <w:tc>
          <w:tcPr>
            <w:tcW w:w="1868" w:type="dxa"/>
            <w:tcBorders>
              <w:bottom w:val="single" w:sz="12" w:space="0" w:color="auto"/>
            </w:tcBorders>
            <w:shd w:val="clear" w:color="auto" w:fill="auto"/>
          </w:tcPr>
          <w:p w14:paraId="77C16438" w14:textId="77777777" w:rsidR="006E59E1" w:rsidRPr="00471B25" w:rsidRDefault="006E59E1" w:rsidP="00471B25">
            <w:pPr>
              <w:spacing w:before="40" w:after="120"/>
              <w:ind w:right="113"/>
              <w:rPr>
                <w:lang w:eastAsia="en-US"/>
              </w:rPr>
            </w:pPr>
            <w:r w:rsidRPr="00471B25">
              <w:rPr>
                <w:lang w:eastAsia="en-US"/>
              </w:rPr>
              <w:t>SEA/IC/INFO/5</w:t>
            </w:r>
          </w:p>
        </w:tc>
        <w:tc>
          <w:tcPr>
            <w:tcW w:w="1336" w:type="dxa"/>
            <w:tcBorders>
              <w:bottom w:val="single" w:sz="12" w:space="0" w:color="auto"/>
            </w:tcBorders>
            <w:shd w:val="clear" w:color="auto" w:fill="auto"/>
          </w:tcPr>
          <w:p w14:paraId="512EB27A" w14:textId="77777777" w:rsidR="006E59E1" w:rsidRPr="00471B25" w:rsidRDefault="006E59E1" w:rsidP="00471B25">
            <w:pPr>
              <w:spacing w:before="40" w:after="120"/>
              <w:ind w:right="113"/>
              <w:rPr>
                <w:lang w:eastAsia="en-US"/>
              </w:rPr>
            </w:pPr>
            <w:r w:rsidRPr="00471B25">
              <w:rPr>
                <w:lang w:eastAsia="en-US"/>
              </w:rPr>
              <w:t>Germany</w:t>
            </w:r>
          </w:p>
        </w:tc>
        <w:tc>
          <w:tcPr>
            <w:tcW w:w="1747" w:type="dxa"/>
            <w:tcBorders>
              <w:bottom w:val="single" w:sz="12" w:space="0" w:color="auto"/>
            </w:tcBorders>
            <w:shd w:val="clear" w:color="auto" w:fill="auto"/>
          </w:tcPr>
          <w:p w14:paraId="0781CF29" w14:textId="77777777" w:rsidR="006E59E1" w:rsidRPr="00471B25" w:rsidRDefault="006E59E1" w:rsidP="00471B25">
            <w:pPr>
              <w:spacing w:before="40" w:after="120"/>
              <w:ind w:right="113"/>
              <w:rPr>
                <w:lang w:eastAsia="en-US"/>
              </w:rPr>
            </w:pPr>
            <w:r w:rsidRPr="00471B25">
              <w:rPr>
                <w:lang w:eastAsia="en-US"/>
              </w:rPr>
              <w:t>Closed Oct. 2022</w:t>
            </w:r>
          </w:p>
        </w:tc>
        <w:tc>
          <w:tcPr>
            <w:tcW w:w="2704" w:type="dxa"/>
            <w:tcBorders>
              <w:bottom w:val="single" w:sz="12" w:space="0" w:color="auto"/>
            </w:tcBorders>
            <w:shd w:val="clear" w:color="auto" w:fill="auto"/>
          </w:tcPr>
          <w:p w14:paraId="19F50D65" w14:textId="77777777" w:rsidR="006E59E1" w:rsidRPr="00471B25" w:rsidRDefault="006E59E1" w:rsidP="00471B25">
            <w:pPr>
              <w:spacing w:before="40" w:after="120"/>
              <w:ind w:right="113"/>
              <w:rPr>
                <w:lang w:val="en-US" w:eastAsia="en-US"/>
              </w:rPr>
            </w:pPr>
            <w:r w:rsidRPr="00471B25">
              <w:rPr>
                <w:lang w:val="en-US" w:eastAsia="en-US"/>
              </w:rPr>
              <w:t>Siting of high-level radioactive waste storage facility</w:t>
            </w:r>
          </w:p>
        </w:tc>
      </w:tr>
    </w:tbl>
    <w:p w14:paraId="47407DE7" w14:textId="2DB5F96C" w:rsidR="006E59E1" w:rsidRPr="006E59E1" w:rsidRDefault="009E378B" w:rsidP="00E40B01">
      <w:pPr>
        <w:keepNext/>
        <w:keepLines/>
        <w:tabs>
          <w:tab w:val="right" w:pos="851"/>
        </w:tabs>
        <w:suppressAutoHyphens/>
        <w:spacing w:before="120" w:after="120" w:line="240" w:lineRule="exact"/>
        <w:ind w:left="1560" w:right="1134"/>
        <w:rPr>
          <w:lang w:eastAsia="en-US"/>
        </w:rPr>
      </w:pPr>
      <w:proofErr w:type="spellStart"/>
      <w:proofErr w:type="gramStart"/>
      <w:r w:rsidRPr="002A272A">
        <w:rPr>
          <w:i/>
          <w:iCs/>
          <w:sz w:val="18"/>
          <w:szCs w:val="18"/>
          <w:vertAlign w:val="superscript"/>
          <w:lang w:eastAsia="en-US"/>
        </w:rPr>
        <w:t>a</w:t>
      </w:r>
      <w:proofErr w:type="spellEnd"/>
      <w:proofErr w:type="gramEnd"/>
      <w:r w:rsidR="002A272A">
        <w:rPr>
          <w:sz w:val="18"/>
          <w:szCs w:val="18"/>
          <w:vertAlign w:val="superscript"/>
          <w:lang w:eastAsia="en-US"/>
        </w:rPr>
        <w:t xml:space="preserve"> </w:t>
      </w:r>
      <w:r w:rsidR="006E59E1" w:rsidRPr="006E59E1">
        <w:rPr>
          <w:sz w:val="18"/>
          <w:szCs w:val="18"/>
          <w:lang w:eastAsia="en-US"/>
        </w:rPr>
        <w:t>Information gathering cases that led to a Committee initiative are summarized in section IV above</w:t>
      </w:r>
      <w:r w:rsidR="006E59E1" w:rsidRPr="006E59E1">
        <w:rPr>
          <w:lang w:eastAsia="en-US"/>
        </w:rPr>
        <w:t xml:space="preserve">.  </w:t>
      </w:r>
    </w:p>
    <w:p w14:paraId="102AF01F" w14:textId="77777777" w:rsidR="006E59E1" w:rsidRPr="006E59E1" w:rsidRDefault="006E59E1" w:rsidP="00E40B01">
      <w:pPr>
        <w:suppressAutoHyphens/>
        <w:ind w:left="1560"/>
        <w:rPr>
          <w:sz w:val="18"/>
          <w:szCs w:val="18"/>
          <w:lang w:eastAsia="en-US"/>
        </w:rPr>
      </w:pPr>
      <w:r w:rsidRPr="006E59E1">
        <w:rPr>
          <w:i/>
          <w:iCs/>
          <w:sz w:val="18"/>
          <w:szCs w:val="18"/>
          <w:lang w:eastAsia="en-US"/>
        </w:rPr>
        <w:t>Abbreviations</w:t>
      </w:r>
      <w:r w:rsidRPr="006E59E1">
        <w:rPr>
          <w:sz w:val="18"/>
          <w:szCs w:val="18"/>
          <w:lang w:eastAsia="en-US"/>
        </w:rPr>
        <w:t>: NPP, nuclear power plant; TPP, thermal power plant.</w:t>
      </w:r>
    </w:p>
    <w:p w14:paraId="788F0AC7" w14:textId="20DBE9B4" w:rsidR="006E59E1" w:rsidRPr="006E59E1" w:rsidRDefault="00437A65" w:rsidP="00437A65">
      <w:pPr>
        <w:pStyle w:val="H1G"/>
        <w:rPr>
          <w:lang w:eastAsia="en-US"/>
        </w:rPr>
      </w:pPr>
      <w:bookmarkStart w:id="60" w:name="_Toc147827461"/>
      <w:bookmarkStart w:id="61" w:name="_Toc138553797"/>
      <w:r>
        <w:rPr>
          <w:lang w:eastAsia="en-US"/>
        </w:rPr>
        <w:tab/>
      </w:r>
      <w:r w:rsidR="006E59E1" w:rsidRPr="006E59E1">
        <w:rPr>
          <w:lang w:eastAsia="en-US"/>
        </w:rPr>
        <w:t>A.</w:t>
      </w:r>
      <w:r w:rsidR="006E59E1" w:rsidRPr="006E59E1">
        <w:rPr>
          <w:lang w:eastAsia="en-US"/>
        </w:rPr>
        <w:tab/>
        <w:t>Convention matters</w:t>
      </w:r>
      <w:bookmarkEnd w:id="60"/>
      <w:bookmarkEnd w:id="61"/>
    </w:p>
    <w:p w14:paraId="229D68F5" w14:textId="79DBF486" w:rsidR="006E59E1" w:rsidRPr="006E59E1" w:rsidRDefault="00437A65" w:rsidP="00437A65">
      <w:pPr>
        <w:pStyle w:val="H23G"/>
        <w:rPr>
          <w:lang w:eastAsia="en-US"/>
        </w:rPr>
      </w:pPr>
      <w:bookmarkStart w:id="62" w:name="_Toc147827462"/>
      <w:bookmarkStart w:id="63" w:name="_Toc1573543808"/>
      <w:r>
        <w:rPr>
          <w:lang w:eastAsia="en-US"/>
        </w:rPr>
        <w:tab/>
      </w:r>
      <w:r w:rsidR="006E59E1" w:rsidRPr="006E59E1">
        <w:rPr>
          <w:lang w:eastAsia="en-US"/>
        </w:rPr>
        <w:t>1.</w:t>
      </w:r>
      <w:r w:rsidR="006E59E1" w:rsidRPr="006E59E1">
        <w:rPr>
          <w:lang w:eastAsia="en-US"/>
        </w:rPr>
        <w:tab/>
        <w:t>Bosnia and Herzegovina</w:t>
      </w:r>
      <w:bookmarkEnd w:id="62"/>
      <w:bookmarkEnd w:id="63"/>
    </w:p>
    <w:p w14:paraId="0BD051CE" w14:textId="30525F85" w:rsidR="006E59E1" w:rsidRPr="006E59E1" w:rsidRDefault="00437A65" w:rsidP="00437A65">
      <w:pPr>
        <w:pStyle w:val="H4G"/>
        <w:rPr>
          <w:lang w:eastAsia="en-US"/>
        </w:rPr>
      </w:pPr>
      <w:r>
        <w:rPr>
          <w:lang w:eastAsia="en-US"/>
        </w:rPr>
        <w:tab/>
      </w:r>
      <w:r>
        <w:rPr>
          <w:lang w:eastAsia="en-US"/>
        </w:rPr>
        <w:tab/>
      </w:r>
      <w:r w:rsidR="006E59E1" w:rsidRPr="006E59E1">
        <w:rPr>
          <w:lang w:eastAsia="en-US"/>
        </w:rPr>
        <w:t>EIA/IC/INFO/16</w:t>
      </w:r>
    </w:p>
    <w:p w14:paraId="51DEF44C" w14:textId="632730C7" w:rsidR="006E59E1" w:rsidRPr="006E59E1" w:rsidRDefault="006E59E1" w:rsidP="00437A65">
      <w:pPr>
        <w:pStyle w:val="SingleTxtG"/>
        <w:rPr>
          <w:lang w:eastAsia="en-US"/>
        </w:rPr>
      </w:pPr>
      <w:r w:rsidRPr="006E59E1">
        <w:rPr>
          <w:lang w:eastAsia="en-US"/>
        </w:rPr>
        <w:t>81.</w:t>
      </w:r>
      <w:r w:rsidRPr="006E59E1">
        <w:rPr>
          <w:lang w:eastAsia="en-US"/>
        </w:rPr>
        <w:tab/>
        <w:t xml:space="preserve">On 18 September 2014, the Committee received information from the Centre for Environment (Bosnia and Herzegovina) concerning the planned construction of a third block for the thermal power plant in Ugljevik (Bosnia and Herzegovina), close to the border with Serbia. The Committee held informal consultations with Bosnia and Herzegovina and Serbia on 29 October 2020. At its fiftieth session, the Committee noted that Serbia, on 27 January </w:t>
      </w:r>
      <w:r w:rsidRPr="006E59E1">
        <w:rPr>
          <w:lang w:eastAsia="en-US"/>
        </w:rPr>
        <w:lastRenderedPageBreak/>
        <w:t>2020, had confirmed its willingness to participate in the transboundary procedure, in response to the preliminary notification regarding the activity by Bosnia and Herzegovina, dated 11 October 2019. The Committee also noted that, in its information of 25 January 2021, Bosnia and Herzegovina had confirmed that it would duly notify neighbouring States when initiating a new administrative procedure to approve the environmental impact study.</w:t>
      </w:r>
      <w:r w:rsidRPr="006E59E1">
        <w:rPr>
          <w:sz w:val="18"/>
          <w:vertAlign w:val="superscript"/>
          <w:lang w:eastAsia="en-US"/>
        </w:rPr>
        <w:footnoteReference w:id="69"/>
      </w:r>
    </w:p>
    <w:p w14:paraId="714EE4BE" w14:textId="7EACBFEC" w:rsidR="006E59E1" w:rsidRPr="006E59E1" w:rsidRDefault="006E59E1" w:rsidP="00F41C72">
      <w:pPr>
        <w:pStyle w:val="SingleTxtG"/>
        <w:rPr>
          <w:lang w:eastAsia="en-US"/>
        </w:rPr>
      </w:pPr>
      <w:r w:rsidRPr="006E59E1">
        <w:rPr>
          <w:lang w:eastAsia="en-US"/>
        </w:rPr>
        <w:t>82.</w:t>
      </w:r>
      <w:r w:rsidRPr="006E59E1">
        <w:rPr>
          <w:lang w:eastAsia="en-US"/>
        </w:rPr>
        <w:tab/>
        <w:t>The Committee concluded that there was no need for it to pursue further its information gathering and expressed recommendations to Bosnia and Herzegovina.</w:t>
      </w:r>
      <w:r w:rsidRPr="006E59E1">
        <w:rPr>
          <w:sz w:val="18"/>
          <w:vertAlign w:val="superscript"/>
          <w:lang w:eastAsia="en-US"/>
        </w:rPr>
        <w:footnoteReference w:id="70"/>
      </w:r>
    </w:p>
    <w:p w14:paraId="1E27AC62" w14:textId="07B97ED1" w:rsidR="00B44D6A" w:rsidRPr="00B44D6A" w:rsidRDefault="00F41C72" w:rsidP="00F41C72">
      <w:pPr>
        <w:pStyle w:val="H4G"/>
        <w:rPr>
          <w:lang w:eastAsia="en-US"/>
        </w:rPr>
      </w:pPr>
      <w:r>
        <w:rPr>
          <w:lang w:eastAsia="en-US"/>
        </w:rPr>
        <w:tab/>
      </w:r>
      <w:r>
        <w:rPr>
          <w:lang w:eastAsia="en-US"/>
        </w:rPr>
        <w:tab/>
      </w:r>
      <w:r w:rsidR="00B44D6A" w:rsidRPr="00B44D6A">
        <w:rPr>
          <w:lang w:eastAsia="en-US"/>
        </w:rPr>
        <w:t>ECE/IC/INFO/23 and ECE/IC/INFO/24</w:t>
      </w:r>
    </w:p>
    <w:p w14:paraId="730CE31F" w14:textId="5621D822" w:rsidR="00B44D6A" w:rsidRPr="00B44D6A" w:rsidRDefault="00B44D6A" w:rsidP="00F41C72">
      <w:pPr>
        <w:pStyle w:val="SingleTxtG"/>
        <w:rPr>
          <w:lang w:eastAsia="en-US"/>
        </w:rPr>
      </w:pPr>
      <w:r w:rsidRPr="00B44D6A">
        <w:rPr>
          <w:lang w:eastAsia="en-US"/>
        </w:rPr>
        <w:t>83.</w:t>
      </w:r>
      <w:r w:rsidRPr="00B44D6A">
        <w:rPr>
          <w:lang w:eastAsia="en-US"/>
        </w:rPr>
        <w:tab/>
        <w:t>On 14 April 2017, the Committee received information from “</w:t>
      </w:r>
      <w:proofErr w:type="spellStart"/>
      <w:r w:rsidRPr="00B44D6A">
        <w:rPr>
          <w:lang w:eastAsia="en-US"/>
        </w:rPr>
        <w:t>Ekotim</w:t>
      </w:r>
      <w:proofErr w:type="spellEnd"/>
      <w:r w:rsidRPr="00B44D6A">
        <w:rPr>
          <w:lang w:eastAsia="en-US"/>
        </w:rPr>
        <w:t xml:space="preserve">” - Society for protection and advancement of environment, </w:t>
      </w:r>
      <w:proofErr w:type="gramStart"/>
      <w:r w:rsidRPr="00B44D6A">
        <w:rPr>
          <w:lang w:eastAsia="en-US"/>
        </w:rPr>
        <w:t>nature</w:t>
      </w:r>
      <w:proofErr w:type="gramEnd"/>
      <w:r w:rsidRPr="00B44D6A">
        <w:rPr>
          <w:lang w:eastAsia="en-US"/>
        </w:rPr>
        <w:t xml:space="preserve"> and health (Bosnia and Herzegovina) regarding the planned construction of two coal power plants close to the borders with Croatia and Serbia, in, respectively, </w:t>
      </w:r>
      <w:proofErr w:type="spellStart"/>
      <w:r w:rsidRPr="00B44D6A">
        <w:rPr>
          <w:lang w:eastAsia="en-US"/>
        </w:rPr>
        <w:t>Banovići</w:t>
      </w:r>
      <w:proofErr w:type="spellEnd"/>
      <w:r w:rsidRPr="00B44D6A">
        <w:rPr>
          <w:lang w:eastAsia="en-US"/>
        </w:rPr>
        <w:t xml:space="preserve"> and Tuzla. The Committee held informal consultations with all three countries on 29 October 2020.</w:t>
      </w:r>
    </w:p>
    <w:p w14:paraId="50720CF4" w14:textId="6D58ADF7" w:rsidR="00B44D6A" w:rsidRPr="00B44D6A" w:rsidRDefault="00B44D6A" w:rsidP="00F41C72">
      <w:pPr>
        <w:pStyle w:val="SingleTxtG"/>
        <w:rPr>
          <w:lang w:eastAsia="en-US"/>
        </w:rPr>
      </w:pPr>
      <w:r w:rsidRPr="00B44D6A">
        <w:rPr>
          <w:lang w:eastAsia="en-US"/>
        </w:rPr>
        <w:t>84.</w:t>
      </w:r>
      <w:r w:rsidRPr="00B44D6A">
        <w:rPr>
          <w:lang w:eastAsia="en-US"/>
        </w:rPr>
        <w:tab/>
        <w:t xml:space="preserve">At its fiftieth session, the Committee noted that the environmental permit for the construction of </w:t>
      </w:r>
      <w:proofErr w:type="spellStart"/>
      <w:r w:rsidRPr="00B44D6A">
        <w:rPr>
          <w:lang w:eastAsia="en-US"/>
        </w:rPr>
        <w:t>Banovići</w:t>
      </w:r>
      <w:proofErr w:type="spellEnd"/>
      <w:r w:rsidRPr="00B44D6A">
        <w:rPr>
          <w:lang w:eastAsia="en-US"/>
        </w:rPr>
        <w:t xml:space="preserve"> power plant had expired, and that Bosnia and Herzegovina had assured the Committee that it would initiate a new procedure in compliance with the Convention and consultations with Croatia and Serbia, should the developer submit a new application. The Committee closed ECE/IC/INFO/23 in May 2021.</w:t>
      </w:r>
      <w:r w:rsidRPr="00B44D6A">
        <w:rPr>
          <w:sz w:val="18"/>
          <w:vertAlign w:val="superscript"/>
          <w:lang w:eastAsia="en-US"/>
        </w:rPr>
        <w:footnoteReference w:id="71"/>
      </w:r>
      <w:r w:rsidRPr="00B44D6A">
        <w:rPr>
          <w:lang w:eastAsia="en-US"/>
        </w:rPr>
        <w:t xml:space="preserve">  </w:t>
      </w:r>
    </w:p>
    <w:p w14:paraId="4267CDAC" w14:textId="7E16DBBB" w:rsidR="00B44D6A" w:rsidRPr="00B44D6A" w:rsidRDefault="00B44D6A" w:rsidP="00F41C72">
      <w:pPr>
        <w:pStyle w:val="SingleTxtG"/>
        <w:rPr>
          <w:lang w:eastAsia="en-US"/>
        </w:rPr>
      </w:pPr>
      <w:r w:rsidRPr="00B44D6A">
        <w:rPr>
          <w:lang w:eastAsia="en-US"/>
        </w:rPr>
        <w:t>85.</w:t>
      </w:r>
      <w:r w:rsidRPr="00B44D6A">
        <w:rPr>
          <w:lang w:eastAsia="en-US"/>
        </w:rPr>
        <w:tab/>
        <w:t xml:space="preserve">Regarding Tuzla power plant, at its fifty-first session, the Committee noted that, following the expiry of the old environmental permit for the activity on 18 July 2021, Bosnia and Herzegovina had initiated a new permitting procedure. On 22 July 2021, it had notified Croatia, </w:t>
      </w:r>
      <w:proofErr w:type="gramStart"/>
      <w:r w:rsidRPr="00B44D6A">
        <w:rPr>
          <w:lang w:eastAsia="en-US"/>
        </w:rPr>
        <w:t>Serbia</w:t>
      </w:r>
      <w:proofErr w:type="gramEnd"/>
      <w:r w:rsidRPr="00B44D6A">
        <w:rPr>
          <w:lang w:eastAsia="en-US"/>
        </w:rPr>
        <w:t xml:space="preserve"> and Montenegro. The Committee concluded that there was no need for it to pursue further its information gathering, closed ECE/IC/INFO/24, and expressed recommendations to Bosnia and Herzegovina.</w:t>
      </w:r>
      <w:r w:rsidRPr="00B44D6A">
        <w:rPr>
          <w:sz w:val="18"/>
          <w:vertAlign w:val="superscript"/>
          <w:lang w:eastAsia="en-US"/>
        </w:rPr>
        <w:footnoteReference w:id="72"/>
      </w:r>
    </w:p>
    <w:p w14:paraId="6E04E7F3" w14:textId="40F4248B" w:rsidR="00B44D6A" w:rsidRPr="00B44D6A" w:rsidRDefault="00F41C72" w:rsidP="00F41C72">
      <w:pPr>
        <w:pStyle w:val="H23G"/>
        <w:rPr>
          <w:lang w:eastAsia="en-US"/>
        </w:rPr>
      </w:pPr>
      <w:bookmarkStart w:id="64" w:name="_Toc147827463"/>
      <w:bookmarkStart w:id="65" w:name="_Toc1942111274"/>
      <w:r>
        <w:rPr>
          <w:lang w:eastAsia="en-US"/>
        </w:rPr>
        <w:tab/>
      </w:r>
      <w:r w:rsidR="00B44D6A" w:rsidRPr="00B44D6A">
        <w:rPr>
          <w:lang w:eastAsia="en-US"/>
        </w:rPr>
        <w:t>2.</w:t>
      </w:r>
      <w:r w:rsidR="00B44D6A" w:rsidRPr="00B44D6A">
        <w:rPr>
          <w:lang w:eastAsia="en-US"/>
        </w:rPr>
        <w:tab/>
        <w:t>Bulgaria</w:t>
      </w:r>
      <w:bookmarkEnd w:id="64"/>
      <w:bookmarkEnd w:id="65"/>
      <w:r w:rsidR="00B44D6A" w:rsidRPr="00B44D6A">
        <w:rPr>
          <w:lang w:eastAsia="en-US"/>
        </w:rPr>
        <w:t xml:space="preserve"> </w:t>
      </w:r>
    </w:p>
    <w:p w14:paraId="2919998B" w14:textId="5CA2FADC" w:rsidR="00B44D6A" w:rsidRPr="00B44D6A" w:rsidRDefault="00F41C72" w:rsidP="00F41C72">
      <w:pPr>
        <w:pStyle w:val="H4G"/>
        <w:rPr>
          <w:lang w:eastAsia="en-US"/>
        </w:rPr>
      </w:pPr>
      <w:r>
        <w:rPr>
          <w:lang w:eastAsia="en-US"/>
        </w:rPr>
        <w:tab/>
      </w:r>
      <w:r>
        <w:rPr>
          <w:lang w:eastAsia="en-US"/>
        </w:rPr>
        <w:tab/>
      </w:r>
      <w:r w:rsidR="00B44D6A" w:rsidRPr="00B44D6A">
        <w:rPr>
          <w:lang w:eastAsia="en-US"/>
        </w:rPr>
        <w:t>EIA/IC/INFO/37</w:t>
      </w:r>
    </w:p>
    <w:p w14:paraId="56241FE5" w14:textId="77777777" w:rsidR="00B44D6A" w:rsidRPr="00B44D6A" w:rsidRDefault="00B44D6A" w:rsidP="00F41C72">
      <w:pPr>
        <w:pStyle w:val="SingleTxtG"/>
        <w:rPr>
          <w:sz w:val="24"/>
          <w:szCs w:val="24"/>
          <w:lang w:eastAsia="zh-CN"/>
        </w:rPr>
      </w:pPr>
      <w:r w:rsidRPr="00B44D6A">
        <w:rPr>
          <w:lang w:eastAsia="zh-CN"/>
        </w:rPr>
        <w:t>86.</w:t>
      </w:r>
      <w:r w:rsidRPr="00B44D6A">
        <w:rPr>
          <w:sz w:val="24"/>
          <w:szCs w:val="24"/>
          <w:lang w:eastAsia="zh-CN"/>
        </w:rPr>
        <w:tab/>
      </w:r>
      <w:r w:rsidRPr="00B44D6A">
        <w:rPr>
          <w:lang w:eastAsia="zh-CN"/>
        </w:rPr>
        <w:t>The Committee began its consideration of information received on 14 August 2023 from the Bulgarian NGO “</w:t>
      </w:r>
      <w:proofErr w:type="spellStart"/>
      <w:r w:rsidRPr="00B44D6A">
        <w:rPr>
          <w:lang w:eastAsia="zh-CN"/>
        </w:rPr>
        <w:t>Balkanka</w:t>
      </w:r>
      <w:proofErr w:type="spellEnd"/>
      <w:r w:rsidRPr="00B44D6A">
        <w:rPr>
          <w:lang w:eastAsia="zh-CN"/>
        </w:rPr>
        <w:t xml:space="preserve"> Association” concerning several planned mining activities in Bulgaria, close to the border with Greece. According to the NGO, the “Ada </w:t>
      </w:r>
      <w:proofErr w:type="spellStart"/>
      <w:r w:rsidRPr="00B44D6A">
        <w:rPr>
          <w:lang w:eastAsia="zh-CN"/>
        </w:rPr>
        <w:t>Tepe</w:t>
      </w:r>
      <w:proofErr w:type="spellEnd"/>
      <w:r w:rsidRPr="00B44D6A">
        <w:rPr>
          <w:lang w:eastAsia="zh-CN"/>
        </w:rPr>
        <w:t>” and “</w:t>
      </w:r>
      <w:proofErr w:type="spellStart"/>
      <w:r w:rsidRPr="00B44D6A">
        <w:rPr>
          <w:lang w:eastAsia="zh-CN"/>
        </w:rPr>
        <w:t>Tintyava</w:t>
      </w:r>
      <w:proofErr w:type="spellEnd"/>
      <w:r w:rsidRPr="00B44D6A">
        <w:rPr>
          <w:lang w:eastAsia="zh-CN"/>
        </w:rPr>
        <w:t xml:space="preserve">” gold mines threatened to poison the transboundary </w:t>
      </w:r>
      <w:proofErr w:type="spellStart"/>
      <w:r w:rsidRPr="00B44D6A">
        <w:rPr>
          <w:lang w:eastAsia="zh-CN"/>
        </w:rPr>
        <w:t>Byala</w:t>
      </w:r>
      <w:proofErr w:type="spellEnd"/>
      <w:r w:rsidRPr="00B44D6A">
        <w:rPr>
          <w:lang w:eastAsia="zh-CN"/>
        </w:rPr>
        <w:t xml:space="preserve"> </w:t>
      </w:r>
      <w:proofErr w:type="spellStart"/>
      <w:r w:rsidRPr="00B44D6A">
        <w:rPr>
          <w:lang w:eastAsia="zh-CN"/>
        </w:rPr>
        <w:t>Reka</w:t>
      </w:r>
      <w:proofErr w:type="spellEnd"/>
      <w:r w:rsidRPr="00B44D6A">
        <w:rPr>
          <w:lang w:eastAsia="zh-CN"/>
        </w:rPr>
        <w:t xml:space="preserve"> River and Arda River basins.</w:t>
      </w:r>
      <w:r w:rsidRPr="00B44D6A">
        <w:rPr>
          <w:sz w:val="18"/>
          <w:vertAlign w:val="superscript"/>
          <w:lang w:eastAsia="zh-CN"/>
        </w:rPr>
        <w:footnoteReference w:id="73"/>
      </w:r>
      <w:r w:rsidRPr="00B44D6A">
        <w:rPr>
          <w:lang w:eastAsia="zh-CN"/>
        </w:rPr>
        <w:t xml:space="preserve"> The Committee requested information from Bulgaria about the planned activity and the application by Bulgaria of the Convention, for consideration at its fifty-eighth session (Geneva, 27 February–1 March 2024). </w:t>
      </w:r>
    </w:p>
    <w:p w14:paraId="6914431D" w14:textId="1637862A" w:rsidR="00B44D6A" w:rsidRPr="00825045" w:rsidRDefault="00F41C72" w:rsidP="00F41C72">
      <w:pPr>
        <w:pStyle w:val="H23G"/>
        <w:rPr>
          <w:lang w:eastAsia="en-US"/>
        </w:rPr>
      </w:pPr>
      <w:bookmarkStart w:id="66" w:name="_Toc147827464"/>
      <w:bookmarkStart w:id="67" w:name="_Toc1268962639"/>
      <w:r w:rsidRPr="00825045">
        <w:rPr>
          <w:lang w:eastAsia="en-US"/>
        </w:rPr>
        <w:tab/>
      </w:r>
      <w:r w:rsidR="00B44D6A" w:rsidRPr="00825045">
        <w:rPr>
          <w:lang w:eastAsia="en-US"/>
        </w:rPr>
        <w:t>3.</w:t>
      </w:r>
      <w:r w:rsidR="00B44D6A" w:rsidRPr="00B44D6A">
        <w:rPr>
          <w:lang w:eastAsia="en-US"/>
        </w:rPr>
        <w:tab/>
      </w:r>
      <w:r w:rsidR="00B44D6A" w:rsidRPr="00825045">
        <w:rPr>
          <w:lang w:eastAsia="en-US"/>
        </w:rPr>
        <w:t>Denmark</w:t>
      </w:r>
      <w:bookmarkEnd w:id="66"/>
      <w:bookmarkEnd w:id="67"/>
    </w:p>
    <w:p w14:paraId="495F8C5F" w14:textId="7115375C" w:rsidR="00B44D6A" w:rsidRPr="00825045" w:rsidRDefault="00C8426D" w:rsidP="00F41C72">
      <w:pPr>
        <w:pStyle w:val="H4G"/>
        <w:rPr>
          <w:lang w:eastAsia="en-US"/>
        </w:rPr>
      </w:pPr>
      <w:r w:rsidRPr="00825045">
        <w:rPr>
          <w:lang w:eastAsia="en-US"/>
        </w:rPr>
        <w:tab/>
      </w:r>
      <w:r w:rsidRPr="00825045">
        <w:rPr>
          <w:lang w:eastAsia="en-US"/>
        </w:rPr>
        <w:tab/>
      </w:r>
      <w:r w:rsidR="00B44D6A" w:rsidRPr="00825045">
        <w:rPr>
          <w:lang w:eastAsia="en-US"/>
        </w:rPr>
        <w:t>EIA/IC/INFO/30</w:t>
      </w:r>
    </w:p>
    <w:p w14:paraId="7198F45F" w14:textId="55F9AE38" w:rsidR="00B44D6A" w:rsidRPr="00B44D6A" w:rsidRDefault="00B44D6A" w:rsidP="00C8426D">
      <w:pPr>
        <w:pStyle w:val="SingleTxtG"/>
        <w:rPr>
          <w:lang w:eastAsia="en-US"/>
        </w:rPr>
      </w:pPr>
      <w:r w:rsidRPr="00B44D6A">
        <w:rPr>
          <w:lang w:eastAsia="en-US"/>
        </w:rPr>
        <w:t>87.</w:t>
      </w:r>
      <w:r w:rsidRPr="00B44D6A">
        <w:rPr>
          <w:lang w:eastAsia="en-US"/>
        </w:rPr>
        <w:tab/>
        <w:t xml:space="preserve">Further to the request by Ukraine of 22 January 2019 to establish an inquiry commission concerning the construction of a natural gas pipeline from the Russian Federation to Germany (Nord Stream 2 project), the Committee clarified preconditions for establishing an inquiry commission under article 3 (7) of and appendix IV to the Convention and gathered information from Denmark, Finland, </w:t>
      </w:r>
      <w:proofErr w:type="gramStart"/>
      <w:r w:rsidRPr="00B44D6A">
        <w:rPr>
          <w:lang w:eastAsia="en-US"/>
        </w:rPr>
        <w:t>Germany</w:t>
      </w:r>
      <w:proofErr w:type="gramEnd"/>
      <w:r w:rsidRPr="00B44D6A">
        <w:rPr>
          <w:lang w:eastAsia="en-US"/>
        </w:rPr>
        <w:t xml:space="preserve"> and Sweden as Parties of origin. The Committee noted that all the Parties of origin, except Denmark, had completed a transboundary environmental impact assessment in 2018. </w:t>
      </w:r>
    </w:p>
    <w:p w14:paraId="13E3D4E1" w14:textId="669D8677" w:rsidR="00B44D6A" w:rsidRPr="00B44D6A" w:rsidRDefault="00B44D6A" w:rsidP="00C8426D">
      <w:pPr>
        <w:pStyle w:val="SingleTxtG"/>
        <w:rPr>
          <w:lang w:eastAsia="en-US"/>
        </w:rPr>
      </w:pPr>
      <w:r w:rsidRPr="00B44D6A">
        <w:rPr>
          <w:lang w:eastAsia="en-US"/>
        </w:rPr>
        <w:t>88.</w:t>
      </w:r>
      <w:r w:rsidRPr="00B44D6A">
        <w:rPr>
          <w:lang w:eastAsia="en-US"/>
        </w:rPr>
        <w:tab/>
        <w:t xml:space="preserve">Upon request by the Committee, Denmark provided sufficient information to Ukraine to hold discussions under article 3 (7), as a precondition before establishing an inquiry commission. Further to the information provided by Denmark, Ukraine concluded that a </w:t>
      </w:r>
      <w:r w:rsidRPr="00B44D6A">
        <w:rPr>
          <w:lang w:eastAsia="en-US"/>
        </w:rPr>
        <w:lastRenderedPageBreak/>
        <w:t>significant adverse transboundary impact from a Danish subsection of the Nord Stream 2 project was not likely. The Committee agreed that Denmark and Ukraine had concluded their discussions under article 3 (7) of the Convention to the satisfaction of both Parties and closed the case.</w:t>
      </w:r>
      <w:r w:rsidRPr="00B44D6A">
        <w:rPr>
          <w:sz w:val="18"/>
          <w:vertAlign w:val="superscript"/>
          <w:lang w:eastAsia="en-US"/>
        </w:rPr>
        <w:footnoteReference w:id="74"/>
      </w:r>
    </w:p>
    <w:p w14:paraId="5CBD9CB4" w14:textId="64693FCC" w:rsidR="00B44D6A" w:rsidRPr="00B44D6A" w:rsidRDefault="00C8426D" w:rsidP="00C8426D">
      <w:pPr>
        <w:pStyle w:val="H23G"/>
        <w:rPr>
          <w:lang w:eastAsia="en-US"/>
        </w:rPr>
      </w:pPr>
      <w:bookmarkStart w:id="68" w:name="_Toc147827465"/>
      <w:bookmarkStart w:id="69" w:name="_Toc1031137086"/>
      <w:r>
        <w:rPr>
          <w:lang w:eastAsia="en-US"/>
        </w:rPr>
        <w:tab/>
      </w:r>
      <w:r w:rsidR="00B44D6A" w:rsidRPr="00B44D6A">
        <w:rPr>
          <w:lang w:eastAsia="en-US"/>
        </w:rPr>
        <w:t>4.</w:t>
      </w:r>
      <w:r w:rsidR="00B44D6A" w:rsidRPr="00B44D6A">
        <w:rPr>
          <w:lang w:eastAsia="en-US"/>
        </w:rPr>
        <w:tab/>
        <w:t>Germany</w:t>
      </w:r>
      <w:bookmarkEnd w:id="68"/>
      <w:bookmarkEnd w:id="69"/>
    </w:p>
    <w:p w14:paraId="71318106" w14:textId="4300E97D" w:rsidR="00B44D6A" w:rsidRPr="00B44D6A" w:rsidRDefault="00C8426D" w:rsidP="00C8426D">
      <w:pPr>
        <w:pStyle w:val="H4G"/>
        <w:rPr>
          <w:lang w:eastAsia="en-US"/>
        </w:rPr>
      </w:pPr>
      <w:r>
        <w:rPr>
          <w:lang w:eastAsia="en-US"/>
        </w:rPr>
        <w:tab/>
      </w:r>
      <w:r>
        <w:rPr>
          <w:lang w:eastAsia="en-US"/>
        </w:rPr>
        <w:tab/>
      </w:r>
      <w:r w:rsidR="00B44D6A" w:rsidRPr="00B44D6A">
        <w:rPr>
          <w:lang w:eastAsia="en-US"/>
        </w:rPr>
        <w:t>EIA/IC/INFO/35</w:t>
      </w:r>
    </w:p>
    <w:p w14:paraId="132FC901" w14:textId="77777777" w:rsidR="00B44D6A" w:rsidRPr="00B44D6A" w:rsidRDefault="00B44D6A" w:rsidP="00C8426D">
      <w:pPr>
        <w:pStyle w:val="SingleTxtG"/>
        <w:rPr>
          <w:lang w:eastAsia="en-US"/>
        </w:rPr>
      </w:pPr>
      <w:r w:rsidRPr="00B44D6A">
        <w:rPr>
          <w:lang w:eastAsia="en-US"/>
        </w:rPr>
        <w:t>89.</w:t>
      </w:r>
      <w:r w:rsidRPr="00B44D6A">
        <w:rPr>
          <w:lang w:eastAsia="en-US"/>
        </w:rPr>
        <w:tab/>
        <w:t xml:space="preserve">At its fifty-seventh session, the Committee considered information submitted by the German NGO Deutsche </w:t>
      </w:r>
      <w:proofErr w:type="spellStart"/>
      <w:r w:rsidRPr="00B44D6A">
        <w:rPr>
          <w:lang w:eastAsia="en-US"/>
        </w:rPr>
        <w:t>Umwelthilfe</w:t>
      </w:r>
      <w:proofErr w:type="spellEnd"/>
      <w:r w:rsidRPr="00B44D6A">
        <w:rPr>
          <w:lang w:eastAsia="en-US"/>
        </w:rPr>
        <w:t xml:space="preserve"> on 29 June and 17 July 2023, Coalition Clean </w:t>
      </w:r>
      <w:proofErr w:type="gramStart"/>
      <w:r w:rsidRPr="00B44D6A">
        <w:rPr>
          <w:lang w:eastAsia="en-US"/>
        </w:rPr>
        <w:t>Baltic</w:t>
      </w:r>
      <w:proofErr w:type="gramEnd"/>
      <w:r w:rsidRPr="00B44D6A">
        <w:rPr>
          <w:lang w:eastAsia="en-US"/>
        </w:rPr>
        <w:t xml:space="preserve"> and Greenpeace Poland, on 5 and 21 July 2023, respectively, expressing concerns about compliance by Germany with its obligations under the Convention regarding a liquified natural gas project in the Bay of Western Pomerania (Baltic Sea). The Committee requested information from Germany about the planned activity and the application by Germany of the Convention, for consideration at its fifty-eighth session.</w:t>
      </w:r>
      <w:r w:rsidRPr="00B44D6A">
        <w:rPr>
          <w:sz w:val="18"/>
          <w:vertAlign w:val="superscript"/>
          <w:lang w:eastAsia="en-US"/>
        </w:rPr>
        <w:footnoteReference w:id="75"/>
      </w:r>
    </w:p>
    <w:p w14:paraId="2859145D" w14:textId="2564CC8F" w:rsidR="00B44D6A" w:rsidRPr="00B44D6A" w:rsidRDefault="00C8426D" w:rsidP="00C8426D">
      <w:pPr>
        <w:pStyle w:val="H23G"/>
        <w:rPr>
          <w:lang w:eastAsia="en-US"/>
        </w:rPr>
      </w:pPr>
      <w:bookmarkStart w:id="70" w:name="_Toc147827466"/>
      <w:bookmarkStart w:id="71" w:name="_Toc869418444"/>
      <w:r>
        <w:rPr>
          <w:lang w:eastAsia="en-US"/>
        </w:rPr>
        <w:tab/>
      </w:r>
      <w:r w:rsidR="00B44D6A" w:rsidRPr="00B44D6A">
        <w:rPr>
          <w:lang w:eastAsia="en-US"/>
        </w:rPr>
        <w:t>5.</w:t>
      </w:r>
      <w:r w:rsidR="00B44D6A" w:rsidRPr="00B44D6A">
        <w:rPr>
          <w:lang w:eastAsia="en-US"/>
        </w:rPr>
        <w:tab/>
        <w:t>Netherlands</w:t>
      </w:r>
      <w:bookmarkEnd w:id="70"/>
      <w:bookmarkEnd w:id="71"/>
    </w:p>
    <w:p w14:paraId="7C6EEF80" w14:textId="41C65722" w:rsidR="00B44D6A" w:rsidRPr="00B44D6A" w:rsidRDefault="00C8426D" w:rsidP="00C8426D">
      <w:pPr>
        <w:pStyle w:val="H4G"/>
        <w:rPr>
          <w:lang w:eastAsia="en-US"/>
        </w:rPr>
      </w:pPr>
      <w:r>
        <w:rPr>
          <w:lang w:eastAsia="en-US"/>
        </w:rPr>
        <w:tab/>
      </w:r>
      <w:r>
        <w:rPr>
          <w:lang w:eastAsia="en-US"/>
        </w:rPr>
        <w:tab/>
      </w:r>
      <w:r w:rsidR="00B44D6A" w:rsidRPr="00B44D6A">
        <w:rPr>
          <w:lang w:eastAsia="en-US"/>
        </w:rPr>
        <w:t>EIA/IC/INFO/15</w:t>
      </w:r>
    </w:p>
    <w:p w14:paraId="46E6F8C9" w14:textId="77777777" w:rsidR="00B44D6A" w:rsidRPr="00B44D6A" w:rsidRDefault="00B44D6A" w:rsidP="00C8426D">
      <w:pPr>
        <w:pStyle w:val="SingleTxtG"/>
        <w:rPr>
          <w:rFonts w:eastAsia="SimSun"/>
          <w:lang w:val="en-US" w:eastAsia="en-US"/>
        </w:rPr>
      </w:pPr>
      <w:r w:rsidRPr="00B44D6A">
        <w:rPr>
          <w:lang w:eastAsia="en-US"/>
        </w:rPr>
        <w:t>90.</w:t>
      </w:r>
      <w:r w:rsidRPr="00B44D6A">
        <w:rPr>
          <w:lang w:eastAsia="en-US"/>
        </w:rPr>
        <w:tab/>
        <w:t xml:space="preserve">The Committee examined information provided by the NGO Greenpeace Netherlands concerning </w:t>
      </w:r>
      <w:r w:rsidRPr="00B44D6A">
        <w:rPr>
          <w:rFonts w:eastAsia="SimSun"/>
          <w:lang w:eastAsia="en-US"/>
        </w:rPr>
        <w:t xml:space="preserve">the lifetime extension of Borssele nuclear power plant in the Netherlands and additional information from the Netherlands, </w:t>
      </w:r>
      <w:proofErr w:type="gramStart"/>
      <w:r w:rsidRPr="00B44D6A">
        <w:rPr>
          <w:rFonts w:eastAsia="SimSun"/>
          <w:lang w:eastAsia="en-US"/>
        </w:rPr>
        <w:t>Belgium</w:t>
      </w:r>
      <w:proofErr w:type="gramEnd"/>
      <w:r w:rsidRPr="00B44D6A">
        <w:rPr>
          <w:rFonts w:eastAsia="SimSun"/>
          <w:lang w:eastAsia="en-US"/>
        </w:rPr>
        <w:t xml:space="preserve"> and Germany, </w:t>
      </w:r>
      <w:r w:rsidRPr="00B44D6A">
        <w:rPr>
          <w:rFonts w:eastAsia="SimSun"/>
          <w:lang w:val="en-US" w:eastAsia="en-US"/>
        </w:rPr>
        <w:t xml:space="preserve">in the light of </w:t>
      </w:r>
      <w:r w:rsidRPr="00B44D6A">
        <w:rPr>
          <w:rFonts w:eastAsia="SimSun"/>
          <w:lang w:eastAsia="en-US"/>
        </w:rPr>
        <w:t xml:space="preserve">the Guidance. It </w:t>
      </w:r>
      <w:r w:rsidRPr="00B44D6A">
        <w:rPr>
          <w:rFonts w:eastAsia="SimSun"/>
          <w:lang w:val="en-US" w:eastAsia="en-US"/>
        </w:rPr>
        <w:t>considered that the activity was related to situations described in the Guidance.</w:t>
      </w:r>
      <w:r w:rsidRPr="00B44D6A">
        <w:rPr>
          <w:rFonts w:eastAsia="SimSun"/>
          <w:vertAlign w:val="superscript"/>
          <w:lang w:val="en-US" w:eastAsia="en-US"/>
        </w:rPr>
        <w:footnoteReference w:id="76"/>
      </w:r>
      <w:r w:rsidRPr="00B44D6A">
        <w:rPr>
          <w:rFonts w:eastAsia="SimSun"/>
          <w:lang w:val="en-US" w:eastAsia="en-US"/>
        </w:rPr>
        <w:t xml:space="preserve"> At its fifty-seventh session, the Committee agreed that the renewal of the operating authorization of the nuclear power plant was a lifetime extension and that the modifications that were prerequisites for the lifetime extension were subject to environmental impact assessments. Regarding notification, based on facts in the case in question, there was no profound suspicion of non-compliance. The Committee closed the case and welcomed the recent application by the Netherlands of the Convention in the process for the extension of the operating life of Borssele nuclear power plant beyond 2033.</w:t>
      </w:r>
      <w:r w:rsidRPr="00B44D6A">
        <w:rPr>
          <w:rFonts w:eastAsia="SimSun"/>
          <w:sz w:val="18"/>
          <w:vertAlign w:val="superscript"/>
          <w:lang w:val="en-US" w:eastAsia="en-US"/>
        </w:rPr>
        <w:footnoteReference w:id="77"/>
      </w:r>
    </w:p>
    <w:p w14:paraId="14078E37" w14:textId="30B0EA58" w:rsidR="00B44D6A" w:rsidRPr="00B44D6A" w:rsidRDefault="00C8426D" w:rsidP="00C8426D">
      <w:pPr>
        <w:pStyle w:val="H23G"/>
        <w:rPr>
          <w:lang w:val="nb-NO" w:eastAsia="en-US"/>
        </w:rPr>
      </w:pPr>
      <w:bookmarkStart w:id="72" w:name="_Toc147827467"/>
      <w:bookmarkStart w:id="73" w:name="_Toc1740791554"/>
      <w:r>
        <w:rPr>
          <w:lang w:eastAsia="en-US"/>
        </w:rPr>
        <w:tab/>
      </w:r>
      <w:r w:rsidR="00B44D6A" w:rsidRPr="00B44D6A">
        <w:rPr>
          <w:lang w:eastAsia="en-US"/>
        </w:rPr>
        <w:t>6.</w:t>
      </w:r>
      <w:r w:rsidR="00B44D6A" w:rsidRPr="00B44D6A">
        <w:rPr>
          <w:lang w:eastAsia="en-US"/>
        </w:rPr>
        <w:tab/>
      </w:r>
      <w:r w:rsidR="00B44D6A" w:rsidRPr="00B44D6A">
        <w:rPr>
          <w:lang w:val="nb-NO" w:eastAsia="en-US"/>
        </w:rPr>
        <w:t>North Macedonia</w:t>
      </w:r>
      <w:bookmarkEnd w:id="72"/>
      <w:bookmarkEnd w:id="73"/>
      <w:r w:rsidR="00B44D6A" w:rsidRPr="00B44D6A">
        <w:rPr>
          <w:lang w:val="nb-NO" w:eastAsia="en-US"/>
        </w:rPr>
        <w:t xml:space="preserve"> </w:t>
      </w:r>
    </w:p>
    <w:p w14:paraId="00E79BFE" w14:textId="71560F5F" w:rsidR="00B44D6A" w:rsidRPr="00B44D6A" w:rsidRDefault="00C8426D" w:rsidP="00C8426D">
      <w:pPr>
        <w:pStyle w:val="H4G"/>
        <w:rPr>
          <w:lang w:eastAsia="en-US"/>
        </w:rPr>
      </w:pPr>
      <w:r>
        <w:rPr>
          <w:lang w:eastAsia="en-US"/>
        </w:rPr>
        <w:tab/>
      </w:r>
      <w:r>
        <w:rPr>
          <w:lang w:eastAsia="en-US"/>
        </w:rPr>
        <w:tab/>
      </w:r>
      <w:r w:rsidR="00B44D6A" w:rsidRPr="00B44D6A">
        <w:rPr>
          <w:lang w:eastAsia="en-US"/>
        </w:rPr>
        <w:t>EIA/IC/INFO/36</w:t>
      </w:r>
    </w:p>
    <w:p w14:paraId="505801BD" w14:textId="77777777" w:rsidR="00B44D6A" w:rsidRPr="00B44D6A" w:rsidRDefault="00B44D6A" w:rsidP="00C8426D">
      <w:pPr>
        <w:pStyle w:val="SingleTxtG"/>
        <w:rPr>
          <w:lang w:eastAsia="en-US"/>
        </w:rPr>
      </w:pPr>
      <w:r w:rsidRPr="00B44D6A">
        <w:rPr>
          <w:lang w:eastAsia="en-US"/>
        </w:rPr>
        <w:t>91.</w:t>
      </w:r>
      <w:r w:rsidRPr="00B44D6A">
        <w:rPr>
          <w:lang w:eastAsia="en-US"/>
        </w:rPr>
        <w:tab/>
        <w:t xml:space="preserve">At its fifty-seventh session, the Committee began its consideration of information submitted by the Bulgarian NGO </w:t>
      </w:r>
      <w:proofErr w:type="spellStart"/>
      <w:r w:rsidRPr="00B44D6A">
        <w:rPr>
          <w:lang w:eastAsia="en-US"/>
        </w:rPr>
        <w:t>Balkanka</w:t>
      </w:r>
      <w:proofErr w:type="spellEnd"/>
      <w:r w:rsidRPr="00B44D6A">
        <w:rPr>
          <w:lang w:eastAsia="en-US"/>
        </w:rPr>
        <w:t xml:space="preserve"> Association on 19 July 2023, expressing concerns about compliance by North Macedonia with its obligations under the Convention regarding the development of a gold-copper mine close to the border with Bulgaria. The Committee requested information from North Macedonia about the planned activity and the application by North Macedonia of the Convention, for consideration at its fifty-eighth session.</w:t>
      </w:r>
      <w:r w:rsidRPr="00B44D6A">
        <w:rPr>
          <w:sz w:val="18"/>
          <w:vertAlign w:val="superscript"/>
          <w:lang w:eastAsia="en-US"/>
        </w:rPr>
        <w:footnoteReference w:id="78"/>
      </w:r>
      <w:r w:rsidRPr="00B44D6A">
        <w:rPr>
          <w:lang w:eastAsia="en-US"/>
        </w:rPr>
        <w:t xml:space="preserve"> </w:t>
      </w:r>
    </w:p>
    <w:p w14:paraId="65A32BE8" w14:textId="477882FC" w:rsidR="00B44D6A" w:rsidRPr="00B44D6A" w:rsidRDefault="00C8426D" w:rsidP="00C8426D">
      <w:pPr>
        <w:pStyle w:val="H23G"/>
        <w:rPr>
          <w:lang w:eastAsia="en-US"/>
        </w:rPr>
      </w:pPr>
      <w:bookmarkStart w:id="74" w:name="_Toc147827468"/>
      <w:bookmarkStart w:id="75" w:name="_Toc1518631044"/>
      <w:r>
        <w:rPr>
          <w:lang w:eastAsia="en-US"/>
        </w:rPr>
        <w:tab/>
      </w:r>
      <w:r w:rsidR="00B44D6A" w:rsidRPr="00B44D6A">
        <w:rPr>
          <w:lang w:eastAsia="en-US"/>
        </w:rPr>
        <w:t>7.</w:t>
      </w:r>
      <w:r w:rsidR="00B44D6A" w:rsidRPr="00B44D6A">
        <w:rPr>
          <w:lang w:eastAsia="en-US"/>
        </w:rPr>
        <w:tab/>
        <w:t>Spain</w:t>
      </w:r>
      <w:bookmarkEnd w:id="74"/>
      <w:bookmarkEnd w:id="75"/>
    </w:p>
    <w:p w14:paraId="3FD84789" w14:textId="3C88C42B" w:rsidR="00B44D6A" w:rsidRPr="00B44D6A" w:rsidRDefault="00C8426D" w:rsidP="00C8426D">
      <w:pPr>
        <w:pStyle w:val="H4G"/>
        <w:rPr>
          <w:lang w:eastAsia="en-US"/>
        </w:rPr>
      </w:pPr>
      <w:r>
        <w:rPr>
          <w:lang w:eastAsia="en-US"/>
        </w:rPr>
        <w:tab/>
      </w:r>
      <w:r>
        <w:rPr>
          <w:lang w:eastAsia="en-US"/>
        </w:rPr>
        <w:tab/>
      </w:r>
      <w:r w:rsidR="00B44D6A" w:rsidRPr="00B44D6A">
        <w:rPr>
          <w:lang w:eastAsia="en-US"/>
        </w:rPr>
        <w:t>EIA/IC/INFO/34</w:t>
      </w:r>
    </w:p>
    <w:p w14:paraId="673D2DF5" w14:textId="77777777" w:rsidR="00B44D6A" w:rsidRPr="00B44D6A" w:rsidRDefault="00B44D6A" w:rsidP="00C8426D">
      <w:pPr>
        <w:pStyle w:val="SingleTxtG"/>
        <w:rPr>
          <w:lang w:eastAsia="en-US"/>
        </w:rPr>
      </w:pPr>
      <w:r w:rsidRPr="00B44D6A">
        <w:rPr>
          <w:lang w:eastAsia="en-US"/>
        </w:rPr>
        <w:t>92.</w:t>
      </w:r>
      <w:r w:rsidRPr="00B44D6A">
        <w:rPr>
          <w:lang w:eastAsia="en-US"/>
        </w:rPr>
        <w:tab/>
        <w:t xml:space="preserve">The Committee examined information it had gathered further to information received on 30 July 2020 from the Portuguese political party </w:t>
      </w:r>
      <w:proofErr w:type="spellStart"/>
      <w:r w:rsidRPr="00B44D6A">
        <w:rPr>
          <w:lang w:eastAsia="en-US"/>
        </w:rPr>
        <w:t>Pessoas</w:t>
      </w:r>
      <w:proofErr w:type="spellEnd"/>
      <w:r w:rsidRPr="00B44D6A">
        <w:rPr>
          <w:lang w:eastAsia="en-US"/>
        </w:rPr>
        <w:t>–</w:t>
      </w:r>
      <w:proofErr w:type="spellStart"/>
      <w:r w:rsidRPr="00B44D6A">
        <w:rPr>
          <w:lang w:eastAsia="en-US"/>
        </w:rPr>
        <w:t>Animais</w:t>
      </w:r>
      <w:proofErr w:type="spellEnd"/>
      <w:r w:rsidRPr="00B44D6A">
        <w:rPr>
          <w:lang w:eastAsia="en-US"/>
        </w:rPr>
        <w:t>–</w:t>
      </w:r>
      <w:proofErr w:type="spellStart"/>
      <w:r w:rsidRPr="00B44D6A">
        <w:rPr>
          <w:lang w:eastAsia="en-US"/>
        </w:rPr>
        <w:t>Naturaleza</w:t>
      </w:r>
      <w:proofErr w:type="spellEnd"/>
      <w:r w:rsidRPr="00B44D6A">
        <w:rPr>
          <w:lang w:eastAsia="en-US"/>
        </w:rPr>
        <w:t xml:space="preserve"> expressing concerns about the application of the Convention by Spain to the planned lifetime extensions of two units of Almaraz nuclear power plant. Having reviewed the information in the light of the Guidance, the Committee considered that the activity was related to a specific situation described in the Guidance, notably that </w:t>
      </w:r>
      <w:r w:rsidRPr="00B44D6A">
        <w:rPr>
          <w:color w:val="000000"/>
          <w:lang w:eastAsia="en-US"/>
        </w:rPr>
        <w:t xml:space="preserve">the renewal of the operating authorization was a lifetime extension within the scope of the Guidance. However, the Committee did not </w:t>
      </w:r>
      <w:r w:rsidRPr="00B44D6A">
        <w:rPr>
          <w:color w:val="000000"/>
          <w:lang w:eastAsia="en-US"/>
        </w:rPr>
        <w:lastRenderedPageBreak/>
        <w:t xml:space="preserve">consider that the lifetime extension constituted a major change, considering the extent of physical works, the duration of the extension, and the decision of Spain to phase out nuclear energy. </w:t>
      </w:r>
      <w:r w:rsidRPr="00B44D6A">
        <w:rPr>
          <w:lang w:eastAsia="en-US"/>
        </w:rPr>
        <w:t>The Committee concluded that the information made available to it did not give rise to a profound suspicion of non-compliance by Spain with its obligations under the Convention and closed the case.</w:t>
      </w:r>
      <w:r w:rsidRPr="00B44D6A">
        <w:rPr>
          <w:vertAlign w:val="superscript"/>
          <w:lang w:eastAsia="en-US"/>
        </w:rPr>
        <w:footnoteReference w:id="79"/>
      </w:r>
    </w:p>
    <w:p w14:paraId="5F421207" w14:textId="557D6A93" w:rsidR="007F18EB" w:rsidRPr="007F18EB" w:rsidRDefault="00C8426D" w:rsidP="00C8426D">
      <w:pPr>
        <w:pStyle w:val="H23G"/>
        <w:rPr>
          <w:lang w:eastAsia="en-US"/>
        </w:rPr>
      </w:pPr>
      <w:bookmarkStart w:id="76" w:name="_Toc147827469"/>
      <w:bookmarkStart w:id="77" w:name="_Toc1342092120"/>
      <w:r>
        <w:rPr>
          <w:lang w:eastAsia="en-US"/>
        </w:rPr>
        <w:tab/>
      </w:r>
      <w:r w:rsidR="007F18EB" w:rsidRPr="007F18EB">
        <w:rPr>
          <w:lang w:eastAsia="en-US"/>
        </w:rPr>
        <w:t>8.</w:t>
      </w:r>
      <w:r w:rsidR="007F18EB" w:rsidRPr="007F18EB">
        <w:rPr>
          <w:lang w:eastAsia="en-US"/>
        </w:rPr>
        <w:tab/>
        <w:t>Switzerland</w:t>
      </w:r>
      <w:bookmarkEnd w:id="76"/>
      <w:bookmarkEnd w:id="77"/>
    </w:p>
    <w:p w14:paraId="04BA83CB" w14:textId="15B226F5" w:rsidR="007F18EB" w:rsidRPr="007F18EB" w:rsidRDefault="00C8426D" w:rsidP="00C8426D">
      <w:pPr>
        <w:pStyle w:val="H4G"/>
        <w:rPr>
          <w:lang w:eastAsia="en-US"/>
        </w:rPr>
      </w:pPr>
      <w:r>
        <w:rPr>
          <w:lang w:eastAsia="en-US"/>
        </w:rPr>
        <w:tab/>
      </w:r>
      <w:r>
        <w:rPr>
          <w:lang w:eastAsia="en-US"/>
        </w:rPr>
        <w:tab/>
      </w:r>
      <w:r w:rsidR="007F18EB" w:rsidRPr="007F18EB">
        <w:rPr>
          <w:lang w:eastAsia="en-US"/>
        </w:rPr>
        <w:t>ECE/IC/INFO/25</w:t>
      </w:r>
    </w:p>
    <w:p w14:paraId="025EAFC8" w14:textId="77777777" w:rsidR="007F18EB" w:rsidRPr="007F18EB" w:rsidRDefault="007F18EB" w:rsidP="00C8426D">
      <w:pPr>
        <w:pStyle w:val="SingleTxtG"/>
        <w:rPr>
          <w:vertAlign w:val="superscript"/>
          <w:lang w:eastAsia="en-US"/>
        </w:rPr>
      </w:pPr>
      <w:r w:rsidRPr="007F18EB">
        <w:rPr>
          <w:lang w:eastAsia="en-US"/>
        </w:rPr>
        <w:t>93.</w:t>
      </w:r>
      <w:r w:rsidRPr="007F18EB">
        <w:rPr>
          <w:lang w:eastAsia="en-US"/>
        </w:rPr>
        <w:tab/>
        <w:t>At its fiftieth session, the Committee noted information from Switzerland to the effect that the environmental impact of the high-speed taxiways from two runways at Zurich Airport and the changes in the 2014 operating regulations had been assessed cumulatively under the 2013–2014 environmental impact assessment procedure and it had been shown that a significant adverse impact on the territory of Germany was not likely. Considering that Germany had not demonstrated its willingness to use the mechanism under article 3 (7) and that the Parties communicated bilaterally about the implementation of the proposed activities, the Committee agreed that there was no ground for it to continue its consideration of the matter. It encouraged Switzerland to apply article 2 (7) to any future decision-making regarding Zurich Airport, or to similar strategic developments, and closed the matter.</w:t>
      </w:r>
      <w:r w:rsidRPr="007F18EB">
        <w:rPr>
          <w:vertAlign w:val="superscript"/>
          <w:lang w:eastAsia="en-US"/>
        </w:rPr>
        <w:footnoteReference w:id="80"/>
      </w:r>
      <w:r w:rsidRPr="007F18EB">
        <w:rPr>
          <w:vertAlign w:val="superscript"/>
          <w:lang w:eastAsia="en-US"/>
        </w:rPr>
        <w:t xml:space="preserve"> </w:t>
      </w:r>
    </w:p>
    <w:p w14:paraId="24992209" w14:textId="5294D936" w:rsidR="007F18EB" w:rsidRPr="007F18EB" w:rsidRDefault="00C8426D" w:rsidP="00C8426D">
      <w:pPr>
        <w:pStyle w:val="H23G"/>
        <w:rPr>
          <w:lang w:eastAsia="en-US"/>
        </w:rPr>
      </w:pPr>
      <w:bookmarkStart w:id="78" w:name="_Toc147827470"/>
      <w:bookmarkStart w:id="79" w:name="_Toc365369288"/>
      <w:r>
        <w:rPr>
          <w:lang w:eastAsia="en-US"/>
        </w:rPr>
        <w:tab/>
      </w:r>
      <w:r w:rsidR="007F18EB" w:rsidRPr="007F18EB">
        <w:rPr>
          <w:lang w:eastAsia="en-US"/>
        </w:rPr>
        <w:t>9.</w:t>
      </w:r>
      <w:r w:rsidR="007F18EB" w:rsidRPr="007F18EB">
        <w:rPr>
          <w:lang w:eastAsia="en-US"/>
        </w:rPr>
        <w:tab/>
        <w:t>Ukraine</w:t>
      </w:r>
      <w:bookmarkEnd w:id="78"/>
      <w:bookmarkEnd w:id="79"/>
      <w:r w:rsidR="007F18EB" w:rsidRPr="007F18EB">
        <w:rPr>
          <w:lang w:eastAsia="en-US"/>
        </w:rPr>
        <w:t xml:space="preserve"> </w:t>
      </w:r>
    </w:p>
    <w:p w14:paraId="21BB7845" w14:textId="4AE5D0BE" w:rsidR="007F18EB" w:rsidRPr="007F18EB" w:rsidRDefault="00C8426D" w:rsidP="00C8426D">
      <w:pPr>
        <w:pStyle w:val="H4G"/>
        <w:rPr>
          <w:lang w:eastAsia="en-US"/>
        </w:rPr>
      </w:pPr>
      <w:r>
        <w:rPr>
          <w:lang w:eastAsia="en-US"/>
        </w:rPr>
        <w:tab/>
      </w:r>
      <w:r>
        <w:rPr>
          <w:lang w:eastAsia="en-US"/>
        </w:rPr>
        <w:tab/>
      </w:r>
      <w:r w:rsidR="007F18EB" w:rsidRPr="007F18EB">
        <w:rPr>
          <w:lang w:eastAsia="en-US"/>
        </w:rPr>
        <w:t>EIA/IC/INFO/10</w:t>
      </w:r>
    </w:p>
    <w:p w14:paraId="3001C4D3" w14:textId="77777777" w:rsidR="007F18EB" w:rsidRPr="007F18EB" w:rsidRDefault="007F18EB" w:rsidP="00C8426D">
      <w:pPr>
        <w:pStyle w:val="SingleTxtG"/>
        <w:rPr>
          <w:lang w:val="en-US" w:eastAsia="en-US"/>
        </w:rPr>
      </w:pPr>
      <w:r w:rsidRPr="007F18EB">
        <w:rPr>
          <w:lang w:eastAsia="en-US"/>
        </w:rPr>
        <w:t>94.</w:t>
      </w:r>
      <w:r w:rsidRPr="007F18EB">
        <w:rPr>
          <w:lang w:eastAsia="en-US"/>
        </w:rPr>
        <w:tab/>
        <w:t xml:space="preserve">The Committee reviewed information provided by the Belarusian NGO </w:t>
      </w:r>
      <w:proofErr w:type="spellStart"/>
      <w:r w:rsidRPr="007F18EB">
        <w:rPr>
          <w:lang w:eastAsia="en-US"/>
        </w:rPr>
        <w:t>Ecohome</w:t>
      </w:r>
      <w:proofErr w:type="spellEnd"/>
      <w:r w:rsidRPr="007F18EB">
        <w:rPr>
          <w:lang w:eastAsia="en-US"/>
        </w:rPr>
        <w:t xml:space="preserve"> concerning the planned construction of two units of Khmelnitsky nuclear power plant in Ukraine, close to the borders with Belarus, the Republic of Moldova and Romania. During the informal consultations with Ukraine at the Committee’s fifty-sixth session, Ukraine explained that it was uncertain whether the decision would be taken during the validity period of the environmental impact assessment conclusion until 2026. The Committee advised Ukraine to inform the concerned Parties accordingly and,</w:t>
      </w:r>
      <w:r w:rsidRPr="007F18EB">
        <w:rPr>
          <w:sz w:val="18"/>
          <w:vertAlign w:val="superscript"/>
          <w:lang w:eastAsia="en-US"/>
        </w:rPr>
        <w:footnoteReference w:id="81"/>
      </w:r>
      <w:r w:rsidRPr="007F18EB">
        <w:rPr>
          <w:lang w:eastAsia="en-US"/>
        </w:rPr>
        <w:t xml:space="preserve"> in the absence of new information from Ukraine at its fifty-seventh session, reiterated its advice. </w:t>
      </w:r>
    </w:p>
    <w:p w14:paraId="4EE89500" w14:textId="6D8FEFE2" w:rsidR="007F18EB" w:rsidRPr="007F18EB" w:rsidRDefault="00C8426D" w:rsidP="00C8426D">
      <w:pPr>
        <w:pStyle w:val="H4G"/>
        <w:rPr>
          <w:lang w:eastAsia="en-US"/>
        </w:rPr>
      </w:pPr>
      <w:r>
        <w:rPr>
          <w:lang w:val="en-US" w:eastAsia="en-US"/>
        </w:rPr>
        <w:tab/>
      </w:r>
      <w:r>
        <w:rPr>
          <w:lang w:val="en-US" w:eastAsia="en-US"/>
        </w:rPr>
        <w:tab/>
      </w:r>
      <w:r w:rsidR="007F18EB" w:rsidRPr="007F18EB">
        <w:rPr>
          <w:lang w:val="en-US" w:eastAsia="en-US"/>
        </w:rPr>
        <w:t>EIA/IC/INFO/13</w:t>
      </w:r>
    </w:p>
    <w:p w14:paraId="4BA907FD" w14:textId="77777777" w:rsidR="007F18EB" w:rsidRPr="007F18EB" w:rsidRDefault="007F18EB" w:rsidP="00C8426D">
      <w:pPr>
        <w:pStyle w:val="SingleTxtG"/>
        <w:rPr>
          <w:lang w:val="en-US" w:eastAsia="en-US"/>
        </w:rPr>
      </w:pPr>
      <w:r w:rsidRPr="007F18EB">
        <w:rPr>
          <w:lang w:val="en-US" w:eastAsia="en-US"/>
        </w:rPr>
        <w:t>95.</w:t>
      </w:r>
      <w:r w:rsidRPr="007F18EB">
        <w:rPr>
          <w:lang w:eastAsia="en-US"/>
        </w:rPr>
        <w:tab/>
      </w:r>
      <w:r w:rsidRPr="007F18EB">
        <w:rPr>
          <w:lang w:val="en-US" w:eastAsia="en-US"/>
        </w:rPr>
        <w:t xml:space="preserve">The information gathering </w:t>
      </w:r>
      <w:proofErr w:type="gramStart"/>
      <w:r w:rsidRPr="007F18EB">
        <w:rPr>
          <w:lang w:val="en-US" w:eastAsia="en-US"/>
        </w:rPr>
        <w:t>dates back to</w:t>
      </w:r>
      <w:proofErr w:type="gramEnd"/>
      <w:r w:rsidRPr="007F18EB">
        <w:rPr>
          <w:lang w:val="en-US" w:eastAsia="en-US"/>
        </w:rPr>
        <w:t xml:space="preserve"> 2014, when the Committee received information from a Hungarian political party concerning the planned reopening of a gold mine using cyanide technology in </w:t>
      </w:r>
      <w:proofErr w:type="spellStart"/>
      <w:r w:rsidRPr="007F18EB">
        <w:rPr>
          <w:lang w:val="en-US" w:eastAsia="en-US"/>
        </w:rPr>
        <w:t>Muzhiyevo</w:t>
      </w:r>
      <w:proofErr w:type="spellEnd"/>
      <w:r w:rsidRPr="007F18EB">
        <w:rPr>
          <w:lang w:val="en-US" w:eastAsia="en-US"/>
        </w:rPr>
        <w:t xml:space="preserve">, Ukraine, close to the border with Hungary. </w:t>
      </w:r>
      <w:r w:rsidRPr="007F18EB">
        <w:rPr>
          <w:rFonts w:eastAsia="SimSun"/>
          <w:lang w:eastAsia="en-US"/>
        </w:rPr>
        <w:t>Following informal consultations with Hungary and Ukraine at the Committee’s fifty-first session</w:t>
      </w:r>
      <w:r w:rsidRPr="007F18EB">
        <w:rPr>
          <w:rFonts w:eastAsia="SimSun"/>
          <w:sz w:val="18"/>
          <w:vertAlign w:val="superscript"/>
          <w:lang w:eastAsia="en-US"/>
        </w:rPr>
        <w:footnoteReference w:id="82"/>
      </w:r>
      <w:r w:rsidRPr="007F18EB">
        <w:rPr>
          <w:lang w:val="en-US" w:eastAsia="en-US"/>
        </w:rPr>
        <w:t xml:space="preserve"> </w:t>
      </w:r>
      <w:r w:rsidRPr="007F18EB">
        <w:rPr>
          <w:rFonts w:eastAsia="SimSun"/>
          <w:lang w:val="en-US" w:eastAsia="en-US"/>
        </w:rPr>
        <w:t>and the provision of the environmental impact assessment documentation to Hungary, t</w:t>
      </w:r>
      <w:r w:rsidRPr="007F18EB">
        <w:rPr>
          <w:rFonts w:eastAsia="SimSun"/>
          <w:lang w:eastAsia="en-US"/>
        </w:rPr>
        <w:t xml:space="preserve">he Committee noted </w:t>
      </w:r>
      <w:r w:rsidRPr="007F18EB">
        <w:rPr>
          <w:lang w:eastAsia="en-US"/>
        </w:rPr>
        <w:t xml:space="preserve">at its fifty-sixth session, </w:t>
      </w:r>
      <w:r w:rsidRPr="007F18EB">
        <w:rPr>
          <w:rFonts w:eastAsia="SimSun"/>
          <w:lang w:eastAsia="en-US"/>
        </w:rPr>
        <w:t>that the questions of Hungary to Ukraine dated 9 December 2021 remained unanswered.</w:t>
      </w:r>
      <w:r w:rsidRPr="007F18EB">
        <w:rPr>
          <w:rFonts w:eastAsia="SimSun"/>
          <w:sz w:val="18"/>
          <w:vertAlign w:val="superscript"/>
          <w:lang w:eastAsia="en-US"/>
        </w:rPr>
        <w:footnoteReference w:id="83"/>
      </w:r>
      <w:r w:rsidRPr="007F18EB">
        <w:rPr>
          <w:rFonts w:eastAsia="SimSun"/>
          <w:lang w:eastAsia="en-US"/>
        </w:rPr>
        <w:t xml:space="preserve"> </w:t>
      </w:r>
      <w:r w:rsidRPr="007F18EB">
        <w:rPr>
          <w:lang w:eastAsia="en-US"/>
        </w:rPr>
        <w:t xml:space="preserve">Ukraine clarified that no mineral extraction activities had been carried out at the site, but measures for the disposal of ore dumps accumulated from past mining activities were still ongoing.  Due to the insufficient response from Ukraine, the Committee lacked evidence that Ukraine had </w:t>
      </w:r>
      <w:proofErr w:type="gramStart"/>
      <w:r w:rsidRPr="007F18EB">
        <w:rPr>
          <w:lang w:eastAsia="en-US"/>
        </w:rPr>
        <w:t>entered into</w:t>
      </w:r>
      <w:proofErr w:type="gramEnd"/>
      <w:r w:rsidRPr="007F18EB">
        <w:rPr>
          <w:lang w:eastAsia="en-US"/>
        </w:rPr>
        <w:t xml:space="preserve"> discussions with Hungary in accordance with article 2 (5). Furthermore, the Committee could not exclude the possibility that the activity fell under appendix I to the Convention, requiring a notification under article 3 (1) or allowing the application of article 3 (7). The Committee agreed to consider opening a Committee initiative at its fifty-ninth session. </w:t>
      </w:r>
    </w:p>
    <w:p w14:paraId="2EA4551F" w14:textId="5784B7C8" w:rsidR="007F18EB" w:rsidRPr="007F18EB" w:rsidRDefault="00C8426D" w:rsidP="00C8426D">
      <w:pPr>
        <w:pStyle w:val="H4G"/>
        <w:rPr>
          <w:lang w:val="en-US" w:eastAsia="en-US"/>
        </w:rPr>
      </w:pPr>
      <w:r>
        <w:rPr>
          <w:lang w:val="en-US" w:eastAsia="en-US"/>
        </w:rPr>
        <w:tab/>
      </w:r>
      <w:r>
        <w:rPr>
          <w:lang w:val="en-US" w:eastAsia="en-US"/>
        </w:rPr>
        <w:tab/>
      </w:r>
      <w:r w:rsidR="007F18EB" w:rsidRPr="007F18EB">
        <w:rPr>
          <w:lang w:val="en-US" w:eastAsia="en-US"/>
        </w:rPr>
        <w:t>EIA/IC/INFO/20</w:t>
      </w:r>
    </w:p>
    <w:p w14:paraId="7162426D" w14:textId="77777777" w:rsidR="007F18EB" w:rsidRPr="007F18EB" w:rsidRDefault="007F18EB" w:rsidP="001947F9">
      <w:pPr>
        <w:pStyle w:val="SingleTxtG"/>
        <w:rPr>
          <w:lang w:eastAsia="en-US"/>
        </w:rPr>
      </w:pPr>
      <w:r w:rsidRPr="007F18EB">
        <w:rPr>
          <w:lang w:val="en-US" w:eastAsia="en-US"/>
        </w:rPr>
        <w:t>96.</w:t>
      </w:r>
      <w:r w:rsidRPr="007F18EB">
        <w:rPr>
          <w:lang w:eastAsia="en-US"/>
        </w:rPr>
        <w:tab/>
      </w:r>
      <w:r w:rsidRPr="007F18EB">
        <w:rPr>
          <w:lang w:val="en-US" w:eastAsia="en-US"/>
        </w:rPr>
        <w:t xml:space="preserve">The Committee reviewed information provided by the NGO Central and Eastern Europe </w:t>
      </w:r>
      <w:proofErr w:type="spellStart"/>
      <w:r w:rsidRPr="007F18EB">
        <w:rPr>
          <w:lang w:val="en-US" w:eastAsia="en-US"/>
        </w:rPr>
        <w:t>Bankwatch</w:t>
      </w:r>
      <w:proofErr w:type="spellEnd"/>
      <w:r w:rsidRPr="007F18EB">
        <w:rPr>
          <w:lang w:val="en-US" w:eastAsia="en-US"/>
        </w:rPr>
        <w:t xml:space="preserve"> Network concerning the planned lifetime </w:t>
      </w:r>
      <w:r w:rsidRPr="007F18EB">
        <w:rPr>
          <w:lang w:eastAsia="en-US"/>
        </w:rPr>
        <w:t xml:space="preserve">extension of 12 power units </w:t>
      </w:r>
      <w:r w:rsidRPr="007F18EB">
        <w:rPr>
          <w:lang w:eastAsia="en-US"/>
        </w:rPr>
        <w:lastRenderedPageBreak/>
        <w:t xml:space="preserve">located at Rivne, South-Ukrainian, </w:t>
      </w:r>
      <w:proofErr w:type="spellStart"/>
      <w:r w:rsidRPr="007F18EB">
        <w:rPr>
          <w:lang w:eastAsia="en-US"/>
        </w:rPr>
        <w:t>Zaporizhzhya</w:t>
      </w:r>
      <w:proofErr w:type="spellEnd"/>
      <w:r w:rsidRPr="007F18EB">
        <w:rPr>
          <w:lang w:eastAsia="en-US"/>
        </w:rPr>
        <w:t xml:space="preserve"> and Khmelnitsky nuclear power plants in Ukraine.</w:t>
      </w:r>
      <w:r w:rsidRPr="007F18EB">
        <w:rPr>
          <w:lang w:val="en-US" w:eastAsia="en-US"/>
        </w:rPr>
        <w:t xml:space="preserve"> </w:t>
      </w:r>
      <w:r w:rsidRPr="007F18EB">
        <w:rPr>
          <w:lang w:eastAsia="en-US"/>
        </w:rPr>
        <w:t xml:space="preserve">Considering the information provided by the affected Parties </w:t>
      </w:r>
      <w:r w:rsidRPr="007F18EB">
        <w:rPr>
          <w:lang w:val="en-US" w:eastAsia="en-US"/>
        </w:rPr>
        <w:t>in response to the Committee’s inquiry dated 19 May 2023 on the state of the transboundary procedure, the Committee concluded that most affected Parties were still expecting the final decision from Ukraine. T</w:t>
      </w:r>
      <w:r w:rsidRPr="007F18EB">
        <w:rPr>
          <w:lang w:eastAsia="en-US"/>
        </w:rPr>
        <w:t xml:space="preserve">he Committee, following </w:t>
      </w:r>
      <w:r w:rsidRPr="007F18EB">
        <w:rPr>
          <w:lang w:val="en-US" w:eastAsia="en-US"/>
        </w:rPr>
        <w:t xml:space="preserve">the lack of response from Ukraine, repeated its information request to Ukraine and </w:t>
      </w:r>
      <w:r w:rsidRPr="007F18EB">
        <w:rPr>
          <w:lang w:eastAsia="en-US"/>
        </w:rPr>
        <w:t xml:space="preserve">agreed to continue its deliberations at its next session. </w:t>
      </w:r>
    </w:p>
    <w:p w14:paraId="1D7F66BD" w14:textId="29A4CF7A" w:rsidR="007F18EB" w:rsidRPr="007F18EB" w:rsidRDefault="001B3A86" w:rsidP="001B3A86">
      <w:pPr>
        <w:pStyle w:val="H1G"/>
        <w:rPr>
          <w:lang w:val="en-US" w:eastAsia="en-US"/>
        </w:rPr>
      </w:pPr>
      <w:bookmarkStart w:id="80" w:name="_Toc147827471"/>
      <w:bookmarkStart w:id="81" w:name="_Toc1770814626"/>
      <w:r>
        <w:rPr>
          <w:lang w:val="en-US" w:eastAsia="en-US"/>
        </w:rPr>
        <w:tab/>
      </w:r>
      <w:r w:rsidR="007F18EB" w:rsidRPr="007F18EB">
        <w:rPr>
          <w:lang w:val="en-US" w:eastAsia="en-US"/>
        </w:rPr>
        <w:t>B.</w:t>
      </w:r>
      <w:r w:rsidR="007F18EB" w:rsidRPr="007F18EB">
        <w:rPr>
          <w:lang w:val="en-US" w:eastAsia="en-US"/>
        </w:rPr>
        <w:tab/>
        <w:t>Protocol matters</w:t>
      </w:r>
      <w:bookmarkEnd w:id="80"/>
      <w:bookmarkEnd w:id="81"/>
    </w:p>
    <w:p w14:paraId="3B951B8E" w14:textId="6B71401D" w:rsidR="007F18EB" w:rsidRPr="007F18EB" w:rsidRDefault="001B3A86" w:rsidP="001B3A86">
      <w:pPr>
        <w:pStyle w:val="H23G"/>
        <w:rPr>
          <w:lang w:eastAsia="en-US"/>
        </w:rPr>
      </w:pPr>
      <w:bookmarkStart w:id="82" w:name="_Toc147827472"/>
      <w:bookmarkStart w:id="83" w:name="_Toc446524237"/>
      <w:r>
        <w:rPr>
          <w:lang w:eastAsia="en-US"/>
        </w:rPr>
        <w:tab/>
      </w:r>
      <w:r w:rsidR="007F18EB" w:rsidRPr="007F18EB">
        <w:rPr>
          <w:lang w:eastAsia="en-US"/>
        </w:rPr>
        <w:t>1.</w:t>
      </w:r>
      <w:r w:rsidR="007F18EB" w:rsidRPr="007F18EB">
        <w:rPr>
          <w:lang w:eastAsia="en-US"/>
        </w:rPr>
        <w:tab/>
        <w:t>Germany</w:t>
      </w:r>
      <w:bookmarkEnd w:id="82"/>
      <w:bookmarkEnd w:id="83"/>
      <w:r w:rsidR="007F18EB" w:rsidRPr="007F18EB">
        <w:rPr>
          <w:lang w:eastAsia="en-US"/>
        </w:rPr>
        <w:t xml:space="preserve"> </w:t>
      </w:r>
    </w:p>
    <w:p w14:paraId="624EE795" w14:textId="2BADC9FC" w:rsidR="007F18EB" w:rsidRPr="007F18EB" w:rsidRDefault="001B3A86" w:rsidP="001B3A86">
      <w:pPr>
        <w:pStyle w:val="H4G"/>
        <w:rPr>
          <w:b/>
          <w:bCs/>
          <w:lang w:eastAsia="en-US"/>
        </w:rPr>
      </w:pPr>
      <w:r>
        <w:rPr>
          <w:lang w:eastAsia="en-US"/>
        </w:rPr>
        <w:tab/>
      </w:r>
      <w:r>
        <w:rPr>
          <w:lang w:eastAsia="en-US"/>
        </w:rPr>
        <w:tab/>
      </w:r>
      <w:r w:rsidR="007F18EB" w:rsidRPr="007F18EB">
        <w:rPr>
          <w:lang w:eastAsia="en-US"/>
        </w:rPr>
        <w:t>SEA/IC/INFO/5</w:t>
      </w:r>
    </w:p>
    <w:p w14:paraId="08172689" w14:textId="77777777" w:rsidR="007F18EB" w:rsidRPr="007F18EB" w:rsidRDefault="007F18EB" w:rsidP="001B3A86">
      <w:pPr>
        <w:pStyle w:val="SingleTxtG"/>
        <w:rPr>
          <w:lang w:val="en-US" w:eastAsia="en-US"/>
        </w:rPr>
      </w:pPr>
      <w:r w:rsidRPr="007F18EB">
        <w:rPr>
          <w:lang w:val="en-US" w:eastAsia="en-US"/>
        </w:rPr>
        <w:t>97.</w:t>
      </w:r>
      <w:r w:rsidRPr="007F18EB">
        <w:rPr>
          <w:lang w:eastAsia="en-US"/>
        </w:rPr>
        <w:tab/>
      </w:r>
      <w:r w:rsidRPr="007F18EB">
        <w:rPr>
          <w:lang w:val="en-US" w:eastAsia="en-US"/>
        </w:rPr>
        <w:t xml:space="preserve">On 13 April 2022, the Committee received information from the German NGO </w:t>
      </w:r>
      <w:proofErr w:type="spellStart"/>
      <w:r w:rsidRPr="007F18EB">
        <w:rPr>
          <w:lang w:val="en-US" w:eastAsia="en-US"/>
        </w:rPr>
        <w:t>Nationales</w:t>
      </w:r>
      <w:proofErr w:type="spellEnd"/>
      <w:r w:rsidRPr="007F18EB">
        <w:rPr>
          <w:lang w:val="en-US" w:eastAsia="en-US"/>
        </w:rPr>
        <w:t xml:space="preserve"> </w:t>
      </w:r>
      <w:proofErr w:type="spellStart"/>
      <w:r w:rsidRPr="007F18EB">
        <w:rPr>
          <w:lang w:val="en-US" w:eastAsia="en-US"/>
        </w:rPr>
        <w:t>Begleitgremium</w:t>
      </w:r>
      <w:proofErr w:type="spellEnd"/>
      <w:r w:rsidRPr="007F18EB">
        <w:rPr>
          <w:lang w:val="en-US" w:eastAsia="en-US"/>
        </w:rPr>
        <w:t xml:space="preserve"> concerning the site selection process for a high-level radioactive waste disposal facility initiated by Germany, with a view to its completion by 2031. As requested by the Committee, Germany informed it about the main stages of planning and the decision-making process regarding the site selection, and about its intention to apply the Protocol, in particular article 8 on public participation. At its fifty-fourth session, t</w:t>
      </w:r>
      <w:r w:rsidRPr="007F18EB">
        <w:rPr>
          <w:lang w:eastAsia="en-US"/>
        </w:rPr>
        <w:t>he Committee found that the information provided by Germany provided a sufficiently clear picture to conclude that there was no profound suspicion of non-compliance regarding articles 8 and 10 of the Protocol and closed the matter.</w:t>
      </w:r>
      <w:r w:rsidRPr="007F18EB">
        <w:rPr>
          <w:vertAlign w:val="superscript"/>
          <w:lang w:val="en-US" w:eastAsia="en-US"/>
        </w:rPr>
        <w:footnoteReference w:id="84"/>
      </w:r>
    </w:p>
    <w:p w14:paraId="2E371DCE" w14:textId="4A3925B0" w:rsidR="007F18EB" w:rsidRPr="007F18EB" w:rsidRDefault="001B3A86" w:rsidP="001B3A86">
      <w:pPr>
        <w:pStyle w:val="H23G"/>
        <w:rPr>
          <w:lang w:eastAsia="en-US"/>
        </w:rPr>
      </w:pPr>
      <w:bookmarkStart w:id="84" w:name="_Toc147827473"/>
      <w:bookmarkStart w:id="85" w:name="_Toc2120193055"/>
      <w:r>
        <w:rPr>
          <w:lang w:eastAsia="en-US"/>
        </w:rPr>
        <w:tab/>
      </w:r>
      <w:r w:rsidR="007F18EB" w:rsidRPr="007F18EB">
        <w:rPr>
          <w:lang w:eastAsia="en-US"/>
        </w:rPr>
        <w:t>2.</w:t>
      </w:r>
      <w:r w:rsidR="007F18EB" w:rsidRPr="007F18EB">
        <w:rPr>
          <w:lang w:eastAsia="en-US"/>
        </w:rPr>
        <w:tab/>
        <w:t>Poland</w:t>
      </w:r>
      <w:bookmarkEnd w:id="84"/>
      <w:bookmarkEnd w:id="85"/>
      <w:r w:rsidR="007F18EB" w:rsidRPr="007F18EB">
        <w:rPr>
          <w:lang w:eastAsia="en-US"/>
        </w:rPr>
        <w:t xml:space="preserve"> </w:t>
      </w:r>
    </w:p>
    <w:p w14:paraId="137F2D4C" w14:textId="77777777" w:rsidR="007F18EB" w:rsidRPr="007F18EB" w:rsidRDefault="007F18EB" w:rsidP="001B3A86">
      <w:pPr>
        <w:pStyle w:val="H4G"/>
        <w:rPr>
          <w:lang w:eastAsia="en-US"/>
        </w:rPr>
      </w:pPr>
      <w:r w:rsidRPr="007F18EB">
        <w:rPr>
          <w:lang w:eastAsia="en-US"/>
        </w:rPr>
        <w:tab/>
      </w:r>
      <w:r w:rsidRPr="007F18EB">
        <w:rPr>
          <w:lang w:eastAsia="en-US"/>
        </w:rPr>
        <w:tab/>
        <w:t>SEA/IC/INFO/4</w:t>
      </w:r>
    </w:p>
    <w:p w14:paraId="4E7E5472" w14:textId="77777777" w:rsidR="007F18EB" w:rsidRPr="007F18EB" w:rsidRDefault="007F18EB" w:rsidP="001B3A86">
      <w:pPr>
        <w:pStyle w:val="SingleTxtG"/>
        <w:rPr>
          <w:lang w:eastAsia="en-US"/>
        </w:rPr>
      </w:pPr>
      <w:r w:rsidRPr="007F18EB">
        <w:rPr>
          <w:lang w:val="en-US" w:eastAsia="en-US"/>
        </w:rPr>
        <w:t>98.</w:t>
      </w:r>
      <w:r w:rsidRPr="007F18EB">
        <w:rPr>
          <w:lang w:eastAsia="en-US"/>
        </w:rPr>
        <w:tab/>
      </w:r>
      <w:r w:rsidRPr="007F18EB">
        <w:rPr>
          <w:lang w:val="en-US" w:eastAsia="en-US"/>
        </w:rPr>
        <w:t xml:space="preserve">The Committee examined information received from a German parliamentarian dated 11 February 2020, expressing concerns about the application of article 10 of the Protocol by Poland regarding the draft Energy Policy of Poland until 2040. The Committee noted that a strategic environmental assessment was ongoing in accordance with article 4 (2) of the Protocol. </w:t>
      </w:r>
      <w:r w:rsidRPr="007F18EB">
        <w:rPr>
          <w:lang w:eastAsia="en-US"/>
        </w:rPr>
        <w:t xml:space="preserve">The Policy included a section on nuclear activities, built on the Nuclear Power Programme of Poland, adopted in 2014, upon completion of a strategic environmental assessment, including in a transboundary context. </w:t>
      </w:r>
    </w:p>
    <w:p w14:paraId="5F7A74D3" w14:textId="77777777" w:rsidR="007F18EB" w:rsidRPr="007F18EB" w:rsidRDefault="007F18EB" w:rsidP="001B3A86">
      <w:pPr>
        <w:pStyle w:val="SingleTxtG"/>
        <w:rPr>
          <w:lang w:eastAsia="en-US"/>
        </w:rPr>
      </w:pPr>
      <w:r w:rsidRPr="007F18EB">
        <w:rPr>
          <w:lang w:eastAsia="en-US"/>
        </w:rPr>
        <w:t>99.</w:t>
      </w:r>
      <w:r w:rsidRPr="007F18EB">
        <w:rPr>
          <w:rFonts w:ascii="Calibri" w:hAnsi="Calibri" w:cs="Arial"/>
          <w:sz w:val="22"/>
          <w:szCs w:val="22"/>
          <w:lang w:val="nb-NO" w:eastAsia="en-US"/>
        </w:rPr>
        <w:tab/>
      </w:r>
      <w:r w:rsidRPr="007F18EB">
        <w:rPr>
          <w:lang w:eastAsia="en-US"/>
        </w:rPr>
        <w:t>Based on the environmental report concerning the Policy, Poland had concluded that a significant transboundary environmental effect of implementing the Policy was not likely and that, subsequently, Poland had not notified the neighbouring countries under article 10.</w:t>
      </w:r>
    </w:p>
    <w:p w14:paraId="77E0B391" w14:textId="77777777" w:rsidR="007F18EB" w:rsidRPr="007F18EB" w:rsidRDefault="007F18EB" w:rsidP="001B3A86">
      <w:pPr>
        <w:pStyle w:val="SingleTxtG"/>
        <w:rPr>
          <w:lang w:eastAsia="en-US"/>
        </w:rPr>
      </w:pPr>
      <w:r w:rsidRPr="007F18EB">
        <w:rPr>
          <w:lang w:eastAsia="en-US"/>
        </w:rPr>
        <w:t>100.</w:t>
      </w:r>
      <w:r w:rsidRPr="007F18EB">
        <w:rPr>
          <w:lang w:eastAsia="en-US"/>
        </w:rPr>
        <w:tab/>
        <w:t xml:space="preserve">Further to the Committee’s invitation to Germany, of 28 October 2020, to take the necessary steps under article 10 of the Protocol if it considered itself potentially affected, Germany </w:t>
      </w:r>
      <w:r w:rsidRPr="007F18EB">
        <w:rPr>
          <w:lang w:val="en-US" w:eastAsia="en-US"/>
        </w:rPr>
        <w:t xml:space="preserve">requested that it be notified by Poland on 17 March 2021. Poland, however, in the absence of a communication from Germany, adopted the Policy on 2 February 2021. </w:t>
      </w:r>
    </w:p>
    <w:p w14:paraId="0255B79E" w14:textId="77777777" w:rsidR="007F18EB" w:rsidRPr="007F18EB" w:rsidRDefault="007F18EB" w:rsidP="001B3A86">
      <w:pPr>
        <w:pStyle w:val="SingleTxtG"/>
        <w:rPr>
          <w:lang w:eastAsia="en-US"/>
        </w:rPr>
      </w:pPr>
      <w:r w:rsidRPr="007F18EB">
        <w:rPr>
          <w:lang w:eastAsia="en-US"/>
        </w:rPr>
        <w:t>101.</w:t>
      </w:r>
      <w:r w:rsidRPr="007F18EB">
        <w:rPr>
          <w:lang w:eastAsia="en-US"/>
        </w:rPr>
        <w:tab/>
        <w:t>The Committee found that Germany had had ample opportunity to request a notification. It concluded that there was no need for it to continue consideration of the matter and closed it, recommending, inter alia, that Germany and Poland use the existing cooperation platforms for information exchange on matters potentially falling under the scope of the Convention and the Protocol.</w:t>
      </w:r>
      <w:r w:rsidRPr="007F18EB">
        <w:rPr>
          <w:vertAlign w:val="superscript"/>
          <w:lang w:eastAsia="en-US"/>
        </w:rPr>
        <w:footnoteReference w:id="85"/>
      </w:r>
    </w:p>
    <w:p w14:paraId="75DD6982" w14:textId="3B20DBC6" w:rsidR="00EE083A" w:rsidRPr="00EE083A" w:rsidRDefault="001B3A86" w:rsidP="001B3A86">
      <w:pPr>
        <w:pStyle w:val="HChG"/>
        <w:rPr>
          <w:lang w:eastAsia="en-US"/>
        </w:rPr>
      </w:pPr>
      <w:bookmarkStart w:id="86" w:name="_Toc147827474"/>
      <w:bookmarkStart w:id="87" w:name="_Toc137049491"/>
      <w:r>
        <w:rPr>
          <w:lang w:eastAsia="en-US"/>
        </w:rPr>
        <w:tab/>
      </w:r>
      <w:r w:rsidR="00EE083A" w:rsidRPr="00EE083A">
        <w:rPr>
          <w:lang w:eastAsia="en-US"/>
        </w:rPr>
        <w:t>VI.</w:t>
      </w:r>
      <w:r w:rsidR="00EE083A" w:rsidRPr="00EE083A">
        <w:rPr>
          <w:lang w:eastAsia="en-US"/>
        </w:rPr>
        <w:tab/>
        <w:t>Examination of the outcomes of the reviews of implementation</w:t>
      </w:r>
      <w:bookmarkEnd w:id="86"/>
      <w:bookmarkEnd w:id="87"/>
    </w:p>
    <w:p w14:paraId="4A258947" w14:textId="77777777" w:rsidR="00EE083A" w:rsidRPr="00EE083A" w:rsidRDefault="00EE083A" w:rsidP="001B3A86">
      <w:pPr>
        <w:pStyle w:val="SingleTxtG"/>
        <w:rPr>
          <w:lang w:eastAsia="en-US"/>
        </w:rPr>
      </w:pPr>
      <w:r w:rsidRPr="00EE083A">
        <w:rPr>
          <w:rFonts w:eastAsia="Calibri"/>
          <w:lang w:eastAsia="en-US"/>
        </w:rPr>
        <w:t>102.</w:t>
      </w:r>
      <w:r w:rsidRPr="00EE083A">
        <w:rPr>
          <w:lang w:eastAsia="en-US"/>
        </w:rPr>
        <w:tab/>
      </w:r>
      <w:r w:rsidRPr="00EE083A">
        <w:rPr>
          <w:rFonts w:eastAsia="Calibri"/>
          <w:lang w:eastAsia="en-US"/>
        </w:rPr>
        <w:t xml:space="preserve">As requested in decisions VIII/5 (para. 4) of the Meeting of the Parties to the Convention </w:t>
      </w:r>
      <w:r w:rsidRPr="00EE083A">
        <w:rPr>
          <w:lang w:eastAsia="en-US"/>
        </w:rPr>
        <w:t xml:space="preserve">and IV/5 (para. </w:t>
      </w:r>
      <w:r w:rsidRPr="00EE083A">
        <w:rPr>
          <w:rFonts w:eastAsia="Calibri"/>
          <w:lang w:eastAsia="en-US"/>
        </w:rPr>
        <w:t xml:space="preserve">4) of the Meeting of the Parties to the Protocol, </w:t>
      </w:r>
      <w:r w:rsidRPr="00EE083A">
        <w:rPr>
          <w:lang w:eastAsia="en-US"/>
        </w:rPr>
        <w:t>t</w:t>
      </w:r>
      <w:r w:rsidRPr="00EE083A">
        <w:rPr>
          <w:rFonts w:eastAsia="Calibri"/>
          <w:lang w:eastAsia="en-US"/>
        </w:rPr>
        <w:t xml:space="preserve">he Committee </w:t>
      </w:r>
      <w:proofErr w:type="gramStart"/>
      <w:r w:rsidRPr="00EE083A">
        <w:rPr>
          <w:rFonts w:eastAsia="Calibri"/>
          <w:lang w:eastAsia="en-US"/>
        </w:rPr>
        <w:t>took into account</w:t>
      </w:r>
      <w:proofErr w:type="gramEnd"/>
      <w:r w:rsidRPr="00EE083A">
        <w:rPr>
          <w:rFonts w:eastAsia="Calibri"/>
          <w:lang w:eastAsia="en-US"/>
        </w:rPr>
        <w:t xml:space="preserve"> in its work information on general and specific compliance issues identified </w:t>
      </w:r>
      <w:r w:rsidRPr="00EE083A">
        <w:rPr>
          <w:rFonts w:eastAsia="Calibri"/>
          <w:lang w:eastAsia="en-US"/>
        </w:rPr>
        <w:lastRenderedPageBreak/>
        <w:t>in the sixth review of implementation of the Convention</w:t>
      </w:r>
      <w:r w:rsidRPr="00EE083A">
        <w:rPr>
          <w:rFonts w:eastAsia="Calibri"/>
          <w:sz w:val="18"/>
          <w:vertAlign w:val="superscript"/>
          <w:lang w:eastAsia="en-US"/>
        </w:rPr>
        <w:footnoteReference w:id="86"/>
      </w:r>
      <w:r w:rsidRPr="00EE083A">
        <w:rPr>
          <w:rFonts w:eastAsia="Calibri"/>
          <w:lang w:eastAsia="en-US"/>
        </w:rPr>
        <w:t xml:space="preserve"> and the third review of implementation of the Protocol.</w:t>
      </w:r>
      <w:r w:rsidRPr="00EE083A">
        <w:rPr>
          <w:rFonts w:eastAsia="Calibri"/>
          <w:sz w:val="18"/>
          <w:vertAlign w:val="superscript"/>
          <w:lang w:eastAsia="en-US"/>
        </w:rPr>
        <w:footnoteReference w:id="87"/>
      </w:r>
    </w:p>
    <w:p w14:paraId="1D1035BF" w14:textId="0EABAB4C" w:rsidR="00EE083A" w:rsidRPr="00EE083A" w:rsidRDefault="001B3A86" w:rsidP="001B3A86">
      <w:pPr>
        <w:pStyle w:val="H1G"/>
        <w:rPr>
          <w:lang w:eastAsia="en-US"/>
        </w:rPr>
      </w:pPr>
      <w:bookmarkStart w:id="88" w:name="_Toc147827475"/>
      <w:bookmarkStart w:id="89" w:name="_Toc1887904639"/>
      <w:r>
        <w:rPr>
          <w:lang w:eastAsia="en-US"/>
        </w:rPr>
        <w:tab/>
      </w:r>
      <w:r w:rsidR="00EE083A" w:rsidRPr="00EE083A">
        <w:rPr>
          <w:lang w:eastAsia="en-US"/>
        </w:rPr>
        <w:t>A.</w:t>
      </w:r>
      <w:r w:rsidR="00EE083A" w:rsidRPr="00EE083A">
        <w:rPr>
          <w:lang w:eastAsia="en-US"/>
        </w:rPr>
        <w:tab/>
        <w:t>General compliance issues</w:t>
      </w:r>
      <w:bookmarkEnd w:id="88"/>
      <w:bookmarkEnd w:id="89"/>
    </w:p>
    <w:p w14:paraId="11EAA8C5" w14:textId="77777777" w:rsidR="00EE083A" w:rsidRPr="00EE083A" w:rsidRDefault="00EE083A" w:rsidP="001B3A86">
      <w:pPr>
        <w:pStyle w:val="SingleTxtG"/>
        <w:rPr>
          <w:lang w:eastAsia="en-US"/>
        </w:rPr>
      </w:pPr>
      <w:r w:rsidRPr="00EE083A">
        <w:rPr>
          <w:lang w:eastAsia="en-US"/>
        </w:rPr>
        <w:t>103.</w:t>
      </w:r>
      <w:r w:rsidRPr="00EE083A">
        <w:rPr>
          <w:lang w:eastAsia="en-US"/>
        </w:rPr>
        <w:tab/>
        <w:t xml:space="preserve">The Committee noted some general weaknesses or shortcomings in the Convention’s and Protocol’s implementation identified in the reviews of implementation. It observed that some of those issues had already been recognized in previous reviews. </w:t>
      </w:r>
    </w:p>
    <w:p w14:paraId="725952DF" w14:textId="6DFE8DC0" w:rsidR="00EE083A" w:rsidRPr="00EE083A" w:rsidRDefault="001B3A86" w:rsidP="001B3A86">
      <w:pPr>
        <w:pStyle w:val="H1G"/>
        <w:rPr>
          <w:lang w:eastAsia="en-US"/>
        </w:rPr>
      </w:pPr>
      <w:bookmarkStart w:id="90" w:name="_Toc147827476"/>
      <w:bookmarkStart w:id="91" w:name="_Toc538640076"/>
      <w:r>
        <w:rPr>
          <w:lang w:eastAsia="en-US"/>
        </w:rPr>
        <w:tab/>
      </w:r>
      <w:r w:rsidR="00EE083A" w:rsidRPr="00EE083A">
        <w:rPr>
          <w:lang w:eastAsia="en-US"/>
        </w:rPr>
        <w:t>B.</w:t>
      </w:r>
      <w:r w:rsidR="00EE083A" w:rsidRPr="00EE083A">
        <w:rPr>
          <w:lang w:eastAsia="en-US"/>
        </w:rPr>
        <w:tab/>
        <w:t>Specific compliance issues</w:t>
      </w:r>
      <w:bookmarkEnd w:id="90"/>
      <w:bookmarkEnd w:id="91"/>
    </w:p>
    <w:p w14:paraId="67CD35E3" w14:textId="77777777" w:rsidR="00EE083A" w:rsidRPr="00EE083A" w:rsidRDefault="00EE083A" w:rsidP="001B3A86">
      <w:pPr>
        <w:pStyle w:val="SingleTxtG"/>
        <w:rPr>
          <w:lang w:eastAsia="en-US"/>
        </w:rPr>
      </w:pPr>
      <w:r w:rsidRPr="00EE083A">
        <w:rPr>
          <w:lang w:eastAsia="en-US"/>
        </w:rPr>
        <w:t>104.</w:t>
      </w:r>
      <w:r w:rsidRPr="00EE083A">
        <w:rPr>
          <w:lang w:eastAsia="en-US"/>
        </w:rPr>
        <w:tab/>
        <w:t xml:space="preserve"> The Committee examined specific compliance issues arising from the review of implementation of the Convention regarding thirteen Parties, and specific compliance issues concerning the Protocol regarding two Parties, as well as continuing to examine specific compliance issues concerning the Protocol regarding the European Union and Serbia addressed in previous reviews of implementation (see table 3 below).</w:t>
      </w:r>
    </w:p>
    <w:p w14:paraId="46992F7D" w14:textId="77777777" w:rsidR="00EE083A" w:rsidRPr="00EE083A" w:rsidRDefault="00EE083A" w:rsidP="001B3A86">
      <w:pPr>
        <w:pStyle w:val="SingleTxtG"/>
        <w:rPr>
          <w:lang w:eastAsia="en-US"/>
        </w:rPr>
      </w:pPr>
      <w:r w:rsidRPr="00EE083A">
        <w:rPr>
          <w:lang w:eastAsia="en-US"/>
        </w:rPr>
        <w:t>105.</w:t>
      </w:r>
      <w:r w:rsidRPr="00EE083A">
        <w:rPr>
          <w:lang w:eastAsia="en-US"/>
        </w:rPr>
        <w:tab/>
        <w:t xml:space="preserve">The Committee was satisfied with the answers provided by Armenia, Azerbaijan, Belgium, Bosnia and Herzegovina, Croatia, Denmark, Finland, Kazakhstan, Latvia, the Republic of Moldova, Spain, Switzerland and the United Kingdom of Great Britain and Northern Ireland, and closed the cases. It regretted, however, that Kyrgyzstan, North </w:t>
      </w:r>
      <w:proofErr w:type="gramStart"/>
      <w:r w:rsidRPr="00EE083A">
        <w:rPr>
          <w:lang w:eastAsia="en-US"/>
        </w:rPr>
        <w:t>Macedonia</w:t>
      </w:r>
      <w:proofErr w:type="gramEnd"/>
      <w:r w:rsidRPr="00EE083A">
        <w:rPr>
          <w:lang w:eastAsia="en-US"/>
        </w:rPr>
        <w:t xml:space="preserve"> and Serbia had failed to respond to the Committee’s reiterated requests since May 2022 and that it needed to continue the consideration of those matters in the next intersessional period. </w:t>
      </w:r>
    </w:p>
    <w:p w14:paraId="154D7400" w14:textId="40BE83F6" w:rsidR="00EE083A" w:rsidRPr="00EE083A" w:rsidRDefault="00EE083A" w:rsidP="008E7AB9">
      <w:pPr>
        <w:pStyle w:val="SingleTxtG"/>
        <w:jc w:val="left"/>
        <w:rPr>
          <w:lang w:eastAsia="en-US"/>
        </w:rPr>
      </w:pPr>
      <w:bookmarkStart w:id="92" w:name="_Toc147827477"/>
      <w:bookmarkStart w:id="93" w:name="_Toc638739663"/>
      <w:r w:rsidRPr="00EE083A">
        <w:rPr>
          <w:lang w:eastAsia="en-US"/>
        </w:rPr>
        <w:t>Table 3</w:t>
      </w:r>
      <w:bookmarkEnd w:id="92"/>
      <w:bookmarkEnd w:id="93"/>
      <w:r w:rsidR="001B3A86">
        <w:rPr>
          <w:lang w:eastAsia="en-US"/>
        </w:rPr>
        <w:br/>
      </w:r>
      <w:r w:rsidRPr="00EE083A">
        <w:rPr>
          <w:b/>
          <w:lang w:eastAsia="en-US"/>
        </w:rPr>
        <w:t>Specific compliance issues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564"/>
        <w:gridCol w:w="1256"/>
        <w:gridCol w:w="3300"/>
      </w:tblGrid>
      <w:tr w:rsidR="00DF5E2E" w:rsidRPr="008E7AB9" w14:paraId="6AD03D5A" w14:textId="77777777" w:rsidTr="008E7AB9">
        <w:trPr>
          <w:tblHeader/>
        </w:trPr>
        <w:tc>
          <w:tcPr>
            <w:tcW w:w="1250" w:type="dxa"/>
            <w:tcBorders>
              <w:top w:val="single" w:sz="4" w:space="0" w:color="auto"/>
              <w:bottom w:val="single" w:sz="12" w:space="0" w:color="auto"/>
            </w:tcBorders>
            <w:shd w:val="clear" w:color="auto" w:fill="auto"/>
            <w:vAlign w:val="bottom"/>
          </w:tcPr>
          <w:p w14:paraId="31BE83F9" w14:textId="78B0FB85" w:rsidR="00DF5E2E" w:rsidRPr="008E7AB9" w:rsidRDefault="00DF5E2E" w:rsidP="008E7AB9">
            <w:pPr>
              <w:spacing w:before="80" w:after="80" w:line="200" w:lineRule="exact"/>
              <w:ind w:right="113"/>
              <w:rPr>
                <w:bCs/>
                <w:i/>
                <w:sz w:val="16"/>
                <w:lang w:eastAsia="en-US"/>
              </w:rPr>
            </w:pPr>
            <w:r w:rsidRPr="008E7AB9">
              <w:rPr>
                <w:i/>
                <w:sz w:val="16"/>
                <w:lang w:eastAsia="en-US"/>
              </w:rPr>
              <w:t>Party concerned</w:t>
            </w:r>
          </w:p>
        </w:tc>
        <w:tc>
          <w:tcPr>
            <w:tcW w:w="1564" w:type="dxa"/>
            <w:tcBorders>
              <w:top w:val="single" w:sz="4" w:space="0" w:color="auto"/>
              <w:bottom w:val="single" w:sz="12" w:space="0" w:color="auto"/>
            </w:tcBorders>
            <w:shd w:val="clear" w:color="auto" w:fill="auto"/>
            <w:vAlign w:val="bottom"/>
          </w:tcPr>
          <w:p w14:paraId="74D9C0D8" w14:textId="1216DB61" w:rsidR="00DF5E2E" w:rsidRPr="008E7AB9" w:rsidRDefault="00DF5E2E" w:rsidP="008E7AB9">
            <w:pPr>
              <w:spacing w:before="80" w:after="80" w:line="200" w:lineRule="exact"/>
              <w:ind w:right="113"/>
              <w:rPr>
                <w:bCs/>
                <w:i/>
                <w:sz w:val="16"/>
                <w:lang w:eastAsia="en-US"/>
              </w:rPr>
            </w:pPr>
            <w:r w:rsidRPr="008E7AB9">
              <w:rPr>
                <w:i/>
                <w:sz w:val="16"/>
                <w:lang w:eastAsia="en-US"/>
              </w:rPr>
              <w:t>Committee reference</w:t>
            </w:r>
          </w:p>
        </w:tc>
        <w:tc>
          <w:tcPr>
            <w:tcW w:w="1256" w:type="dxa"/>
            <w:tcBorders>
              <w:top w:val="single" w:sz="4" w:space="0" w:color="auto"/>
              <w:bottom w:val="single" w:sz="12" w:space="0" w:color="auto"/>
            </w:tcBorders>
            <w:shd w:val="clear" w:color="auto" w:fill="auto"/>
            <w:vAlign w:val="bottom"/>
          </w:tcPr>
          <w:p w14:paraId="60C8130E" w14:textId="3C85C0C6" w:rsidR="00DF5E2E" w:rsidRPr="008E7AB9" w:rsidRDefault="00DF5E2E" w:rsidP="008E7AB9">
            <w:pPr>
              <w:spacing w:before="80" w:after="80" w:line="200" w:lineRule="exact"/>
              <w:ind w:right="113"/>
              <w:rPr>
                <w:bCs/>
                <w:i/>
                <w:sz w:val="16"/>
                <w:lang w:eastAsia="en-US"/>
              </w:rPr>
            </w:pPr>
            <w:r w:rsidRPr="008E7AB9">
              <w:rPr>
                <w:i/>
                <w:sz w:val="16"/>
                <w:lang w:eastAsia="en-US"/>
              </w:rPr>
              <w:t>Status</w:t>
            </w:r>
          </w:p>
        </w:tc>
        <w:tc>
          <w:tcPr>
            <w:tcW w:w="3300" w:type="dxa"/>
            <w:tcBorders>
              <w:top w:val="single" w:sz="4" w:space="0" w:color="auto"/>
              <w:bottom w:val="single" w:sz="12" w:space="0" w:color="auto"/>
            </w:tcBorders>
            <w:shd w:val="clear" w:color="auto" w:fill="auto"/>
            <w:vAlign w:val="bottom"/>
          </w:tcPr>
          <w:p w14:paraId="78D0516A" w14:textId="7D552EFB" w:rsidR="00DF5E2E" w:rsidRPr="008E7AB9" w:rsidRDefault="00ED0762" w:rsidP="008E7AB9">
            <w:pPr>
              <w:spacing w:before="80" w:after="80" w:line="200" w:lineRule="exact"/>
              <w:ind w:right="113"/>
              <w:rPr>
                <w:bCs/>
                <w:i/>
                <w:sz w:val="16"/>
                <w:lang w:eastAsia="en-US"/>
              </w:rPr>
            </w:pPr>
            <w:r w:rsidRPr="008E7AB9">
              <w:rPr>
                <w:i/>
                <w:sz w:val="16"/>
                <w:lang w:eastAsia="en-US"/>
              </w:rPr>
              <w:t>Issue</w:t>
            </w:r>
          </w:p>
        </w:tc>
      </w:tr>
      <w:tr w:rsidR="008E7AB9" w:rsidRPr="008E7AB9" w14:paraId="4BD00D88" w14:textId="77777777" w:rsidTr="008E7AB9">
        <w:trPr>
          <w:trHeight w:hRule="exact" w:val="113"/>
        </w:trPr>
        <w:tc>
          <w:tcPr>
            <w:tcW w:w="1250" w:type="dxa"/>
            <w:tcBorders>
              <w:top w:val="single" w:sz="12" w:space="0" w:color="auto"/>
            </w:tcBorders>
            <w:shd w:val="clear" w:color="auto" w:fill="auto"/>
          </w:tcPr>
          <w:p w14:paraId="1B05902E" w14:textId="77777777" w:rsidR="008E7AB9" w:rsidRPr="008E7AB9" w:rsidRDefault="008E7AB9" w:rsidP="008E7AB9">
            <w:pPr>
              <w:spacing w:before="40" w:after="120"/>
              <w:ind w:right="113"/>
              <w:rPr>
                <w:lang w:eastAsia="en-US"/>
              </w:rPr>
            </w:pPr>
          </w:p>
        </w:tc>
        <w:tc>
          <w:tcPr>
            <w:tcW w:w="1564" w:type="dxa"/>
            <w:tcBorders>
              <w:top w:val="single" w:sz="12" w:space="0" w:color="auto"/>
            </w:tcBorders>
            <w:shd w:val="clear" w:color="auto" w:fill="auto"/>
          </w:tcPr>
          <w:p w14:paraId="3F790329" w14:textId="77777777" w:rsidR="008E7AB9" w:rsidRPr="008E7AB9" w:rsidRDefault="008E7AB9" w:rsidP="008E7AB9">
            <w:pPr>
              <w:spacing w:before="40" w:after="120"/>
              <w:ind w:right="113"/>
              <w:rPr>
                <w:lang w:eastAsia="en-US"/>
              </w:rPr>
            </w:pPr>
          </w:p>
        </w:tc>
        <w:tc>
          <w:tcPr>
            <w:tcW w:w="1256" w:type="dxa"/>
            <w:tcBorders>
              <w:top w:val="single" w:sz="12" w:space="0" w:color="auto"/>
            </w:tcBorders>
            <w:shd w:val="clear" w:color="auto" w:fill="auto"/>
          </w:tcPr>
          <w:p w14:paraId="207B1C8E" w14:textId="77777777" w:rsidR="008E7AB9" w:rsidRPr="008E7AB9" w:rsidRDefault="008E7AB9" w:rsidP="008E7AB9">
            <w:pPr>
              <w:spacing w:before="40" w:after="120"/>
              <w:ind w:right="113"/>
              <w:rPr>
                <w:lang w:eastAsia="en-US"/>
              </w:rPr>
            </w:pPr>
          </w:p>
        </w:tc>
        <w:tc>
          <w:tcPr>
            <w:tcW w:w="3300" w:type="dxa"/>
            <w:tcBorders>
              <w:top w:val="single" w:sz="12" w:space="0" w:color="auto"/>
            </w:tcBorders>
            <w:shd w:val="clear" w:color="auto" w:fill="auto"/>
          </w:tcPr>
          <w:p w14:paraId="2E033334" w14:textId="77777777" w:rsidR="008E7AB9" w:rsidRPr="008E7AB9" w:rsidRDefault="008E7AB9" w:rsidP="008E7AB9">
            <w:pPr>
              <w:spacing w:before="40" w:after="120"/>
              <w:ind w:right="113"/>
              <w:rPr>
                <w:lang w:eastAsia="en-US"/>
              </w:rPr>
            </w:pPr>
          </w:p>
        </w:tc>
      </w:tr>
      <w:tr w:rsidR="00EE083A" w:rsidRPr="008E7AB9" w14:paraId="090DAF50" w14:textId="77777777" w:rsidTr="008E7AB9">
        <w:tc>
          <w:tcPr>
            <w:tcW w:w="7370" w:type="dxa"/>
            <w:gridSpan w:val="4"/>
            <w:shd w:val="clear" w:color="auto" w:fill="auto"/>
          </w:tcPr>
          <w:p w14:paraId="4A85C61A" w14:textId="362D912F" w:rsidR="00EE083A" w:rsidRPr="008E7AB9" w:rsidRDefault="00EE083A" w:rsidP="000C1E7A">
            <w:pPr>
              <w:spacing w:before="40" w:after="120"/>
              <w:ind w:right="113"/>
              <w:rPr>
                <w:lang w:eastAsia="en-US"/>
              </w:rPr>
            </w:pPr>
            <w:bookmarkStart w:id="94" w:name="_Toc147827478"/>
            <w:bookmarkStart w:id="95" w:name="_Toc398716829"/>
            <w:r w:rsidRPr="008E7AB9">
              <w:rPr>
                <w:lang w:eastAsia="en-US"/>
              </w:rPr>
              <w:t>Convention matters</w:t>
            </w:r>
            <w:bookmarkEnd w:id="94"/>
            <w:bookmarkEnd w:id="95"/>
          </w:p>
        </w:tc>
      </w:tr>
      <w:tr w:rsidR="00EE083A" w:rsidRPr="008E7AB9" w14:paraId="3DAE0C10" w14:textId="77777777" w:rsidTr="008E7AB9">
        <w:tc>
          <w:tcPr>
            <w:tcW w:w="1250" w:type="dxa"/>
            <w:shd w:val="clear" w:color="auto" w:fill="auto"/>
          </w:tcPr>
          <w:p w14:paraId="6D0B37B2" w14:textId="77777777" w:rsidR="00EE083A" w:rsidRPr="008E7AB9" w:rsidRDefault="00EE083A" w:rsidP="008E7AB9">
            <w:pPr>
              <w:spacing w:before="40" w:after="120"/>
              <w:ind w:right="113"/>
              <w:rPr>
                <w:lang w:eastAsia="en-US"/>
              </w:rPr>
            </w:pPr>
            <w:r w:rsidRPr="008E7AB9">
              <w:rPr>
                <w:lang w:eastAsia="en-US"/>
              </w:rPr>
              <w:t>Azerbaijan</w:t>
            </w:r>
          </w:p>
        </w:tc>
        <w:tc>
          <w:tcPr>
            <w:tcW w:w="1564" w:type="dxa"/>
            <w:shd w:val="clear" w:color="auto" w:fill="auto"/>
          </w:tcPr>
          <w:p w14:paraId="6264AB3D" w14:textId="77777777" w:rsidR="00EE083A" w:rsidRPr="008E7AB9" w:rsidRDefault="00EE083A" w:rsidP="008E7AB9">
            <w:pPr>
              <w:spacing w:before="40" w:after="120"/>
              <w:ind w:right="113"/>
              <w:rPr>
                <w:lang w:eastAsia="en-US"/>
              </w:rPr>
            </w:pPr>
            <w:r w:rsidRPr="008E7AB9">
              <w:rPr>
                <w:lang w:eastAsia="en-US"/>
              </w:rPr>
              <w:t>EIA/IC/SCI/6/1</w:t>
            </w:r>
          </w:p>
        </w:tc>
        <w:tc>
          <w:tcPr>
            <w:tcW w:w="1256" w:type="dxa"/>
            <w:shd w:val="clear" w:color="auto" w:fill="auto"/>
          </w:tcPr>
          <w:p w14:paraId="4B0A1B80"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val="restart"/>
            <w:shd w:val="clear" w:color="auto" w:fill="auto"/>
          </w:tcPr>
          <w:p w14:paraId="5DCDDD42" w14:textId="77777777" w:rsidR="00EE083A" w:rsidRPr="008E7AB9" w:rsidRDefault="00EE083A" w:rsidP="008E7AB9">
            <w:pPr>
              <w:spacing w:before="40" w:after="120"/>
              <w:ind w:right="113"/>
              <w:rPr>
                <w:lang w:eastAsia="en-US"/>
              </w:rPr>
            </w:pPr>
            <w:r w:rsidRPr="008E7AB9">
              <w:rPr>
                <w:lang w:eastAsia="en-US"/>
              </w:rPr>
              <w:t>Implementation of art. 7</w:t>
            </w:r>
          </w:p>
        </w:tc>
      </w:tr>
      <w:tr w:rsidR="00EE083A" w:rsidRPr="008E7AB9" w14:paraId="559D0D77" w14:textId="77777777" w:rsidTr="008E7AB9">
        <w:tc>
          <w:tcPr>
            <w:tcW w:w="1250" w:type="dxa"/>
            <w:shd w:val="clear" w:color="auto" w:fill="auto"/>
          </w:tcPr>
          <w:p w14:paraId="10B02852" w14:textId="198044CF" w:rsidR="00EE083A" w:rsidRPr="008E7AB9" w:rsidRDefault="00EE083A" w:rsidP="00276571">
            <w:pPr>
              <w:spacing w:before="40" w:after="120"/>
              <w:ind w:right="113"/>
              <w:rPr>
                <w:lang w:eastAsia="en-US"/>
              </w:rPr>
            </w:pPr>
            <w:r w:rsidRPr="008E7AB9">
              <w:rPr>
                <w:lang w:eastAsia="en-US"/>
              </w:rPr>
              <w:t>Belgium</w:t>
            </w:r>
          </w:p>
        </w:tc>
        <w:tc>
          <w:tcPr>
            <w:tcW w:w="1564" w:type="dxa"/>
            <w:shd w:val="clear" w:color="auto" w:fill="auto"/>
          </w:tcPr>
          <w:p w14:paraId="510793E0" w14:textId="77777777" w:rsidR="00EE083A" w:rsidRPr="008E7AB9" w:rsidRDefault="00EE083A" w:rsidP="008E7AB9">
            <w:pPr>
              <w:spacing w:before="40" w:after="120"/>
              <w:ind w:right="113"/>
              <w:rPr>
                <w:lang w:eastAsia="en-US"/>
              </w:rPr>
            </w:pPr>
            <w:r w:rsidRPr="008E7AB9">
              <w:rPr>
                <w:lang w:eastAsia="en-US"/>
              </w:rPr>
              <w:t>EIA/IC/SCI/6/2</w:t>
            </w:r>
          </w:p>
        </w:tc>
        <w:tc>
          <w:tcPr>
            <w:tcW w:w="1256" w:type="dxa"/>
            <w:shd w:val="clear" w:color="auto" w:fill="auto"/>
          </w:tcPr>
          <w:p w14:paraId="2AC0DA28"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437E0BF2" w14:textId="77777777" w:rsidR="00EE083A" w:rsidRPr="008E7AB9" w:rsidRDefault="00EE083A" w:rsidP="008E7AB9">
            <w:pPr>
              <w:spacing w:before="40" w:after="120"/>
              <w:ind w:right="113"/>
              <w:rPr>
                <w:lang w:eastAsia="en-US"/>
              </w:rPr>
            </w:pPr>
          </w:p>
        </w:tc>
      </w:tr>
      <w:tr w:rsidR="00EE083A" w:rsidRPr="008E7AB9" w14:paraId="57438795" w14:textId="77777777" w:rsidTr="008E7AB9">
        <w:tc>
          <w:tcPr>
            <w:tcW w:w="1250" w:type="dxa"/>
            <w:shd w:val="clear" w:color="auto" w:fill="auto"/>
          </w:tcPr>
          <w:p w14:paraId="654D3BB6" w14:textId="5F53FC9C" w:rsidR="00EE083A" w:rsidRPr="008E7AB9" w:rsidRDefault="00EE083A" w:rsidP="00276571">
            <w:pPr>
              <w:spacing w:before="40" w:after="120"/>
              <w:ind w:right="113"/>
              <w:rPr>
                <w:lang w:eastAsia="en-US"/>
              </w:rPr>
            </w:pPr>
            <w:r w:rsidRPr="008E7AB9">
              <w:rPr>
                <w:lang w:eastAsia="en-US"/>
              </w:rPr>
              <w:t>Bosnia and Herzegovina</w:t>
            </w:r>
          </w:p>
        </w:tc>
        <w:tc>
          <w:tcPr>
            <w:tcW w:w="1564" w:type="dxa"/>
            <w:shd w:val="clear" w:color="auto" w:fill="auto"/>
          </w:tcPr>
          <w:p w14:paraId="5EF8AA01" w14:textId="77777777" w:rsidR="00EE083A" w:rsidRPr="008E7AB9" w:rsidRDefault="00EE083A" w:rsidP="008E7AB9">
            <w:pPr>
              <w:spacing w:before="40" w:after="120"/>
              <w:ind w:right="113"/>
              <w:rPr>
                <w:lang w:eastAsia="en-US"/>
              </w:rPr>
            </w:pPr>
            <w:r w:rsidRPr="008E7AB9">
              <w:rPr>
                <w:lang w:eastAsia="en-US"/>
              </w:rPr>
              <w:t>EIA/IC/SCI/6/3</w:t>
            </w:r>
          </w:p>
        </w:tc>
        <w:tc>
          <w:tcPr>
            <w:tcW w:w="1256" w:type="dxa"/>
            <w:shd w:val="clear" w:color="auto" w:fill="auto"/>
          </w:tcPr>
          <w:p w14:paraId="049ECFFE"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5B9DFEC4" w14:textId="77777777" w:rsidR="00EE083A" w:rsidRPr="008E7AB9" w:rsidRDefault="00EE083A" w:rsidP="008E7AB9">
            <w:pPr>
              <w:spacing w:before="40" w:after="120"/>
              <w:ind w:right="113"/>
              <w:rPr>
                <w:lang w:eastAsia="en-US"/>
              </w:rPr>
            </w:pPr>
          </w:p>
        </w:tc>
      </w:tr>
      <w:tr w:rsidR="00EE083A" w:rsidRPr="008E7AB9" w14:paraId="1C9AD1CD" w14:textId="77777777" w:rsidTr="008E7AB9">
        <w:tc>
          <w:tcPr>
            <w:tcW w:w="1250" w:type="dxa"/>
            <w:shd w:val="clear" w:color="auto" w:fill="auto"/>
          </w:tcPr>
          <w:p w14:paraId="4A2E930C" w14:textId="3944F90F" w:rsidR="00EE083A" w:rsidRPr="008E7AB9" w:rsidRDefault="00EE083A" w:rsidP="00276571">
            <w:pPr>
              <w:spacing w:before="40" w:after="120"/>
              <w:ind w:right="113"/>
              <w:rPr>
                <w:lang w:eastAsia="en-US"/>
              </w:rPr>
            </w:pPr>
            <w:r w:rsidRPr="008E7AB9">
              <w:rPr>
                <w:lang w:eastAsia="en-US"/>
              </w:rPr>
              <w:t>Croatia</w:t>
            </w:r>
          </w:p>
        </w:tc>
        <w:tc>
          <w:tcPr>
            <w:tcW w:w="1564" w:type="dxa"/>
            <w:shd w:val="clear" w:color="auto" w:fill="auto"/>
          </w:tcPr>
          <w:p w14:paraId="77CC05ED" w14:textId="77777777" w:rsidR="00EE083A" w:rsidRPr="008E7AB9" w:rsidRDefault="00EE083A" w:rsidP="008E7AB9">
            <w:pPr>
              <w:spacing w:before="40" w:after="120"/>
              <w:ind w:right="113"/>
              <w:rPr>
                <w:lang w:eastAsia="en-US"/>
              </w:rPr>
            </w:pPr>
            <w:r w:rsidRPr="008E7AB9">
              <w:rPr>
                <w:lang w:eastAsia="en-US"/>
              </w:rPr>
              <w:t>EIA/IC/SCI/6/4</w:t>
            </w:r>
          </w:p>
        </w:tc>
        <w:tc>
          <w:tcPr>
            <w:tcW w:w="1256" w:type="dxa"/>
            <w:shd w:val="clear" w:color="auto" w:fill="auto"/>
          </w:tcPr>
          <w:p w14:paraId="690C5BBE"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1A28719A" w14:textId="77777777" w:rsidR="00EE083A" w:rsidRPr="008E7AB9" w:rsidRDefault="00EE083A" w:rsidP="008E7AB9">
            <w:pPr>
              <w:spacing w:before="40" w:after="120"/>
              <w:ind w:right="113"/>
              <w:rPr>
                <w:lang w:eastAsia="en-US"/>
              </w:rPr>
            </w:pPr>
          </w:p>
        </w:tc>
      </w:tr>
      <w:tr w:rsidR="00EE083A" w:rsidRPr="008E7AB9" w14:paraId="6267E1CA" w14:textId="77777777" w:rsidTr="008E7AB9">
        <w:tc>
          <w:tcPr>
            <w:tcW w:w="1250" w:type="dxa"/>
            <w:shd w:val="clear" w:color="auto" w:fill="auto"/>
          </w:tcPr>
          <w:p w14:paraId="1F2C9780" w14:textId="5B83CC0F" w:rsidR="00EE083A" w:rsidRPr="008E7AB9" w:rsidRDefault="00EE083A" w:rsidP="00276571">
            <w:pPr>
              <w:spacing w:before="40" w:after="120"/>
              <w:ind w:right="113"/>
              <w:rPr>
                <w:lang w:eastAsia="en-US"/>
              </w:rPr>
            </w:pPr>
            <w:r w:rsidRPr="008E7AB9">
              <w:rPr>
                <w:lang w:eastAsia="en-US"/>
              </w:rPr>
              <w:t xml:space="preserve">Finland </w:t>
            </w:r>
          </w:p>
        </w:tc>
        <w:tc>
          <w:tcPr>
            <w:tcW w:w="1564" w:type="dxa"/>
            <w:shd w:val="clear" w:color="auto" w:fill="auto"/>
          </w:tcPr>
          <w:p w14:paraId="0CBCCAC4" w14:textId="77777777" w:rsidR="00EE083A" w:rsidRPr="008E7AB9" w:rsidRDefault="00EE083A" w:rsidP="008E7AB9">
            <w:pPr>
              <w:spacing w:before="40" w:after="120"/>
              <w:ind w:right="113"/>
              <w:rPr>
                <w:lang w:eastAsia="en-US"/>
              </w:rPr>
            </w:pPr>
            <w:r w:rsidRPr="008E7AB9">
              <w:rPr>
                <w:lang w:eastAsia="en-US"/>
              </w:rPr>
              <w:t>EIA/IC/SCI/6/6</w:t>
            </w:r>
          </w:p>
        </w:tc>
        <w:tc>
          <w:tcPr>
            <w:tcW w:w="1256" w:type="dxa"/>
            <w:shd w:val="clear" w:color="auto" w:fill="auto"/>
          </w:tcPr>
          <w:p w14:paraId="41BB7CB2"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50AB9B0B" w14:textId="77777777" w:rsidR="00EE083A" w:rsidRPr="008E7AB9" w:rsidRDefault="00EE083A" w:rsidP="008E7AB9">
            <w:pPr>
              <w:spacing w:before="40" w:after="120"/>
              <w:ind w:right="113"/>
              <w:rPr>
                <w:lang w:eastAsia="en-US"/>
              </w:rPr>
            </w:pPr>
          </w:p>
        </w:tc>
      </w:tr>
      <w:tr w:rsidR="00EE083A" w:rsidRPr="008E7AB9" w14:paraId="40B40239" w14:textId="77777777" w:rsidTr="008E7AB9">
        <w:tc>
          <w:tcPr>
            <w:tcW w:w="1250" w:type="dxa"/>
            <w:shd w:val="clear" w:color="auto" w:fill="auto"/>
          </w:tcPr>
          <w:p w14:paraId="384A973C" w14:textId="22C0808C" w:rsidR="00EE083A" w:rsidRPr="008E7AB9" w:rsidRDefault="00EE083A" w:rsidP="00276571">
            <w:pPr>
              <w:spacing w:before="40" w:after="120"/>
              <w:ind w:right="113"/>
              <w:rPr>
                <w:lang w:eastAsia="en-US"/>
              </w:rPr>
            </w:pPr>
            <w:r w:rsidRPr="008E7AB9">
              <w:rPr>
                <w:lang w:eastAsia="en-US"/>
              </w:rPr>
              <w:t>Kazakhstan</w:t>
            </w:r>
          </w:p>
        </w:tc>
        <w:tc>
          <w:tcPr>
            <w:tcW w:w="1564" w:type="dxa"/>
            <w:shd w:val="clear" w:color="auto" w:fill="auto"/>
          </w:tcPr>
          <w:p w14:paraId="2098B915" w14:textId="77777777" w:rsidR="00EE083A" w:rsidRPr="008E7AB9" w:rsidRDefault="00EE083A" w:rsidP="008E7AB9">
            <w:pPr>
              <w:spacing w:before="40" w:after="120"/>
              <w:ind w:right="113"/>
              <w:rPr>
                <w:lang w:eastAsia="en-US"/>
              </w:rPr>
            </w:pPr>
            <w:r w:rsidRPr="008E7AB9">
              <w:rPr>
                <w:lang w:eastAsia="en-US"/>
              </w:rPr>
              <w:t>EIA/IC/SCI/6/7</w:t>
            </w:r>
          </w:p>
        </w:tc>
        <w:tc>
          <w:tcPr>
            <w:tcW w:w="1256" w:type="dxa"/>
            <w:shd w:val="clear" w:color="auto" w:fill="auto"/>
          </w:tcPr>
          <w:p w14:paraId="1E011DC4"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2BDFB874" w14:textId="77777777" w:rsidR="00EE083A" w:rsidRPr="008E7AB9" w:rsidRDefault="00EE083A" w:rsidP="008E7AB9">
            <w:pPr>
              <w:spacing w:before="40" w:after="120"/>
              <w:ind w:right="113"/>
              <w:rPr>
                <w:lang w:eastAsia="en-US"/>
              </w:rPr>
            </w:pPr>
          </w:p>
        </w:tc>
      </w:tr>
      <w:tr w:rsidR="00EE083A" w:rsidRPr="008E7AB9" w14:paraId="4BACD7B3" w14:textId="77777777" w:rsidTr="008E7AB9">
        <w:tc>
          <w:tcPr>
            <w:tcW w:w="1250" w:type="dxa"/>
            <w:shd w:val="clear" w:color="auto" w:fill="auto"/>
          </w:tcPr>
          <w:p w14:paraId="54C61481" w14:textId="77777777" w:rsidR="00EE083A" w:rsidRPr="008E7AB9" w:rsidRDefault="00EE083A" w:rsidP="008E7AB9">
            <w:pPr>
              <w:spacing w:before="40" w:after="120"/>
              <w:ind w:right="113"/>
              <w:rPr>
                <w:lang w:eastAsia="en-US"/>
              </w:rPr>
            </w:pPr>
            <w:r w:rsidRPr="008E7AB9">
              <w:rPr>
                <w:lang w:eastAsia="en-US"/>
              </w:rPr>
              <w:t>Latvia</w:t>
            </w:r>
          </w:p>
        </w:tc>
        <w:tc>
          <w:tcPr>
            <w:tcW w:w="1564" w:type="dxa"/>
            <w:shd w:val="clear" w:color="auto" w:fill="auto"/>
          </w:tcPr>
          <w:p w14:paraId="4E0D83DC" w14:textId="77777777" w:rsidR="00EE083A" w:rsidRPr="008E7AB9" w:rsidRDefault="00EE083A" w:rsidP="008E7AB9">
            <w:pPr>
              <w:spacing w:before="40" w:after="120"/>
              <w:ind w:right="113"/>
              <w:rPr>
                <w:lang w:eastAsia="en-US"/>
              </w:rPr>
            </w:pPr>
            <w:r w:rsidRPr="008E7AB9">
              <w:rPr>
                <w:lang w:eastAsia="en-US"/>
              </w:rPr>
              <w:t>EIA/IC/SCI/6/9</w:t>
            </w:r>
          </w:p>
        </w:tc>
        <w:tc>
          <w:tcPr>
            <w:tcW w:w="1256" w:type="dxa"/>
            <w:shd w:val="clear" w:color="auto" w:fill="auto"/>
          </w:tcPr>
          <w:p w14:paraId="77887772"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495B392A" w14:textId="77777777" w:rsidR="00EE083A" w:rsidRPr="008E7AB9" w:rsidRDefault="00EE083A" w:rsidP="008E7AB9">
            <w:pPr>
              <w:spacing w:before="40" w:after="120"/>
              <w:ind w:right="113"/>
              <w:rPr>
                <w:lang w:eastAsia="en-US"/>
              </w:rPr>
            </w:pPr>
          </w:p>
        </w:tc>
      </w:tr>
      <w:tr w:rsidR="00EE083A" w:rsidRPr="008E7AB9" w14:paraId="594D9FBE" w14:textId="77777777" w:rsidTr="008E7AB9">
        <w:tc>
          <w:tcPr>
            <w:tcW w:w="1250" w:type="dxa"/>
            <w:shd w:val="clear" w:color="auto" w:fill="auto"/>
          </w:tcPr>
          <w:p w14:paraId="4A6A0300" w14:textId="4EFB8729" w:rsidR="00EE083A" w:rsidRPr="008E7AB9" w:rsidRDefault="00EE083A" w:rsidP="00276571">
            <w:pPr>
              <w:spacing w:before="40" w:after="120"/>
              <w:ind w:right="113"/>
              <w:rPr>
                <w:lang w:eastAsia="en-US"/>
              </w:rPr>
            </w:pPr>
            <w:r w:rsidRPr="008E7AB9">
              <w:rPr>
                <w:lang w:eastAsia="en-US"/>
              </w:rPr>
              <w:t xml:space="preserve">Switzerland </w:t>
            </w:r>
          </w:p>
        </w:tc>
        <w:tc>
          <w:tcPr>
            <w:tcW w:w="1564" w:type="dxa"/>
            <w:shd w:val="clear" w:color="auto" w:fill="auto"/>
          </w:tcPr>
          <w:p w14:paraId="6001FF99" w14:textId="77777777" w:rsidR="00EE083A" w:rsidRPr="008E7AB9" w:rsidRDefault="00EE083A" w:rsidP="008E7AB9">
            <w:pPr>
              <w:spacing w:before="40" w:after="120"/>
              <w:ind w:right="113"/>
              <w:rPr>
                <w:lang w:eastAsia="en-US"/>
              </w:rPr>
            </w:pPr>
            <w:r w:rsidRPr="008E7AB9">
              <w:rPr>
                <w:lang w:eastAsia="en-US"/>
              </w:rPr>
              <w:t>EIA/IC/SCI/6/12</w:t>
            </w:r>
          </w:p>
        </w:tc>
        <w:tc>
          <w:tcPr>
            <w:tcW w:w="1256" w:type="dxa"/>
            <w:shd w:val="clear" w:color="auto" w:fill="auto"/>
          </w:tcPr>
          <w:p w14:paraId="47B7804D"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65C1DD24" w14:textId="77777777" w:rsidR="00EE083A" w:rsidRPr="008E7AB9" w:rsidRDefault="00EE083A" w:rsidP="008E7AB9">
            <w:pPr>
              <w:spacing w:before="40" w:after="120"/>
              <w:ind w:right="113"/>
              <w:rPr>
                <w:lang w:eastAsia="en-US"/>
              </w:rPr>
            </w:pPr>
          </w:p>
        </w:tc>
      </w:tr>
      <w:tr w:rsidR="00EE083A" w:rsidRPr="008E7AB9" w14:paraId="75B479CF" w14:textId="77777777" w:rsidTr="008E7AB9">
        <w:tc>
          <w:tcPr>
            <w:tcW w:w="1250" w:type="dxa"/>
            <w:shd w:val="clear" w:color="auto" w:fill="auto"/>
          </w:tcPr>
          <w:p w14:paraId="11F62AEC" w14:textId="77777777" w:rsidR="00EE083A" w:rsidRPr="008E7AB9" w:rsidRDefault="00EE083A" w:rsidP="008E7AB9">
            <w:pPr>
              <w:spacing w:before="40" w:after="120"/>
              <w:ind w:right="113"/>
              <w:rPr>
                <w:lang w:eastAsia="en-US"/>
              </w:rPr>
            </w:pPr>
            <w:r w:rsidRPr="008E7AB9">
              <w:rPr>
                <w:lang w:eastAsia="en-US"/>
              </w:rPr>
              <w:t>United Kingdom</w:t>
            </w:r>
          </w:p>
        </w:tc>
        <w:tc>
          <w:tcPr>
            <w:tcW w:w="1564" w:type="dxa"/>
            <w:shd w:val="clear" w:color="auto" w:fill="auto"/>
          </w:tcPr>
          <w:p w14:paraId="2BD94C9E" w14:textId="77777777" w:rsidR="00EE083A" w:rsidRPr="008E7AB9" w:rsidRDefault="00EE083A" w:rsidP="008E7AB9">
            <w:pPr>
              <w:spacing w:before="40" w:after="120"/>
              <w:ind w:right="113"/>
              <w:rPr>
                <w:lang w:eastAsia="en-US"/>
              </w:rPr>
            </w:pPr>
            <w:r w:rsidRPr="008E7AB9">
              <w:rPr>
                <w:lang w:eastAsia="en-US"/>
              </w:rPr>
              <w:t>EIA/IC/SCI/6/13</w:t>
            </w:r>
          </w:p>
        </w:tc>
        <w:tc>
          <w:tcPr>
            <w:tcW w:w="1256" w:type="dxa"/>
            <w:shd w:val="clear" w:color="auto" w:fill="auto"/>
          </w:tcPr>
          <w:p w14:paraId="4A5D1BAB" w14:textId="77777777" w:rsidR="00EE083A" w:rsidRPr="008E7AB9" w:rsidRDefault="00EE083A" w:rsidP="008E7AB9">
            <w:pPr>
              <w:spacing w:before="40" w:after="120"/>
              <w:ind w:right="113"/>
              <w:rPr>
                <w:lang w:eastAsia="en-US"/>
              </w:rPr>
            </w:pPr>
            <w:r w:rsidRPr="008E7AB9">
              <w:rPr>
                <w:lang w:eastAsia="en-US"/>
              </w:rPr>
              <w:t>Closed</w:t>
            </w:r>
          </w:p>
        </w:tc>
        <w:tc>
          <w:tcPr>
            <w:tcW w:w="3300" w:type="dxa"/>
            <w:vMerge/>
            <w:shd w:val="clear" w:color="auto" w:fill="auto"/>
          </w:tcPr>
          <w:p w14:paraId="70FB59E4" w14:textId="77777777" w:rsidR="00EE083A" w:rsidRPr="008E7AB9" w:rsidRDefault="00EE083A" w:rsidP="008E7AB9">
            <w:pPr>
              <w:spacing w:before="40" w:after="120"/>
              <w:ind w:right="113"/>
              <w:rPr>
                <w:lang w:eastAsia="en-US"/>
              </w:rPr>
            </w:pPr>
          </w:p>
        </w:tc>
      </w:tr>
      <w:tr w:rsidR="00EE083A" w:rsidRPr="008E7AB9" w14:paraId="7B16BB31" w14:textId="77777777" w:rsidTr="008E7AB9">
        <w:tc>
          <w:tcPr>
            <w:tcW w:w="1250" w:type="dxa"/>
            <w:shd w:val="clear" w:color="auto" w:fill="auto"/>
          </w:tcPr>
          <w:p w14:paraId="27B1EF50" w14:textId="77777777" w:rsidR="00EE083A" w:rsidRPr="008E7AB9" w:rsidRDefault="00EE083A" w:rsidP="008E7AB9">
            <w:pPr>
              <w:spacing w:before="40" w:after="120"/>
              <w:ind w:right="113"/>
              <w:rPr>
                <w:lang w:eastAsia="en-US"/>
              </w:rPr>
            </w:pPr>
          </w:p>
        </w:tc>
        <w:tc>
          <w:tcPr>
            <w:tcW w:w="1564" w:type="dxa"/>
            <w:shd w:val="clear" w:color="auto" w:fill="auto"/>
          </w:tcPr>
          <w:p w14:paraId="7036A64D" w14:textId="77777777" w:rsidR="00EE083A" w:rsidRPr="008E7AB9" w:rsidRDefault="00EE083A" w:rsidP="008E7AB9">
            <w:pPr>
              <w:spacing w:before="40" w:after="120"/>
              <w:ind w:right="113"/>
              <w:rPr>
                <w:lang w:eastAsia="en-US"/>
              </w:rPr>
            </w:pPr>
          </w:p>
        </w:tc>
        <w:tc>
          <w:tcPr>
            <w:tcW w:w="1256" w:type="dxa"/>
            <w:shd w:val="clear" w:color="auto" w:fill="auto"/>
          </w:tcPr>
          <w:p w14:paraId="7B96DACB" w14:textId="77777777" w:rsidR="00EE083A" w:rsidRPr="008E7AB9" w:rsidRDefault="00EE083A" w:rsidP="008E7AB9">
            <w:pPr>
              <w:spacing w:before="40" w:after="120"/>
              <w:ind w:right="113"/>
              <w:rPr>
                <w:lang w:eastAsia="en-US"/>
              </w:rPr>
            </w:pPr>
          </w:p>
        </w:tc>
        <w:tc>
          <w:tcPr>
            <w:tcW w:w="3300" w:type="dxa"/>
            <w:shd w:val="clear" w:color="auto" w:fill="auto"/>
          </w:tcPr>
          <w:p w14:paraId="6554A3A4" w14:textId="77777777" w:rsidR="00EE083A" w:rsidRPr="008E7AB9" w:rsidRDefault="00EE083A" w:rsidP="008E7AB9">
            <w:pPr>
              <w:spacing w:before="40" w:after="120"/>
              <w:ind w:right="113"/>
              <w:rPr>
                <w:lang w:eastAsia="en-US"/>
              </w:rPr>
            </w:pPr>
          </w:p>
        </w:tc>
      </w:tr>
      <w:tr w:rsidR="00EE083A" w:rsidRPr="008E7AB9" w14:paraId="5DD2D406" w14:textId="77777777" w:rsidTr="008E7AB9">
        <w:tc>
          <w:tcPr>
            <w:tcW w:w="1250" w:type="dxa"/>
            <w:shd w:val="clear" w:color="auto" w:fill="auto"/>
          </w:tcPr>
          <w:p w14:paraId="3218473B" w14:textId="77777777" w:rsidR="00EE083A" w:rsidRPr="008E7AB9" w:rsidRDefault="00EE083A" w:rsidP="008E7AB9">
            <w:pPr>
              <w:spacing w:before="40" w:after="120"/>
              <w:ind w:right="113"/>
              <w:rPr>
                <w:lang w:eastAsia="en-US"/>
              </w:rPr>
            </w:pPr>
            <w:r w:rsidRPr="008E7AB9">
              <w:rPr>
                <w:lang w:eastAsia="en-US"/>
              </w:rPr>
              <w:t>Kazakhstan</w:t>
            </w:r>
          </w:p>
        </w:tc>
        <w:tc>
          <w:tcPr>
            <w:tcW w:w="1564" w:type="dxa"/>
            <w:shd w:val="clear" w:color="auto" w:fill="auto"/>
          </w:tcPr>
          <w:p w14:paraId="687162CB" w14:textId="77777777" w:rsidR="00EE083A" w:rsidRPr="008E7AB9" w:rsidRDefault="00EE083A" w:rsidP="008E7AB9">
            <w:pPr>
              <w:spacing w:before="40" w:after="120"/>
              <w:ind w:right="113"/>
              <w:rPr>
                <w:lang w:eastAsia="en-US"/>
              </w:rPr>
            </w:pPr>
            <w:r w:rsidRPr="008E7AB9">
              <w:rPr>
                <w:lang w:eastAsia="en-US"/>
              </w:rPr>
              <w:t>EIA/IC/SCI/6/7</w:t>
            </w:r>
          </w:p>
        </w:tc>
        <w:tc>
          <w:tcPr>
            <w:tcW w:w="1256" w:type="dxa"/>
            <w:shd w:val="clear" w:color="auto" w:fill="auto"/>
          </w:tcPr>
          <w:p w14:paraId="60E80712" w14:textId="77777777" w:rsidR="00EE083A" w:rsidRPr="008E7AB9" w:rsidRDefault="00EE083A" w:rsidP="008E7AB9">
            <w:pPr>
              <w:spacing w:before="40" w:after="120"/>
              <w:ind w:right="113"/>
              <w:rPr>
                <w:lang w:eastAsia="en-US"/>
              </w:rPr>
            </w:pPr>
            <w:r w:rsidRPr="008E7AB9">
              <w:rPr>
                <w:lang w:eastAsia="en-US"/>
              </w:rPr>
              <w:t>Closed</w:t>
            </w:r>
          </w:p>
        </w:tc>
        <w:tc>
          <w:tcPr>
            <w:tcW w:w="3300" w:type="dxa"/>
            <w:vMerge w:val="restart"/>
            <w:shd w:val="clear" w:color="auto" w:fill="auto"/>
          </w:tcPr>
          <w:p w14:paraId="40642B02" w14:textId="77777777" w:rsidR="00EE083A" w:rsidRPr="008E7AB9" w:rsidRDefault="00EE083A" w:rsidP="008E7AB9">
            <w:pPr>
              <w:spacing w:before="40" w:after="120"/>
              <w:ind w:right="113"/>
              <w:rPr>
                <w:lang w:eastAsia="en-US"/>
              </w:rPr>
            </w:pPr>
            <w:r w:rsidRPr="008E7AB9">
              <w:rPr>
                <w:lang w:eastAsia="en-US"/>
              </w:rPr>
              <w:t>Definition of “major change”</w:t>
            </w:r>
          </w:p>
        </w:tc>
      </w:tr>
      <w:tr w:rsidR="00EE083A" w:rsidRPr="008E7AB9" w14:paraId="0DC97CEB" w14:textId="77777777" w:rsidTr="008E7AB9">
        <w:tc>
          <w:tcPr>
            <w:tcW w:w="1250" w:type="dxa"/>
            <w:shd w:val="clear" w:color="auto" w:fill="auto"/>
          </w:tcPr>
          <w:p w14:paraId="7C1CE462" w14:textId="77777777" w:rsidR="00EE083A" w:rsidRPr="008E7AB9" w:rsidRDefault="00EE083A" w:rsidP="008E7AB9">
            <w:pPr>
              <w:spacing w:before="40" w:after="120"/>
              <w:ind w:right="113"/>
              <w:rPr>
                <w:lang w:eastAsia="en-US"/>
              </w:rPr>
            </w:pPr>
            <w:r w:rsidRPr="008E7AB9">
              <w:rPr>
                <w:lang w:eastAsia="en-US"/>
              </w:rPr>
              <w:t>Kyrgyzstan</w:t>
            </w:r>
          </w:p>
        </w:tc>
        <w:tc>
          <w:tcPr>
            <w:tcW w:w="1564" w:type="dxa"/>
            <w:shd w:val="clear" w:color="auto" w:fill="auto"/>
          </w:tcPr>
          <w:p w14:paraId="7B728D9E" w14:textId="77777777" w:rsidR="00EE083A" w:rsidRPr="008E7AB9" w:rsidRDefault="00EE083A" w:rsidP="008E7AB9">
            <w:pPr>
              <w:spacing w:before="40" w:after="120"/>
              <w:ind w:right="113"/>
              <w:rPr>
                <w:lang w:eastAsia="en-US"/>
              </w:rPr>
            </w:pPr>
            <w:r w:rsidRPr="008E7AB9">
              <w:rPr>
                <w:lang w:eastAsia="en-US"/>
              </w:rPr>
              <w:t>EIA/IC/SCI/6/8</w:t>
            </w:r>
          </w:p>
        </w:tc>
        <w:tc>
          <w:tcPr>
            <w:tcW w:w="1256" w:type="dxa"/>
            <w:shd w:val="clear" w:color="auto" w:fill="auto"/>
          </w:tcPr>
          <w:p w14:paraId="74AFD6B7" w14:textId="77777777" w:rsidR="00EE083A" w:rsidRPr="008E7AB9" w:rsidRDefault="00EE083A" w:rsidP="008E7AB9">
            <w:pPr>
              <w:spacing w:before="40" w:after="120"/>
              <w:ind w:right="113"/>
              <w:rPr>
                <w:lang w:eastAsia="en-US"/>
              </w:rPr>
            </w:pPr>
            <w:r w:rsidRPr="008E7AB9">
              <w:rPr>
                <w:lang w:eastAsia="en-US"/>
              </w:rPr>
              <w:t xml:space="preserve">Ongoing </w:t>
            </w:r>
          </w:p>
        </w:tc>
        <w:tc>
          <w:tcPr>
            <w:tcW w:w="3300" w:type="dxa"/>
            <w:vMerge/>
            <w:shd w:val="clear" w:color="auto" w:fill="auto"/>
          </w:tcPr>
          <w:p w14:paraId="18CD0F1D" w14:textId="77777777" w:rsidR="00EE083A" w:rsidRPr="008E7AB9" w:rsidRDefault="00EE083A" w:rsidP="008E7AB9">
            <w:pPr>
              <w:spacing w:before="40" w:after="120"/>
              <w:ind w:right="113"/>
              <w:rPr>
                <w:lang w:eastAsia="en-US"/>
              </w:rPr>
            </w:pPr>
          </w:p>
        </w:tc>
      </w:tr>
      <w:tr w:rsidR="00EE083A" w:rsidRPr="008E7AB9" w14:paraId="46076D7A" w14:textId="77777777" w:rsidTr="008E7AB9">
        <w:tc>
          <w:tcPr>
            <w:tcW w:w="1250" w:type="dxa"/>
            <w:shd w:val="clear" w:color="auto" w:fill="auto"/>
          </w:tcPr>
          <w:p w14:paraId="05C9EB63" w14:textId="77777777" w:rsidR="00EE083A" w:rsidRPr="008E7AB9" w:rsidRDefault="00EE083A" w:rsidP="008E7AB9">
            <w:pPr>
              <w:spacing w:before="40" w:after="120"/>
              <w:ind w:right="113"/>
              <w:rPr>
                <w:lang w:eastAsia="en-US"/>
              </w:rPr>
            </w:pPr>
            <w:r w:rsidRPr="008E7AB9">
              <w:rPr>
                <w:lang w:eastAsia="en-US"/>
              </w:rPr>
              <w:t>Rep. of Moldova</w:t>
            </w:r>
          </w:p>
        </w:tc>
        <w:tc>
          <w:tcPr>
            <w:tcW w:w="1564" w:type="dxa"/>
            <w:shd w:val="clear" w:color="auto" w:fill="auto"/>
          </w:tcPr>
          <w:p w14:paraId="2E57E84B" w14:textId="77777777" w:rsidR="00EE083A" w:rsidRPr="008E7AB9" w:rsidRDefault="00EE083A" w:rsidP="008E7AB9">
            <w:pPr>
              <w:spacing w:before="40" w:after="120"/>
              <w:ind w:right="113"/>
              <w:rPr>
                <w:lang w:eastAsia="en-US"/>
              </w:rPr>
            </w:pPr>
            <w:r w:rsidRPr="008E7AB9">
              <w:rPr>
                <w:lang w:eastAsia="en-US"/>
              </w:rPr>
              <w:t>EIA/IC/SCI/6/10</w:t>
            </w:r>
          </w:p>
        </w:tc>
        <w:tc>
          <w:tcPr>
            <w:tcW w:w="1256" w:type="dxa"/>
            <w:shd w:val="clear" w:color="auto" w:fill="auto"/>
          </w:tcPr>
          <w:p w14:paraId="7D7748FA" w14:textId="77777777" w:rsidR="00EE083A" w:rsidRPr="008E7AB9" w:rsidRDefault="00EE083A" w:rsidP="008E7AB9">
            <w:pPr>
              <w:spacing w:before="40" w:after="120"/>
              <w:ind w:right="113"/>
              <w:rPr>
                <w:lang w:eastAsia="en-US"/>
              </w:rPr>
            </w:pPr>
            <w:r w:rsidRPr="008E7AB9">
              <w:rPr>
                <w:lang w:eastAsia="en-US"/>
              </w:rPr>
              <w:t>Closed</w:t>
            </w:r>
          </w:p>
        </w:tc>
        <w:tc>
          <w:tcPr>
            <w:tcW w:w="3300" w:type="dxa"/>
            <w:vMerge/>
            <w:shd w:val="clear" w:color="auto" w:fill="auto"/>
          </w:tcPr>
          <w:p w14:paraId="6437A6D0" w14:textId="77777777" w:rsidR="00EE083A" w:rsidRPr="008E7AB9" w:rsidRDefault="00EE083A" w:rsidP="008E7AB9">
            <w:pPr>
              <w:spacing w:before="40" w:after="120"/>
              <w:ind w:right="113"/>
              <w:rPr>
                <w:lang w:eastAsia="en-US"/>
              </w:rPr>
            </w:pPr>
          </w:p>
        </w:tc>
      </w:tr>
      <w:tr w:rsidR="00EE083A" w:rsidRPr="008E7AB9" w14:paraId="5568C2E0" w14:textId="77777777" w:rsidTr="008E7AB9">
        <w:tc>
          <w:tcPr>
            <w:tcW w:w="1250" w:type="dxa"/>
            <w:shd w:val="clear" w:color="auto" w:fill="auto"/>
          </w:tcPr>
          <w:p w14:paraId="25FFBB16" w14:textId="77777777" w:rsidR="00EE083A" w:rsidRPr="008E7AB9" w:rsidRDefault="00EE083A" w:rsidP="008E7AB9">
            <w:pPr>
              <w:spacing w:before="40" w:after="120"/>
              <w:ind w:right="113"/>
              <w:rPr>
                <w:lang w:eastAsia="en-US"/>
              </w:rPr>
            </w:pPr>
          </w:p>
        </w:tc>
        <w:tc>
          <w:tcPr>
            <w:tcW w:w="1564" w:type="dxa"/>
            <w:shd w:val="clear" w:color="auto" w:fill="auto"/>
          </w:tcPr>
          <w:p w14:paraId="5EB905B2" w14:textId="77777777" w:rsidR="00EE083A" w:rsidRPr="008E7AB9" w:rsidRDefault="00EE083A" w:rsidP="008E7AB9">
            <w:pPr>
              <w:spacing w:before="40" w:after="120"/>
              <w:ind w:right="113"/>
              <w:rPr>
                <w:lang w:eastAsia="en-US"/>
              </w:rPr>
            </w:pPr>
          </w:p>
        </w:tc>
        <w:tc>
          <w:tcPr>
            <w:tcW w:w="1256" w:type="dxa"/>
            <w:shd w:val="clear" w:color="auto" w:fill="auto"/>
          </w:tcPr>
          <w:p w14:paraId="7B1C5B2C" w14:textId="77777777" w:rsidR="00EE083A" w:rsidRPr="008E7AB9" w:rsidRDefault="00EE083A" w:rsidP="008E7AB9">
            <w:pPr>
              <w:spacing w:before="40" w:after="120"/>
              <w:ind w:right="113"/>
              <w:rPr>
                <w:lang w:eastAsia="en-US"/>
              </w:rPr>
            </w:pPr>
          </w:p>
        </w:tc>
        <w:tc>
          <w:tcPr>
            <w:tcW w:w="3300" w:type="dxa"/>
            <w:shd w:val="clear" w:color="auto" w:fill="auto"/>
          </w:tcPr>
          <w:p w14:paraId="09E29B34" w14:textId="77777777" w:rsidR="00EE083A" w:rsidRPr="008E7AB9" w:rsidRDefault="00EE083A" w:rsidP="008E7AB9">
            <w:pPr>
              <w:spacing w:before="40" w:after="120"/>
              <w:ind w:right="113"/>
              <w:rPr>
                <w:lang w:eastAsia="en-US"/>
              </w:rPr>
            </w:pPr>
          </w:p>
        </w:tc>
      </w:tr>
      <w:tr w:rsidR="00EE083A" w:rsidRPr="008E7AB9" w14:paraId="422A8620" w14:textId="77777777" w:rsidTr="008E7AB9">
        <w:tc>
          <w:tcPr>
            <w:tcW w:w="1250" w:type="dxa"/>
            <w:shd w:val="clear" w:color="auto" w:fill="auto"/>
          </w:tcPr>
          <w:p w14:paraId="2F08F2ED" w14:textId="77777777" w:rsidR="00EE083A" w:rsidRPr="008E7AB9" w:rsidRDefault="00EE083A" w:rsidP="008E7AB9">
            <w:pPr>
              <w:spacing w:before="40" w:after="120"/>
              <w:ind w:right="113"/>
              <w:rPr>
                <w:lang w:eastAsia="en-US"/>
              </w:rPr>
            </w:pPr>
            <w:r w:rsidRPr="008E7AB9">
              <w:rPr>
                <w:lang w:eastAsia="en-US"/>
              </w:rPr>
              <w:t>Kazakhstan</w:t>
            </w:r>
          </w:p>
        </w:tc>
        <w:tc>
          <w:tcPr>
            <w:tcW w:w="1564" w:type="dxa"/>
            <w:shd w:val="clear" w:color="auto" w:fill="auto"/>
          </w:tcPr>
          <w:p w14:paraId="055C48FD" w14:textId="77777777" w:rsidR="00EE083A" w:rsidRPr="008E7AB9" w:rsidRDefault="00EE083A" w:rsidP="008E7AB9">
            <w:pPr>
              <w:spacing w:before="40" w:after="120"/>
              <w:ind w:right="113"/>
              <w:rPr>
                <w:lang w:eastAsia="en-US"/>
              </w:rPr>
            </w:pPr>
            <w:r w:rsidRPr="008E7AB9">
              <w:rPr>
                <w:lang w:eastAsia="en-US"/>
              </w:rPr>
              <w:t>EIA/IC/SCI/6/7</w:t>
            </w:r>
          </w:p>
        </w:tc>
        <w:tc>
          <w:tcPr>
            <w:tcW w:w="1256" w:type="dxa"/>
            <w:shd w:val="clear" w:color="auto" w:fill="auto"/>
          </w:tcPr>
          <w:p w14:paraId="4068D20D" w14:textId="77777777" w:rsidR="00EE083A" w:rsidRPr="008E7AB9" w:rsidRDefault="00EE083A" w:rsidP="008E7AB9">
            <w:pPr>
              <w:spacing w:before="40" w:after="120"/>
              <w:ind w:right="113"/>
              <w:rPr>
                <w:lang w:eastAsia="en-US"/>
              </w:rPr>
            </w:pPr>
            <w:r w:rsidRPr="008E7AB9">
              <w:rPr>
                <w:lang w:eastAsia="en-US"/>
              </w:rPr>
              <w:t>Closed</w:t>
            </w:r>
          </w:p>
        </w:tc>
        <w:tc>
          <w:tcPr>
            <w:tcW w:w="3300" w:type="dxa"/>
            <w:vMerge w:val="restart"/>
            <w:shd w:val="clear" w:color="auto" w:fill="auto"/>
          </w:tcPr>
          <w:p w14:paraId="104F02C9" w14:textId="77777777" w:rsidR="00EE083A" w:rsidRPr="008E7AB9" w:rsidRDefault="00EE083A" w:rsidP="008E7AB9">
            <w:pPr>
              <w:spacing w:before="40" w:after="120"/>
              <w:ind w:right="113"/>
              <w:rPr>
                <w:lang w:eastAsia="en-US"/>
              </w:rPr>
            </w:pPr>
            <w:r w:rsidRPr="008E7AB9">
              <w:rPr>
                <w:lang w:eastAsia="en-US"/>
              </w:rPr>
              <w:t>Notification in accordance with art. 3 (1)</w:t>
            </w:r>
          </w:p>
        </w:tc>
      </w:tr>
      <w:tr w:rsidR="00EE083A" w:rsidRPr="008E7AB9" w14:paraId="08392386" w14:textId="77777777" w:rsidTr="008E7AB9">
        <w:tc>
          <w:tcPr>
            <w:tcW w:w="1250" w:type="dxa"/>
            <w:shd w:val="clear" w:color="auto" w:fill="auto"/>
          </w:tcPr>
          <w:p w14:paraId="635676E1" w14:textId="5E062E46" w:rsidR="00EE083A" w:rsidRPr="008E7AB9" w:rsidRDefault="00EE083A" w:rsidP="00276571">
            <w:pPr>
              <w:spacing w:before="40" w:after="120"/>
              <w:ind w:right="113"/>
              <w:rPr>
                <w:lang w:eastAsia="en-US"/>
              </w:rPr>
            </w:pPr>
            <w:r w:rsidRPr="008E7AB9">
              <w:rPr>
                <w:lang w:eastAsia="en-US"/>
              </w:rPr>
              <w:t xml:space="preserve">United Kingdom </w:t>
            </w:r>
          </w:p>
        </w:tc>
        <w:tc>
          <w:tcPr>
            <w:tcW w:w="1564" w:type="dxa"/>
            <w:shd w:val="clear" w:color="auto" w:fill="auto"/>
          </w:tcPr>
          <w:p w14:paraId="071B90D9" w14:textId="77777777" w:rsidR="00EE083A" w:rsidRPr="008E7AB9" w:rsidRDefault="00EE083A" w:rsidP="008E7AB9">
            <w:pPr>
              <w:spacing w:before="40" w:after="120"/>
              <w:ind w:right="113"/>
              <w:rPr>
                <w:lang w:eastAsia="en-US"/>
              </w:rPr>
            </w:pPr>
            <w:r w:rsidRPr="008E7AB9">
              <w:rPr>
                <w:lang w:eastAsia="en-US"/>
              </w:rPr>
              <w:t>EIA/IC/SCI/6/13</w:t>
            </w:r>
          </w:p>
        </w:tc>
        <w:tc>
          <w:tcPr>
            <w:tcW w:w="1256" w:type="dxa"/>
            <w:shd w:val="clear" w:color="auto" w:fill="auto"/>
          </w:tcPr>
          <w:p w14:paraId="47909904"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114B1389" w14:textId="77777777" w:rsidR="00EE083A" w:rsidRPr="008E7AB9" w:rsidRDefault="00EE083A" w:rsidP="008E7AB9">
            <w:pPr>
              <w:spacing w:before="40" w:after="120"/>
              <w:ind w:right="113"/>
              <w:rPr>
                <w:lang w:eastAsia="en-US"/>
              </w:rPr>
            </w:pPr>
          </w:p>
        </w:tc>
      </w:tr>
      <w:tr w:rsidR="00EE083A" w:rsidRPr="008E7AB9" w14:paraId="04035EBE" w14:textId="77777777" w:rsidTr="008E7AB9">
        <w:tc>
          <w:tcPr>
            <w:tcW w:w="1250" w:type="dxa"/>
            <w:shd w:val="clear" w:color="auto" w:fill="auto"/>
          </w:tcPr>
          <w:p w14:paraId="13147A5D" w14:textId="77777777" w:rsidR="00EE083A" w:rsidRPr="008E7AB9" w:rsidRDefault="00EE083A" w:rsidP="008E7AB9">
            <w:pPr>
              <w:spacing w:before="40" w:after="120"/>
              <w:ind w:right="113"/>
              <w:rPr>
                <w:lang w:eastAsia="en-US"/>
              </w:rPr>
            </w:pPr>
            <w:r w:rsidRPr="008E7AB9">
              <w:rPr>
                <w:lang w:eastAsia="en-US"/>
              </w:rPr>
              <w:t>Spain</w:t>
            </w:r>
          </w:p>
        </w:tc>
        <w:tc>
          <w:tcPr>
            <w:tcW w:w="1564" w:type="dxa"/>
            <w:shd w:val="clear" w:color="auto" w:fill="auto"/>
          </w:tcPr>
          <w:p w14:paraId="13A6FB7C" w14:textId="77777777" w:rsidR="00EE083A" w:rsidRPr="008E7AB9" w:rsidRDefault="00EE083A" w:rsidP="008E7AB9">
            <w:pPr>
              <w:spacing w:before="40" w:after="120"/>
              <w:ind w:right="113"/>
              <w:rPr>
                <w:lang w:eastAsia="en-US"/>
              </w:rPr>
            </w:pPr>
            <w:r w:rsidRPr="008E7AB9">
              <w:rPr>
                <w:lang w:eastAsia="en-US"/>
              </w:rPr>
              <w:t>EIA/IC/SCI/6/11</w:t>
            </w:r>
          </w:p>
        </w:tc>
        <w:tc>
          <w:tcPr>
            <w:tcW w:w="1256" w:type="dxa"/>
            <w:shd w:val="clear" w:color="auto" w:fill="auto"/>
          </w:tcPr>
          <w:p w14:paraId="080A7248" w14:textId="77777777" w:rsidR="00EE083A" w:rsidRPr="008E7AB9" w:rsidRDefault="00EE083A" w:rsidP="008E7AB9">
            <w:pPr>
              <w:spacing w:before="40" w:after="120"/>
              <w:ind w:right="113"/>
              <w:rPr>
                <w:lang w:eastAsia="en-US"/>
              </w:rPr>
            </w:pPr>
            <w:r w:rsidRPr="008E7AB9">
              <w:rPr>
                <w:lang w:eastAsia="en-US"/>
              </w:rPr>
              <w:t>Closed</w:t>
            </w:r>
          </w:p>
        </w:tc>
        <w:tc>
          <w:tcPr>
            <w:tcW w:w="3300" w:type="dxa"/>
            <w:shd w:val="clear" w:color="auto" w:fill="auto"/>
          </w:tcPr>
          <w:p w14:paraId="13CEEA68" w14:textId="77777777" w:rsidR="00EE083A" w:rsidRPr="008E7AB9" w:rsidRDefault="00EE083A" w:rsidP="008E7AB9">
            <w:pPr>
              <w:spacing w:before="40" w:after="120"/>
              <w:ind w:right="113"/>
              <w:rPr>
                <w:lang w:eastAsia="en-US"/>
              </w:rPr>
            </w:pPr>
            <w:r w:rsidRPr="008E7AB9">
              <w:rPr>
                <w:lang w:eastAsia="en-US"/>
              </w:rPr>
              <w:t>Definition of “impact”</w:t>
            </w:r>
          </w:p>
        </w:tc>
      </w:tr>
      <w:tr w:rsidR="00EE083A" w:rsidRPr="008E7AB9" w14:paraId="6FAB09B8" w14:textId="77777777" w:rsidTr="008E7AB9">
        <w:tc>
          <w:tcPr>
            <w:tcW w:w="1250" w:type="dxa"/>
            <w:shd w:val="clear" w:color="auto" w:fill="auto"/>
          </w:tcPr>
          <w:p w14:paraId="10565307" w14:textId="77777777" w:rsidR="00EE083A" w:rsidRPr="008E7AB9" w:rsidRDefault="00EE083A" w:rsidP="008E7AB9">
            <w:pPr>
              <w:spacing w:before="40" w:after="120"/>
              <w:ind w:right="113"/>
              <w:rPr>
                <w:lang w:eastAsia="en-US"/>
              </w:rPr>
            </w:pPr>
            <w:r w:rsidRPr="008E7AB9">
              <w:rPr>
                <w:lang w:eastAsia="en-US"/>
              </w:rPr>
              <w:t>Denmark</w:t>
            </w:r>
          </w:p>
        </w:tc>
        <w:tc>
          <w:tcPr>
            <w:tcW w:w="1564" w:type="dxa"/>
            <w:shd w:val="clear" w:color="auto" w:fill="auto"/>
          </w:tcPr>
          <w:p w14:paraId="5ABBE944" w14:textId="77777777" w:rsidR="00EE083A" w:rsidRPr="008E7AB9" w:rsidRDefault="00EE083A" w:rsidP="008E7AB9">
            <w:pPr>
              <w:spacing w:before="40" w:after="120"/>
              <w:ind w:right="113"/>
              <w:rPr>
                <w:lang w:eastAsia="en-US"/>
              </w:rPr>
            </w:pPr>
            <w:r w:rsidRPr="008E7AB9">
              <w:rPr>
                <w:lang w:eastAsia="en-US"/>
              </w:rPr>
              <w:t>EIA/IC/SCI/6/5</w:t>
            </w:r>
          </w:p>
        </w:tc>
        <w:tc>
          <w:tcPr>
            <w:tcW w:w="1256" w:type="dxa"/>
            <w:shd w:val="clear" w:color="auto" w:fill="auto"/>
          </w:tcPr>
          <w:p w14:paraId="75F0B89B"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shd w:val="clear" w:color="auto" w:fill="auto"/>
          </w:tcPr>
          <w:p w14:paraId="70650CDA" w14:textId="3905D784" w:rsidR="00EE083A" w:rsidRPr="008E7AB9" w:rsidRDefault="00EE083A" w:rsidP="000C1E7A">
            <w:pPr>
              <w:spacing w:before="40" w:after="120"/>
              <w:ind w:right="113"/>
              <w:rPr>
                <w:lang w:eastAsia="en-US"/>
              </w:rPr>
            </w:pPr>
            <w:r w:rsidRPr="008E7AB9">
              <w:rPr>
                <w:lang w:eastAsia="en-US"/>
              </w:rPr>
              <w:t>Extension of time frame of 14 days to respond to notification</w:t>
            </w:r>
          </w:p>
        </w:tc>
      </w:tr>
      <w:tr w:rsidR="00EE083A" w:rsidRPr="008E7AB9" w14:paraId="1A64CF7A" w14:textId="77777777" w:rsidTr="008E7AB9">
        <w:tc>
          <w:tcPr>
            <w:tcW w:w="1250" w:type="dxa"/>
            <w:shd w:val="clear" w:color="auto" w:fill="auto"/>
          </w:tcPr>
          <w:p w14:paraId="0FA0C1DF" w14:textId="77777777" w:rsidR="00EE083A" w:rsidRPr="008E7AB9" w:rsidRDefault="00EE083A" w:rsidP="008E7AB9">
            <w:pPr>
              <w:spacing w:before="40" w:after="120"/>
              <w:ind w:right="113"/>
              <w:rPr>
                <w:lang w:eastAsia="en-US"/>
              </w:rPr>
            </w:pPr>
            <w:r w:rsidRPr="008E7AB9">
              <w:rPr>
                <w:lang w:eastAsia="en-US"/>
              </w:rPr>
              <w:t>Switzerland</w:t>
            </w:r>
          </w:p>
        </w:tc>
        <w:tc>
          <w:tcPr>
            <w:tcW w:w="1564" w:type="dxa"/>
            <w:shd w:val="clear" w:color="auto" w:fill="auto"/>
          </w:tcPr>
          <w:p w14:paraId="253A3C63" w14:textId="77777777" w:rsidR="00EE083A" w:rsidRPr="008E7AB9" w:rsidRDefault="00EE083A" w:rsidP="008E7AB9">
            <w:pPr>
              <w:spacing w:before="40" w:after="120"/>
              <w:ind w:right="113"/>
              <w:rPr>
                <w:lang w:eastAsia="en-US"/>
              </w:rPr>
            </w:pPr>
            <w:r w:rsidRPr="008E7AB9">
              <w:rPr>
                <w:lang w:eastAsia="en-US"/>
              </w:rPr>
              <w:t>EIA/IC/SCI/6/12</w:t>
            </w:r>
          </w:p>
        </w:tc>
        <w:tc>
          <w:tcPr>
            <w:tcW w:w="1256" w:type="dxa"/>
            <w:shd w:val="clear" w:color="auto" w:fill="auto"/>
          </w:tcPr>
          <w:p w14:paraId="462B7A88"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shd w:val="clear" w:color="auto" w:fill="auto"/>
          </w:tcPr>
          <w:p w14:paraId="0D0881B6" w14:textId="77777777" w:rsidR="00EE083A" w:rsidRPr="008E7AB9" w:rsidRDefault="00EE083A" w:rsidP="008E7AB9">
            <w:pPr>
              <w:spacing w:before="40" w:after="120"/>
              <w:ind w:right="113"/>
              <w:rPr>
                <w:lang w:eastAsia="en-US"/>
              </w:rPr>
            </w:pPr>
            <w:r w:rsidRPr="008E7AB9">
              <w:rPr>
                <w:lang w:eastAsia="en-US"/>
              </w:rPr>
              <w:t>Role of governmental authorities in ensuring content of environmental impact assessment documentation in accordance with art. 4 (1)</w:t>
            </w:r>
          </w:p>
        </w:tc>
      </w:tr>
      <w:tr w:rsidR="00EE083A" w:rsidRPr="008E7AB9" w14:paraId="284EBCBD" w14:textId="77777777" w:rsidTr="008E7AB9">
        <w:tc>
          <w:tcPr>
            <w:tcW w:w="7370" w:type="dxa"/>
            <w:gridSpan w:val="4"/>
            <w:shd w:val="clear" w:color="auto" w:fill="auto"/>
          </w:tcPr>
          <w:p w14:paraId="67C2694E" w14:textId="15B344D4" w:rsidR="00EE083A" w:rsidRPr="008E7AB9" w:rsidRDefault="00EE083A" w:rsidP="000C1E7A">
            <w:pPr>
              <w:spacing w:before="40" w:after="120"/>
              <w:ind w:right="113"/>
              <w:rPr>
                <w:lang w:eastAsia="en-US"/>
              </w:rPr>
            </w:pPr>
            <w:bookmarkStart w:id="96" w:name="_Toc147827479"/>
            <w:bookmarkStart w:id="97" w:name="_Toc1504514237"/>
            <w:r w:rsidRPr="008E7AB9">
              <w:rPr>
                <w:lang w:eastAsia="en-US"/>
              </w:rPr>
              <w:t>Protocol matters</w:t>
            </w:r>
            <w:bookmarkEnd w:id="96"/>
            <w:bookmarkEnd w:id="97"/>
          </w:p>
        </w:tc>
      </w:tr>
      <w:tr w:rsidR="00EE083A" w:rsidRPr="008E7AB9" w14:paraId="01494FAA" w14:textId="77777777" w:rsidTr="008E7AB9">
        <w:tc>
          <w:tcPr>
            <w:tcW w:w="1250" w:type="dxa"/>
            <w:shd w:val="clear" w:color="auto" w:fill="auto"/>
          </w:tcPr>
          <w:p w14:paraId="6FAB6B9C" w14:textId="77777777" w:rsidR="00EE083A" w:rsidRPr="008E7AB9" w:rsidRDefault="00EE083A" w:rsidP="008E7AB9">
            <w:pPr>
              <w:spacing w:before="40" w:after="120"/>
              <w:ind w:right="113"/>
              <w:rPr>
                <w:lang w:eastAsia="en-US"/>
              </w:rPr>
            </w:pPr>
            <w:r w:rsidRPr="008E7AB9">
              <w:rPr>
                <w:lang w:eastAsia="en-US"/>
              </w:rPr>
              <w:t>Serbia</w:t>
            </w:r>
          </w:p>
        </w:tc>
        <w:tc>
          <w:tcPr>
            <w:tcW w:w="1564" w:type="dxa"/>
            <w:shd w:val="clear" w:color="auto" w:fill="auto"/>
          </w:tcPr>
          <w:p w14:paraId="1E4C2E6B" w14:textId="77777777" w:rsidR="00EE083A" w:rsidRPr="008E7AB9" w:rsidRDefault="00EE083A" w:rsidP="008E7AB9">
            <w:pPr>
              <w:spacing w:before="40" w:after="120"/>
              <w:ind w:right="113"/>
              <w:rPr>
                <w:lang w:eastAsia="en-US"/>
              </w:rPr>
            </w:pPr>
            <w:r w:rsidRPr="008E7AB9">
              <w:rPr>
                <w:lang w:eastAsia="en-US"/>
              </w:rPr>
              <w:t>SEA/IC/SCI/2/2</w:t>
            </w:r>
          </w:p>
        </w:tc>
        <w:tc>
          <w:tcPr>
            <w:tcW w:w="1256" w:type="dxa"/>
            <w:shd w:val="clear" w:color="auto" w:fill="auto"/>
          </w:tcPr>
          <w:p w14:paraId="6B9D8454" w14:textId="77777777" w:rsidR="00EE083A" w:rsidRPr="008E7AB9" w:rsidRDefault="00EE083A" w:rsidP="008E7AB9">
            <w:pPr>
              <w:spacing w:before="40" w:after="120"/>
              <w:ind w:right="113"/>
              <w:rPr>
                <w:lang w:eastAsia="en-US"/>
              </w:rPr>
            </w:pPr>
            <w:r w:rsidRPr="008E7AB9">
              <w:rPr>
                <w:lang w:eastAsia="en-US"/>
              </w:rPr>
              <w:t xml:space="preserve">Ongoing </w:t>
            </w:r>
          </w:p>
        </w:tc>
        <w:tc>
          <w:tcPr>
            <w:tcW w:w="3300" w:type="dxa"/>
            <w:shd w:val="clear" w:color="auto" w:fill="auto"/>
          </w:tcPr>
          <w:p w14:paraId="14EA72F8" w14:textId="77777777" w:rsidR="00EE083A" w:rsidRPr="008E7AB9" w:rsidRDefault="00EE083A" w:rsidP="008E7AB9">
            <w:pPr>
              <w:spacing w:before="40" w:after="120"/>
              <w:ind w:right="113"/>
              <w:rPr>
                <w:lang w:eastAsia="en-US"/>
              </w:rPr>
            </w:pPr>
            <w:r w:rsidRPr="008E7AB9">
              <w:rPr>
                <w:lang w:eastAsia="en-US"/>
              </w:rPr>
              <w:t>Lack of environmental report quality control system (art. 7 (3)), dating back to second review of implementation</w:t>
            </w:r>
          </w:p>
        </w:tc>
      </w:tr>
      <w:tr w:rsidR="00EE083A" w:rsidRPr="008E7AB9" w14:paraId="3E616BE9" w14:textId="77777777" w:rsidTr="008E7AB9">
        <w:tc>
          <w:tcPr>
            <w:tcW w:w="1250" w:type="dxa"/>
            <w:shd w:val="clear" w:color="auto" w:fill="auto"/>
          </w:tcPr>
          <w:p w14:paraId="7481EFBE" w14:textId="77777777" w:rsidR="00EE083A" w:rsidRPr="008E7AB9" w:rsidRDefault="00EE083A" w:rsidP="008E7AB9">
            <w:pPr>
              <w:spacing w:before="40" w:after="120"/>
              <w:ind w:right="113"/>
              <w:rPr>
                <w:lang w:eastAsia="en-US"/>
              </w:rPr>
            </w:pPr>
            <w:r w:rsidRPr="008E7AB9">
              <w:rPr>
                <w:lang w:eastAsia="en-US"/>
              </w:rPr>
              <w:t>Armenia</w:t>
            </w:r>
          </w:p>
        </w:tc>
        <w:tc>
          <w:tcPr>
            <w:tcW w:w="1564" w:type="dxa"/>
            <w:shd w:val="clear" w:color="auto" w:fill="auto"/>
          </w:tcPr>
          <w:p w14:paraId="37D734B3" w14:textId="77777777" w:rsidR="00EE083A" w:rsidRPr="008E7AB9" w:rsidRDefault="00EE083A" w:rsidP="008E7AB9">
            <w:pPr>
              <w:spacing w:before="40" w:after="120"/>
              <w:ind w:right="113"/>
              <w:rPr>
                <w:lang w:eastAsia="en-US"/>
              </w:rPr>
            </w:pPr>
            <w:r w:rsidRPr="008E7AB9">
              <w:rPr>
                <w:lang w:eastAsia="en-US"/>
              </w:rPr>
              <w:t>SEA/IC/SCI/3/1</w:t>
            </w:r>
          </w:p>
        </w:tc>
        <w:tc>
          <w:tcPr>
            <w:tcW w:w="1256" w:type="dxa"/>
            <w:shd w:val="clear" w:color="auto" w:fill="auto"/>
          </w:tcPr>
          <w:p w14:paraId="560D92F7" w14:textId="77777777" w:rsidR="00EE083A" w:rsidRPr="008E7AB9" w:rsidRDefault="00EE083A" w:rsidP="008E7AB9">
            <w:pPr>
              <w:spacing w:before="40" w:after="120"/>
              <w:ind w:right="113"/>
              <w:rPr>
                <w:lang w:eastAsia="en-US"/>
              </w:rPr>
            </w:pPr>
            <w:r w:rsidRPr="008E7AB9">
              <w:rPr>
                <w:lang w:eastAsia="en-US"/>
              </w:rPr>
              <w:t>Closed</w:t>
            </w:r>
          </w:p>
          <w:p w14:paraId="61CBE2B3" w14:textId="77777777" w:rsidR="00EE083A" w:rsidRPr="008E7AB9" w:rsidRDefault="00EE083A" w:rsidP="008E7AB9">
            <w:pPr>
              <w:spacing w:before="40" w:after="120"/>
              <w:ind w:right="113"/>
              <w:rPr>
                <w:lang w:eastAsia="en-US"/>
              </w:rPr>
            </w:pPr>
          </w:p>
        </w:tc>
        <w:tc>
          <w:tcPr>
            <w:tcW w:w="3300" w:type="dxa"/>
            <w:vMerge w:val="restart"/>
            <w:shd w:val="clear" w:color="auto" w:fill="auto"/>
          </w:tcPr>
          <w:p w14:paraId="65C4C61D" w14:textId="77777777" w:rsidR="00EE083A" w:rsidRPr="008E7AB9" w:rsidRDefault="00EE083A" w:rsidP="008E7AB9">
            <w:pPr>
              <w:spacing w:before="40" w:after="120"/>
              <w:ind w:right="113"/>
              <w:rPr>
                <w:lang w:eastAsia="en-US"/>
              </w:rPr>
            </w:pPr>
          </w:p>
          <w:p w14:paraId="6B087445" w14:textId="77777777" w:rsidR="00EE083A" w:rsidRPr="008E7AB9" w:rsidRDefault="00EE083A" w:rsidP="008E7AB9">
            <w:pPr>
              <w:spacing w:before="40" w:after="120"/>
              <w:ind w:right="113"/>
              <w:rPr>
                <w:lang w:eastAsia="en-US"/>
              </w:rPr>
            </w:pPr>
            <w:r w:rsidRPr="008E7AB9">
              <w:rPr>
                <w:lang w:eastAsia="en-US"/>
              </w:rPr>
              <w:t>Definitions of “minor modifications” and “other plans and programmes”</w:t>
            </w:r>
          </w:p>
        </w:tc>
      </w:tr>
      <w:tr w:rsidR="00EE083A" w:rsidRPr="008E7AB9" w14:paraId="1565DACE" w14:textId="77777777" w:rsidTr="008E7AB9">
        <w:tc>
          <w:tcPr>
            <w:tcW w:w="1250" w:type="dxa"/>
            <w:shd w:val="clear" w:color="auto" w:fill="auto"/>
          </w:tcPr>
          <w:p w14:paraId="3A759267" w14:textId="77777777" w:rsidR="00EE083A" w:rsidRPr="008E7AB9" w:rsidRDefault="00EE083A" w:rsidP="008E7AB9">
            <w:pPr>
              <w:spacing w:before="40" w:after="120"/>
              <w:ind w:right="113"/>
              <w:rPr>
                <w:lang w:eastAsia="en-US"/>
              </w:rPr>
            </w:pPr>
            <w:r w:rsidRPr="008E7AB9">
              <w:rPr>
                <w:lang w:eastAsia="en-US"/>
              </w:rPr>
              <w:t>Bosnia and Herzegovina</w:t>
            </w:r>
          </w:p>
        </w:tc>
        <w:tc>
          <w:tcPr>
            <w:tcW w:w="1564" w:type="dxa"/>
            <w:shd w:val="clear" w:color="auto" w:fill="auto"/>
          </w:tcPr>
          <w:p w14:paraId="4B7E3B34" w14:textId="77777777" w:rsidR="00EE083A" w:rsidRPr="008E7AB9" w:rsidRDefault="00EE083A" w:rsidP="008E7AB9">
            <w:pPr>
              <w:spacing w:before="40" w:after="120"/>
              <w:ind w:right="113"/>
              <w:rPr>
                <w:lang w:eastAsia="en-US"/>
              </w:rPr>
            </w:pPr>
            <w:r w:rsidRPr="008E7AB9">
              <w:rPr>
                <w:lang w:eastAsia="en-US"/>
              </w:rPr>
              <w:t>SEA/IC/SCI/3/2</w:t>
            </w:r>
          </w:p>
        </w:tc>
        <w:tc>
          <w:tcPr>
            <w:tcW w:w="1256" w:type="dxa"/>
            <w:shd w:val="clear" w:color="auto" w:fill="auto"/>
          </w:tcPr>
          <w:p w14:paraId="44B22629" w14:textId="77777777" w:rsidR="00EE083A" w:rsidRPr="008E7AB9" w:rsidRDefault="00EE083A" w:rsidP="008E7AB9">
            <w:pPr>
              <w:spacing w:before="40" w:after="120"/>
              <w:ind w:right="113"/>
              <w:rPr>
                <w:lang w:eastAsia="en-US"/>
              </w:rPr>
            </w:pPr>
            <w:r w:rsidRPr="008E7AB9">
              <w:rPr>
                <w:lang w:eastAsia="en-US"/>
              </w:rPr>
              <w:t xml:space="preserve">Closed </w:t>
            </w:r>
          </w:p>
        </w:tc>
        <w:tc>
          <w:tcPr>
            <w:tcW w:w="3300" w:type="dxa"/>
            <w:vMerge/>
            <w:shd w:val="clear" w:color="auto" w:fill="auto"/>
          </w:tcPr>
          <w:p w14:paraId="016EDECC" w14:textId="77777777" w:rsidR="00EE083A" w:rsidRPr="008E7AB9" w:rsidRDefault="00EE083A" w:rsidP="008E7AB9">
            <w:pPr>
              <w:spacing w:before="40" w:after="120"/>
              <w:ind w:right="113"/>
              <w:rPr>
                <w:lang w:eastAsia="en-US"/>
              </w:rPr>
            </w:pPr>
          </w:p>
        </w:tc>
      </w:tr>
      <w:tr w:rsidR="00EE083A" w:rsidRPr="008E7AB9" w14:paraId="0B5A62BE" w14:textId="77777777" w:rsidTr="008E7AB9">
        <w:tc>
          <w:tcPr>
            <w:tcW w:w="1250" w:type="dxa"/>
            <w:shd w:val="clear" w:color="auto" w:fill="auto"/>
          </w:tcPr>
          <w:p w14:paraId="1715A7A5" w14:textId="77777777" w:rsidR="00EE083A" w:rsidRPr="008E7AB9" w:rsidRDefault="00EE083A" w:rsidP="008E7AB9">
            <w:pPr>
              <w:spacing w:before="40" w:after="120"/>
              <w:ind w:right="113"/>
              <w:rPr>
                <w:lang w:eastAsia="en-US"/>
              </w:rPr>
            </w:pPr>
          </w:p>
        </w:tc>
        <w:tc>
          <w:tcPr>
            <w:tcW w:w="1564" w:type="dxa"/>
            <w:shd w:val="clear" w:color="auto" w:fill="auto"/>
          </w:tcPr>
          <w:p w14:paraId="34CD145F" w14:textId="77777777" w:rsidR="00EE083A" w:rsidRPr="008E7AB9" w:rsidRDefault="00EE083A" w:rsidP="008E7AB9">
            <w:pPr>
              <w:spacing w:before="40" w:after="120"/>
              <w:ind w:right="113"/>
              <w:rPr>
                <w:lang w:eastAsia="en-US"/>
              </w:rPr>
            </w:pPr>
          </w:p>
        </w:tc>
        <w:tc>
          <w:tcPr>
            <w:tcW w:w="1256" w:type="dxa"/>
            <w:shd w:val="clear" w:color="auto" w:fill="auto"/>
          </w:tcPr>
          <w:p w14:paraId="3A935987" w14:textId="77777777" w:rsidR="00EE083A" w:rsidRPr="008E7AB9" w:rsidRDefault="00EE083A" w:rsidP="008E7AB9">
            <w:pPr>
              <w:spacing w:before="40" w:after="120"/>
              <w:ind w:right="113"/>
              <w:rPr>
                <w:lang w:eastAsia="en-US"/>
              </w:rPr>
            </w:pPr>
          </w:p>
        </w:tc>
        <w:tc>
          <w:tcPr>
            <w:tcW w:w="3300" w:type="dxa"/>
            <w:shd w:val="clear" w:color="auto" w:fill="auto"/>
          </w:tcPr>
          <w:p w14:paraId="41DE61CA" w14:textId="77777777" w:rsidR="00EE083A" w:rsidRPr="008E7AB9" w:rsidRDefault="00EE083A" w:rsidP="008E7AB9">
            <w:pPr>
              <w:spacing w:before="40" w:after="120"/>
              <w:ind w:right="113"/>
              <w:rPr>
                <w:lang w:eastAsia="en-US"/>
              </w:rPr>
            </w:pPr>
          </w:p>
        </w:tc>
      </w:tr>
      <w:tr w:rsidR="00EE083A" w:rsidRPr="008E7AB9" w14:paraId="5C446711" w14:textId="77777777" w:rsidTr="008E7AB9">
        <w:tc>
          <w:tcPr>
            <w:tcW w:w="1250" w:type="dxa"/>
            <w:shd w:val="clear" w:color="auto" w:fill="auto"/>
          </w:tcPr>
          <w:p w14:paraId="258ADD21" w14:textId="77777777" w:rsidR="00EE083A" w:rsidRPr="008E7AB9" w:rsidRDefault="00EE083A" w:rsidP="008E7AB9">
            <w:pPr>
              <w:spacing w:before="40" w:after="120"/>
              <w:ind w:right="113"/>
              <w:rPr>
                <w:lang w:eastAsia="en-US"/>
              </w:rPr>
            </w:pPr>
            <w:r w:rsidRPr="008E7AB9">
              <w:rPr>
                <w:lang w:eastAsia="en-US"/>
              </w:rPr>
              <w:t>North Macedonia</w:t>
            </w:r>
          </w:p>
        </w:tc>
        <w:tc>
          <w:tcPr>
            <w:tcW w:w="1564" w:type="dxa"/>
            <w:shd w:val="clear" w:color="auto" w:fill="auto"/>
          </w:tcPr>
          <w:p w14:paraId="5B52071D" w14:textId="77777777" w:rsidR="00EE083A" w:rsidRPr="008E7AB9" w:rsidRDefault="00EE083A" w:rsidP="008E7AB9">
            <w:pPr>
              <w:spacing w:before="40" w:after="120"/>
              <w:ind w:right="113"/>
              <w:rPr>
                <w:lang w:eastAsia="en-US"/>
              </w:rPr>
            </w:pPr>
            <w:r w:rsidRPr="008E7AB9">
              <w:rPr>
                <w:lang w:eastAsia="en-US"/>
              </w:rPr>
              <w:t>SEA/IC/SCI/3/3</w:t>
            </w:r>
          </w:p>
        </w:tc>
        <w:tc>
          <w:tcPr>
            <w:tcW w:w="1256" w:type="dxa"/>
            <w:shd w:val="clear" w:color="auto" w:fill="auto"/>
          </w:tcPr>
          <w:p w14:paraId="74E7D25A" w14:textId="77777777" w:rsidR="00EE083A" w:rsidRPr="008E7AB9" w:rsidRDefault="00EE083A" w:rsidP="008E7AB9">
            <w:pPr>
              <w:spacing w:before="40" w:after="120"/>
              <w:ind w:right="113"/>
              <w:rPr>
                <w:lang w:eastAsia="en-US"/>
              </w:rPr>
            </w:pPr>
            <w:r w:rsidRPr="008E7AB9">
              <w:rPr>
                <w:lang w:eastAsia="en-US"/>
              </w:rPr>
              <w:t xml:space="preserve">Ongoing </w:t>
            </w:r>
          </w:p>
        </w:tc>
        <w:tc>
          <w:tcPr>
            <w:tcW w:w="3300" w:type="dxa"/>
            <w:shd w:val="clear" w:color="auto" w:fill="auto"/>
          </w:tcPr>
          <w:p w14:paraId="7C7DB955" w14:textId="77777777" w:rsidR="00EE083A" w:rsidRPr="008E7AB9" w:rsidRDefault="00EE083A" w:rsidP="008E7AB9">
            <w:pPr>
              <w:spacing w:before="40" w:after="120"/>
              <w:ind w:right="113"/>
              <w:rPr>
                <w:lang w:eastAsia="en-US"/>
              </w:rPr>
            </w:pPr>
            <w:r w:rsidRPr="008E7AB9">
              <w:rPr>
                <w:lang w:eastAsia="en-US"/>
              </w:rPr>
              <w:t xml:space="preserve">Implementation of art. 11 (1) c </w:t>
            </w:r>
          </w:p>
          <w:p w14:paraId="7E3BEEC8" w14:textId="77777777" w:rsidR="00EE083A" w:rsidRPr="008E7AB9" w:rsidRDefault="00EE083A" w:rsidP="008E7AB9">
            <w:pPr>
              <w:spacing w:before="40" w:after="120"/>
              <w:ind w:right="113"/>
              <w:rPr>
                <w:lang w:eastAsia="en-US"/>
              </w:rPr>
            </w:pPr>
          </w:p>
        </w:tc>
      </w:tr>
      <w:tr w:rsidR="00EE083A" w:rsidRPr="008E7AB9" w14:paraId="5CBDE6C7" w14:textId="77777777" w:rsidTr="008E7AB9">
        <w:tc>
          <w:tcPr>
            <w:tcW w:w="1250" w:type="dxa"/>
            <w:tcBorders>
              <w:bottom w:val="single" w:sz="12" w:space="0" w:color="auto"/>
            </w:tcBorders>
            <w:shd w:val="clear" w:color="auto" w:fill="auto"/>
          </w:tcPr>
          <w:p w14:paraId="4732CD1E" w14:textId="77777777" w:rsidR="00EE083A" w:rsidRPr="008E7AB9" w:rsidRDefault="00EE083A" w:rsidP="008E7AB9">
            <w:pPr>
              <w:spacing w:before="40" w:after="120"/>
              <w:ind w:right="113"/>
              <w:rPr>
                <w:lang w:eastAsia="en-US"/>
              </w:rPr>
            </w:pPr>
            <w:r w:rsidRPr="008E7AB9">
              <w:rPr>
                <w:lang w:eastAsia="en-US"/>
              </w:rPr>
              <w:t>European Union</w:t>
            </w:r>
          </w:p>
        </w:tc>
        <w:tc>
          <w:tcPr>
            <w:tcW w:w="1564" w:type="dxa"/>
            <w:tcBorders>
              <w:bottom w:val="single" w:sz="12" w:space="0" w:color="auto"/>
            </w:tcBorders>
            <w:shd w:val="clear" w:color="auto" w:fill="auto"/>
          </w:tcPr>
          <w:p w14:paraId="02F3DEDB" w14:textId="77777777" w:rsidR="00EE083A" w:rsidRPr="008E7AB9" w:rsidRDefault="00EE083A" w:rsidP="008E7AB9">
            <w:pPr>
              <w:spacing w:before="40" w:after="120"/>
              <w:ind w:right="113"/>
              <w:rPr>
                <w:lang w:eastAsia="en-US"/>
              </w:rPr>
            </w:pPr>
            <w:r w:rsidRPr="008E7AB9">
              <w:rPr>
                <w:lang w:eastAsia="en-US"/>
              </w:rPr>
              <w:t>SEA/IC/SCI/1/4</w:t>
            </w:r>
          </w:p>
        </w:tc>
        <w:tc>
          <w:tcPr>
            <w:tcW w:w="1256" w:type="dxa"/>
            <w:tcBorders>
              <w:bottom w:val="single" w:sz="12" w:space="0" w:color="auto"/>
            </w:tcBorders>
            <w:shd w:val="clear" w:color="auto" w:fill="auto"/>
          </w:tcPr>
          <w:p w14:paraId="60B91AB3" w14:textId="77777777" w:rsidR="00EE083A" w:rsidRPr="008E7AB9" w:rsidRDefault="00EE083A" w:rsidP="008E7AB9">
            <w:pPr>
              <w:spacing w:before="40" w:after="120"/>
              <w:ind w:right="113"/>
              <w:rPr>
                <w:lang w:eastAsia="en-US"/>
              </w:rPr>
            </w:pPr>
            <w:r w:rsidRPr="008E7AB9">
              <w:rPr>
                <w:lang w:eastAsia="en-US"/>
              </w:rPr>
              <w:t xml:space="preserve">On hold until reporting templates have been </w:t>
            </w:r>
            <w:proofErr w:type="gramStart"/>
            <w:r w:rsidRPr="008E7AB9">
              <w:rPr>
                <w:lang w:eastAsia="en-US"/>
              </w:rPr>
              <w:t>duly noted</w:t>
            </w:r>
            <w:proofErr w:type="gramEnd"/>
            <w:r w:rsidRPr="008E7AB9">
              <w:rPr>
                <w:lang w:eastAsia="en-US"/>
              </w:rPr>
              <w:t xml:space="preserve"> by Meetings of the Parties</w:t>
            </w:r>
          </w:p>
        </w:tc>
        <w:tc>
          <w:tcPr>
            <w:tcW w:w="3300" w:type="dxa"/>
            <w:tcBorders>
              <w:bottom w:val="single" w:sz="12" w:space="0" w:color="auto"/>
            </w:tcBorders>
            <w:shd w:val="clear" w:color="auto" w:fill="auto"/>
          </w:tcPr>
          <w:p w14:paraId="38422623" w14:textId="77777777" w:rsidR="00EE083A" w:rsidRPr="008E7AB9" w:rsidRDefault="00EE083A" w:rsidP="008E7AB9">
            <w:pPr>
              <w:spacing w:before="40" w:after="120"/>
              <w:ind w:right="113"/>
              <w:rPr>
                <w:lang w:eastAsia="en-US"/>
              </w:rPr>
            </w:pPr>
          </w:p>
        </w:tc>
      </w:tr>
    </w:tbl>
    <w:p w14:paraId="3AF09CFC" w14:textId="06EA7298" w:rsidR="00EE083A" w:rsidRPr="00EE083A" w:rsidRDefault="00F635C8" w:rsidP="00F635C8">
      <w:pPr>
        <w:pStyle w:val="HChG"/>
        <w:rPr>
          <w:lang w:eastAsia="en-US"/>
        </w:rPr>
      </w:pPr>
      <w:bookmarkStart w:id="98" w:name="_Toc147827480"/>
      <w:bookmarkStart w:id="99" w:name="_Toc920199597"/>
      <w:r>
        <w:rPr>
          <w:lang w:eastAsia="en-US"/>
        </w:rPr>
        <w:tab/>
      </w:r>
      <w:r w:rsidR="00EE083A" w:rsidRPr="00EE083A">
        <w:rPr>
          <w:lang w:eastAsia="en-US"/>
        </w:rPr>
        <w:t>VII.</w:t>
      </w:r>
      <w:r w:rsidR="00EE083A" w:rsidRPr="00EE083A">
        <w:rPr>
          <w:lang w:eastAsia="en-US"/>
        </w:rPr>
        <w:tab/>
        <w:t>Revised questionnaires and reviews of implementation</w:t>
      </w:r>
      <w:bookmarkEnd w:id="98"/>
      <w:bookmarkEnd w:id="99"/>
    </w:p>
    <w:p w14:paraId="4A34570E" w14:textId="2DDDF406" w:rsidR="00EE083A" w:rsidRPr="00EE083A" w:rsidRDefault="00F635C8" w:rsidP="00F635C8">
      <w:pPr>
        <w:pStyle w:val="H1G"/>
        <w:rPr>
          <w:lang w:eastAsia="en-US"/>
        </w:rPr>
      </w:pPr>
      <w:bookmarkStart w:id="100" w:name="_Toc147827481"/>
      <w:bookmarkStart w:id="101" w:name="_Toc811933982"/>
      <w:r>
        <w:rPr>
          <w:lang w:eastAsia="en-US"/>
        </w:rPr>
        <w:tab/>
      </w:r>
      <w:r w:rsidR="00EE083A" w:rsidRPr="00EE083A">
        <w:rPr>
          <w:lang w:eastAsia="en-US"/>
        </w:rPr>
        <w:t>A.</w:t>
      </w:r>
      <w:r>
        <w:rPr>
          <w:lang w:eastAsia="en-US"/>
        </w:rPr>
        <w:tab/>
      </w:r>
      <w:r w:rsidR="00EE083A" w:rsidRPr="00EE083A">
        <w:rPr>
          <w:lang w:eastAsia="en-US"/>
        </w:rPr>
        <w:t>Modification of the questionnaires</w:t>
      </w:r>
      <w:bookmarkEnd w:id="100"/>
      <w:bookmarkEnd w:id="101"/>
    </w:p>
    <w:p w14:paraId="79254006" w14:textId="77777777" w:rsidR="00EE083A" w:rsidRPr="00EE083A" w:rsidRDefault="00EE083A" w:rsidP="00F635C8">
      <w:pPr>
        <w:pStyle w:val="SingleTxtG"/>
        <w:rPr>
          <w:lang w:eastAsia="en-US"/>
        </w:rPr>
      </w:pPr>
      <w:r w:rsidRPr="00EE083A">
        <w:rPr>
          <w:lang w:eastAsia="en-US"/>
        </w:rPr>
        <w:t>106.</w:t>
      </w:r>
      <w:r w:rsidRPr="00EE083A">
        <w:rPr>
          <w:lang w:eastAsia="en-US"/>
        </w:rPr>
        <w:tab/>
        <w:t>The Committee agreed on modifications to the questionnaires for the seventh review of the implementation of the Convention and the fourth review of the implementation of the Protocol, considering the suggestions for improving the questionnaires.</w:t>
      </w:r>
      <w:r w:rsidRPr="00EE083A">
        <w:rPr>
          <w:sz w:val="18"/>
          <w:vertAlign w:val="superscript"/>
          <w:lang w:eastAsia="en-US"/>
        </w:rPr>
        <w:footnoteReference w:id="88"/>
      </w:r>
      <w:r w:rsidRPr="00EE083A">
        <w:rPr>
          <w:lang w:eastAsia="en-US"/>
        </w:rPr>
        <w:t xml:space="preserve"> With reference to the 2021</w:t>
      </w:r>
      <w:bookmarkStart w:id="102" w:name="_Hlk73093131"/>
      <w:r w:rsidRPr="00EE083A">
        <w:rPr>
          <w:lang w:eastAsia="en-US"/>
        </w:rPr>
        <w:t>–</w:t>
      </w:r>
      <w:bookmarkEnd w:id="102"/>
      <w:r w:rsidRPr="00EE083A">
        <w:rPr>
          <w:lang w:eastAsia="en-US"/>
        </w:rPr>
        <w:t>2023 workplan (decision VIII/2–IV/2, annex I, item II.B)</w:t>
      </w:r>
      <w:r w:rsidRPr="00EE083A">
        <w:rPr>
          <w:sz w:val="18"/>
          <w:vertAlign w:val="superscript"/>
          <w:lang w:eastAsia="en-US"/>
        </w:rPr>
        <w:footnoteReference w:id="89"/>
      </w:r>
      <w:r w:rsidRPr="00EE083A">
        <w:rPr>
          <w:lang w:eastAsia="en-US"/>
        </w:rPr>
        <w:t xml:space="preserve"> and the long-term strategy (ECE/MP.EIA/2020/3–ECE/MP.EIA/SEA/2020/3, item II.A.9), the Committee suggested ways of maximizing the questionnaires’ usefulness as a source of information for: better monitoring progress achieved and remaining challenges; collecting and disseminating </w:t>
      </w:r>
      <w:r w:rsidRPr="00EE083A">
        <w:rPr>
          <w:lang w:eastAsia="en-US"/>
        </w:rPr>
        <w:lastRenderedPageBreak/>
        <w:t>good practice; and, informing the Committee on potential non-compliance. In December 2021, the Working Group approved the revised questionnaires.</w:t>
      </w:r>
      <w:r w:rsidRPr="00EE083A">
        <w:rPr>
          <w:sz w:val="18"/>
          <w:vertAlign w:val="superscript"/>
          <w:lang w:eastAsia="en-US"/>
        </w:rPr>
        <w:footnoteReference w:id="90"/>
      </w:r>
    </w:p>
    <w:p w14:paraId="25161C7E" w14:textId="4A031285" w:rsidR="00EE083A" w:rsidRPr="00EE083A" w:rsidRDefault="00EE083A" w:rsidP="00F635C8">
      <w:pPr>
        <w:pStyle w:val="SingleTxtG"/>
        <w:rPr>
          <w:lang w:eastAsia="en-US"/>
        </w:rPr>
      </w:pPr>
      <w:r w:rsidRPr="00EE083A">
        <w:rPr>
          <w:lang w:eastAsia="en-US"/>
        </w:rPr>
        <w:t>107.</w:t>
      </w:r>
      <w:r w:rsidR="00F635C8">
        <w:rPr>
          <w:lang w:eastAsia="en-US"/>
        </w:rPr>
        <w:tab/>
      </w:r>
      <w:r w:rsidRPr="00EE083A">
        <w:rPr>
          <w:lang w:eastAsia="en-US"/>
        </w:rPr>
        <w:t>The secretariat sent both questionnaires to the Parties in January 2022, for completion by 30 April 2022.</w:t>
      </w:r>
      <w:r w:rsidRPr="00EE083A">
        <w:rPr>
          <w:vertAlign w:val="superscript"/>
          <w:lang w:eastAsia="en-US"/>
        </w:rPr>
        <w:footnoteReference w:id="91"/>
      </w:r>
      <w:r w:rsidRPr="00EE083A">
        <w:rPr>
          <w:vertAlign w:val="superscript"/>
          <w:lang w:eastAsia="en-US"/>
        </w:rPr>
        <w:t xml:space="preserve">  </w:t>
      </w:r>
      <w:r w:rsidRPr="00EE083A">
        <w:rPr>
          <w:lang w:eastAsia="en-US"/>
        </w:rPr>
        <w:t>The Committee noted the findings of the draft seventh review of implementation of the Convention (ECE/MP.EIA/WG.2/2022/3) and the draft fourth review of implementation of the Protocol (ECE/MP.EIA/WG.2/2022/4) prepared by the secretariat with consultants’ assistance, and the suggestions for improvement of the questionnaires for the next reporting round.</w:t>
      </w:r>
    </w:p>
    <w:p w14:paraId="7F61501E" w14:textId="72A263F4" w:rsidR="00EE083A" w:rsidRPr="00EE083A" w:rsidRDefault="00F635C8" w:rsidP="00F635C8">
      <w:pPr>
        <w:pStyle w:val="H1G"/>
        <w:rPr>
          <w:lang w:eastAsia="en-US"/>
        </w:rPr>
      </w:pPr>
      <w:bookmarkStart w:id="103" w:name="_Toc147827482"/>
      <w:bookmarkStart w:id="104" w:name="_Toc100123328"/>
      <w:r>
        <w:rPr>
          <w:lang w:eastAsia="en-US"/>
        </w:rPr>
        <w:tab/>
      </w:r>
      <w:r w:rsidR="00EE083A" w:rsidRPr="00EE083A">
        <w:rPr>
          <w:lang w:eastAsia="en-US"/>
        </w:rPr>
        <w:t>B.</w:t>
      </w:r>
      <w:r>
        <w:rPr>
          <w:lang w:eastAsia="en-US"/>
        </w:rPr>
        <w:tab/>
      </w:r>
      <w:r w:rsidR="00EE083A" w:rsidRPr="00EE083A">
        <w:rPr>
          <w:lang w:eastAsia="en-US"/>
        </w:rPr>
        <w:t xml:space="preserve">Reporting templates for the </w:t>
      </w:r>
      <w:bookmarkEnd w:id="103"/>
      <w:r w:rsidR="00EE083A" w:rsidRPr="00EE083A">
        <w:rPr>
          <w:lang w:eastAsia="en-US"/>
        </w:rPr>
        <w:t>European U</w:t>
      </w:r>
      <w:bookmarkEnd w:id="104"/>
      <w:r w:rsidR="00EE083A" w:rsidRPr="00EE083A">
        <w:rPr>
          <w:lang w:eastAsia="en-US"/>
        </w:rPr>
        <w:t>nion</w:t>
      </w:r>
    </w:p>
    <w:p w14:paraId="534B9AA4" w14:textId="77777777" w:rsidR="00EE083A" w:rsidRPr="00EE083A" w:rsidRDefault="00EE083A" w:rsidP="00F635C8">
      <w:pPr>
        <w:pStyle w:val="SingleTxtG"/>
        <w:rPr>
          <w:lang w:eastAsia="en-US"/>
        </w:rPr>
      </w:pPr>
      <w:r w:rsidRPr="00EE083A">
        <w:rPr>
          <w:lang w:eastAsia="en-US"/>
        </w:rPr>
        <w:t>108.</w:t>
      </w:r>
      <w:r w:rsidRPr="00EE083A">
        <w:rPr>
          <w:lang w:eastAsia="en-US"/>
        </w:rPr>
        <w:tab/>
        <w:t>As mandated by decisions VIII/5 and IV/5 of the Meetings of the Parties to, respectively, the Convention and the Protocol, the Committee prepared, in consultation with the European Commission, templates for the reports of the European Union on the implementation of the Convention and the Protocol</w:t>
      </w:r>
      <w:r w:rsidRPr="00EE083A">
        <w:rPr>
          <w:sz w:val="18"/>
          <w:vertAlign w:val="superscript"/>
          <w:lang w:eastAsia="en-US"/>
        </w:rPr>
        <w:footnoteReference w:id="92"/>
      </w:r>
      <w:r w:rsidRPr="00EE083A">
        <w:rPr>
          <w:lang w:eastAsia="en-US"/>
        </w:rPr>
        <w:t xml:space="preserve"> for the reporting period 2022–2024 onwards, with a view to facilitating the reporting of the European Union under article 14 bis of the Convention and articles 13 (4) and 14 (7) of the Protocol. Since 2003, the European Union has not completed the questionnaires sent to Parties for fulfilling their reporting obligations, submitting instead informal notes containing information it chose to provide.</w:t>
      </w:r>
    </w:p>
    <w:p w14:paraId="7704D13F" w14:textId="16785647" w:rsidR="00860E68" w:rsidRDefault="00EE083A" w:rsidP="00F635C8">
      <w:pPr>
        <w:pStyle w:val="SingleTxtG"/>
        <w:rPr>
          <w:lang w:eastAsia="en-US"/>
        </w:rPr>
      </w:pPr>
      <w:r w:rsidRPr="00EE083A">
        <w:rPr>
          <w:lang w:eastAsia="en-US"/>
        </w:rPr>
        <w:t>109.</w:t>
      </w:r>
      <w:r w:rsidRPr="00EE083A">
        <w:rPr>
          <w:lang w:eastAsia="en-US"/>
        </w:rPr>
        <w:tab/>
        <w:t>To enhance the comparability and usefulness of the information on how Parties implement the treaties, the Committee kept the reporting templates for the European Union as close as possible to the questionnaires for States parties. The Committee noted that separate reporting templates for the European Union were an exception. As the experience from other treaties showed, the circumstances of the European Union as a regional economic integration organization could most often be explained in the answers, rather than by setting different questions. It was solely with a view to facilitating compliance by the European Union with its reporting obligations that the reporting templates were separate from the questionnaires for States parties.</w:t>
      </w:r>
    </w:p>
    <w:p w14:paraId="7053EE17" w14:textId="12F99E61" w:rsidR="00845BFB" w:rsidRPr="00845BFB" w:rsidRDefault="00F635C8" w:rsidP="00F635C8">
      <w:pPr>
        <w:pStyle w:val="HChG"/>
        <w:rPr>
          <w:lang w:eastAsia="en-US"/>
        </w:rPr>
      </w:pPr>
      <w:bookmarkStart w:id="105" w:name="_Toc147827483"/>
      <w:bookmarkStart w:id="106" w:name="_Toc1563462090"/>
      <w:r>
        <w:rPr>
          <w:lang w:eastAsia="en-US"/>
        </w:rPr>
        <w:tab/>
      </w:r>
      <w:r w:rsidR="00845BFB" w:rsidRPr="00845BFB">
        <w:rPr>
          <w:lang w:eastAsia="en-US"/>
        </w:rPr>
        <w:t>VIII.</w:t>
      </w:r>
      <w:r w:rsidR="00845BFB" w:rsidRPr="00845BFB">
        <w:rPr>
          <w:lang w:eastAsia="en-US"/>
        </w:rPr>
        <w:tab/>
        <w:t>Structure and functions and operating rules</w:t>
      </w:r>
      <w:bookmarkEnd w:id="105"/>
      <w:bookmarkEnd w:id="106"/>
    </w:p>
    <w:p w14:paraId="17EC126E" w14:textId="77777777" w:rsidR="00845BFB" w:rsidRPr="00845BFB" w:rsidRDefault="00845BFB" w:rsidP="00F635C8">
      <w:pPr>
        <w:pStyle w:val="SingleTxtG"/>
        <w:rPr>
          <w:lang w:eastAsia="en-US"/>
        </w:rPr>
      </w:pPr>
      <w:r w:rsidRPr="00845BFB">
        <w:rPr>
          <w:lang w:eastAsia="en-US"/>
        </w:rPr>
        <w:t>110.</w:t>
      </w:r>
      <w:r w:rsidRPr="00845BFB">
        <w:rPr>
          <w:lang w:eastAsia="en-US"/>
        </w:rPr>
        <w:tab/>
        <w:t>In accordance with decisions VIII/4 and IV/4 of the Meetings of the Parties to, respectively, the Convention and the Protocol, and the workplan for 2021–2023, the Committee prepared proposals to amend its structure and functions and operating rules.</w:t>
      </w:r>
      <w:r w:rsidRPr="00845BFB">
        <w:rPr>
          <w:sz w:val="18"/>
          <w:vertAlign w:val="superscript"/>
          <w:lang w:eastAsia="en-US"/>
        </w:rPr>
        <w:footnoteReference w:id="93"/>
      </w:r>
      <w:r w:rsidRPr="00845BFB">
        <w:rPr>
          <w:lang w:eastAsia="en-US"/>
        </w:rPr>
        <w:t xml:space="preserve"> It reviewed its modus operandi and identified several issues that needed clarification and/or adjustment to allow it to continue to effectively fulfil its mandate and to further improve its working methods, considering the extent of its current workload. It submitted its amendment proposals to the Working Group at its twelfth session for information and possible comments. </w:t>
      </w:r>
    </w:p>
    <w:p w14:paraId="568BCE57" w14:textId="77777777" w:rsidR="00845BFB" w:rsidRPr="00845BFB" w:rsidRDefault="00845BFB" w:rsidP="00F635C8">
      <w:pPr>
        <w:pStyle w:val="SingleTxtG"/>
        <w:rPr>
          <w:lang w:eastAsia="en-US"/>
        </w:rPr>
      </w:pPr>
      <w:r w:rsidRPr="00845BFB">
        <w:rPr>
          <w:lang w:eastAsia="en-US"/>
        </w:rPr>
        <w:t>111.</w:t>
      </w:r>
      <w:r w:rsidRPr="00845BFB">
        <w:rPr>
          <w:lang w:eastAsia="en-US"/>
        </w:rPr>
        <w:tab/>
        <w:t xml:space="preserve">The Committee identified eight key topics for clarification and/or adjustment. It emphasized the importance for the Parties to understand their obligations when nominating representatives to serve on the Committee, including to ensure that appropriate time and resources are allocated to allow Committee members to accomplish their tasks. A new footnote was suggested to improve the understanding of said obligations.  </w:t>
      </w:r>
    </w:p>
    <w:p w14:paraId="4C77CB47" w14:textId="77777777" w:rsidR="00845BFB" w:rsidRPr="00845BFB" w:rsidRDefault="00845BFB" w:rsidP="00F635C8">
      <w:pPr>
        <w:pStyle w:val="SingleTxtG"/>
        <w:rPr>
          <w:lang w:eastAsia="en-US"/>
        </w:rPr>
      </w:pPr>
      <w:r w:rsidRPr="00845BFB">
        <w:rPr>
          <w:lang w:eastAsia="en-US"/>
        </w:rPr>
        <w:t>112.</w:t>
      </w:r>
      <w:r w:rsidRPr="00845BFB">
        <w:rPr>
          <w:lang w:eastAsia="en-US"/>
        </w:rPr>
        <w:tab/>
        <w:t xml:space="preserve">The Committee identified a contradiction between the general rule on decision-making in operating rule 18 and in paragraph 9 of the structure and functions, and suggested harmonizing the rules for decision-making.  </w:t>
      </w:r>
    </w:p>
    <w:p w14:paraId="2ABE3D4F" w14:textId="77777777" w:rsidR="00845BFB" w:rsidRPr="00845BFB" w:rsidRDefault="00845BFB" w:rsidP="00F635C8">
      <w:pPr>
        <w:pStyle w:val="SingleTxtG"/>
        <w:rPr>
          <w:lang w:eastAsia="en-US"/>
        </w:rPr>
      </w:pPr>
      <w:r w:rsidRPr="00845BFB">
        <w:rPr>
          <w:lang w:eastAsia="en-US"/>
        </w:rPr>
        <w:t>113.</w:t>
      </w:r>
      <w:r w:rsidRPr="00845BFB">
        <w:rPr>
          <w:lang w:eastAsia="en-US"/>
        </w:rPr>
        <w:tab/>
        <w:t xml:space="preserve">The current provisions concerning the entitlement of Parties or the public to participate in the Committee’s sessions do not cover all situations where this would be necessary. The Committee suggested using the same rules governing the participation of Parties or the public for all its deliberations, such as information gathering or Committee </w:t>
      </w:r>
      <w:r w:rsidRPr="00845BFB">
        <w:rPr>
          <w:lang w:eastAsia="en-US"/>
        </w:rPr>
        <w:lastRenderedPageBreak/>
        <w:t>initiatives. Similarly, the Committee suggested reflecting its practice to organize “hearings”, not only for submissions, but for all its proceedings.</w:t>
      </w:r>
    </w:p>
    <w:p w14:paraId="5F42C35C" w14:textId="77777777" w:rsidR="00845BFB" w:rsidRPr="00845BFB" w:rsidRDefault="00845BFB" w:rsidP="00F635C8">
      <w:pPr>
        <w:pStyle w:val="SingleTxtG"/>
        <w:rPr>
          <w:lang w:eastAsia="en-US"/>
        </w:rPr>
      </w:pPr>
      <w:r w:rsidRPr="00845BFB">
        <w:rPr>
          <w:lang w:eastAsia="en-US"/>
        </w:rPr>
        <w:t>114.</w:t>
      </w:r>
      <w:r w:rsidRPr="00845BFB">
        <w:rPr>
          <w:lang w:eastAsia="en-US"/>
        </w:rPr>
        <w:tab/>
        <w:t xml:space="preserve">Concerning the rules on conflict of interest and the Committee’s quorum, in the Committee’s experience, these were no longer adapted for the consideration of the hugely increased compliance matters relating to nuclear matters, including lifetime extensions of nuclear power plants, which often involved numerous concerned Parties. Consequently, a majority of Committee members would find that they had a direct or indirect conflict of interest preventing the Committee from reaching the quorum of five members. Referring the matter to the Meeting of the Parties was not practicable, as its sessions were convened only every three years. </w:t>
      </w:r>
    </w:p>
    <w:p w14:paraId="1F4D7B16" w14:textId="77777777" w:rsidR="00845BFB" w:rsidRPr="00845BFB" w:rsidRDefault="00845BFB" w:rsidP="00F635C8">
      <w:pPr>
        <w:pStyle w:val="SingleTxtG"/>
        <w:rPr>
          <w:lang w:eastAsia="en-US"/>
        </w:rPr>
      </w:pPr>
      <w:r w:rsidRPr="00845BFB">
        <w:rPr>
          <w:lang w:eastAsia="en-US"/>
        </w:rPr>
        <w:t>115.</w:t>
      </w:r>
      <w:r w:rsidRPr="00845BFB">
        <w:rPr>
          <w:lang w:eastAsia="en-US"/>
        </w:rPr>
        <w:tab/>
        <w:t>Consequently, the Committee decided at its fifty-first session to exceptionally, and provisionally, abstain from applying operating rule 5.</w:t>
      </w:r>
      <w:r w:rsidRPr="00845BFB">
        <w:rPr>
          <w:sz w:val="18"/>
          <w:vertAlign w:val="superscript"/>
          <w:lang w:eastAsia="en-US"/>
        </w:rPr>
        <w:footnoteReference w:id="94"/>
      </w:r>
      <w:r w:rsidRPr="00845BFB">
        <w:rPr>
          <w:lang w:eastAsia="en-US"/>
        </w:rPr>
        <w:t xml:space="preserve"> It suggested a set of proposals to address this issue. First, to merge paragraph 10 of the structure and functions with operating rule 5, leaving the main provision only in paragraph 10 of the structure and functions with the wording of the former operating rule 5. </w:t>
      </w:r>
    </w:p>
    <w:p w14:paraId="7A77CC96" w14:textId="77777777" w:rsidR="00845BFB" w:rsidRPr="00845BFB" w:rsidRDefault="00845BFB" w:rsidP="00F635C8">
      <w:pPr>
        <w:pStyle w:val="SingleTxtG"/>
        <w:rPr>
          <w:lang w:eastAsia="en-US"/>
        </w:rPr>
      </w:pPr>
      <w:r w:rsidRPr="00845BFB">
        <w:rPr>
          <w:lang w:eastAsia="en-US"/>
        </w:rPr>
        <w:t>116.</w:t>
      </w:r>
      <w:r w:rsidRPr="00845BFB">
        <w:rPr>
          <w:lang w:eastAsia="en-US"/>
        </w:rPr>
        <w:tab/>
        <w:t xml:space="preserve">The Committee emphasized that the new paragraph 10 of the structure and functions should be interpreted in such a manner as to disqualify the participation of members appointed by the Party of origin and by a Party that has been actively engaged in the information gathering phase. On the other hand, treating all potentially affected Parties in an identical way as the Party of origin or as a Party that has made a submission seemed not to be reasonable. The potentially affected Parties often represented a wide range of interests, from those that do not wish to participate in a transboundary procedure of a proposed activity to those that want to be consulted by the Party of origin and those that oppose the project but have not referred the matter to the Committee. In such a situation, the individual Committee member may abstain from participating, depending on his or her previous involvement in any procedures regarding the </w:t>
      </w:r>
      <w:proofErr w:type="gramStart"/>
      <w:r w:rsidRPr="00845BFB">
        <w:rPr>
          <w:lang w:eastAsia="en-US"/>
        </w:rPr>
        <w:t>particular project</w:t>
      </w:r>
      <w:proofErr w:type="gramEnd"/>
      <w:r w:rsidRPr="00845BFB">
        <w:rPr>
          <w:lang w:eastAsia="en-US"/>
        </w:rPr>
        <w:t xml:space="preserve">. </w:t>
      </w:r>
    </w:p>
    <w:p w14:paraId="60F08F46" w14:textId="77777777" w:rsidR="00845BFB" w:rsidRPr="00845BFB" w:rsidRDefault="00845BFB" w:rsidP="00F635C8">
      <w:pPr>
        <w:pStyle w:val="SingleTxtG"/>
        <w:rPr>
          <w:lang w:eastAsia="en-US"/>
        </w:rPr>
      </w:pPr>
      <w:r w:rsidRPr="00845BFB">
        <w:rPr>
          <w:lang w:eastAsia="en-US"/>
        </w:rPr>
        <w:t>117.</w:t>
      </w:r>
      <w:r w:rsidRPr="00845BFB">
        <w:rPr>
          <w:lang w:eastAsia="en-US"/>
        </w:rPr>
        <w:tab/>
        <w:t>Furthermore, as a proposed new provision, Parties should have the opportunity to express their objections regarding Committee members’ participation at an early stage.</w:t>
      </w:r>
    </w:p>
    <w:p w14:paraId="07B56925" w14:textId="77777777" w:rsidR="00845BFB" w:rsidRPr="00845BFB" w:rsidRDefault="00845BFB" w:rsidP="00F635C8">
      <w:pPr>
        <w:pStyle w:val="SingleTxtG"/>
        <w:rPr>
          <w:lang w:eastAsia="en-US"/>
        </w:rPr>
      </w:pPr>
      <w:r w:rsidRPr="00845BFB">
        <w:rPr>
          <w:lang w:eastAsia="en-US"/>
        </w:rPr>
        <w:t>118.</w:t>
      </w:r>
      <w:r w:rsidRPr="00845BFB">
        <w:rPr>
          <w:lang w:eastAsia="en-US"/>
        </w:rPr>
        <w:tab/>
        <w:t xml:space="preserve">Another tool for enhancing the stability and capacity of the Committee to act is to strengthen the role of Committee members elected for Protocol matters only. The Committee proposed allowing members who represent Parties to the Convention and the Protocol, but who were elected for Protocol matters only, to participate in the considerations and decision- making, </w:t>
      </w:r>
      <w:proofErr w:type="gramStart"/>
      <w:r w:rsidRPr="00845BFB">
        <w:rPr>
          <w:lang w:eastAsia="en-US"/>
        </w:rPr>
        <w:t>provided that</w:t>
      </w:r>
      <w:proofErr w:type="gramEnd"/>
      <w:r w:rsidRPr="00845BFB">
        <w:rPr>
          <w:lang w:eastAsia="en-US"/>
        </w:rPr>
        <w:t xml:space="preserve"> there was no objection by a member elected for Convention matters and vice versa. </w:t>
      </w:r>
    </w:p>
    <w:p w14:paraId="558F5574" w14:textId="77777777" w:rsidR="00845BFB" w:rsidRPr="00845BFB" w:rsidRDefault="00845BFB" w:rsidP="00F635C8">
      <w:pPr>
        <w:pStyle w:val="SingleTxtG"/>
        <w:rPr>
          <w:lang w:eastAsia="en-US"/>
        </w:rPr>
      </w:pPr>
      <w:r w:rsidRPr="00845BFB">
        <w:rPr>
          <w:lang w:eastAsia="en-US"/>
        </w:rPr>
        <w:t>119.</w:t>
      </w:r>
      <w:r w:rsidRPr="00845BFB">
        <w:rPr>
          <w:lang w:eastAsia="en-US"/>
        </w:rPr>
        <w:tab/>
        <w:t>Lastly, the Committee proposed lowering the quorum for decision-making to four members to avoid a situation when the matter in question would have to be referred to the Meetings of the Parties. Given that the Meetings of the Parties have no means to effectively carry out review of compliance procedures and that their sessions are convened only every three years, the existing provision does not provide an adequate solution.</w:t>
      </w:r>
    </w:p>
    <w:p w14:paraId="76CE3900" w14:textId="77777777" w:rsidR="00845BFB" w:rsidRPr="00845BFB" w:rsidRDefault="00845BFB" w:rsidP="00F635C8">
      <w:pPr>
        <w:pStyle w:val="SingleTxtG"/>
        <w:rPr>
          <w:lang w:eastAsia="en-US"/>
        </w:rPr>
      </w:pPr>
      <w:r w:rsidRPr="00845BFB">
        <w:rPr>
          <w:lang w:eastAsia="en-US"/>
        </w:rPr>
        <w:t>120.</w:t>
      </w:r>
      <w:r w:rsidRPr="00845BFB">
        <w:rPr>
          <w:lang w:eastAsia="en-US"/>
        </w:rPr>
        <w:tab/>
        <w:t xml:space="preserve">The Committee noted that its operating rules did not cover ad hoc sessions or provide for the publication of informal documents, including reports of ad hoc sessions. It suggested enabling the publication of such documents in certain circumstances. It also considered that correspondence from Parties to the Committee regarding compliance matters should be made available to all Parties concerned, whenever necessary. </w:t>
      </w:r>
    </w:p>
    <w:p w14:paraId="606DAA7C" w14:textId="77777777" w:rsidR="00845BFB" w:rsidRPr="00845BFB" w:rsidRDefault="00845BFB" w:rsidP="00F635C8">
      <w:pPr>
        <w:pStyle w:val="SingleTxtG"/>
        <w:rPr>
          <w:lang w:eastAsia="en-US"/>
        </w:rPr>
      </w:pPr>
      <w:r w:rsidRPr="00845BFB">
        <w:rPr>
          <w:lang w:eastAsia="en-US"/>
        </w:rPr>
        <w:t>121.</w:t>
      </w:r>
      <w:r w:rsidRPr="00845BFB">
        <w:rPr>
          <w:lang w:eastAsia="en-US"/>
        </w:rPr>
        <w:tab/>
        <w:t xml:space="preserve">Due to the increasing number and complexity of issues brought before the Committee, it considered possibilities to improve the effectiveness of its work by providing regular online meetings and generally for an extended use of electronic means of communication. This proposal reflects its practice </w:t>
      </w:r>
      <w:proofErr w:type="gramStart"/>
      <w:r w:rsidRPr="00845BFB">
        <w:rPr>
          <w:lang w:eastAsia="en-US"/>
        </w:rPr>
        <w:t>in particular since</w:t>
      </w:r>
      <w:proofErr w:type="gramEnd"/>
      <w:r w:rsidRPr="00845BFB">
        <w:rPr>
          <w:lang w:eastAsia="en-US"/>
        </w:rPr>
        <w:t xml:space="preserve"> the outbreak of the pandemic. </w:t>
      </w:r>
    </w:p>
    <w:p w14:paraId="6A32500E" w14:textId="77777777" w:rsidR="00845BFB" w:rsidRPr="00845BFB" w:rsidRDefault="00845BFB" w:rsidP="00F635C8">
      <w:pPr>
        <w:pStyle w:val="SingleTxtG"/>
        <w:rPr>
          <w:lang w:eastAsia="en-US"/>
        </w:rPr>
      </w:pPr>
      <w:r w:rsidRPr="00845BFB">
        <w:rPr>
          <w:lang w:eastAsia="en-US"/>
        </w:rPr>
        <w:t>122.</w:t>
      </w:r>
      <w:r w:rsidRPr="00845BFB">
        <w:rPr>
          <w:lang w:eastAsia="en-US"/>
        </w:rPr>
        <w:tab/>
        <w:t xml:space="preserve">The operating rules lack clarity on the procedure to be followed when new relevant information on a compliance matter becomes available before </w:t>
      </w:r>
      <w:r w:rsidRPr="00845BFB">
        <w:rPr>
          <w:rFonts w:eastAsia="Calibri"/>
          <w:lang w:eastAsia="en-US"/>
        </w:rPr>
        <w:t>the Meetings of the Parties endorse the draft decision. T</w:t>
      </w:r>
      <w:r w:rsidRPr="00845BFB">
        <w:rPr>
          <w:lang w:eastAsia="en-US"/>
        </w:rPr>
        <w:t xml:space="preserve">he Committee proposed an amendment to clarify the procedure. </w:t>
      </w:r>
    </w:p>
    <w:p w14:paraId="5BAACAAE" w14:textId="27361057" w:rsidR="00EE083A" w:rsidRDefault="00845BFB" w:rsidP="00F635C8">
      <w:pPr>
        <w:pStyle w:val="SingleTxtG"/>
        <w:rPr>
          <w:lang w:eastAsia="en-US"/>
        </w:rPr>
      </w:pPr>
      <w:r w:rsidRPr="00845BFB">
        <w:rPr>
          <w:lang w:eastAsia="en-US"/>
        </w:rPr>
        <w:lastRenderedPageBreak/>
        <w:t>123.</w:t>
      </w:r>
      <w:r w:rsidRPr="00845BFB">
        <w:rPr>
          <w:lang w:eastAsia="en-US"/>
        </w:rPr>
        <w:tab/>
        <w:t xml:space="preserve">The Committee stressed that respect for deadlines by the concerned Parties was crucial when providing information, responding to the Committee’s </w:t>
      </w:r>
      <w:proofErr w:type="gramStart"/>
      <w:r w:rsidRPr="00845BFB">
        <w:rPr>
          <w:lang w:eastAsia="en-US"/>
        </w:rPr>
        <w:t>inquiries</w:t>
      </w:r>
      <w:proofErr w:type="gramEnd"/>
      <w:r w:rsidRPr="00845BFB">
        <w:rPr>
          <w:lang w:eastAsia="en-US"/>
        </w:rPr>
        <w:t xml:space="preserve"> and delivering progress reports. Late submission of information or submission of insufficient quality by the Parties concerned significantly hindered the Committee’s work. It proposed stating explicitly that, if a Party does not provide information, the Committee is free to disregard any late information.</w:t>
      </w:r>
    </w:p>
    <w:p w14:paraId="68F1AE8E" w14:textId="141AB859" w:rsidR="00F635C8" w:rsidRPr="00F635C8" w:rsidRDefault="00F635C8" w:rsidP="00F635C8">
      <w:pPr>
        <w:spacing w:before="240"/>
        <w:jc w:val="center"/>
        <w:rPr>
          <w:u w:val="single"/>
          <w:lang w:eastAsia="en-US"/>
        </w:rPr>
      </w:pPr>
      <w:r>
        <w:rPr>
          <w:u w:val="single"/>
          <w:lang w:eastAsia="en-US"/>
        </w:rPr>
        <w:tab/>
      </w:r>
      <w:r>
        <w:rPr>
          <w:u w:val="single"/>
          <w:lang w:eastAsia="en-US"/>
        </w:rPr>
        <w:tab/>
      </w:r>
      <w:r>
        <w:rPr>
          <w:u w:val="single"/>
          <w:lang w:eastAsia="en-US"/>
        </w:rPr>
        <w:tab/>
      </w:r>
    </w:p>
    <w:sectPr w:rsidR="00F635C8" w:rsidRPr="00F635C8" w:rsidSect="00EC0C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F616" w14:textId="77777777" w:rsidR="009C35E2" w:rsidRDefault="009C35E2"/>
  </w:endnote>
  <w:endnote w:type="continuationSeparator" w:id="0">
    <w:p w14:paraId="005F14E3" w14:textId="77777777" w:rsidR="009C35E2" w:rsidRDefault="009C35E2"/>
  </w:endnote>
  <w:endnote w:type="continuationNotice" w:id="1">
    <w:p w14:paraId="5350B7A1" w14:textId="77777777" w:rsidR="009C35E2" w:rsidRDefault="009C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3872" w14:textId="34BBA18D" w:rsidR="00EC0CE8" w:rsidRPr="00EC0CE8" w:rsidRDefault="00EC0CE8" w:rsidP="00EC0CE8">
    <w:pPr>
      <w:pStyle w:val="Footer"/>
      <w:tabs>
        <w:tab w:val="right" w:pos="9638"/>
      </w:tabs>
      <w:rPr>
        <w:sz w:val="18"/>
      </w:rPr>
    </w:pPr>
    <w:r w:rsidRPr="00EC0CE8">
      <w:rPr>
        <w:b/>
        <w:sz w:val="18"/>
      </w:rPr>
      <w:fldChar w:fldCharType="begin"/>
    </w:r>
    <w:r w:rsidRPr="00EC0CE8">
      <w:rPr>
        <w:b/>
        <w:sz w:val="18"/>
      </w:rPr>
      <w:instrText xml:space="preserve"> PAGE  \* MERGEFORMAT </w:instrText>
    </w:r>
    <w:r w:rsidRPr="00EC0CE8">
      <w:rPr>
        <w:b/>
        <w:sz w:val="18"/>
      </w:rPr>
      <w:fldChar w:fldCharType="separate"/>
    </w:r>
    <w:r w:rsidRPr="00EC0CE8">
      <w:rPr>
        <w:b/>
        <w:noProof/>
        <w:sz w:val="18"/>
      </w:rPr>
      <w:t>2</w:t>
    </w:r>
    <w:r w:rsidRPr="00EC0C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A4A3" w14:textId="194DB9F7" w:rsidR="00EC0CE8" w:rsidRPr="00EC0CE8" w:rsidRDefault="00EC0CE8" w:rsidP="00EC0CE8">
    <w:pPr>
      <w:pStyle w:val="Footer"/>
      <w:tabs>
        <w:tab w:val="right" w:pos="9638"/>
      </w:tabs>
      <w:rPr>
        <w:b/>
        <w:sz w:val="18"/>
      </w:rPr>
    </w:pPr>
    <w:r>
      <w:tab/>
    </w:r>
    <w:r w:rsidRPr="00EC0CE8">
      <w:rPr>
        <w:b/>
        <w:sz w:val="18"/>
      </w:rPr>
      <w:fldChar w:fldCharType="begin"/>
    </w:r>
    <w:r w:rsidRPr="00EC0CE8">
      <w:rPr>
        <w:b/>
        <w:sz w:val="18"/>
      </w:rPr>
      <w:instrText xml:space="preserve"> PAGE  \* MERGEFORMAT </w:instrText>
    </w:r>
    <w:r w:rsidRPr="00EC0CE8">
      <w:rPr>
        <w:b/>
        <w:sz w:val="18"/>
      </w:rPr>
      <w:fldChar w:fldCharType="separate"/>
    </w:r>
    <w:r w:rsidRPr="00EC0CE8">
      <w:rPr>
        <w:b/>
        <w:noProof/>
        <w:sz w:val="18"/>
      </w:rPr>
      <w:t>3</w:t>
    </w:r>
    <w:r w:rsidRPr="00EC0C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F34" w14:textId="32C93CFB" w:rsidR="00DC37B5" w:rsidRDefault="00DC37B5" w:rsidP="00DC37B5">
    <w:pPr>
      <w:pStyle w:val="Footer"/>
    </w:pPr>
    <w:r w:rsidRPr="0027112F">
      <w:rPr>
        <w:noProof/>
        <w:lang w:val="en-US"/>
      </w:rPr>
      <w:drawing>
        <wp:anchor distT="0" distB="0" distL="114300" distR="114300" simplePos="0" relativeHeight="251659264" behindDoc="0" locked="1" layoutInCell="1" allowOverlap="1" wp14:anchorId="115B00CB" wp14:editId="6B3A33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352C8B" w14:textId="5A33E2FD" w:rsidR="00DC37B5" w:rsidRPr="00DC37B5" w:rsidRDefault="00DC37B5" w:rsidP="00DC37B5">
    <w:pPr>
      <w:pStyle w:val="Footer"/>
      <w:ind w:right="1134"/>
      <w:rPr>
        <w:sz w:val="20"/>
      </w:rPr>
    </w:pPr>
    <w:r>
      <w:rPr>
        <w:sz w:val="20"/>
      </w:rPr>
      <w:t>GE.23-20991(E)</w:t>
    </w:r>
    <w:r>
      <w:rPr>
        <w:noProof/>
        <w:sz w:val="20"/>
      </w:rPr>
      <w:drawing>
        <wp:anchor distT="0" distB="0" distL="114300" distR="114300" simplePos="0" relativeHeight="251660288" behindDoc="0" locked="0" layoutInCell="1" allowOverlap="1" wp14:anchorId="0789F43C" wp14:editId="74762D8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CFF5" w14:textId="77777777" w:rsidR="009C35E2" w:rsidRPr="000B175B" w:rsidRDefault="009C35E2" w:rsidP="000B175B">
      <w:pPr>
        <w:tabs>
          <w:tab w:val="right" w:pos="2155"/>
        </w:tabs>
        <w:spacing w:after="80"/>
        <w:ind w:left="680"/>
        <w:rPr>
          <w:u w:val="single"/>
        </w:rPr>
      </w:pPr>
      <w:r>
        <w:rPr>
          <w:u w:val="single"/>
        </w:rPr>
        <w:tab/>
      </w:r>
    </w:p>
  </w:footnote>
  <w:footnote w:type="continuationSeparator" w:id="0">
    <w:p w14:paraId="77142E91" w14:textId="77777777" w:rsidR="009C35E2" w:rsidRPr="00FC68B7" w:rsidRDefault="009C35E2" w:rsidP="00FC68B7">
      <w:pPr>
        <w:tabs>
          <w:tab w:val="left" w:pos="2155"/>
        </w:tabs>
        <w:spacing w:after="80"/>
        <w:ind w:left="680"/>
        <w:rPr>
          <w:u w:val="single"/>
        </w:rPr>
      </w:pPr>
      <w:r>
        <w:rPr>
          <w:u w:val="single"/>
        </w:rPr>
        <w:tab/>
      </w:r>
    </w:p>
  </w:footnote>
  <w:footnote w:type="continuationNotice" w:id="1">
    <w:p w14:paraId="52C9556B" w14:textId="77777777" w:rsidR="009C35E2" w:rsidRDefault="009C35E2"/>
  </w:footnote>
  <w:footnote w:id="2">
    <w:p w14:paraId="65DC0BE2" w14:textId="7585FE44" w:rsidR="00AF4055" w:rsidRPr="00AF4055" w:rsidRDefault="00AF4055">
      <w:pPr>
        <w:pStyle w:val="FootnoteText"/>
        <w:rPr>
          <w:lang w:val="fr-CH"/>
        </w:rPr>
      </w:pPr>
      <w:r>
        <w:rPr>
          <w:rStyle w:val="FootnoteReference"/>
        </w:rPr>
        <w:tab/>
      </w:r>
      <w:r w:rsidRPr="00AF4055">
        <w:rPr>
          <w:rStyle w:val="FootnoteReference"/>
          <w:sz w:val="20"/>
          <w:vertAlign w:val="baseline"/>
        </w:rPr>
        <w:t>*</w:t>
      </w:r>
      <w:r>
        <w:rPr>
          <w:rStyle w:val="FootnoteReference"/>
          <w:sz w:val="20"/>
          <w:vertAlign w:val="baseline"/>
        </w:rPr>
        <w:tab/>
      </w:r>
      <w:r w:rsidRPr="00AF4055">
        <w:rPr>
          <w:rStyle w:val="FootnoteReference"/>
          <w:sz w:val="20"/>
          <w:vertAlign w:val="baseline"/>
        </w:rPr>
        <w:t>The present document was submitted late owing to resource constraints.</w:t>
      </w:r>
    </w:p>
  </w:footnote>
  <w:footnote w:id="3">
    <w:p w14:paraId="6126ECD5" w14:textId="5D82E719" w:rsidR="008530F1" w:rsidRPr="001E2177" w:rsidRDefault="00811D20" w:rsidP="008530F1">
      <w:pPr>
        <w:pStyle w:val="FootnoteText"/>
      </w:pPr>
      <w:r>
        <w:tab/>
      </w:r>
      <w:r w:rsidR="008530F1">
        <w:rPr>
          <w:rStyle w:val="FootnoteReference"/>
        </w:rPr>
        <w:footnoteRef/>
      </w:r>
      <w:r>
        <w:tab/>
      </w:r>
      <w:r w:rsidR="008530F1" w:rsidRPr="001E2177">
        <w:t>ECE/MP.EIA/4</w:t>
      </w:r>
      <w:r w:rsidR="008530F1" w:rsidRPr="008D0B55">
        <w:t>, annex I</w:t>
      </w:r>
      <w:r w:rsidR="008530F1">
        <w:t>V.</w:t>
      </w:r>
    </w:p>
  </w:footnote>
  <w:footnote w:id="4">
    <w:p w14:paraId="2D588185" w14:textId="0CE7181B" w:rsidR="008530F1" w:rsidRPr="008D0B55" w:rsidRDefault="00811D20" w:rsidP="00811D20">
      <w:pPr>
        <w:pStyle w:val="FootnoteText"/>
      </w:pPr>
      <w:r>
        <w:tab/>
      </w:r>
      <w:r w:rsidR="008530F1" w:rsidRPr="005C2C57">
        <w:rPr>
          <w:rStyle w:val="FootnoteReference"/>
          <w:szCs w:val="18"/>
        </w:rPr>
        <w:footnoteRef/>
      </w:r>
      <w:r>
        <w:tab/>
      </w:r>
      <w:r w:rsidR="008530F1" w:rsidRPr="008D0B55">
        <w:t>ECE/MP.EIA/SEA/2.</w:t>
      </w:r>
    </w:p>
  </w:footnote>
  <w:footnote w:id="5">
    <w:p w14:paraId="376D9280" w14:textId="6039F9A0" w:rsidR="008530F1" w:rsidRPr="0059504F" w:rsidRDefault="008530F1" w:rsidP="00811D20">
      <w:pPr>
        <w:pStyle w:val="FootnoteText"/>
      </w:pPr>
      <w:r w:rsidRPr="008D0B55">
        <w:tab/>
      </w:r>
      <w:r>
        <w:rPr>
          <w:rStyle w:val="FootnoteReference"/>
        </w:rPr>
        <w:footnoteRef/>
      </w:r>
      <w:r w:rsidR="00811D20">
        <w:tab/>
      </w:r>
      <w:r>
        <w:t>ECE/MP.EIA/30/Add.1–ECE/MP.EIA/SEA/13/</w:t>
      </w:r>
      <w:r w:rsidRPr="00811D20">
        <w:t>Add</w:t>
      </w:r>
      <w:r>
        <w:t>.1, decision VIII/2</w:t>
      </w:r>
      <w:r w:rsidRPr="008D0B55">
        <w:t>–</w:t>
      </w:r>
      <w:r>
        <w:t>IV/2, annex I, categories of activity II.A and II.B.</w:t>
      </w:r>
    </w:p>
  </w:footnote>
  <w:footnote w:id="6">
    <w:p w14:paraId="019A0169" w14:textId="07DC39F4" w:rsidR="008530F1" w:rsidRPr="007C50C0" w:rsidRDefault="008530F1" w:rsidP="00811D20">
      <w:pPr>
        <w:pStyle w:val="FootnoteText"/>
        <w:rPr>
          <w:lang w:val="es-ES"/>
        </w:rPr>
      </w:pPr>
      <w:r>
        <w:tab/>
      </w:r>
      <w:r>
        <w:rPr>
          <w:rStyle w:val="FootnoteReference"/>
        </w:rPr>
        <w:footnoteRef/>
      </w:r>
      <w:r w:rsidR="00811D20">
        <w:rPr>
          <w:lang w:val="es-ES"/>
        </w:rPr>
        <w:tab/>
      </w:r>
      <w:r w:rsidRPr="005D0C4A">
        <w:rPr>
          <w:lang w:val="es-ES"/>
        </w:rPr>
        <w:t>ECE/MP.EIA/30/Add.2</w:t>
      </w:r>
      <w:r w:rsidRPr="008D0B55">
        <w:rPr>
          <w:lang w:val="es-ES"/>
        </w:rPr>
        <w:t>–</w:t>
      </w:r>
      <w:r w:rsidRPr="005D0C4A">
        <w:rPr>
          <w:lang w:val="es-ES"/>
        </w:rPr>
        <w:t>ECE/MP.EIA/SEA/13/Add.2</w:t>
      </w:r>
      <w:r>
        <w:rPr>
          <w:lang w:val="es-ES"/>
        </w:rPr>
        <w:t xml:space="preserve"> and </w:t>
      </w:r>
      <w:r w:rsidRPr="007C50C0">
        <w:rPr>
          <w:lang w:val="es-ES"/>
        </w:rPr>
        <w:t>ECE/MP.EIA/30/Add.3</w:t>
      </w:r>
      <w:r w:rsidRPr="008D0B55">
        <w:rPr>
          <w:lang w:val="es-ES"/>
        </w:rPr>
        <w:t>–</w:t>
      </w:r>
      <w:r w:rsidRPr="007C50C0">
        <w:rPr>
          <w:lang w:val="es-ES"/>
        </w:rPr>
        <w:t>ECE/MP.EIA/SEA/13/Add.3</w:t>
      </w:r>
      <w:r>
        <w:rPr>
          <w:lang w:val="es-ES"/>
        </w:rPr>
        <w:t>.</w:t>
      </w:r>
    </w:p>
  </w:footnote>
  <w:footnote w:id="7">
    <w:p w14:paraId="0C34C282" w14:textId="7EC35714" w:rsidR="008530F1" w:rsidRPr="008D0B55" w:rsidRDefault="008530F1" w:rsidP="00811D20">
      <w:pPr>
        <w:pStyle w:val="FootnoteText"/>
        <w:rPr>
          <w:lang w:val="es-ES"/>
        </w:rPr>
      </w:pPr>
      <w:r w:rsidRPr="00720205">
        <w:rPr>
          <w:lang w:val="es-ES"/>
        </w:rPr>
        <w:tab/>
      </w:r>
      <w:r>
        <w:rPr>
          <w:rStyle w:val="FootnoteReference"/>
        </w:rPr>
        <w:footnoteRef/>
      </w:r>
      <w:r w:rsidR="00811D20">
        <w:tab/>
      </w:r>
      <w:r w:rsidRPr="00811D20">
        <w:t>Available</w:t>
      </w:r>
      <w:r w:rsidRPr="00333521">
        <w:t xml:space="preserve"> at </w:t>
      </w:r>
      <w:hyperlink r:id="rId1" w:history="1">
        <w:r w:rsidRPr="00333521">
          <w:rPr>
            <w:rStyle w:val="Hyperlink"/>
          </w:rPr>
          <w:t>https://unece.org/sites/default/files/2021-02/Implementation%20Committee%20structure%20functions%20procedures%20rules.e%202020.pdf</w:t>
        </w:r>
      </w:hyperlink>
      <w:r>
        <w:rPr>
          <w:rStyle w:val="Hyperlink"/>
        </w:rPr>
        <w:t xml:space="preserve">; </w:t>
      </w:r>
      <w:r>
        <w:t xml:space="preserve">On the application of operating rule 5, see </w:t>
      </w:r>
      <w:r w:rsidRPr="00975343">
        <w:t xml:space="preserve">paras. </w:t>
      </w:r>
      <w:r w:rsidRPr="008D0B55">
        <w:rPr>
          <w:lang w:val="es-ES"/>
        </w:rPr>
        <w:t xml:space="preserve">115–116 of </w:t>
      </w:r>
      <w:proofErr w:type="spellStart"/>
      <w:r w:rsidRPr="008D0B55">
        <w:rPr>
          <w:lang w:val="es-ES"/>
        </w:rPr>
        <w:t>present</w:t>
      </w:r>
      <w:proofErr w:type="spellEnd"/>
      <w:r w:rsidRPr="008D0B55">
        <w:rPr>
          <w:lang w:val="es-ES"/>
        </w:rPr>
        <w:t xml:space="preserve"> </w:t>
      </w:r>
      <w:proofErr w:type="spellStart"/>
      <w:r w:rsidRPr="008D0B55">
        <w:rPr>
          <w:lang w:val="es-ES"/>
        </w:rPr>
        <w:t>document</w:t>
      </w:r>
      <w:proofErr w:type="spellEnd"/>
      <w:r w:rsidRPr="008D0B55">
        <w:rPr>
          <w:lang w:val="es-ES"/>
        </w:rPr>
        <w:t>.</w:t>
      </w:r>
    </w:p>
  </w:footnote>
  <w:footnote w:id="8">
    <w:p w14:paraId="5F16B2E4" w14:textId="26431212" w:rsidR="008530F1" w:rsidRPr="008D0B55" w:rsidRDefault="00811D20" w:rsidP="008530F1">
      <w:pPr>
        <w:pStyle w:val="FootnoteText"/>
        <w:rPr>
          <w:lang w:val="es-ES"/>
        </w:rPr>
      </w:pPr>
      <w:r>
        <w:rPr>
          <w:lang w:val="es-ES"/>
        </w:rPr>
        <w:tab/>
      </w:r>
      <w:r w:rsidR="008530F1">
        <w:rPr>
          <w:rStyle w:val="FootnoteReference"/>
        </w:rPr>
        <w:footnoteRef/>
      </w:r>
      <w:r>
        <w:rPr>
          <w:lang w:val="es-ES"/>
        </w:rPr>
        <w:tab/>
      </w:r>
      <w:r w:rsidR="008530F1" w:rsidRPr="008D0B55">
        <w:rPr>
          <w:lang w:val="es-ES"/>
        </w:rPr>
        <w:t>ECE/MP.EIA/23</w:t>
      </w:r>
      <w:r w:rsidR="008530F1" w:rsidRPr="00271AF4">
        <w:rPr>
          <w:lang w:val="es-ES"/>
        </w:rPr>
        <w:t>–</w:t>
      </w:r>
      <w:r w:rsidR="008530F1" w:rsidRPr="008D0B55">
        <w:rPr>
          <w:lang w:val="es-ES"/>
        </w:rPr>
        <w:t>ECE/MP.EIA/SEA/7</w:t>
      </w:r>
      <w:r w:rsidR="008530F1">
        <w:rPr>
          <w:lang w:val="es-ES"/>
        </w:rPr>
        <w:t>, para. 72.</w:t>
      </w:r>
    </w:p>
  </w:footnote>
  <w:footnote w:id="9">
    <w:p w14:paraId="04D9CCFB" w14:textId="75B56D1C" w:rsidR="008530F1" w:rsidRPr="008D0B55" w:rsidRDefault="00811D20" w:rsidP="008530F1">
      <w:pPr>
        <w:pStyle w:val="FootnoteText"/>
        <w:rPr>
          <w:lang w:val="es-ES"/>
        </w:rPr>
      </w:pPr>
      <w:r>
        <w:rPr>
          <w:lang w:val="es-ES"/>
        </w:rPr>
        <w:tab/>
      </w:r>
      <w:r w:rsidR="008530F1">
        <w:rPr>
          <w:rStyle w:val="FootnoteReference"/>
        </w:rPr>
        <w:footnoteRef/>
      </w:r>
      <w:r>
        <w:rPr>
          <w:lang w:val="es-ES"/>
        </w:rPr>
        <w:tab/>
      </w:r>
      <w:r w:rsidR="008530F1" w:rsidRPr="008D0B55">
        <w:rPr>
          <w:lang w:val="es-ES"/>
        </w:rPr>
        <w:t>ECE/MP.EIA/30</w:t>
      </w:r>
      <w:r w:rsidR="008530F1" w:rsidRPr="00271AF4">
        <w:rPr>
          <w:lang w:val="es-ES"/>
        </w:rPr>
        <w:t>–</w:t>
      </w:r>
      <w:r w:rsidR="008530F1" w:rsidRPr="008D0B55">
        <w:rPr>
          <w:lang w:val="es-ES"/>
        </w:rPr>
        <w:t>ECE/MP.EIA/SEA/13</w:t>
      </w:r>
      <w:r w:rsidR="008530F1">
        <w:rPr>
          <w:lang w:val="es-ES"/>
        </w:rPr>
        <w:t>, para. 47 (c).</w:t>
      </w:r>
    </w:p>
  </w:footnote>
  <w:footnote w:id="10">
    <w:p w14:paraId="32996372" w14:textId="017DB24A" w:rsidR="008530F1" w:rsidRPr="005B44F6" w:rsidRDefault="00811D20" w:rsidP="008530F1">
      <w:pPr>
        <w:pStyle w:val="FootnoteText"/>
      </w:pPr>
      <w:r>
        <w:rPr>
          <w:lang w:val="es-ES"/>
        </w:rPr>
        <w:tab/>
      </w:r>
      <w:r w:rsidR="008530F1">
        <w:rPr>
          <w:rStyle w:val="FootnoteReference"/>
        </w:rPr>
        <w:footnoteRef/>
      </w:r>
      <w:r>
        <w:rPr>
          <w:lang w:val="es-ES"/>
        </w:rPr>
        <w:tab/>
      </w:r>
      <w:r w:rsidR="008530F1" w:rsidRPr="008D0B55">
        <w:rPr>
          <w:lang w:val="es-ES"/>
        </w:rPr>
        <w:t>ECE/MP.EIA/23</w:t>
      </w:r>
      <w:r w:rsidR="008530F1" w:rsidRPr="00271AF4">
        <w:rPr>
          <w:lang w:val="es-ES"/>
        </w:rPr>
        <w:t>–</w:t>
      </w:r>
      <w:r w:rsidR="008530F1" w:rsidRPr="008D0B55">
        <w:rPr>
          <w:lang w:val="es-ES"/>
        </w:rPr>
        <w:t>ECE/MP.EIA/SEA/7</w:t>
      </w:r>
      <w:r w:rsidR="008530F1">
        <w:rPr>
          <w:lang w:val="es-ES"/>
        </w:rPr>
        <w:t xml:space="preserve">, para. </w:t>
      </w:r>
      <w:r w:rsidR="008530F1" w:rsidRPr="008D0B55">
        <w:t>73.</w:t>
      </w:r>
    </w:p>
  </w:footnote>
  <w:footnote w:id="11">
    <w:p w14:paraId="4188D0F9" w14:textId="2E97B456" w:rsidR="008530F1" w:rsidRPr="00827D43" w:rsidRDefault="00FE3A0F" w:rsidP="00811D20">
      <w:pPr>
        <w:pStyle w:val="FootnoteText"/>
      </w:pPr>
      <w:r>
        <w:tab/>
      </w:r>
      <w:r w:rsidR="008530F1">
        <w:rPr>
          <w:rStyle w:val="FootnoteReference"/>
        </w:rPr>
        <w:footnoteRef/>
      </w:r>
      <w:r>
        <w:tab/>
      </w:r>
      <w:r w:rsidR="008530F1" w:rsidRPr="00827D43">
        <w:t xml:space="preserve">Portugal </w:t>
      </w:r>
      <w:r w:rsidR="008530F1" w:rsidRPr="00811D20">
        <w:t>and</w:t>
      </w:r>
      <w:r w:rsidR="008530F1" w:rsidRPr="00827D43">
        <w:t xml:space="preserve"> Slovakia did not appoint a new alternate after the departure of the initially appointed member.</w:t>
      </w:r>
    </w:p>
  </w:footnote>
  <w:footnote w:id="12">
    <w:p w14:paraId="38C5C204" w14:textId="5DA8E0F3" w:rsidR="008530F1" w:rsidRPr="005B44F6" w:rsidRDefault="008530F1" w:rsidP="008530F1">
      <w:pPr>
        <w:pStyle w:val="FootnoteText"/>
      </w:pPr>
      <w:r w:rsidRPr="00825045">
        <w:tab/>
      </w:r>
      <w:r>
        <w:rPr>
          <w:rStyle w:val="FootnoteReference"/>
        </w:rPr>
        <w:footnoteRef/>
      </w:r>
      <w:r w:rsidR="00DA7275">
        <w:rPr>
          <w:lang w:val="es-ES"/>
        </w:rPr>
        <w:tab/>
      </w:r>
      <w:r w:rsidRPr="00B14DDE">
        <w:rPr>
          <w:lang w:val="es-ES"/>
        </w:rPr>
        <w:t>ECE/MP.EIA/IC/2021/2, para</w:t>
      </w:r>
      <w:r>
        <w:rPr>
          <w:lang w:val="es-ES"/>
        </w:rPr>
        <w:t xml:space="preserve">. </w:t>
      </w:r>
      <w:r w:rsidRPr="00B14DDE">
        <w:t>3.</w:t>
      </w:r>
    </w:p>
  </w:footnote>
  <w:footnote w:id="13">
    <w:p w14:paraId="15B0D9F7" w14:textId="77777777" w:rsidR="008530F1" w:rsidRDefault="008530F1" w:rsidP="008530F1">
      <w:pPr>
        <w:pStyle w:val="FootnoteText"/>
        <w:rPr>
          <w:lang w:val="en-US"/>
        </w:rPr>
      </w:pPr>
      <w:r w:rsidRPr="005B44F6">
        <w:tab/>
      </w:r>
      <w:r w:rsidRPr="45ABA347">
        <w:rPr>
          <w:rStyle w:val="FootnoteReference"/>
        </w:rPr>
        <w:footnoteRef/>
      </w:r>
      <w:r>
        <w:t xml:space="preserve"> </w:t>
      </w:r>
      <w:r>
        <w:tab/>
        <w:t>The reports on the Committee’s sessions are available at https://unece.org/sessions-3.</w:t>
      </w:r>
    </w:p>
  </w:footnote>
  <w:footnote w:id="14">
    <w:p w14:paraId="3CA68949" w14:textId="4B72D8BA" w:rsidR="008530F1" w:rsidRDefault="008530F1" w:rsidP="00DA7275">
      <w:pPr>
        <w:pStyle w:val="FootnoteText"/>
        <w:ind w:left="0" w:firstLine="0"/>
        <w:rPr>
          <w:lang w:val="en-US"/>
        </w:rPr>
      </w:pPr>
      <w:r>
        <w:tab/>
      </w:r>
      <w:r w:rsidRPr="45ABA347">
        <w:rPr>
          <w:rStyle w:val="FootnoteReference"/>
        </w:rPr>
        <w:footnoteRef/>
      </w:r>
      <w:r>
        <w:t xml:space="preserve"> </w:t>
      </w:r>
      <w:r>
        <w:tab/>
        <w:t xml:space="preserve">See </w:t>
      </w:r>
      <w:hyperlink r:id="rId2" w:history="1">
        <w:r w:rsidRPr="00197702">
          <w:rPr>
            <w:rStyle w:val="Hyperlink"/>
          </w:rPr>
          <w:t>www.unece.org/env/eia/implementation/implementation_committee.html</w:t>
        </w:r>
      </w:hyperlink>
      <w:r>
        <w:rPr>
          <w:rStyle w:val="Hyperlink"/>
        </w:rPr>
        <w:t>.</w:t>
      </w:r>
    </w:p>
  </w:footnote>
  <w:footnote w:id="15">
    <w:p w14:paraId="5BED83F8" w14:textId="77777777" w:rsidR="008530F1" w:rsidRPr="00B14DDE" w:rsidRDefault="008530F1" w:rsidP="008530F1">
      <w:pPr>
        <w:pStyle w:val="FootnoteText"/>
      </w:pPr>
      <w:r w:rsidRPr="00975343">
        <w:tab/>
      </w:r>
      <w:r w:rsidRPr="45ABA347">
        <w:rPr>
          <w:rStyle w:val="FootnoteReference"/>
        </w:rPr>
        <w:footnoteRef/>
      </w:r>
      <w:r w:rsidRPr="00B14DDE">
        <w:t xml:space="preserve"> </w:t>
      </w:r>
      <w:r w:rsidRPr="00B14DDE">
        <w:tab/>
        <w:t xml:space="preserve">Forthcoming.  </w:t>
      </w:r>
    </w:p>
  </w:footnote>
  <w:footnote w:id="16">
    <w:p w14:paraId="41ECA1C0" w14:textId="099A32E2" w:rsidR="008530F1" w:rsidRPr="003839C6" w:rsidRDefault="00DA7275" w:rsidP="008530F1">
      <w:pPr>
        <w:pStyle w:val="FootnoteText"/>
      </w:pPr>
      <w:r>
        <w:tab/>
      </w:r>
      <w:r w:rsidR="008530F1">
        <w:rPr>
          <w:rStyle w:val="FootnoteReference"/>
        </w:rPr>
        <w:footnoteRef/>
      </w:r>
      <w:r>
        <w:tab/>
      </w:r>
      <w:r w:rsidR="008530F1" w:rsidRPr="00B14DDE">
        <w:t>See https://unece.org/environment-policy/environmental-assessment/decisions-taken-meetings-parties</w:t>
      </w:r>
      <w:r w:rsidR="008530F1">
        <w:t>.</w:t>
      </w:r>
    </w:p>
  </w:footnote>
  <w:footnote w:id="17">
    <w:p w14:paraId="2E0628BB" w14:textId="3AE86EBF" w:rsidR="008530F1" w:rsidRPr="002257A5" w:rsidRDefault="00F5471D" w:rsidP="008530F1">
      <w:pPr>
        <w:pStyle w:val="FootnoteText"/>
        <w:rPr>
          <w:lang w:val="es-ES"/>
        </w:rPr>
      </w:pPr>
      <w:r w:rsidRPr="00825045">
        <w:tab/>
      </w:r>
      <w:r w:rsidR="008530F1">
        <w:rPr>
          <w:rStyle w:val="FootnoteReference"/>
        </w:rPr>
        <w:footnoteRef/>
      </w:r>
      <w:r>
        <w:rPr>
          <w:lang w:val="es-ES"/>
        </w:rPr>
        <w:tab/>
      </w:r>
      <w:r w:rsidR="008530F1" w:rsidRPr="002257A5">
        <w:rPr>
          <w:lang w:val="es-ES"/>
        </w:rPr>
        <w:t>ECE/MP.EIA/IC/2022/2, para</w:t>
      </w:r>
      <w:r w:rsidR="008530F1">
        <w:rPr>
          <w:lang w:val="es-ES"/>
        </w:rPr>
        <w:t>. 59 (a).</w:t>
      </w:r>
    </w:p>
  </w:footnote>
  <w:footnote w:id="18">
    <w:p w14:paraId="3D554994" w14:textId="521A0E24" w:rsidR="008530F1" w:rsidRPr="002257A5" w:rsidRDefault="00F5471D" w:rsidP="008530F1">
      <w:pPr>
        <w:pStyle w:val="FootnoteText"/>
        <w:rPr>
          <w:lang w:val="es-ES"/>
        </w:rPr>
      </w:pPr>
      <w:r>
        <w:rPr>
          <w:lang w:val="es-ES"/>
        </w:rPr>
        <w:tab/>
      </w:r>
      <w:r w:rsidR="008530F1">
        <w:rPr>
          <w:rStyle w:val="FootnoteReference"/>
        </w:rPr>
        <w:footnoteRef/>
      </w:r>
      <w:r>
        <w:rPr>
          <w:lang w:val="es-ES"/>
        </w:rPr>
        <w:tab/>
      </w:r>
      <w:r w:rsidR="008530F1" w:rsidRPr="002257A5">
        <w:rPr>
          <w:lang w:val="es-ES"/>
        </w:rPr>
        <w:t>ECE/MP.EIA/IC/2023/4, para</w:t>
      </w:r>
      <w:r w:rsidR="008530F1">
        <w:rPr>
          <w:lang w:val="es-ES"/>
        </w:rPr>
        <w:t>. 58.</w:t>
      </w:r>
    </w:p>
  </w:footnote>
  <w:footnote w:id="19">
    <w:p w14:paraId="0BF47CB9" w14:textId="44D4CD5A" w:rsidR="008530F1" w:rsidRPr="00EB1776" w:rsidRDefault="008530F1" w:rsidP="008530F1">
      <w:pPr>
        <w:pStyle w:val="FootnoteText"/>
        <w:rPr>
          <w:lang w:val="es-ES"/>
        </w:rPr>
      </w:pPr>
      <w:r w:rsidRPr="00705C1A">
        <w:rPr>
          <w:lang w:val="es-ES"/>
        </w:rPr>
        <w:tab/>
      </w:r>
      <w:r>
        <w:rPr>
          <w:rStyle w:val="FootnoteReference"/>
        </w:rPr>
        <w:footnoteRef/>
      </w:r>
      <w:r w:rsidR="00F5471D">
        <w:rPr>
          <w:lang w:val="es-ES"/>
        </w:rPr>
        <w:tab/>
      </w:r>
      <w:r w:rsidRPr="00EB1776">
        <w:rPr>
          <w:rFonts w:eastAsia="Calibri"/>
          <w:lang w:val="es-ES"/>
        </w:rPr>
        <w:t>ECE/MP.EIA/2023/4</w:t>
      </w:r>
      <w:r w:rsidRPr="002257A5">
        <w:rPr>
          <w:lang w:val="es-ES"/>
        </w:rPr>
        <w:t>–</w:t>
      </w:r>
      <w:r w:rsidRPr="00EB1776">
        <w:rPr>
          <w:rFonts w:eastAsia="Calibri"/>
          <w:lang w:val="es-ES"/>
        </w:rPr>
        <w:t>ECE/MP.EIA/SEA/2023/4.</w:t>
      </w:r>
    </w:p>
  </w:footnote>
  <w:footnote w:id="20">
    <w:p w14:paraId="3D618366" w14:textId="0664A9A9" w:rsidR="008530F1" w:rsidRPr="00EB1776" w:rsidRDefault="008530F1" w:rsidP="008530F1">
      <w:pPr>
        <w:pStyle w:val="FootnoteText"/>
      </w:pPr>
      <w:r w:rsidRPr="00975343">
        <w:rPr>
          <w:lang w:val="es-ES"/>
        </w:rPr>
        <w:tab/>
      </w:r>
      <w:r>
        <w:rPr>
          <w:rStyle w:val="FootnoteReference"/>
        </w:rPr>
        <w:footnoteRef/>
      </w:r>
      <w:r w:rsidR="00EA5291">
        <w:tab/>
      </w:r>
      <w:r>
        <w:t>ECE/MP.EIA/2023/7.</w:t>
      </w:r>
    </w:p>
  </w:footnote>
  <w:footnote w:id="21">
    <w:p w14:paraId="60FAB0C0" w14:textId="74C4DD17" w:rsidR="008530F1" w:rsidRPr="0021498A" w:rsidRDefault="008530F1" w:rsidP="008530F1">
      <w:pPr>
        <w:pStyle w:val="FootnoteText"/>
      </w:pPr>
      <w:r>
        <w:tab/>
      </w:r>
      <w:r>
        <w:rPr>
          <w:rStyle w:val="FootnoteReference"/>
        </w:rPr>
        <w:footnoteRef/>
      </w:r>
      <w:r w:rsidR="00AD39D0">
        <w:tab/>
      </w:r>
      <w:r w:rsidRPr="0021498A">
        <w:t>The reports are avai</w:t>
      </w:r>
      <w:r>
        <w:t xml:space="preserve">lable at </w:t>
      </w:r>
      <w:r w:rsidRPr="006C336E">
        <w:t>https://unece.org/environment-policy/environmental-assessment/eiaics4-belarus</w:t>
      </w:r>
      <w:r>
        <w:t>.</w:t>
      </w:r>
    </w:p>
  </w:footnote>
  <w:footnote w:id="22">
    <w:p w14:paraId="0C5BA7A5" w14:textId="1DECE146" w:rsidR="008530F1" w:rsidRPr="00FD7B23" w:rsidRDefault="008530F1" w:rsidP="008530F1">
      <w:pPr>
        <w:pStyle w:val="FootnoteText"/>
        <w:rPr>
          <w:lang w:val="es-ES"/>
        </w:rPr>
      </w:pPr>
      <w:r>
        <w:tab/>
      </w:r>
      <w:r>
        <w:rPr>
          <w:rStyle w:val="FootnoteReference"/>
        </w:rPr>
        <w:footnoteRef/>
      </w:r>
      <w:r w:rsidR="00AD39D0">
        <w:rPr>
          <w:lang w:val="es-ES"/>
        </w:rPr>
        <w:tab/>
      </w:r>
      <w:r w:rsidRPr="00FD7B23">
        <w:rPr>
          <w:lang w:val="es-ES"/>
        </w:rPr>
        <w:t>ECE/MP.EIA/2023/7.</w:t>
      </w:r>
    </w:p>
  </w:footnote>
  <w:footnote w:id="23">
    <w:p w14:paraId="333B1C04" w14:textId="64B7A243" w:rsidR="008530F1" w:rsidRPr="004476C8" w:rsidRDefault="00AD39D0" w:rsidP="008530F1">
      <w:pPr>
        <w:pStyle w:val="FootnoteText"/>
        <w:rPr>
          <w:lang w:val="en-US"/>
        </w:rPr>
      </w:pPr>
      <w:r>
        <w:rPr>
          <w:lang w:val="es-ES"/>
        </w:rPr>
        <w:tab/>
      </w:r>
      <w:r w:rsidR="008530F1">
        <w:rPr>
          <w:rStyle w:val="FootnoteReference"/>
        </w:rPr>
        <w:footnoteRef/>
      </w:r>
      <w:r>
        <w:rPr>
          <w:lang w:val="es-ES"/>
        </w:rPr>
        <w:tab/>
      </w:r>
      <w:r w:rsidR="008530F1" w:rsidRPr="00FD7B23">
        <w:rPr>
          <w:lang w:val="es-ES"/>
        </w:rPr>
        <w:t>ECE/MP.EIA/IC/2022/2, para</w:t>
      </w:r>
      <w:r w:rsidR="008530F1">
        <w:rPr>
          <w:lang w:val="es-ES"/>
        </w:rPr>
        <w:t xml:space="preserve">. </w:t>
      </w:r>
      <w:r w:rsidR="008530F1" w:rsidRPr="004476C8">
        <w:rPr>
          <w:lang w:val="en-US"/>
        </w:rPr>
        <w:t>3.</w:t>
      </w:r>
    </w:p>
  </w:footnote>
  <w:footnote w:id="24">
    <w:p w14:paraId="7DAE8C55" w14:textId="6FF86B1E" w:rsidR="008530F1" w:rsidRPr="004476C8" w:rsidRDefault="008530F1" w:rsidP="008530F1">
      <w:pPr>
        <w:pStyle w:val="FootnoteText"/>
        <w:rPr>
          <w:szCs w:val="18"/>
          <w:lang w:val="en-US"/>
        </w:rPr>
      </w:pPr>
      <w:r w:rsidRPr="004476C8">
        <w:rPr>
          <w:szCs w:val="18"/>
          <w:lang w:val="en-US"/>
        </w:rPr>
        <w:tab/>
      </w:r>
      <w:r w:rsidRPr="008530F1">
        <w:rPr>
          <w:rStyle w:val="FootnoteReference"/>
          <w:szCs w:val="18"/>
        </w:rPr>
        <w:footnoteRef/>
      </w:r>
      <w:r w:rsidR="00AD39D0" w:rsidRPr="004476C8">
        <w:rPr>
          <w:szCs w:val="18"/>
          <w:lang w:val="en-US"/>
        </w:rPr>
        <w:tab/>
      </w:r>
      <w:r w:rsidRPr="004476C8">
        <w:rPr>
          <w:szCs w:val="18"/>
          <w:lang w:val="en-US"/>
        </w:rPr>
        <w:t>EIA/IC/S/1, EIA/IC/CI/4, EIA/IC/CI/7, EIA/IC/INFO/10, EIA/IC/INFO/13 and EIA/IC/INFO/20.</w:t>
      </w:r>
    </w:p>
  </w:footnote>
  <w:footnote w:id="25">
    <w:p w14:paraId="2C4A92A4" w14:textId="2CB95A4E" w:rsidR="008530F1" w:rsidRPr="003078ED" w:rsidRDefault="008530F1" w:rsidP="008530F1">
      <w:pPr>
        <w:pStyle w:val="FootnoteText"/>
        <w:rPr>
          <w:lang w:val="es-ES"/>
        </w:rPr>
      </w:pPr>
      <w:r w:rsidRPr="004476C8">
        <w:rPr>
          <w:lang w:val="en-US"/>
        </w:rPr>
        <w:tab/>
      </w:r>
      <w:r>
        <w:rPr>
          <w:rStyle w:val="FootnoteReference"/>
        </w:rPr>
        <w:footnoteRef/>
      </w:r>
      <w:r w:rsidR="00AD39D0">
        <w:rPr>
          <w:lang w:val="es-ES"/>
        </w:rPr>
        <w:tab/>
      </w:r>
      <w:r w:rsidRPr="003078ED">
        <w:rPr>
          <w:rFonts w:eastAsia="SimSun"/>
          <w:lang w:val="es-ES"/>
        </w:rPr>
        <w:t>ECE/MP.EIA/10</w:t>
      </w:r>
      <w:r>
        <w:rPr>
          <w:rFonts w:eastAsia="SimSun"/>
          <w:lang w:val="es-ES"/>
        </w:rPr>
        <w:t xml:space="preserve">, </w:t>
      </w:r>
      <w:proofErr w:type="spellStart"/>
      <w:r>
        <w:rPr>
          <w:rFonts w:eastAsia="SimSun"/>
          <w:lang w:val="es-ES"/>
        </w:rPr>
        <w:t>d</w:t>
      </w:r>
      <w:r w:rsidRPr="003078ED">
        <w:rPr>
          <w:rFonts w:eastAsia="SimSun"/>
          <w:lang w:val="es-ES"/>
        </w:rPr>
        <w:t>ecision</w:t>
      </w:r>
      <w:proofErr w:type="spellEnd"/>
      <w:r w:rsidRPr="003078ED">
        <w:rPr>
          <w:rFonts w:eastAsia="SimSun"/>
          <w:lang w:val="es-ES"/>
        </w:rPr>
        <w:t xml:space="preserve"> IV/2, para. 14.</w:t>
      </w:r>
    </w:p>
  </w:footnote>
  <w:footnote w:id="26">
    <w:p w14:paraId="43E8577F" w14:textId="7894C352" w:rsidR="008530F1" w:rsidRPr="00A20B0E" w:rsidRDefault="008530F1" w:rsidP="008530F1">
      <w:pPr>
        <w:pStyle w:val="FootnoteText"/>
        <w:rPr>
          <w:lang w:val="es-ES"/>
        </w:rPr>
      </w:pPr>
      <w:r w:rsidRPr="003078ED">
        <w:rPr>
          <w:lang w:val="es-ES"/>
        </w:rPr>
        <w:tab/>
      </w:r>
      <w:r>
        <w:rPr>
          <w:rStyle w:val="FootnoteReference"/>
        </w:rPr>
        <w:footnoteRef/>
      </w:r>
      <w:r w:rsidR="00A867B3">
        <w:rPr>
          <w:lang w:val="es-ES"/>
        </w:rPr>
        <w:tab/>
      </w:r>
      <w:r w:rsidRPr="00A20B0E">
        <w:rPr>
          <w:lang w:val="es-ES"/>
        </w:rPr>
        <w:t>ECE/MP.EIA/2023/7.</w:t>
      </w:r>
    </w:p>
  </w:footnote>
  <w:footnote w:id="27">
    <w:p w14:paraId="43718CA3" w14:textId="0C26C4B9" w:rsidR="008530F1" w:rsidRPr="00A20B0E" w:rsidRDefault="00A867B3" w:rsidP="00A867B3">
      <w:pPr>
        <w:pStyle w:val="FootnoteText"/>
        <w:rPr>
          <w:lang w:val="es-ES"/>
        </w:rPr>
      </w:pPr>
      <w:r>
        <w:rPr>
          <w:lang w:val="es-ES"/>
        </w:rPr>
        <w:tab/>
      </w:r>
      <w:r w:rsidR="008530F1">
        <w:rPr>
          <w:rStyle w:val="FootnoteReference"/>
        </w:rPr>
        <w:footnoteRef/>
      </w:r>
      <w:r>
        <w:rPr>
          <w:lang w:val="es-ES"/>
        </w:rPr>
        <w:tab/>
      </w:r>
      <w:r w:rsidR="008530F1">
        <w:rPr>
          <w:lang w:val="es-ES"/>
        </w:rPr>
        <w:t>Ibid.</w:t>
      </w:r>
    </w:p>
  </w:footnote>
  <w:footnote w:id="28">
    <w:p w14:paraId="0BD8324D" w14:textId="0D043042" w:rsidR="006041D9" w:rsidRPr="00EF541F" w:rsidRDefault="00F84367" w:rsidP="006041D9">
      <w:pPr>
        <w:pStyle w:val="FootnoteText"/>
        <w:rPr>
          <w:lang w:val="es-ES"/>
        </w:rPr>
      </w:pPr>
      <w:r>
        <w:rPr>
          <w:lang w:val="es-ES"/>
        </w:rPr>
        <w:tab/>
      </w:r>
      <w:r w:rsidR="006041D9">
        <w:rPr>
          <w:rStyle w:val="FootnoteReference"/>
        </w:rPr>
        <w:footnoteRef/>
      </w:r>
      <w:r>
        <w:rPr>
          <w:lang w:val="es-ES"/>
        </w:rPr>
        <w:tab/>
      </w:r>
      <w:r w:rsidR="006041D9" w:rsidRPr="00EF541F">
        <w:rPr>
          <w:lang w:val="es-ES"/>
        </w:rPr>
        <w:t>ECE/MP.EIA/IC/2021/4, par</w:t>
      </w:r>
      <w:r w:rsidR="006041D9">
        <w:rPr>
          <w:lang w:val="es-ES"/>
        </w:rPr>
        <w:t>as. 19</w:t>
      </w:r>
      <w:r w:rsidR="006041D9" w:rsidRPr="00EF541F">
        <w:rPr>
          <w:lang w:val="es-ES"/>
        </w:rPr>
        <w:t>–</w:t>
      </w:r>
      <w:r w:rsidR="006041D9">
        <w:rPr>
          <w:lang w:val="es-ES"/>
        </w:rPr>
        <w:t>22.</w:t>
      </w:r>
    </w:p>
  </w:footnote>
  <w:footnote w:id="29">
    <w:p w14:paraId="000E6CEC" w14:textId="7D4817D9" w:rsidR="006041D9" w:rsidRPr="00A20B0E" w:rsidRDefault="006041D9" w:rsidP="006041D9">
      <w:pPr>
        <w:pStyle w:val="FootnoteText"/>
        <w:rPr>
          <w:lang w:val="es-ES"/>
        </w:rPr>
      </w:pPr>
      <w:r w:rsidRPr="00A20B0E">
        <w:rPr>
          <w:lang w:val="es-ES"/>
        </w:rPr>
        <w:tab/>
      </w:r>
      <w:r>
        <w:rPr>
          <w:rStyle w:val="FootnoteReference"/>
        </w:rPr>
        <w:footnoteRef/>
      </w:r>
      <w:r w:rsidR="00F84367">
        <w:rPr>
          <w:lang w:val="es-ES"/>
        </w:rPr>
        <w:tab/>
      </w:r>
      <w:r w:rsidRPr="00A20B0E">
        <w:rPr>
          <w:lang w:val="es-ES"/>
        </w:rPr>
        <w:t>ECE/MP.EIA/IC/2022/8.</w:t>
      </w:r>
    </w:p>
  </w:footnote>
  <w:footnote w:id="30">
    <w:p w14:paraId="44754F02" w14:textId="7BC9C59E" w:rsidR="006041D9" w:rsidRPr="00A20B0E" w:rsidRDefault="006041D9" w:rsidP="006041D9">
      <w:pPr>
        <w:pStyle w:val="FootnoteText"/>
        <w:rPr>
          <w:lang w:val="es-ES"/>
        </w:rPr>
      </w:pPr>
      <w:r>
        <w:rPr>
          <w:lang w:val="es-ES"/>
        </w:rPr>
        <w:tab/>
      </w:r>
      <w:r>
        <w:rPr>
          <w:rStyle w:val="FootnoteReference"/>
        </w:rPr>
        <w:footnoteRef/>
      </w:r>
      <w:r w:rsidR="00F84367">
        <w:rPr>
          <w:lang w:val="es-ES"/>
        </w:rPr>
        <w:tab/>
      </w:r>
      <w:r w:rsidRPr="00A20B0E">
        <w:rPr>
          <w:lang w:val="es-ES"/>
        </w:rPr>
        <w:t xml:space="preserve">ECE/MP.EIA/2023/7. </w:t>
      </w:r>
    </w:p>
  </w:footnote>
  <w:footnote w:id="31">
    <w:p w14:paraId="5FA8083F" w14:textId="5CA80479" w:rsidR="006A5C13" w:rsidRPr="00F3393C" w:rsidRDefault="00F84367" w:rsidP="006A5C13">
      <w:pPr>
        <w:pStyle w:val="FootnoteText"/>
        <w:rPr>
          <w:lang w:val="es-ES"/>
        </w:rPr>
      </w:pPr>
      <w:r>
        <w:rPr>
          <w:lang w:val="es-ES"/>
        </w:rPr>
        <w:tab/>
      </w:r>
      <w:r w:rsidR="006A5C13">
        <w:rPr>
          <w:rStyle w:val="FootnoteReference"/>
        </w:rPr>
        <w:footnoteRef/>
      </w:r>
      <w:r>
        <w:rPr>
          <w:lang w:val="es-ES"/>
        </w:rPr>
        <w:tab/>
      </w:r>
      <w:r w:rsidR="006A5C13" w:rsidRPr="00F3393C">
        <w:rPr>
          <w:lang w:val="es-ES"/>
        </w:rPr>
        <w:t>ECE/MP.EIA/IC/2023/9, para</w:t>
      </w:r>
      <w:r w:rsidR="006A5C13">
        <w:rPr>
          <w:lang w:val="es-ES"/>
        </w:rPr>
        <w:t>. 33.</w:t>
      </w:r>
    </w:p>
  </w:footnote>
  <w:footnote w:id="32">
    <w:p w14:paraId="4C51465B" w14:textId="2E6CCD16" w:rsidR="006A5C13" w:rsidRPr="00A20B0E" w:rsidRDefault="006A5C13" w:rsidP="006A5C13">
      <w:pPr>
        <w:pStyle w:val="FootnoteText"/>
        <w:rPr>
          <w:lang w:val="es-ES"/>
        </w:rPr>
      </w:pPr>
      <w:r w:rsidRPr="00A307C4">
        <w:rPr>
          <w:lang w:val="es-ES"/>
        </w:rPr>
        <w:tab/>
      </w:r>
      <w:r>
        <w:rPr>
          <w:rStyle w:val="FootnoteReference"/>
        </w:rPr>
        <w:footnoteRef/>
      </w:r>
      <w:r w:rsidR="00F84367">
        <w:rPr>
          <w:lang w:val="es-ES"/>
        </w:rPr>
        <w:tab/>
      </w:r>
      <w:r>
        <w:rPr>
          <w:lang w:val="es-ES"/>
        </w:rPr>
        <w:t>Ibid</w:t>
      </w:r>
      <w:r w:rsidRPr="00A20B0E">
        <w:rPr>
          <w:lang w:val="es-ES"/>
        </w:rPr>
        <w:t>.</w:t>
      </w:r>
      <w:r>
        <w:rPr>
          <w:lang w:val="es-ES"/>
        </w:rPr>
        <w:t>, para. 13.</w:t>
      </w:r>
    </w:p>
  </w:footnote>
  <w:footnote w:id="33">
    <w:p w14:paraId="6504F95B" w14:textId="32282738" w:rsidR="006A5C13" w:rsidRPr="0007608D" w:rsidRDefault="006A5C13" w:rsidP="006A5C13">
      <w:pPr>
        <w:pStyle w:val="FootnoteText"/>
        <w:rPr>
          <w:lang w:val="es-ES"/>
        </w:rPr>
      </w:pPr>
      <w:r w:rsidRPr="00A20B0E">
        <w:rPr>
          <w:lang w:val="es-ES"/>
        </w:rPr>
        <w:tab/>
      </w:r>
      <w:r>
        <w:rPr>
          <w:rStyle w:val="FootnoteReference"/>
        </w:rPr>
        <w:footnoteRef/>
      </w:r>
      <w:r w:rsidR="00F84367">
        <w:rPr>
          <w:lang w:val="es-ES"/>
        </w:rPr>
        <w:tab/>
      </w:r>
      <w:r w:rsidRPr="0007608D">
        <w:rPr>
          <w:lang w:val="es-ES"/>
        </w:rPr>
        <w:t>ECE/MP.EIA/2023/4</w:t>
      </w:r>
      <w:r w:rsidRPr="00F3393C">
        <w:rPr>
          <w:lang w:val="es-ES"/>
        </w:rPr>
        <w:t>–</w:t>
      </w:r>
      <w:r w:rsidRPr="0007608D">
        <w:rPr>
          <w:lang w:val="es-ES"/>
        </w:rPr>
        <w:t>ECE/MP.EIA/SEA/2023/4</w:t>
      </w:r>
      <w:r>
        <w:rPr>
          <w:lang w:val="es-ES"/>
        </w:rPr>
        <w:t>.</w:t>
      </w:r>
    </w:p>
  </w:footnote>
  <w:footnote w:id="34">
    <w:p w14:paraId="0ADF1245" w14:textId="49A3A5E8" w:rsidR="006A5C13" w:rsidRPr="00585821" w:rsidRDefault="006A5C13" w:rsidP="006A5C13">
      <w:pPr>
        <w:pStyle w:val="FootnoteText"/>
      </w:pPr>
      <w:r w:rsidRPr="00A20B0E">
        <w:rPr>
          <w:lang w:val="es-ES"/>
        </w:rPr>
        <w:tab/>
      </w:r>
      <w:r>
        <w:rPr>
          <w:rStyle w:val="FootnoteReference"/>
        </w:rPr>
        <w:footnoteRef/>
      </w:r>
      <w:r w:rsidR="00A3266E">
        <w:tab/>
      </w:r>
      <w:r w:rsidRPr="00585821">
        <w:t>ECE/MP.EIA/I</w:t>
      </w:r>
      <w:r>
        <w:t>C/2023/5.</w:t>
      </w:r>
    </w:p>
  </w:footnote>
  <w:footnote w:id="35">
    <w:p w14:paraId="2ACC9E5C" w14:textId="324EEC52" w:rsidR="006A5C13" w:rsidRPr="00AD44BA" w:rsidRDefault="006A5C13" w:rsidP="006A5C13">
      <w:pPr>
        <w:pStyle w:val="FootnoteText"/>
      </w:pPr>
      <w:r>
        <w:tab/>
      </w:r>
      <w:r>
        <w:rPr>
          <w:rStyle w:val="FootnoteReference"/>
        </w:rPr>
        <w:footnoteRef/>
      </w:r>
      <w:r w:rsidR="00A3266E">
        <w:tab/>
      </w:r>
      <w:r w:rsidRPr="00AD44BA">
        <w:t>ECE/MP.EIA/I</w:t>
      </w:r>
      <w:r>
        <w:t xml:space="preserve">C/2023/8, annex II. </w:t>
      </w:r>
    </w:p>
  </w:footnote>
  <w:footnote w:id="36">
    <w:p w14:paraId="06E3F93B" w14:textId="56B63BC9" w:rsidR="006A5C13" w:rsidRPr="003F2DCF" w:rsidRDefault="006A5C13" w:rsidP="006A5C13">
      <w:pPr>
        <w:pStyle w:val="FootnoteText"/>
        <w:rPr>
          <w:lang w:val="es-ES"/>
        </w:rPr>
      </w:pPr>
      <w:r w:rsidRPr="00A20B0E">
        <w:tab/>
      </w:r>
      <w:r>
        <w:rPr>
          <w:rStyle w:val="FootnoteReference"/>
        </w:rPr>
        <w:footnoteRef/>
      </w:r>
      <w:r w:rsidR="00A3266E">
        <w:rPr>
          <w:lang w:val="es-ES"/>
        </w:rPr>
        <w:tab/>
      </w:r>
      <w:r w:rsidRPr="0007608D">
        <w:rPr>
          <w:lang w:val="es-ES"/>
        </w:rPr>
        <w:t>ECE/MP.EIA/2023/4</w:t>
      </w:r>
      <w:r w:rsidRPr="00672353">
        <w:rPr>
          <w:lang w:val="es-ES"/>
        </w:rPr>
        <w:t>–</w:t>
      </w:r>
      <w:r w:rsidRPr="0007608D">
        <w:rPr>
          <w:lang w:val="es-ES"/>
        </w:rPr>
        <w:t>ECE/MP.EIA/SEA/2023/4</w:t>
      </w:r>
      <w:r>
        <w:rPr>
          <w:lang w:val="es-ES"/>
        </w:rPr>
        <w:t>.</w:t>
      </w:r>
    </w:p>
  </w:footnote>
  <w:footnote w:id="37">
    <w:p w14:paraId="72DCFCAF" w14:textId="13890544" w:rsidR="006A5C13" w:rsidRPr="00376DEC" w:rsidRDefault="006A5C13" w:rsidP="006A5C13">
      <w:pPr>
        <w:pStyle w:val="FootnoteText"/>
      </w:pPr>
      <w:r w:rsidRPr="003F2DCF">
        <w:rPr>
          <w:lang w:val="es-ES"/>
        </w:rPr>
        <w:tab/>
      </w:r>
      <w:r>
        <w:rPr>
          <w:rStyle w:val="FootnoteReference"/>
        </w:rPr>
        <w:footnoteRef/>
      </w:r>
      <w:r w:rsidR="00F84367">
        <w:tab/>
      </w:r>
      <w:r w:rsidRPr="00332774">
        <w:t>Available at https://unece.org/sites/default/files/2021-02/Implementation%20Committee%20structure%20functions%20procedures%20rules.e%202020.pdf</w:t>
      </w:r>
    </w:p>
  </w:footnote>
  <w:footnote w:id="38">
    <w:p w14:paraId="22D6C4E1" w14:textId="383CC781" w:rsidR="006A5C13" w:rsidRPr="00A20B0E" w:rsidRDefault="006A5C13" w:rsidP="006A5C13">
      <w:pPr>
        <w:pStyle w:val="FootnoteText"/>
        <w:rPr>
          <w:lang w:val="es-ES"/>
        </w:rPr>
      </w:pPr>
      <w:r w:rsidRPr="00A20B0E">
        <w:tab/>
      </w:r>
      <w:r>
        <w:rPr>
          <w:rStyle w:val="FootnoteReference"/>
        </w:rPr>
        <w:footnoteRef/>
      </w:r>
      <w:r w:rsidR="00F84367">
        <w:rPr>
          <w:lang w:val="es-ES"/>
        </w:rPr>
        <w:tab/>
      </w:r>
      <w:r w:rsidRPr="00A20B0E">
        <w:rPr>
          <w:lang w:val="es-ES"/>
        </w:rPr>
        <w:t>ECE/MP.EIA/IC/2017/4, para. 60.</w:t>
      </w:r>
    </w:p>
  </w:footnote>
  <w:footnote w:id="39">
    <w:p w14:paraId="244BB698" w14:textId="4113BBBB" w:rsidR="006A5C13" w:rsidRPr="00A20B0E" w:rsidRDefault="006A5C13" w:rsidP="006A5C13">
      <w:pPr>
        <w:pStyle w:val="FootnoteText"/>
        <w:rPr>
          <w:lang w:val="es-ES"/>
        </w:rPr>
      </w:pPr>
      <w:r>
        <w:rPr>
          <w:lang w:val="es-ES"/>
        </w:rPr>
        <w:tab/>
      </w:r>
      <w:r>
        <w:rPr>
          <w:rStyle w:val="FootnoteReference"/>
        </w:rPr>
        <w:footnoteRef/>
      </w:r>
      <w:r w:rsidR="00F84367">
        <w:rPr>
          <w:lang w:val="es-ES"/>
        </w:rPr>
        <w:tab/>
      </w:r>
      <w:r w:rsidRPr="00A20B0E">
        <w:rPr>
          <w:lang w:val="es-ES"/>
        </w:rPr>
        <w:t>ECE/MP.EIA/IC/2018/6, para. 9.</w:t>
      </w:r>
    </w:p>
  </w:footnote>
  <w:footnote w:id="40">
    <w:p w14:paraId="07A8AA4E" w14:textId="42426DF1" w:rsidR="006A5C13" w:rsidRPr="00A739DA" w:rsidRDefault="006A5C13" w:rsidP="006A5C13">
      <w:pPr>
        <w:pStyle w:val="FootnoteText"/>
      </w:pPr>
      <w:r w:rsidRPr="00A20B0E">
        <w:rPr>
          <w:lang w:val="es-ES"/>
        </w:rPr>
        <w:tab/>
      </w:r>
      <w:r>
        <w:rPr>
          <w:rStyle w:val="FootnoteReference"/>
        </w:rPr>
        <w:footnoteRef/>
      </w:r>
      <w:r w:rsidR="00F84367">
        <w:rPr>
          <w:lang w:val="es-ES"/>
        </w:rPr>
        <w:tab/>
      </w:r>
      <w:r w:rsidRPr="00A20B0E">
        <w:rPr>
          <w:lang w:val="es-ES"/>
        </w:rPr>
        <w:t xml:space="preserve">ECE/MP.EIA/IC/2022/7, paras. </w:t>
      </w:r>
      <w:r w:rsidRPr="00A739DA">
        <w:t>41–42.</w:t>
      </w:r>
    </w:p>
  </w:footnote>
  <w:footnote w:id="41">
    <w:p w14:paraId="6C9A37F1" w14:textId="19CB2A66" w:rsidR="006A5C13" w:rsidRPr="00434753" w:rsidRDefault="006A5C13" w:rsidP="006A5C13">
      <w:pPr>
        <w:pStyle w:val="FootnoteText"/>
      </w:pPr>
      <w:r>
        <w:tab/>
      </w:r>
      <w:r>
        <w:rPr>
          <w:rStyle w:val="FootnoteReference"/>
        </w:rPr>
        <w:footnoteRef/>
      </w:r>
      <w:r w:rsidR="00F84367">
        <w:tab/>
      </w:r>
      <w:r w:rsidRPr="00A739DA">
        <w:t>ECE/MP.EIA/IC</w:t>
      </w:r>
      <w:r>
        <w:t xml:space="preserve">/2023/8, annex I. </w:t>
      </w:r>
    </w:p>
  </w:footnote>
  <w:footnote w:id="42">
    <w:p w14:paraId="73610EEF" w14:textId="68153F9E" w:rsidR="006A5C13" w:rsidRPr="007C5CA9" w:rsidRDefault="006A5C13" w:rsidP="006A5C13">
      <w:pPr>
        <w:pStyle w:val="FootnoteText"/>
      </w:pPr>
      <w:r>
        <w:tab/>
      </w:r>
      <w:r>
        <w:rPr>
          <w:rStyle w:val="FootnoteReference"/>
        </w:rPr>
        <w:footnoteRef/>
      </w:r>
      <w:r w:rsidR="00F84367">
        <w:tab/>
      </w:r>
      <w:r w:rsidRPr="00A20B0E">
        <w:t>ECE/MP.EIA/2023/7.</w:t>
      </w:r>
    </w:p>
  </w:footnote>
  <w:footnote w:id="43">
    <w:p w14:paraId="6D86E6B9" w14:textId="762A4C7F" w:rsidR="006A5C13" w:rsidRDefault="006A5C13" w:rsidP="006A5C13">
      <w:pPr>
        <w:pStyle w:val="FootnoteText"/>
      </w:pPr>
      <w:r>
        <w:tab/>
      </w:r>
      <w:r w:rsidRPr="58E4FB36">
        <w:rPr>
          <w:rStyle w:val="FootnoteReference"/>
        </w:rPr>
        <w:footnoteRef/>
      </w:r>
      <w:r w:rsidR="00F84367">
        <w:tab/>
      </w:r>
      <w:r>
        <w:t>United Nations publication, ECE/MP.EIA/31.</w:t>
      </w:r>
    </w:p>
  </w:footnote>
  <w:footnote w:id="44">
    <w:p w14:paraId="6B4E49CE" w14:textId="12F7B634" w:rsidR="006A5C13" w:rsidRPr="00726667" w:rsidRDefault="006B61C1" w:rsidP="006B61C1">
      <w:pPr>
        <w:pStyle w:val="FootnoteText"/>
      </w:pPr>
      <w:r w:rsidRPr="00825045">
        <w:tab/>
      </w:r>
      <w:r w:rsidR="006A5C13">
        <w:rPr>
          <w:rStyle w:val="FootnoteReference"/>
        </w:rPr>
        <w:footnoteRef/>
      </w:r>
      <w:r w:rsidR="006A5C13" w:rsidRPr="00923C72">
        <w:rPr>
          <w:lang w:val="es-ES"/>
        </w:rPr>
        <w:tab/>
        <w:t>ECE/MP.EIA/30/Add.2–ECE/MP.EIA/SEA/13/Add.2,</w:t>
      </w:r>
      <w:r w:rsidR="006A5C13">
        <w:rPr>
          <w:lang w:val="es-ES"/>
        </w:rPr>
        <w:t xml:space="preserve"> </w:t>
      </w:r>
      <w:proofErr w:type="spellStart"/>
      <w:r w:rsidR="006A5C13">
        <w:rPr>
          <w:lang w:val="es-ES"/>
        </w:rPr>
        <w:t>d</w:t>
      </w:r>
      <w:r w:rsidR="006A5C13" w:rsidRPr="00923C72">
        <w:rPr>
          <w:lang w:val="es-ES"/>
        </w:rPr>
        <w:t>ecision</w:t>
      </w:r>
      <w:proofErr w:type="spellEnd"/>
      <w:r w:rsidR="006A5C13" w:rsidRPr="00923C72">
        <w:rPr>
          <w:lang w:val="es-ES"/>
        </w:rPr>
        <w:t xml:space="preserve"> VIII/6, para. </w:t>
      </w:r>
      <w:r w:rsidR="006A5C13" w:rsidRPr="00726667">
        <w:t>5.</w:t>
      </w:r>
    </w:p>
  </w:footnote>
  <w:footnote w:id="45">
    <w:p w14:paraId="357254C1" w14:textId="77777777" w:rsidR="006A5C13" w:rsidRPr="00614C96" w:rsidRDefault="006A5C13" w:rsidP="006A5C13">
      <w:pPr>
        <w:pStyle w:val="FootnoteText"/>
      </w:pPr>
      <w:r>
        <w:tab/>
      </w:r>
      <w:r>
        <w:rPr>
          <w:rStyle w:val="FootnoteReference"/>
        </w:rPr>
        <w:footnoteRef/>
      </w:r>
      <w:r>
        <w:tab/>
        <w:t xml:space="preserve">See </w:t>
      </w:r>
      <w:r w:rsidRPr="007F7494">
        <w:t>Letter from the German Federal States of North Rhine-</w:t>
      </w:r>
      <w:proofErr w:type="spellStart"/>
      <w:r w:rsidRPr="007F7494">
        <w:t>Westfalia</w:t>
      </w:r>
      <w:proofErr w:type="spellEnd"/>
      <w:r w:rsidRPr="007F7494">
        <w:t xml:space="preserve"> and Rhineland-Palatinate, dated 8 March 2016, received on 14 March 2016</w:t>
      </w:r>
      <w:r>
        <w:t xml:space="preserve">. </w:t>
      </w:r>
    </w:p>
  </w:footnote>
  <w:footnote w:id="46">
    <w:p w14:paraId="7E2A3FC2" w14:textId="4A8AD6D9" w:rsidR="006A5C13" w:rsidRPr="00483D2F" w:rsidRDefault="006B61C1" w:rsidP="006A5C13">
      <w:pPr>
        <w:pStyle w:val="FootnoteText"/>
        <w:rPr>
          <w:lang w:val="es-ES"/>
        </w:rPr>
      </w:pPr>
      <w:r>
        <w:tab/>
      </w:r>
      <w:r w:rsidR="006A5C13">
        <w:rPr>
          <w:rStyle w:val="FootnoteReference"/>
        </w:rPr>
        <w:footnoteRef/>
      </w:r>
      <w:r>
        <w:tab/>
      </w:r>
      <w:r w:rsidR="006A5C13" w:rsidRPr="00483D2F">
        <w:rPr>
          <w:i/>
          <w:iCs/>
        </w:rPr>
        <w:t>Inter-</w:t>
      </w:r>
      <w:proofErr w:type="spellStart"/>
      <w:r w:rsidR="006A5C13" w:rsidRPr="00483D2F">
        <w:rPr>
          <w:i/>
          <w:iCs/>
        </w:rPr>
        <w:t>Environnement</w:t>
      </w:r>
      <w:proofErr w:type="spellEnd"/>
      <w:r w:rsidR="006A5C13" w:rsidRPr="00483D2F">
        <w:rPr>
          <w:i/>
          <w:iCs/>
        </w:rPr>
        <w:t xml:space="preserve"> </w:t>
      </w:r>
      <w:proofErr w:type="spellStart"/>
      <w:r w:rsidR="006A5C13" w:rsidRPr="00483D2F">
        <w:rPr>
          <w:i/>
          <w:iCs/>
        </w:rPr>
        <w:t>Wallonie</w:t>
      </w:r>
      <w:proofErr w:type="spellEnd"/>
      <w:r w:rsidR="006A5C13" w:rsidRPr="00483D2F">
        <w:rPr>
          <w:i/>
          <w:iCs/>
        </w:rPr>
        <w:t xml:space="preserve"> ASBL and Bond </w:t>
      </w:r>
      <w:proofErr w:type="spellStart"/>
      <w:r w:rsidR="006A5C13" w:rsidRPr="00483D2F">
        <w:rPr>
          <w:i/>
          <w:iCs/>
        </w:rPr>
        <w:t>Beter</w:t>
      </w:r>
      <w:proofErr w:type="spellEnd"/>
      <w:r w:rsidR="006A5C13" w:rsidRPr="00483D2F">
        <w:rPr>
          <w:i/>
          <w:iCs/>
        </w:rPr>
        <w:t xml:space="preserve"> </w:t>
      </w:r>
      <w:proofErr w:type="spellStart"/>
      <w:r w:rsidR="006A5C13" w:rsidRPr="00483D2F">
        <w:rPr>
          <w:i/>
          <w:iCs/>
        </w:rPr>
        <w:t>Leefmilieu</w:t>
      </w:r>
      <w:proofErr w:type="spellEnd"/>
      <w:r w:rsidR="006A5C13" w:rsidRPr="00483D2F">
        <w:rPr>
          <w:i/>
          <w:iCs/>
        </w:rPr>
        <w:t xml:space="preserve"> </w:t>
      </w:r>
      <w:proofErr w:type="spellStart"/>
      <w:r w:rsidR="006A5C13" w:rsidRPr="00483D2F">
        <w:rPr>
          <w:i/>
          <w:iCs/>
        </w:rPr>
        <w:t>Vlaanderen</w:t>
      </w:r>
      <w:proofErr w:type="spellEnd"/>
      <w:r w:rsidR="006A5C13" w:rsidRPr="00483D2F">
        <w:rPr>
          <w:i/>
          <w:iCs/>
        </w:rPr>
        <w:t xml:space="preserve"> ASBL v. Council of Ministers</w:t>
      </w:r>
      <w:r w:rsidR="006A5C13">
        <w:t xml:space="preserve">, Case No. </w:t>
      </w:r>
      <w:r w:rsidR="006A5C13" w:rsidRPr="00483D2F">
        <w:rPr>
          <w:lang w:val="es-ES"/>
        </w:rPr>
        <w:t xml:space="preserve">C-411/17. </w:t>
      </w:r>
    </w:p>
  </w:footnote>
  <w:footnote w:id="47">
    <w:p w14:paraId="35DCF8E7" w14:textId="444D2DA8" w:rsidR="006A5C13" w:rsidRPr="00483D2F" w:rsidRDefault="006B61C1" w:rsidP="006A5C13">
      <w:pPr>
        <w:pStyle w:val="FootnoteText"/>
        <w:rPr>
          <w:lang w:val="es-ES"/>
        </w:rPr>
      </w:pPr>
      <w:r>
        <w:rPr>
          <w:lang w:val="es-ES"/>
        </w:rPr>
        <w:tab/>
      </w:r>
      <w:r w:rsidR="006A5C13">
        <w:rPr>
          <w:rStyle w:val="FootnoteReference"/>
        </w:rPr>
        <w:footnoteRef/>
      </w:r>
      <w:r>
        <w:rPr>
          <w:lang w:val="es-ES"/>
        </w:rPr>
        <w:tab/>
      </w:r>
      <w:r w:rsidR="006A5C13" w:rsidRPr="00483D2F">
        <w:rPr>
          <w:lang w:val="es-ES"/>
        </w:rPr>
        <w:t>ECE/MP.EIA/IC/2022/2, para</w:t>
      </w:r>
      <w:r w:rsidR="006A5C13">
        <w:rPr>
          <w:lang w:val="es-ES"/>
        </w:rPr>
        <w:t xml:space="preserve">. </w:t>
      </w:r>
      <w:r w:rsidR="006A5C13" w:rsidRPr="00D50C1B">
        <w:rPr>
          <w:lang w:val="es-ES"/>
        </w:rPr>
        <w:t>41.</w:t>
      </w:r>
    </w:p>
  </w:footnote>
  <w:footnote w:id="48">
    <w:p w14:paraId="79458078" w14:textId="27CE0198" w:rsidR="006A5C13" w:rsidRPr="00483D2F" w:rsidRDefault="006B61C1" w:rsidP="006A5C13">
      <w:pPr>
        <w:pStyle w:val="FootnoteText"/>
        <w:rPr>
          <w:lang w:val="es-ES"/>
        </w:rPr>
      </w:pPr>
      <w:r>
        <w:rPr>
          <w:lang w:val="es-ES"/>
        </w:rPr>
        <w:tab/>
      </w:r>
      <w:r w:rsidR="006A5C13">
        <w:rPr>
          <w:rStyle w:val="FootnoteReference"/>
        </w:rPr>
        <w:footnoteRef/>
      </w:r>
      <w:r>
        <w:rPr>
          <w:lang w:val="es-ES"/>
        </w:rPr>
        <w:tab/>
      </w:r>
      <w:r w:rsidR="006A5C13" w:rsidRPr="00483D2F">
        <w:rPr>
          <w:lang w:val="es-ES"/>
        </w:rPr>
        <w:t>ECE/MP.EIA/IC/2022/7, para</w:t>
      </w:r>
      <w:r w:rsidR="006A5C13">
        <w:rPr>
          <w:lang w:val="es-ES"/>
        </w:rPr>
        <w:t>. 34.</w:t>
      </w:r>
    </w:p>
  </w:footnote>
  <w:footnote w:id="49">
    <w:p w14:paraId="7A5E7187" w14:textId="4841EEB6" w:rsidR="006A5C13" w:rsidRPr="0041240D" w:rsidRDefault="006A5C13" w:rsidP="006A5C13">
      <w:pPr>
        <w:pStyle w:val="FootnoteText"/>
        <w:rPr>
          <w:lang w:val="es-ES"/>
        </w:rPr>
      </w:pPr>
      <w:r w:rsidRPr="00483D2F">
        <w:rPr>
          <w:lang w:val="es-ES"/>
        </w:rPr>
        <w:tab/>
      </w:r>
      <w:r>
        <w:rPr>
          <w:rStyle w:val="FootnoteReference"/>
        </w:rPr>
        <w:footnoteRef/>
      </w:r>
      <w:r w:rsidR="006B61C1">
        <w:rPr>
          <w:lang w:val="es-ES"/>
        </w:rPr>
        <w:tab/>
      </w:r>
      <w:r w:rsidRPr="0041240D">
        <w:rPr>
          <w:lang w:val="es-ES"/>
        </w:rPr>
        <w:t>ECE/MP.EIA/IC/2023/10, para</w:t>
      </w:r>
      <w:r>
        <w:rPr>
          <w:lang w:val="es-ES"/>
        </w:rPr>
        <w:t xml:space="preserve">. 59. </w:t>
      </w:r>
    </w:p>
  </w:footnote>
  <w:footnote w:id="50">
    <w:p w14:paraId="143644A7" w14:textId="25331F96" w:rsidR="006A5C13" w:rsidRPr="00975343" w:rsidRDefault="006A5C13" w:rsidP="006A5C13">
      <w:pPr>
        <w:pStyle w:val="FootnoteText"/>
        <w:rPr>
          <w:lang w:val="es-ES"/>
        </w:rPr>
      </w:pPr>
      <w:r>
        <w:rPr>
          <w:lang w:val="es-ES"/>
        </w:rPr>
        <w:tab/>
      </w:r>
      <w:r>
        <w:rPr>
          <w:rStyle w:val="FootnoteReference"/>
        </w:rPr>
        <w:footnoteRef/>
      </w:r>
      <w:r w:rsidR="006B61C1">
        <w:rPr>
          <w:lang w:val="es-ES"/>
        </w:rPr>
        <w:tab/>
      </w:r>
      <w:r>
        <w:rPr>
          <w:lang w:val="es-ES"/>
        </w:rPr>
        <w:t>Ibid.</w:t>
      </w:r>
      <w:r w:rsidRPr="0041240D">
        <w:rPr>
          <w:lang w:val="es-ES"/>
        </w:rPr>
        <w:t>, para</w:t>
      </w:r>
      <w:r>
        <w:rPr>
          <w:lang w:val="es-ES"/>
        </w:rPr>
        <w:t xml:space="preserve">s. </w:t>
      </w:r>
      <w:r w:rsidRPr="00975343">
        <w:rPr>
          <w:lang w:val="es-ES"/>
        </w:rPr>
        <w:t xml:space="preserve">41 and 60. </w:t>
      </w:r>
    </w:p>
  </w:footnote>
  <w:footnote w:id="51">
    <w:p w14:paraId="00F470D8" w14:textId="78460045" w:rsidR="006A5C13" w:rsidRPr="00A66542" w:rsidRDefault="006A5C13" w:rsidP="006A5C13">
      <w:pPr>
        <w:pStyle w:val="FootnoteText"/>
        <w:rPr>
          <w:lang w:val="es-ES"/>
        </w:rPr>
      </w:pPr>
      <w:r w:rsidRPr="00975343">
        <w:rPr>
          <w:lang w:val="es-ES"/>
        </w:rPr>
        <w:tab/>
      </w:r>
      <w:r>
        <w:rPr>
          <w:rStyle w:val="FootnoteReference"/>
        </w:rPr>
        <w:footnoteRef/>
      </w:r>
      <w:r w:rsidR="006B61C1">
        <w:rPr>
          <w:lang w:val="es-ES"/>
        </w:rPr>
        <w:tab/>
      </w:r>
      <w:r w:rsidRPr="00975343">
        <w:rPr>
          <w:lang w:val="es-ES"/>
        </w:rPr>
        <w:t xml:space="preserve">Ibid., para. </w:t>
      </w:r>
      <w:r w:rsidRPr="00A66542">
        <w:rPr>
          <w:lang w:val="es-ES"/>
        </w:rPr>
        <w:t xml:space="preserve">61. </w:t>
      </w:r>
    </w:p>
  </w:footnote>
  <w:footnote w:id="52">
    <w:p w14:paraId="29CA6D76" w14:textId="4571BF14" w:rsidR="00860E68" w:rsidRPr="00A20B0E" w:rsidRDefault="00860E68" w:rsidP="00860E68">
      <w:pPr>
        <w:pStyle w:val="FootnoteText"/>
        <w:rPr>
          <w:lang w:val="es-ES"/>
        </w:rPr>
      </w:pPr>
      <w:r>
        <w:rPr>
          <w:lang w:val="es-ES"/>
        </w:rPr>
        <w:tab/>
      </w:r>
      <w:r>
        <w:rPr>
          <w:rStyle w:val="FootnoteReference"/>
        </w:rPr>
        <w:footnoteRef/>
      </w:r>
      <w:r w:rsidR="006B61C1">
        <w:rPr>
          <w:lang w:val="es-ES"/>
        </w:rPr>
        <w:tab/>
      </w:r>
      <w:r w:rsidRPr="00A20B0E">
        <w:rPr>
          <w:lang w:val="es-ES"/>
        </w:rPr>
        <w:t xml:space="preserve">ECE/MP.EIA/2023/7. </w:t>
      </w:r>
    </w:p>
  </w:footnote>
  <w:footnote w:id="53">
    <w:p w14:paraId="55D61E69" w14:textId="04B6FACE" w:rsidR="00860E68" w:rsidRPr="00A66542" w:rsidRDefault="00860E68" w:rsidP="00860E68">
      <w:pPr>
        <w:pStyle w:val="FootnoteText"/>
        <w:rPr>
          <w:lang w:val="es-ES"/>
        </w:rPr>
      </w:pPr>
      <w:r w:rsidRPr="00A66542">
        <w:rPr>
          <w:lang w:val="es-ES"/>
        </w:rPr>
        <w:tab/>
      </w:r>
      <w:r>
        <w:rPr>
          <w:rStyle w:val="FootnoteReference"/>
        </w:rPr>
        <w:footnoteRef/>
      </w:r>
      <w:r w:rsidR="006B61C1">
        <w:rPr>
          <w:lang w:val="es-ES"/>
        </w:rPr>
        <w:tab/>
      </w:r>
      <w:r w:rsidRPr="00A66542">
        <w:rPr>
          <w:lang w:val="es-ES"/>
        </w:rPr>
        <w:t>ECE/MP.EIA/IC/2023/6</w:t>
      </w:r>
      <w:r>
        <w:rPr>
          <w:lang w:val="es-ES"/>
        </w:rPr>
        <w:t>, para. 74.</w:t>
      </w:r>
    </w:p>
  </w:footnote>
  <w:footnote w:id="54">
    <w:p w14:paraId="1259741F" w14:textId="6576DC86" w:rsidR="00860E68" w:rsidRPr="00A20B0E" w:rsidRDefault="00860E68" w:rsidP="00860E68">
      <w:pPr>
        <w:pStyle w:val="FootnoteText"/>
        <w:rPr>
          <w:lang w:val="es-ES"/>
        </w:rPr>
      </w:pPr>
      <w:r>
        <w:rPr>
          <w:lang w:val="es-ES"/>
        </w:rPr>
        <w:tab/>
      </w:r>
      <w:r>
        <w:rPr>
          <w:rStyle w:val="FootnoteReference"/>
        </w:rPr>
        <w:footnoteRef/>
      </w:r>
      <w:r w:rsidR="00146205">
        <w:rPr>
          <w:lang w:val="es-ES"/>
        </w:rPr>
        <w:tab/>
      </w:r>
      <w:r w:rsidRPr="00A20B0E">
        <w:rPr>
          <w:lang w:val="es-ES"/>
        </w:rPr>
        <w:t xml:space="preserve">ECE/MP.EIA/2023/7. </w:t>
      </w:r>
    </w:p>
  </w:footnote>
  <w:footnote w:id="55">
    <w:p w14:paraId="0CC871CD" w14:textId="4E9C377F" w:rsidR="00860E68" w:rsidRPr="00FA54E2" w:rsidRDefault="00146205" w:rsidP="00860E68">
      <w:pPr>
        <w:pStyle w:val="FootnoteText"/>
        <w:rPr>
          <w:lang w:val="es-ES"/>
        </w:rPr>
      </w:pPr>
      <w:r>
        <w:rPr>
          <w:lang w:val="es-ES"/>
        </w:rPr>
        <w:tab/>
      </w:r>
      <w:r w:rsidR="00860E68">
        <w:rPr>
          <w:rStyle w:val="FootnoteReference"/>
        </w:rPr>
        <w:footnoteRef/>
      </w:r>
      <w:r>
        <w:rPr>
          <w:lang w:val="es-ES"/>
        </w:rPr>
        <w:tab/>
      </w:r>
      <w:r w:rsidR="00860E68" w:rsidRPr="00FA54E2">
        <w:rPr>
          <w:lang w:val="es-ES"/>
        </w:rPr>
        <w:t xml:space="preserve">ECE/MP.EIA/IC/2022/4, para. </w:t>
      </w:r>
      <w:r w:rsidR="00860E68">
        <w:rPr>
          <w:lang w:val="es-ES"/>
        </w:rPr>
        <w:t>25.</w:t>
      </w:r>
    </w:p>
  </w:footnote>
  <w:footnote w:id="56">
    <w:p w14:paraId="00C28338" w14:textId="5CF7C0E6" w:rsidR="00860E68" w:rsidRPr="00FA54E2" w:rsidRDefault="00146205" w:rsidP="00860E68">
      <w:pPr>
        <w:pStyle w:val="FootnoteText"/>
        <w:rPr>
          <w:lang w:val="es-ES"/>
        </w:rPr>
      </w:pPr>
      <w:r>
        <w:rPr>
          <w:lang w:val="es-ES"/>
        </w:rPr>
        <w:tab/>
      </w:r>
      <w:r w:rsidR="00860E68">
        <w:rPr>
          <w:rStyle w:val="FootnoteReference"/>
        </w:rPr>
        <w:footnoteRef/>
      </w:r>
      <w:r>
        <w:rPr>
          <w:lang w:val="es-ES"/>
        </w:rPr>
        <w:tab/>
      </w:r>
      <w:r w:rsidR="00860E68" w:rsidRPr="00FA54E2">
        <w:rPr>
          <w:lang w:val="es-ES"/>
        </w:rPr>
        <w:t>ECE/MP.EIA/IC/2022/7, para</w:t>
      </w:r>
      <w:r w:rsidR="00860E68">
        <w:rPr>
          <w:lang w:val="es-ES"/>
        </w:rPr>
        <w:t>. 38.</w:t>
      </w:r>
    </w:p>
  </w:footnote>
  <w:footnote w:id="57">
    <w:p w14:paraId="4130A23B" w14:textId="11BE3CBA" w:rsidR="00860E68" w:rsidRPr="00A66542" w:rsidRDefault="00860E68" w:rsidP="00860E68">
      <w:pPr>
        <w:pStyle w:val="FootnoteText"/>
        <w:rPr>
          <w:lang w:val="es-ES"/>
        </w:rPr>
      </w:pPr>
      <w:r w:rsidRPr="00FB4AC6">
        <w:rPr>
          <w:lang w:val="es-ES"/>
        </w:rPr>
        <w:tab/>
      </w:r>
      <w:r>
        <w:rPr>
          <w:rStyle w:val="FootnoteReference"/>
        </w:rPr>
        <w:footnoteRef/>
      </w:r>
      <w:r w:rsidR="00C6238A">
        <w:rPr>
          <w:lang w:val="es-ES"/>
        </w:rPr>
        <w:tab/>
      </w:r>
      <w:r w:rsidRPr="003A6644">
        <w:rPr>
          <w:lang w:val="es-ES"/>
        </w:rPr>
        <w:t>ECE/MP.EIA/IC/2023/11, para</w:t>
      </w:r>
      <w:r>
        <w:rPr>
          <w:lang w:val="es-ES"/>
        </w:rPr>
        <w:t>. 39.</w:t>
      </w:r>
    </w:p>
  </w:footnote>
  <w:footnote w:id="58">
    <w:p w14:paraId="01CC95B1" w14:textId="26A57A3C" w:rsidR="00860E68" w:rsidRPr="0045354C" w:rsidRDefault="00860E68" w:rsidP="00860E68">
      <w:pPr>
        <w:pStyle w:val="FootnoteText"/>
        <w:rPr>
          <w:lang w:val="es-ES"/>
        </w:rPr>
      </w:pPr>
      <w:r>
        <w:rPr>
          <w:lang w:val="es-ES"/>
        </w:rPr>
        <w:tab/>
      </w:r>
      <w:r>
        <w:rPr>
          <w:rStyle w:val="FootnoteReference"/>
        </w:rPr>
        <w:footnoteRef/>
      </w:r>
      <w:r w:rsidR="00C6238A">
        <w:rPr>
          <w:lang w:val="es-ES"/>
        </w:rPr>
        <w:tab/>
      </w:r>
      <w:r>
        <w:rPr>
          <w:lang w:val="es-ES"/>
        </w:rPr>
        <w:t xml:space="preserve">Ibid., para. 49. </w:t>
      </w:r>
    </w:p>
  </w:footnote>
  <w:footnote w:id="59">
    <w:p w14:paraId="20976797" w14:textId="379E73AA" w:rsidR="00860E68" w:rsidRPr="00975343" w:rsidRDefault="00860E68" w:rsidP="00860E68">
      <w:pPr>
        <w:pStyle w:val="FootnoteText"/>
        <w:rPr>
          <w:lang w:val="es-ES"/>
        </w:rPr>
      </w:pPr>
      <w:r w:rsidRPr="00975343">
        <w:rPr>
          <w:lang w:val="es-ES"/>
        </w:rPr>
        <w:tab/>
      </w:r>
      <w:r>
        <w:rPr>
          <w:rStyle w:val="FootnoteReference"/>
        </w:rPr>
        <w:footnoteRef/>
      </w:r>
      <w:r w:rsidR="00C6238A">
        <w:rPr>
          <w:lang w:val="es-ES"/>
        </w:rPr>
        <w:tab/>
      </w:r>
      <w:r>
        <w:rPr>
          <w:lang w:val="es-ES"/>
        </w:rPr>
        <w:t>Ibid., paras. 50</w:t>
      </w:r>
      <w:r w:rsidRPr="00FA54E2">
        <w:rPr>
          <w:lang w:val="es-ES"/>
        </w:rPr>
        <w:t>–</w:t>
      </w:r>
      <w:r>
        <w:rPr>
          <w:lang w:val="es-ES"/>
        </w:rPr>
        <w:t>59.</w:t>
      </w:r>
    </w:p>
  </w:footnote>
  <w:footnote w:id="60">
    <w:p w14:paraId="6B6DDFDA" w14:textId="1C3B2B0C" w:rsidR="00860E68" w:rsidRPr="00A20B0E" w:rsidRDefault="00860E68" w:rsidP="00860E68">
      <w:pPr>
        <w:pStyle w:val="FootnoteText"/>
        <w:rPr>
          <w:lang w:val="es-ES"/>
        </w:rPr>
      </w:pPr>
      <w:r w:rsidRPr="00A20B0E">
        <w:rPr>
          <w:lang w:val="es-ES"/>
        </w:rPr>
        <w:tab/>
      </w:r>
      <w:r>
        <w:rPr>
          <w:rStyle w:val="FootnoteReference"/>
        </w:rPr>
        <w:footnoteRef/>
      </w:r>
      <w:r w:rsidR="00C6238A">
        <w:rPr>
          <w:lang w:val="es-ES"/>
        </w:rPr>
        <w:tab/>
      </w:r>
      <w:r w:rsidRPr="00A20B0E">
        <w:rPr>
          <w:lang w:val="es-ES"/>
        </w:rPr>
        <w:t xml:space="preserve">ECE/MP.EIA/2023/7. </w:t>
      </w:r>
    </w:p>
  </w:footnote>
  <w:footnote w:id="61">
    <w:p w14:paraId="7131906C" w14:textId="77777777" w:rsidR="00860E68" w:rsidRPr="0052142B" w:rsidRDefault="00860E68" w:rsidP="00860E68">
      <w:pPr>
        <w:pStyle w:val="FootnoteText"/>
      </w:pPr>
      <w:r w:rsidRPr="00C11E7D">
        <w:rPr>
          <w:lang w:val="es-ES_tradnl"/>
        </w:rPr>
        <w:tab/>
      </w:r>
      <w:r>
        <w:rPr>
          <w:rStyle w:val="FootnoteReference"/>
        </w:rPr>
        <w:footnoteRef/>
      </w:r>
      <w:r>
        <w:t xml:space="preserve"> </w:t>
      </w:r>
      <w:r>
        <w:tab/>
        <w:t xml:space="preserve">For more information about the units see </w:t>
      </w:r>
      <w:r w:rsidRPr="0052142B">
        <w:rPr>
          <w:rFonts w:eastAsia="Arial Unicode MS" w:cs="Arial Unicode MS"/>
        </w:rPr>
        <w:t>ECE/MP.EIA/2020/4</w:t>
      </w:r>
      <w:r w:rsidRPr="00EA225C">
        <w:rPr>
          <w:rFonts w:eastAsia="Arial Unicode MS" w:cs="Arial Unicode MS"/>
        </w:rPr>
        <w:t>−</w:t>
      </w:r>
      <w:r w:rsidRPr="0052142B">
        <w:rPr>
          <w:rFonts w:eastAsia="Arial Unicode MS" w:cs="Arial Unicode MS"/>
        </w:rPr>
        <w:t>ECE/MP.EIA/SEA/2020/4</w:t>
      </w:r>
      <w:r>
        <w:rPr>
          <w:rFonts w:eastAsia="Arial Unicode MS" w:cs="Arial Unicode MS"/>
        </w:rPr>
        <w:t>, table 4.</w:t>
      </w:r>
    </w:p>
  </w:footnote>
  <w:footnote w:id="62">
    <w:p w14:paraId="157E8489" w14:textId="77777777" w:rsidR="00860E68" w:rsidRPr="002B0D8F" w:rsidRDefault="00860E68" w:rsidP="00860E68">
      <w:pPr>
        <w:pStyle w:val="FootnoteText"/>
        <w:rPr>
          <w:lang w:val="pt-PT"/>
        </w:rPr>
      </w:pPr>
      <w:r w:rsidRPr="003446F2">
        <w:tab/>
      </w:r>
      <w:r>
        <w:rPr>
          <w:rStyle w:val="FootnoteReference"/>
        </w:rPr>
        <w:footnoteRef/>
      </w:r>
      <w:r w:rsidRPr="008557FF">
        <w:rPr>
          <w:lang w:val="pt-PT"/>
        </w:rPr>
        <w:tab/>
      </w:r>
      <w:r w:rsidRPr="008557FF">
        <w:rPr>
          <w:lang w:val="pt-PT"/>
        </w:rPr>
        <w:t xml:space="preserve">ECE/MP.EIA/IC/2022/2, paras. </w:t>
      </w:r>
      <w:r w:rsidRPr="002B0D8F">
        <w:rPr>
          <w:lang w:val="pt-PT"/>
        </w:rPr>
        <w:t>45–46.</w:t>
      </w:r>
    </w:p>
  </w:footnote>
  <w:footnote w:id="63">
    <w:p w14:paraId="31AF34A4" w14:textId="246DCA0D" w:rsidR="00860E68" w:rsidRPr="005F43E3" w:rsidRDefault="00860E68" w:rsidP="00860E68">
      <w:pPr>
        <w:pStyle w:val="FootnoteText"/>
        <w:rPr>
          <w:lang w:val="es-ES"/>
        </w:rPr>
      </w:pPr>
      <w:r w:rsidRPr="00A20B0E">
        <w:rPr>
          <w:lang w:val="es-ES"/>
        </w:rPr>
        <w:tab/>
      </w:r>
      <w:r>
        <w:rPr>
          <w:rStyle w:val="FootnoteReference"/>
        </w:rPr>
        <w:footnoteRef/>
      </w:r>
      <w:r w:rsidR="00440E30">
        <w:rPr>
          <w:lang w:val="es-ES"/>
        </w:rPr>
        <w:tab/>
      </w:r>
      <w:r w:rsidRPr="005F43E3">
        <w:rPr>
          <w:lang w:val="es-ES"/>
        </w:rPr>
        <w:t xml:space="preserve">ECE/MP.EIA/IC/2023/8, paras. 49–69. </w:t>
      </w:r>
    </w:p>
  </w:footnote>
  <w:footnote w:id="64">
    <w:p w14:paraId="29834C40" w14:textId="58E8CB58" w:rsidR="00860E68" w:rsidRPr="00B46856" w:rsidRDefault="00860E68" w:rsidP="00860E68">
      <w:pPr>
        <w:pStyle w:val="FootnoteText"/>
        <w:rPr>
          <w:lang w:val="es-ES"/>
        </w:rPr>
      </w:pPr>
      <w:r w:rsidRPr="002B0D8F">
        <w:rPr>
          <w:lang w:val="pt-PT"/>
        </w:rPr>
        <w:tab/>
      </w:r>
      <w:r>
        <w:rPr>
          <w:rStyle w:val="FootnoteReference"/>
        </w:rPr>
        <w:footnoteRef/>
      </w:r>
      <w:r w:rsidR="00440E30">
        <w:rPr>
          <w:lang w:val="es-ES"/>
        </w:rPr>
        <w:tab/>
      </w:r>
      <w:r>
        <w:rPr>
          <w:lang w:val="es-ES"/>
        </w:rPr>
        <w:t>Ibid.</w:t>
      </w:r>
      <w:r w:rsidRPr="00B46856">
        <w:rPr>
          <w:lang w:val="es-ES"/>
        </w:rPr>
        <w:t>, para</w:t>
      </w:r>
      <w:r>
        <w:rPr>
          <w:lang w:val="es-ES"/>
        </w:rPr>
        <w:t>s. 27</w:t>
      </w:r>
      <w:r w:rsidRPr="005F43E3">
        <w:rPr>
          <w:lang w:val="es-ES"/>
        </w:rPr>
        <w:t>–</w:t>
      </w:r>
      <w:r>
        <w:rPr>
          <w:lang w:val="es-ES"/>
        </w:rPr>
        <w:t xml:space="preserve">29. </w:t>
      </w:r>
    </w:p>
  </w:footnote>
  <w:footnote w:id="65">
    <w:p w14:paraId="2D10F078" w14:textId="54B43209" w:rsidR="00860E68" w:rsidRPr="00D3727D" w:rsidRDefault="00440E30" w:rsidP="00440E30">
      <w:pPr>
        <w:pStyle w:val="FootnoteText"/>
        <w:rPr>
          <w:lang w:val="es-ES"/>
        </w:rPr>
      </w:pPr>
      <w:r>
        <w:rPr>
          <w:lang w:val="es-ES"/>
        </w:rPr>
        <w:tab/>
      </w:r>
      <w:r w:rsidR="00860E68">
        <w:rPr>
          <w:rStyle w:val="FootnoteReference"/>
        </w:rPr>
        <w:footnoteRef/>
      </w:r>
      <w:r>
        <w:rPr>
          <w:lang w:val="es-ES"/>
        </w:rPr>
        <w:tab/>
      </w:r>
      <w:r w:rsidR="00860E68" w:rsidRPr="00EC3280">
        <w:rPr>
          <w:lang w:val="es-ES"/>
        </w:rPr>
        <w:t>ECE/MP.EIA/IC/2014/5</w:t>
      </w:r>
      <w:r w:rsidR="00860E68">
        <w:rPr>
          <w:lang w:val="es-ES"/>
        </w:rPr>
        <w:t>, para. 10.</w:t>
      </w:r>
    </w:p>
  </w:footnote>
  <w:footnote w:id="66">
    <w:p w14:paraId="7DE5EE6D" w14:textId="1942FA41" w:rsidR="00860E68" w:rsidRPr="001767D4" w:rsidRDefault="00440E30" w:rsidP="00860E68">
      <w:pPr>
        <w:pStyle w:val="FootnoteText"/>
        <w:rPr>
          <w:lang w:val="es-ES"/>
        </w:rPr>
      </w:pPr>
      <w:r>
        <w:rPr>
          <w:lang w:val="es-ES"/>
        </w:rPr>
        <w:tab/>
      </w:r>
      <w:r w:rsidR="00860E68">
        <w:rPr>
          <w:rStyle w:val="FootnoteReference"/>
        </w:rPr>
        <w:footnoteRef/>
      </w:r>
      <w:r>
        <w:rPr>
          <w:lang w:val="es-ES"/>
        </w:rPr>
        <w:tab/>
      </w:r>
      <w:r w:rsidR="00860E68" w:rsidRPr="001767D4">
        <w:rPr>
          <w:lang w:val="es-ES"/>
        </w:rPr>
        <w:t>ECE/MP.EIA/IC/2019/6, para</w:t>
      </w:r>
      <w:r w:rsidR="00860E68">
        <w:rPr>
          <w:lang w:val="es-ES"/>
        </w:rPr>
        <w:t>. 97.</w:t>
      </w:r>
    </w:p>
  </w:footnote>
  <w:footnote w:id="67">
    <w:p w14:paraId="78F8CCB2" w14:textId="187CAAD0" w:rsidR="00860E68" w:rsidRPr="00720205" w:rsidRDefault="00860E68" w:rsidP="00860E68">
      <w:pPr>
        <w:pStyle w:val="FootnoteText"/>
        <w:rPr>
          <w:lang w:val="es-ES"/>
        </w:rPr>
      </w:pPr>
      <w:r w:rsidRPr="00B46856">
        <w:rPr>
          <w:lang w:val="es-ES"/>
        </w:rPr>
        <w:tab/>
      </w:r>
      <w:r>
        <w:rPr>
          <w:rStyle w:val="FootnoteReference"/>
        </w:rPr>
        <w:footnoteRef/>
      </w:r>
      <w:r w:rsidR="00917B16">
        <w:rPr>
          <w:lang w:val="es-ES"/>
        </w:rPr>
        <w:tab/>
      </w:r>
      <w:r w:rsidRPr="00720205">
        <w:rPr>
          <w:lang w:val="es-ES"/>
        </w:rPr>
        <w:t>ECE/MP.EIA/IC/2022/5</w:t>
      </w:r>
      <w:r>
        <w:rPr>
          <w:lang w:val="es-ES"/>
        </w:rPr>
        <w:t>.</w:t>
      </w:r>
    </w:p>
  </w:footnote>
  <w:footnote w:id="68">
    <w:p w14:paraId="7BD1C7AA" w14:textId="6187CE3F" w:rsidR="00860E68" w:rsidRPr="007C5CA9" w:rsidRDefault="00860E68" w:rsidP="00860E68">
      <w:pPr>
        <w:pStyle w:val="FootnoteText"/>
        <w:rPr>
          <w:lang w:val="es-ES"/>
        </w:rPr>
      </w:pPr>
      <w:r>
        <w:rPr>
          <w:lang w:val="es-ES"/>
        </w:rPr>
        <w:tab/>
      </w:r>
      <w:r>
        <w:rPr>
          <w:rStyle w:val="FootnoteReference"/>
        </w:rPr>
        <w:footnoteRef/>
      </w:r>
      <w:r w:rsidR="00917B16">
        <w:rPr>
          <w:lang w:val="es-ES"/>
        </w:rPr>
        <w:tab/>
      </w:r>
      <w:r w:rsidRPr="007C5CA9">
        <w:rPr>
          <w:lang w:val="es-ES"/>
        </w:rPr>
        <w:t>ECE/MP.EIA/SEA/2023/7.</w:t>
      </w:r>
    </w:p>
  </w:footnote>
  <w:footnote w:id="69">
    <w:p w14:paraId="711CAA81" w14:textId="757EA9FD" w:rsidR="006E59E1" w:rsidRPr="007D4AAC" w:rsidRDefault="00C8426D" w:rsidP="006E59E1">
      <w:pPr>
        <w:pStyle w:val="FootnoteText"/>
        <w:rPr>
          <w:lang w:val="es-ES"/>
        </w:rPr>
      </w:pPr>
      <w:r>
        <w:rPr>
          <w:lang w:val="es-ES"/>
        </w:rPr>
        <w:tab/>
      </w:r>
      <w:r w:rsidR="006E59E1">
        <w:rPr>
          <w:rStyle w:val="FootnoteReference"/>
        </w:rPr>
        <w:footnoteRef/>
      </w:r>
      <w:r>
        <w:rPr>
          <w:lang w:val="es-ES"/>
        </w:rPr>
        <w:tab/>
      </w:r>
      <w:r w:rsidR="006E59E1" w:rsidRPr="007D4AAC">
        <w:rPr>
          <w:lang w:val="es-ES"/>
        </w:rPr>
        <w:t xml:space="preserve">ECE/MP.EIA/IC/2021/4, para. </w:t>
      </w:r>
      <w:r w:rsidR="006E59E1">
        <w:rPr>
          <w:lang w:val="es-ES"/>
        </w:rPr>
        <w:t>37.</w:t>
      </w:r>
    </w:p>
  </w:footnote>
  <w:footnote w:id="70">
    <w:p w14:paraId="73C60395" w14:textId="3FCE9665" w:rsidR="006E59E1" w:rsidRPr="00567161" w:rsidRDefault="006E59E1" w:rsidP="006E59E1">
      <w:pPr>
        <w:pStyle w:val="FootnoteText"/>
        <w:rPr>
          <w:lang w:val="es-ES"/>
        </w:rPr>
      </w:pPr>
      <w:r w:rsidRPr="000E25C8">
        <w:rPr>
          <w:lang w:val="es-ES"/>
        </w:rPr>
        <w:tab/>
      </w:r>
      <w:r>
        <w:rPr>
          <w:rStyle w:val="FootnoteReference"/>
        </w:rPr>
        <w:footnoteRef/>
      </w:r>
      <w:r w:rsidR="00C8426D">
        <w:rPr>
          <w:lang w:val="es-ES"/>
        </w:rPr>
        <w:tab/>
      </w:r>
      <w:r w:rsidRPr="00567161">
        <w:rPr>
          <w:lang w:val="es-ES"/>
        </w:rPr>
        <w:t>ECE/MP.EIA/IC/2021/4</w:t>
      </w:r>
      <w:r>
        <w:rPr>
          <w:lang w:val="es-ES"/>
        </w:rPr>
        <w:t>,</w:t>
      </w:r>
      <w:r w:rsidRPr="00567161">
        <w:rPr>
          <w:lang w:val="es-ES"/>
        </w:rPr>
        <w:t xml:space="preserve"> para</w:t>
      </w:r>
      <w:r>
        <w:rPr>
          <w:lang w:val="es-ES"/>
        </w:rPr>
        <w:t xml:space="preserve">. 38. </w:t>
      </w:r>
    </w:p>
  </w:footnote>
  <w:footnote w:id="71">
    <w:p w14:paraId="3118EC04" w14:textId="1260B2FF" w:rsidR="00B44D6A" w:rsidRPr="00823BA3" w:rsidRDefault="00B44D6A" w:rsidP="00B44D6A">
      <w:pPr>
        <w:pStyle w:val="FootnoteText"/>
        <w:rPr>
          <w:lang w:val="es-ES"/>
        </w:rPr>
      </w:pPr>
      <w:r>
        <w:rPr>
          <w:lang w:val="es-ES"/>
        </w:rPr>
        <w:tab/>
      </w:r>
      <w:r>
        <w:rPr>
          <w:rStyle w:val="FootnoteReference"/>
        </w:rPr>
        <w:footnoteRef/>
      </w:r>
      <w:r w:rsidR="00C8426D">
        <w:rPr>
          <w:lang w:val="es-ES"/>
        </w:rPr>
        <w:tab/>
      </w:r>
      <w:r>
        <w:rPr>
          <w:lang w:val="es-ES"/>
        </w:rPr>
        <w:t>Ibid.</w:t>
      </w:r>
      <w:r w:rsidRPr="00823BA3">
        <w:rPr>
          <w:lang w:val="es-ES"/>
        </w:rPr>
        <w:t>, paras</w:t>
      </w:r>
      <w:r>
        <w:rPr>
          <w:lang w:val="es-ES"/>
        </w:rPr>
        <w:t>. 40</w:t>
      </w:r>
      <w:r w:rsidRPr="004440DB">
        <w:rPr>
          <w:lang w:val="es-ES"/>
        </w:rPr>
        <w:t>–</w:t>
      </w:r>
      <w:r>
        <w:rPr>
          <w:lang w:val="es-ES"/>
        </w:rPr>
        <w:t xml:space="preserve">42. </w:t>
      </w:r>
    </w:p>
  </w:footnote>
  <w:footnote w:id="72">
    <w:p w14:paraId="24233164" w14:textId="32796254" w:rsidR="00B44D6A" w:rsidRPr="00D50C1B" w:rsidRDefault="00B44D6A" w:rsidP="00B44D6A">
      <w:pPr>
        <w:pStyle w:val="FootnoteText"/>
        <w:rPr>
          <w:lang w:val="es-ES"/>
        </w:rPr>
      </w:pPr>
      <w:r w:rsidRPr="00823BA3">
        <w:rPr>
          <w:lang w:val="es-ES"/>
        </w:rPr>
        <w:tab/>
      </w:r>
      <w:r>
        <w:rPr>
          <w:rStyle w:val="FootnoteReference"/>
        </w:rPr>
        <w:footnoteRef/>
      </w:r>
      <w:r w:rsidR="00C8426D">
        <w:rPr>
          <w:lang w:val="es-ES"/>
        </w:rPr>
        <w:tab/>
      </w:r>
      <w:r w:rsidRPr="0032606C">
        <w:rPr>
          <w:lang w:val="es-ES"/>
        </w:rPr>
        <w:t>ECE/MP.EIA/IC/2021/6, para</w:t>
      </w:r>
      <w:r>
        <w:rPr>
          <w:lang w:val="es-ES"/>
        </w:rPr>
        <w:t xml:space="preserve">s. </w:t>
      </w:r>
      <w:r w:rsidRPr="00D50C1B">
        <w:rPr>
          <w:lang w:val="es-ES"/>
        </w:rPr>
        <w:t>50</w:t>
      </w:r>
      <w:r w:rsidRPr="004440DB">
        <w:rPr>
          <w:lang w:val="es-ES"/>
        </w:rPr>
        <w:t>–</w:t>
      </w:r>
      <w:r w:rsidRPr="00D50C1B">
        <w:rPr>
          <w:lang w:val="es-ES"/>
        </w:rPr>
        <w:t>51.</w:t>
      </w:r>
    </w:p>
  </w:footnote>
  <w:footnote w:id="73">
    <w:p w14:paraId="752A9E4B" w14:textId="01A910C6" w:rsidR="00B44D6A" w:rsidRPr="004440DB" w:rsidRDefault="00C8426D" w:rsidP="00B44D6A">
      <w:pPr>
        <w:pStyle w:val="FootnoteText"/>
        <w:rPr>
          <w:lang w:val="es-ES"/>
        </w:rPr>
      </w:pPr>
      <w:r>
        <w:rPr>
          <w:lang w:val="es-ES"/>
        </w:rPr>
        <w:tab/>
      </w:r>
      <w:r w:rsidR="00B44D6A">
        <w:rPr>
          <w:rStyle w:val="FootnoteReference"/>
        </w:rPr>
        <w:footnoteRef/>
      </w:r>
      <w:r>
        <w:rPr>
          <w:lang w:val="es-ES"/>
        </w:rPr>
        <w:tab/>
      </w:r>
      <w:r w:rsidR="00B44D6A" w:rsidRPr="004440DB">
        <w:rPr>
          <w:lang w:val="es-ES"/>
        </w:rPr>
        <w:t xml:space="preserve">ECE/MP.EIA/IC/2023/8, para. </w:t>
      </w:r>
      <w:r w:rsidR="00B44D6A">
        <w:rPr>
          <w:lang w:val="es-ES"/>
        </w:rPr>
        <w:t>76.</w:t>
      </w:r>
    </w:p>
  </w:footnote>
  <w:footnote w:id="74">
    <w:p w14:paraId="7F07A2B2" w14:textId="0BDA4554" w:rsidR="00B44D6A" w:rsidRPr="00D3727D" w:rsidRDefault="00B44D6A" w:rsidP="00B44D6A">
      <w:pPr>
        <w:pStyle w:val="FootnoteText"/>
        <w:rPr>
          <w:lang w:val="es-ES"/>
        </w:rPr>
      </w:pPr>
      <w:r w:rsidRPr="007E54BE">
        <w:rPr>
          <w:lang w:val="es-ES"/>
        </w:rPr>
        <w:tab/>
      </w:r>
      <w:r>
        <w:rPr>
          <w:rStyle w:val="FootnoteReference"/>
        </w:rPr>
        <w:footnoteRef/>
      </w:r>
      <w:r w:rsidR="00C8426D">
        <w:rPr>
          <w:lang w:val="es-ES"/>
        </w:rPr>
        <w:tab/>
      </w:r>
      <w:r w:rsidRPr="00335D8F">
        <w:rPr>
          <w:lang w:val="es-ES"/>
        </w:rPr>
        <w:t>ECE/</w:t>
      </w:r>
      <w:r>
        <w:rPr>
          <w:lang w:val="es-ES"/>
        </w:rPr>
        <w:t>MP.EIA</w:t>
      </w:r>
      <w:r w:rsidRPr="00335D8F">
        <w:rPr>
          <w:lang w:val="es-ES"/>
        </w:rPr>
        <w:t>/IC/2021/2, paras</w:t>
      </w:r>
      <w:r>
        <w:rPr>
          <w:lang w:val="es-ES"/>
        </w:rPr>
        <w:t xml:space="preserve">. </w:t>
      </w:r>
      <w:r w:rsidRPr="004440DB">
        <w:rPr>
          <w:lang w:val="es-ES"/>
        </w:rPr>
        <w:t xml:space="preserve">54–55. </w:t>
      </w:r>
    </w:p>
  </w:footnote>
  <w:footnote w:id="75">
    <w:p w14:paraId="62F985D1" w14:textId="3C9242A0" w:rsidR="00B44D6A" w:rsidRPr="00D50C1B" w:rsidRDefault="00C8426D" w:rsidP="00B44D6A">
      <w:pPr>
        <w:pStyle w:val="FootnoteText"/>
      </w:pPr>
      <w:r>
        <w:rPr>
          <w:lang w:val="es-ES"/>
        </w:rPr>
        <w:tab/>
      </w:r>
      <w:r w:rsidR="00B44D6A">
        <w:rPr>
          <w:rStyle w:val="FootnoteReference"/>
        </w:rPr>
        <w:footnoteRef/>
      </w:r>
      <w:r>
        <w:rPr>
          <w:lang w:val="es-ES"/>
        </w:rPr>
        <w:tab/>
      </w:r>
      <w:r w:rsidR="00B44D6A" w:rsidRPr="00ED2354">
        <w:rPr>
          <w:lang w:val="es-ES"/>
        </w:rPr>
        <w:t>ECE/MP.EIA/IC/2023/8, para</w:t>
      </w:r>
      <w:r w:rsidR="00B44D6A">
        <w:rPr>
          <w:lang w:val="es-ES"/>
        </w:rPr>
        <w:t xml:space="preserve">s. </w:t>
      </w:r>
      <w:r w:rsidR="00B44D6A" w:rsidRPr="00ED2354">
        <w:t>70–72.</w:t>
      </w:r>
    </w:p>
  </w:footnote>
  <w:footnote w:id="76">
    <w:p w14:paraId="198F8635" w14:textId="77777777" w:rsidR="00B44D6A" w:rsidRPr="001B4C62" w:rsidRDefault="00B44D6A" w:rsidP="00B44D6A">
      <w:pPr>
        <w:pStyle w:val="FootnoteText"/>
      </w:pPr>
      <w:r>
        <w:tab/>
      </w:r>
      <w:r>
        <w:rPr>
          <w:rStyle w:val="FootnoteReference"/>
        </w:rPr>
        <w:footnoteRef/>
      </w:r>
      <w:r>
        <w:tab/>
        <w:t>S</w:t>
      </w:r>
      <w:r w:rsidRPr="00930D44">
        <w:t>ituations</w:t>
      </w:r>
      <w:r w:rsidRPr="007E679F">
        <w:t xml:space="preserve"> 1 </w:t>
      </w:r>
      <w:r>
        <w:t>a</w:t>
      </w:r>
      <w:r w:rsidRPr="007E679F">
        <w:t>nd 2</w:t>
      </w:r>
      <w:r>
        <w:t xml:space="preserve">, respectively, paras. </w:t>
      </w:r>
      <w:r w:rsidRPr="001B4C62">
        <w:t xml:space="preserve">25 and 27. </w:t>
      </w:r>
    </w:p>
  </w:footnote>
  <w:footnote w:id="77">
    <w:p w14:paraId="321C6C95" w14:textId="0D3E2120" w:rsidR="00B44D6A" w:rsidRPr="00D14F9E" w:rsidRDefault="00B44D6A" w:rsidP="00B44D6A">
      <w:pPr>
        <w:pStyle w:val="FootnoteText"/>
        <w:rPr>
          <w:lang w:val="es-ES"/>
        </w:rPr>
      </w:pPr>
      <w:r w:rsidRPr="00637B7F">
        <w:tab/>
      </w:r>
      <w:r>
        <w:rPr>
          <w:rStyle w:val="FootnoteReference"/>
        </w:rPr>
        <w:footnoteRef/>
      </w:r>
      <w:r w:rsidR="00C8426D">
        <w:rPr>
          <w:lang w:val="es-ES"/>
        </w:rPr>
        <w:tab/>
      </w:r>
      <w:r w:rsidRPr="00ED2354">
        <w:rPr>
          <w:lang w:val="es-ES"/>
        </w:rPr>
        <w:t xml:space="preserve">ECE/MP.EIA/IC/2023/8, paras. </w:t>
      </w:r>
      <w:r>
        <w:rPr>
          <w:lang w:val="es-ES"/>
        </w:rPr>
        <w:t>40</w:t>
      </w:r>
      <w:r w:rsidRPr="00ED2354">
        <w:rPr>
          <w:lang w:val="es-ES"/>
        </w:rPr>
        <w:t>–</w:t>
      </w:r>
      <w:r>
        <w:rPr>
          <w:lang w:val="es-ES"/>
        </w:rPr>
        <w:t xml:space="preserve">48. </w:t>
      </w:r>
    </w:p>
  </w:footnote>
  <w:footnote w:id="78">
    <w:p w14:paraId="077E54FE" w14:textId="11AD9DD0" w:rsidR="00B44D6A" w:rsidRPr="00D3727D" w:rsidRDefault="00C8426D" w:rsidP="00B44D6A">
      <w:pPr>
        <w:pStyle w:val="FootnoteText"/>
        <w:rPr>
          <w:lang w:val="es-ES"/>
        </w:rPr>
      </w:pPr>
      <w:r>
        <w:rPr>
          <w:lang w:val="es-ES"/>
        </w:rPr>
        <w:tab/>
      </w:r>
      <w:r w:rsidR="00B44D6A">
        <w:rPr>
          <w:rStyle w:val="FootnoteReference"/>
        </w:rPr>
        <w:footnoteRef/>
      </w:r>
      <w:r>
        <w:rPr>
          <w:lang w:val="es-ES"/>
        </w:rPr>
        <w:tab/>
      </w:r>
      <w:r w:rsidR="00B44D6A" w:rsidRPr="00ED2354">
        <w:rPr>
          <w:lang w:val="es-ES"/>
        </w:rPr>
        <w:t>ECE/MP.EIA/IC/2023/8, para</w:t>
      </w:r>
      <w:r w:rsidR="00B44D6A">
        <w:rPr>
          <w:lang w:val="es-ES"/>
        </w:rPr>
        <w:t>s. 73</w:t>
      </w:r>
      <w:r w:rsidR="00B44D6A" w:rsidRPr="00651E5C">
        <w:rPr>
          <w:lang w:val="es-ES"/>
        </w:rPr>
        <w:t>–</w:t>
      </w:r>
      <w:r w:rsidR="00B44D6A">
        <w:rPr>
          <w:lang w:val="es-ES"/>
        </w:rPr>
        <w:t>75.</w:t>
      </w:r>
    </w:p>
  </w:footnote>
  <w:footnote w:id="79">
    <w:p w14:paraId="148F44FB" w14:textId="16BA9F41" w:rsidR="00B44D6A" w:rsidRPr="00E665DB" w:rsidRDefault="00B44D6A" w:rsidP="00B44D6A">
      <w:pPr>
        <w:pStyle w:val="FootnoteText"/>
        <w:rPr>
          <w:lang w:val="es-ES"/>
        </w:rPr>
      </w:pPr>
      <w:r w:rsidRPr="00D14F9E">
        <w:rPr>
          <w:lang w:val="es-ES"/>
        </w:rPr>
        <w:tab/>
      </w:r>
      <w:r w:rsidRPr="00E665DB">
        <w:rPr>
          <w:vertAlign w:val="superscript"/>
        </w:rPr>
        <w:footnoteRef/>
      </w:r>
      <w:r w:rsidR="001947F9">
        <w:rPr>
          <w:lang w:val="es-ES"/>
        </w:rPr>
        <w:tab/>
      </w:r>
      <w:r w:rsidRPr="00637B7F">
        <w:rPr>
          <w:lang w:val="es-ES"/>
        </w:rPr>
        <w:t xml:space="preserve">ECE/MP.EIA/IC/2022/7, paras. </w:t>
      </w:r>
      <w:r>
        <w:rPr>
          <w:lang w:val="es-ES"/>
        </w:rPr>
        <w:t>47</w:t>
      </w:r>
      <w:r w:rsidRPr="006E146B">
        <w:rPr>
          <w:lang w:val="es-ES"/>
        </w:rPr>
        <w:t>–</w:t>
      </w:r>
      <w:r>
        <w:rPr>
          <w:lang w:val="es-ES"/>
        </w:rPr>
        <w:t>51.</w:t>
      </w:r>
    </w:p>
  </w:footnote>
  <w:footnote w:id="80">
    <w:p w14:paraId="2D71D847" w14:textId="4D0A796A" w:rsidR="007F18EB" w:rsidRPr="003C2B1C" w:rsidRDefault="001947F9" w:rsidP="001947F9">
      <w:pPr>
        <w:pStyle w:val="FootnoteText"/>
        <w:rPr>
          <w:lang w:val="es-ES"/>
        </w:rPr>
      </w:pPr>
      <w:r>
        <w:rPr>
          <w:lang w:val="es-ES"/>
        </w:rPr>
        <w:tab/>
      </w:r>
      <w:r w:rsidR="007F18EB" w:rsidRPr="56442822">
        <w:rPr>
          <w:vertAlign w:val="superscript"/>
        </w:rPr>
        <w:footnoteRef/>
      </w:r>
      <w:r>
        <w:rPr>
          <w:lang w:val="es-ES"/>
        </w:rPr>
        <w:tab/>
      </w:r>
      <w:r w:rsidR="007F18EB" w:rsidRPr="00E665DB">
        <w:rPr>
          <w:lang w:val="es-ES"/>
        </w:rPr>
        <w:t xml:space="preserve">ECE/MP.EIA/IC/2021/4, paras. </w:t>
      </w:r>
      <w:r w:rsidR="007F18EB" w:rsidRPr="00663CC0">
        <w:rPr>
          <w:lang w:val="es-ES"/>
        </w:rPr>
        <w:t>45</w:t>
      </w:r>
      <w:r w:rsidR="007F18EB" w:rsidRPr="006E146B">
        <w:rPr>
          <w:lang w:val="es-ES"/>
        </w:rPr>
        <w:t>–</w:t>
      </w:r>
      <w:r w:rsidR="007F18EB" w:rsidRPr="00663CC0">
        <w:rPr>
          <w:lang w:val="es-ES"/>
        </w:rPr>
        <w:t>49.</w:t>
      </w:r>
    </w:p>
  </w:footnote>
  <w:footnote w:id="81">
    <w:p w14:paraId="0382F843" w14:textId="2855A97C" w:rsidR="007F18EB" w:rsidRPr="006E146B" w:rsidRDefault="001947F9" w:rsidP="007F18EB">
      <w:pPr>
        <w:pStyle w:val="FootnoteText"/>
        <w:rPr>
          <w:lang w:val="es-ES"/>
        </w:rPr>
      </w:pPr>
      <w:r>
        <w:rPr>
          <w:lang w:val="es-ES"/>
        </w:rPr>
        <w:tab/>
      </w:r>
      <w:r w:rsidR="007F18EB">
        <w:rPr>
          <w:rStyle w:val="FootnoteReference"/>
        </w:rPr>
        <w:footnoteRef/>
      </w:r>
      <w:r>
        <w:rPr>
          <w:lang w:val="es-ES"/>
        </w:rPr>
        <w:tab/>
      </w:r>
      <w:r w:rsidR="007F18EB" w:rsidRPr="006E146B">
        <w:rPr>
          <w:lang w:val="es-ES"/>
        </w:rPr>
        <w:t>ECE/MP.EIA/IC/2023/4, para</w:t>
      </w:r>
      <w:r w:rsidR="007F18EB">
        <w:rPr>
          <w:lang w:val="es-ES"/>
        </w:rPr>
        <w:t>s. 82</w:t>
      </w:r>
      <w:r w:rsidR="007F18EB" w:rsidRPr="00651E5C">
        <w:rPr>
          <w:lang w:val="es-ES"/>
        </w:rPr>
        <w:t>–</w:t>
      </w:r>
      <w:r w:rsidR="007F18EB">
        <w:rPr>
          <w:lang w:val="es-ES"/>
        </w:rPr>
        <w:t>85.</w:t>
      </w:r>
    </w:p>
  </w:footnote>
  <w:footnote w:id="82">
    <w:p w14:paraId="527ACC00" w14:textId="397E106D" w:rsidR="007F18EB" w:rsidRPr="006E146B" w:rsidRDefault="001947F9" w:rsidP="007F18EB">
      <w:pPr>
        <w:pStyle w:val="FootnoteText"/>
        <w:rPr>
          <w:lang w:val="es-ES"/>
        </w:rPr>
      </w:pPr>
      <w:r>
        <w:rPr>
          <w:lang w:val="es-ES"/>
        </w:rPr>
        <w:tab/>
      </w:r>
      <w:r w:rsidR="007F18EB">
        <w:rPr>
          <w:rStyle w:val="FootnoteReference"/>
        </w:rPr>
        <w:footnoteRef/>
      </w:r>
      <w:r>
        <w:rPr>
          <w:lang w:val="es-ES"/>
        </w:rPr>
        <w:tab/>
      </w:r>
      <w:r w:rsidR="007F18EB" w:rsidRPr="006E146B">
        <w:rPr>
          <w:lang w:val="es-ES"/>
        </w:rPr>
        <w:t>ECE/MP.EIA/IC/2021/6, para</w:t>
      </w:r>
      <w:r w:rsidR="007F18EB">
        <w:rPr>
          <w:lang w:val="es-ES"/>
        </w:rPr>
        <w:t>s. 53</w:t>
      </w:r>
      <w:r w:rsidR="007F18EB" w:rsidRPr="00651E5C">
        <w:rPr>
          <w:lang w:val="es-ES"/>
        </w:rPr>
        <w:t>–</w:t>
      </w:r>
      <w:r w:rsidR="007F18EB">
        <w:rPr>
          <w:lang w:val="es-ES"/>
        </w:rPr>
        <w:t>55.</w:t>
      </w:r>
    </w:p>
  </w:footnote>
  <w:footnote w:id="83">
    <w:p w14:paraId="4BF0F58A" w14:textId="2F9EDAED" w:rsidR="007F18EB" w:rsidRPr="00D3727D" w:rsidRDefault="001947F9" w:rsidP="007F18EB">
      <w:pPr>
        <w:pStyle w:val="FootnoteText"/>
        <w:rPr>
          <w:lang w:val="es-ES"/>
        </w:rPr>
      </w:pPr>
      <w:r>
        <w:rPr>
          <w:lang w:val="es-ES"/>
        </w:rPr>
        <w:tab/>
      </w:r>
      <w:r w:rsidR="007F18EB">
        <w:rPr>
          <w:rStyle w:val="FootnoteReference"/>
        </w:rPr>
        <w:footnoteRef/>
      </w:r>
      <w:r>
        <w:rPr>
          <w:lang w:val="es-ES"/>
        </w:rPr>
        <w:tab/>
      </w:r>
      <w:r w:rsidR="007F18EB" w:rsidRPr="006E146B">
        <w:rPr>
          <w:lang w:val="es-ES"/>
        </w:rPr>
        <w:t>ECE/MP.EIA/IC/2023/4, para</w:t>
      </w:r>
      <w:r w:rsidR="007F18EB">
        <w:rPr>
          <w:lang w:val="es-ES"/>
        </w:rPr>
        <w:t>. 91.</w:t>
      </w:r>
    </w:p>
  </w:footnote>
  <w:footnote w:id="84">
    <w:p w14:paraId="76088B4B" w14:textId="6FB28142" w:rsidR="007F18EB" w:rsidRPr="00A95697" w:rsidRDefault="001B3A86" w:rsidP="001B3A86">
      <w:pPr>
        <w:pStyle w:val="FootnoteText"/>
        <w:rPr>
          <w:lang w:val="es-ES"/>
        </w:rPr>
      </w:pPr>
      <w:r>
        <w:rPr>
          <w:lang w:val="es-ES"/>
        </w:rPr>
        <w:tab/>
      </w:r>
      <w:r w:rsidR="007F18EB" w:rsidRPr="45ABA347">
        <w:rPr>
          <w:vertAlign w:val="superscript"/>
        </w:rPr>
        <w:footnoteRef/>
      </w:r>
      <w:r>
        <w:rPr>
          <w:lang w:val="es-ES"/>
        </w:rPr>
        <w:tab/>
      </w:r>
      <w:r w:rsidR="007F18EB" w:rsidRPr="00A95697">
        <w:rPr>
          <w:lang w:val="es-ES"/>
        </w:rPr>
        <w:t>ECE/MP.EIA/IC/2022/7, paras. 52</w:t>
      </w:r>
      <w:r w:rsidR="007F18EB" w:rsidRPr="00C955E5">
        <w:rPr>
          <w:lang w:val="es-ES"/>
        </w:rPr>
        <w:t>–</w:t>
      </w:r>
      <w:r w:rsidR="007F18EB" w:rsidRPr="00A95697">
        <w:rPr>
          <w:lang w:val="es-ES"/>
        </w:rPr>
        <w:t>54.</w:t>
      </w:r>
    </w:p>
  </w:footnote>
  <w:footnote w:id="85">
    <w:p w14:paraId="1310003A" w14:textId="7D039FF5" w:rsidR="00EE083A" w:rsidRPr="00D00488" w:rsidRDefault="001B3A86" w:rsidP="00845BF3">
      <w:pPr>
        <w:pStyle w:val="FootnoteText"/>
        <w:ind w:left="0" w:firstLine="0"/>
      </w:pPr>
      <w:r>
        <w:rPr>
          <w:szCs w:val="18"/>
          <w:lang w:val="es-ES"/>
        </w:rPr>
        <w:tab/>
      </w:r>
      <w:r w:rsidR="007F18EB" w:rsidRPr="45ABA347">
        <w:rPr>
          <w:szCs w:val="18"/>
          <w:vertAlign w:val="superscript"/>
        </w:rPr>
        <w:footnoteRef/>
      </w:r>
      <w:r>
        <w:rPr>
          <w:szCs w:val="18"/>
          <w:lang w:val="es-ES"/>
        </w:rPr>
        <w:tab/>
      </w:r>
      <w:r w:rsidR="007F18EB" w:rsidRPr="00A95697">
        <w:rPr>
          <w:szCs w:val="18"/>
          <w:lang w:val="es-ES"/>
        </w:rPr>
        <w:t xml:space="preserve">ECE/MP.EIA/IC/2022/4, paras. </w:t>
      </w:r>
      <w:r w:rsidR="007F18EB" w:rsidRPr="00591DD0">
        <w:rPr>
          <w:szCs w:val="18"/>
        </w:rPr>
        <w:t>36</w:t>
      </w:r>
      <w:r w:rsidR="007F18EB" w:rsidRPr="00573FC1">
        <w:t>–</w:t>
      </w:r>
      <w:r w:rsidR="007F18EB" w:rsidRPr="00591DD0">
        <w:rPr>
          <w:szCs w:val="18"/>
        </w:rPr>
        <w:t>44.</w:t>
      </w:r>
    </w:p>
  </w:footnote>
  <w:footnote w:id="86">
    <w:p w14:paraId="71D74EE1" w14:textId="77777777" w:rsidR="00EE083A" w:rsidRPr="00D00488" w:rsidRDefault="00EE083A" w:rsidP="00845BF3">
      <w:pPr>
        <w:pStyle w:val="FootnoteText"/>
        <w:ind w:left="0" w:firstLine="0"/>
      </w:pPr>
      <w:r w:rsidRPr="00D00488">
        <w:tab/>
      </w:r>
      <w:r>
        <w:rPr>
          <w:rStyle w:val="FootnoteReference"/>
        </w:rPr>
        <w:footnoteRef/>
      </w:r>
      <w:r w:rsidR="00845BF3">
        <w:tab/>
      </w:r>
      <w:r w:rsidRPr="00D00488">
        <w:t xml:space="preserve">United Nations publication, </w:t>
      </w:r>
      <w:r w:rsidRPr="00D00488">
        <w:rPr>
          <w:rFonts w:eastAsia="Calibri"/>
        </w:rPr>
        <w:t>ECE/MP.EIA/32.</w:t>
      </w:r>
    </w:p>
  </w:footnote>
  <w:footnote w:id="87">
    <w:p w14:paraId="67E577F3" w14:textId="158FCBDB" w:rsidR="00EE083A" w:rsidRPr="00D3727D" w:rsidRDefault="00EE083A" w:rsidP="00EE083A">
      <w:pPr>
        <w:pStyle w:val="FootnoteText"/>
      </w:pPr>
      <w:r w:rsidRPr="00D00488">
        <w:tab/>
      </w:r>
      <w:r>
        <w:rPr>
          <w:rStyle w:val="FootnoteReference"/>
        </w:rPr>
        <w:footnoteRef/>
      </w:r>
      <w:r w:rsidR="00845BF3">
        <w:tab/>
      </w:r>
      <w:r w:rsidRPr="00D00488">
        <w:t xml:space="preserve">United Nations publication, </w:t>
      </w:r>
      <w:r w:rsidRPr="00D00488">
        <w:rPr>
          <w:rFonts w:eastAsia="Calibri"/>
        </w:rPr>
        <w:t>ECE/MP.EIA/SEA/14.</w:t>
      </w:r>
    </w:p>
  </w:footnote>
  <w:footnote w:id="88">
    <w:p w14:paraId="69379F09" w14:textId="133286FC" w:rsidR="00EE083A" w:rsidRPr="00FD372B" w:rsidRDefault="00EE083A" w:rsidP="00EE083A">
      <w:pPr>
        <w:pStyle w:val="FootnoteText"/>
      </w:pPr>
      <w:r w:rsidRPr="00FD372B">
        <w:tab/>
      </w:r>
      <w:r>
        <w:rPr>
          <w:rStyle w:val="FootnoteReference"/>
        </w:rPr>
        <w:footnoteRef/>
      </w:r>
      <w:r w:rsidR="00F635C8">
        <w:tab/>
      </w:r>
      <w:r w:rsidRPr="00FD372B">
        <w:t>Decisions VIII/5, para. 5, and IV/5, para. 5.</w:t>
      </w:r>
    </w:p>
  </w:footnote>
  <w:footnote w:id="89">
    <w:p w14:paraId="15DCFC7B" w14:textId="33A52AC1" w:rsidR="00EE083A" w:rsidRPr="00FD372B" w:rsidRDefault="00EE083A" w:rsidP="00EE083A">
      <w:pPr>
        <w:pStyle w:val="FootnoteText"/>
      </w:pPr>
      <w:r w:rsidRPr="00FD372B">
        <w:tab/>
      </w:r>
      <w:r>
        <w:rPr>
          <w:rStyle w:val="FootnoteReference"/>
        </w:rPr>
        <w:footnoteRef/>
      </w:r>
      <w:r w:rsidR="00F635C8">
        <w:tab/>
      </w:r>
      <w:r w:rsidRPr="00FD372B">
        <w:t>Available at https://unece.org/sites/default/files/2021-02/Decision_VIII-2_IV-2_Adoption_of_the_workplan.pdf.</w:t>
      </w:r>
    </w:p>
  </w:footnote>
  <w:footnote w:id="90">
    <w:p w14:paraId="59CEB6DA" w14:textId="6B96112F" w:rsidR="00EE083A" w:rsidRPr="003B01C4" w:rsidRDefault="00EE083A" w:rsidP="00EE083A">
      <w:pPr>
        <w:pStyle w:val="FootnoteText"/>
        <w:rPr>
          <w:lang w:val="es-ES"/>
        </w:rPr>
      </w:pPr>
      <w:r w:rsidRPr="00FD372B">
        <w:tab/>
      </w:r>
      <w:r>
        <w:rPr>
          <w:rStyle w:val="FootnoteReference"/>
        </w:rPr>
        <w:footnoteRef/>
      </w:r>
      <w:r w:rsidR="00F635C8">
        <w:rPr>
          <w:lang w:val="es-ES"/>
        </w:rPr>
        <w:tab/>
      </w:r>
      <w:r w:rsidRPr="003B01C4">
        <w:rPr>
          <w:lang w:val="es-ES"/>
        </w:rPr>
        <w:t>ECE/MP.EIA/WG.2/2021/2, para.</w:t>
      </w:r>
      <w:r>
        <w:rPr>
          <w:lang w:val="es-ES"/>
        </w:rPr>
        <w:t xml:space="preserve"> </w:t>
      </w:r>
      <w:r w:rsidRPr="003B01C4">
        <w:rPr>
          <w:lang w:val="es-ES"/>
        </w:rPr>
        <w:t>13</w:t>
      </w:r>
      <w:r>
        <w:rPr>
          <w:lang w:val="es-ES"/>
        </w:rPr>
        <w:t>.</w:t>
      </w:r>
    </w:p>
  </w:footnote>
  <w:footnote w:id="91">
    <w:p w14:paraId="6A499D90" w14:textId="5FFFCC84" w:rsidR="00EE083A" w:rsidRDefault="00F635C8" w:rsidP="00F635C8">
      <w:pPr>
        <w:pStyle w:val="FootnoteText"/>
        <w:rPr>
          <w:lang w:val="es-ES"/>
        </w:rPr>
      </w:pPr>
      <w:r>
        <w:rPr>
          <w:vertAlign w:val="superscript"/>
          <w:lang w:val="es-ES"/>
        </w:rPr>
        <w:tab/>
      </w:r>
      <w:r w:rsidR="00EE083A" w:rsidRPr="00A826DC">
        <w:rPr>
          <w:vertAlign w:val="superscript"/>
        </w:rPr>
        <w:footnoteRef/>
      </w:r>
      <w:r>
        <w:rPr>
          <w:vertAlign w:val="superscript"/>
          <w:lang w:val="es-ES"/>
        </w:rPr>
        <w:tab/>
      </w:r>
      <w:r w:rsidR="00EE083A">
        <w:rPr>
          <w:lang w:val="es-ES"/>
        </w:rPr>
        <w:t>Ibid.</w:t>
      </w:r>
      <w:r w:rsidR="00EE083A" w:rsidRPr="551A36D3">
        <w:rPr>
          <w:lang w:val="es-ES"/>
        </w:rPr>
        <w:t>, para. 1</w:t>
      </w:r>
      <w:r w:rsidR="00EE083A">
        <w:rPr>
          <w:lang w:val="es-ES"/>
        </w:rPr>
        <w:t>5</w:t>
      </w:r>
      <w:r w:rsidR="00EE083A" w:rsidRPr="551A36D3">
        <w:rPr>
          <w:lang w:val="es-ES"/>
        </w:rPr>
        <w:t>.</w:t>
      </w:r>
    </w:p>
  </w:footnote>
  <w:footnote w:id="92">
    <w:p w14:paraId="252E8B62" w14:textId="695FD325" w:rsidR="00EE083A" w:rsidRPr="00A94625" w:rsidRDefault="00EE083A" w:rsidP="00EE083A">
      <w:pPr>
        <w:pStyle w:val="FootnoteText"/>
        <w:rPr>
          <w:lang w:val="es-ES"/>
        </w:rPr>
      </w:pPr>
      <w:r>
        <w:rPr>
          <w:lang w:val="es-ES"/>
        </w:rPr>
        <w:tab/>
      </w:r>
      <w:r>
        <w:rPr>
          <w:rStyle w:val="FootnoteReference"/>
        </w:rPr>
        <w:footnoteRef/>
      </w:r>
      <w:r w:rsidR="00F635C8">
        <w:rPr>
          <w:lang w:val="es-ES"/>
        </w:rPr>
        <w:tab/>
      </w:r>
      <w:r w:rsidRPr="00A94625">
        <w:rPr>
          <w:lang w:val="es-ES"/>
        </w:rPr>
        <w:t>ECE/MP.EIA/2023/10–ECE/MP.EIA/SEA/2023/6</w:t>
      </w:r>
      <w:r>
        <w:rPr>
          <w:lang w:val="es-ES"/>
        </w:rPr>
        <w:t xml:space="preserve">. </w:t>
      </w:r>
    </w:p>
  </w:footnote>
  <w:footnote w:id="93">
    <w:p w14:paraId="601D989E" w14:textId="5F2D4A2F" w:rsidR="00845BFB" w:rsidRPr="00543BF7" w:rsidRDefault="00845BFB" w:rsidP="00845BFB">
      <w:pPr>
        <w:pStyle w:val="FootnoteText"/>
        <w:rPr>
          <w:szCs w:val="18"/>
          <w:lang w:val="es-ES"/>
        </w:rPr>
      </w:pPr>
      <w:r>
        <w:rPr>
          <w:szCs w:val="18"/>
          <w:lang w:val="es-ES"/>
        </w:rPr>
        <w:tab/>
      </w:r>
      <w:r>
        <w:rPr>
          <w:rStyle w:val="FootnoteReference"/>
        </w:rPr>
        <w:footnoteRef/>
      </w:r>
      <w:r w:rsidR="00F635C8">
        <w:rPr>
          <w:szCs w:val="18"/>
          <w:lang w:val="es-ES"/>
        </w:rPr>
        <w:tab/>
      </w:r>
      <w:r w:rsidRPr="00543BF7">
        <w:rPr>
          <w:rFonts w:eastAsia="Calibri"/>
          <w:szCs w:val="18"/>
          <w:lang w:val="es-ES"/>
        </w:rPr>
        <w:t xml:space="preserve">ECE/MP.EIA/2023/5–ECE/MP.EIA/SEA/2023/5. </w:t>
      </w:r>
    </w:p>
  </w:footnote>
  <w:footnote w:id="94">
    <w:p w14:paraId="6A74DC62" w14:textId="7218BB63" w:rsidR="00845BFB" w:rsidRPr="00D56C77" w:rsidRDefault="00845BFB" w:rsidP="00845BFB">
      <w:pPr>
        <w:pStyle w:val="FootnoteText"/>
        <w:rPr>
          <w:lang w:val="es-ES"/>
        </w:rPr>
      </w:pPr>
      <w:r w:rsidRPr="00543BF7">
        <w:rPr>
          <w:lang w:val="es-ES"/>
        </w:rPr>
        <w:tab/>
      </w:r>
      <w:r>
        <w:rPr>
          <w:rStyle w:val="FootnoteReference"/>
        </w:rPr>
        <w:footnoteRef/>
      </w:r>
      <w:r w:rsidR="00F635C8">
        <w:rPr>
          <w:lang w:val="es-ES"/>
        </w:rPr>
        <w:tab/>
      </w:r>
      <w:r w:rsidRPr="00D56C77">
        <w:rPr>
          <w:lang w:val="es-ES"/>
        </w:rPr>
        <w:t>ECE/MP.EIA/IC/2021/6, paras. 56</w:t>
      </w:r>
      <w:r>
        <w:rPr>
          <w:lang w:val="es-ES"/>
        </w:rPr>
        <w:t>–</w:t>
      </w:r>
      <w:r w:rsidRPr="00D56C77">
        <w:rPr>
          <w:lang w:val="es-ES"/>
        </w:rPr>
        <w:t>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DFD3" w14:textId="0BB9935D" w:rsidR="00EC0CE8" w:rsidRPr="00825045" w:rsidRDefault="00EC0CE8">
    <w:pPr>
      <w:pStyle w:val="Header"/>
      <w:rPr>
        <w:lang w:val="es-ES"/>
      </w:rPr>
    </w:pPr>
    <w:r w:rsidRPr="00825045">
      <w:rPr>
        <w:lang w:val="es-ES"/>
      </w:rPr>
      <w:t>ECE/MP.EIA/2023/13</w:t>
    </w:r>
    <w:r w:rsidRPr="00825045">
      <w:rPr>
        <w:lang w:val="es-ES"/>
      </w:rPr>
      <w:br/>
      <w:t>ECE/MP.EIA/SEA/2023/13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E3C" w14:textId="4E42FDA3" w:rsidR="00EC0CE8" w:rsidRPr="00825045" w:rsidRDefault="00EC0CE8" w:rsidP="00EC0CE8">
    <w:pPr>
      <w:pStyle w:val="Header"/>
      <w:jc w:val="right"/>
      <w:rPr>
        <w:lang w:val="es-ES"/>
      </w:rPr>
    </w:pPr>
    <w:r w:rsidRPr="00825045">
      <w:rPr>
        <w:lang w:val="es-ES"/>
      </w:rPr>
      <w:t>ECE/MP.EIA/2023/13</w:t>
    </w:r>
    <w:r w:rsidRPr="00825045">
      <w:rPr>
        <w:lang w:val="es-ES"/>
      </w:rPr>
      <w:br/>
      <w:t>ECE/MP.EIA/SEA/2023/13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24180258">
    <w:abstractNumId w:val="1"/>
  </w:num>
  <w:num w:numId="2" w16cid:durableId="544802448">
    <w:abstractNumId w:val="0"/>
  </w:num>
  <w:num w:numId="3" w16cid:durableId="1288967545">
    <w:abstractNumId w:val="2"/>
  </w:num>
  <w:num w:numId="4" w16cid:durableId="312221039">
    <w:abstractNumId w:val="3"/>
  </w:num>
  <w:num w:numId="5" w16cid:durableId="1561672455">
    <w:abstractNumId w:val="8"/>
  </w:num>
  <w:num w:numId="6" w16cid:durableId="1326086814">
    <w:abstractNumId w:val="9"/>
  </w:num>
  <w:num w:numId="7" w16cid:durableId="1667905443">
    <w:abstractNumId w:val="7"/>
  </w:num>
  <w:num w:numId="8" w16cid:durableId="275407574">
    <w:abstractNumId w:val="6"/>
  </w:num>
  <w:num w:numId="9" w16cid:durableId="2120441520">
    <w:abstractNumId w:val="5"/>
  </w:num>
  <w:num w:numId="10" w16cid:durableId="825970827">
    <w:abstractNumId w:val="4"/>
  </w:num>
  <w:num w:numId="11" w16cid:durableId="484322499">
    <w:abstractNumId w:val="15"/>
  </w:num>
  <w:num w:numId="12" w16cid:durableId="236089422">
    <w:abstractNumId w:val="14"/>
  </w:num>
  <w:num w:numId="13" w16cid:durableId="1326588128">
    <w:abstractNumId w:val="10"/>
  </w:num>
  <w:num w:numId="14" w16cid:durableId="282158037">
    <w:abstractNumId w:val="12"/>
  </w:num>
  <w:num w:numId="15" w16cid:durableId="1846285221">
    <w:abstractNumId w:val="16"/>
  </w:num>
  <w:num w:numId="16" w16cid:durableId="526261328">
    <w:abstractNumId w:val="13"/>
  </w:num>
  <w:num w:numId="17" w16cid:durableId="1880775219">
    <w:abstractNumId w:val="17"/>
  </w:num>
  <w:num w:numId="18" w16cid:durableId="761800417">
    <w:abstractNumId w:val="18"/>
  </w:num>
  <w:num w:numId="19" w16cid:durableId="17265663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C0CE8"/>
    <w:rsid w:val="00002A7D"/>
    <w:rsid w:val="000038A8"/>
    <w:rsid w:val="00006790"/>
    <w:rsid w:val="00020CE3"/>
    <w:rsid w:val="00027624"/>
    <w:rsid w:val="00050F6B"/>
    <w:rsid w:val="00064D15"/>
    <w:rsid w:val="000678CD"/>
    <w:rsid w:val="00072C8C"/>
    <w:rsid w:val="00081CE0"/>
    <w:rsid w:val="000833F5"/>
    <w:rsid w:val="00084D30"/>
    <w:rsid w:val="00090320"/>
    <w:rsid w:val="00093182"/>
    <w:rsid w:val="000931C0"/>
    <w:rsid w:val="000A2E09"/>
    <w:rsid w:val="000B175B"/>
    <w:rsid w:val="000B1D54"/>
    <w:rsid w:val="000B3A0F"/>
    <w:rsid w:val="000C1E7A"/>
    <w:rsid w:val="000E0415"/>
    <w:rsid w:val="000F7715"/>
    <w:rsid w:val="0012769F"/>
    <w:rsid w:val="00146205"/>
    <w:rsid w:val="00156B99"/>
    <w:rsid w:val="00166124"/>
    <w:rsid w:val="00184DDA"/>
    <w:rsid w:val="001900CD"/>
    <w:rsid w:val="00193D40"/>
    <w:rsid w:val="001947F9"/>
    <w:rsid w:val="001A0452"/>
    <w:rsid w:val="001B3A86"/>
    <w:rsid w:val="001B4B04"/>
    <w:rsid w:val="001B5875"/>
    <w:rsid w:val="001C02E9"/>
    <w:rsid w:val="001C4B9C"/>
    <w:rsid w:val="001C61C9"/>
    <w:rsid w:val="001C6663"/>
    <w:rsid w:val="001C7895"/>
    <w:rsid w:val="001D26DF"/>
    <w:rsid w:val="001F1599"/>
    <w:rsid w:val="001F19C4"/>
    <w:rsid w:val="002043F0"/>
    <w:rsid w:val="00211E0B"/>
    <w:rsid w:val="00224BEA"/>
    <w:rsid w:val="00232575"/>
    <w:rsid w:val="00247258"/>
    <w:rsid w:val="00257CAC"/>
    <w:rsid w:val="002674B3"/>
    <w:rsid w:val="0027237A"/>
    <w:rsid w:val="00276571"/>
    <w:rsid w:val="002971D0"/>
    <w:rsid w:val="002974E9"/>
    <w:rsid w:val="002A272A"/>
    <w:rsid w:val="002A7F94"/>
    <w:rsid w:val="002B109A"/>
    <w:rsid w:val="002C6D45"/>
    <w:rsid w:val="002D6E53"/>
    <w:rsid w:val="002F046D"/>
    <w:rsid w:val="002F3023"/>
    <w:rsid w:val="00301764"/>
    <w:rsid w:val="00302CA3"/>
    <w:rsid w:val="00313F91"/>
    <w:rsid w:val="003229D8"/>
    <w:rsid w:val="00336C97"/>
    <w:rsid w:val="00337F88"/>
    <w:rsid w:val="00342432"/>
    <w:rsid w:val="0035223F"/>
    <w:rsid w:val="00352D4B"/>
    <w:rsid w:val="0035638C"/>
    <w:rsid w:val="003A46BB"/>
    <w:rsid w:val="003A4EC7"/>
    <w:rsid w:val="003A6538"/>
    <w:rsid w:val="003A7295"/>
    <w:rsid w:val="003B1F60"/>
    <w:rsid w:val="003C2CC4"/>
    <w:rsid w:val="003D22CC"/>
    <w:rsid w:val="003D4B23"/>
    <w:rsid w:val="003E278A"/>
    <w:rsid w:val="003F6EDE"/>
    <w:rsid w:val="00413520"/>
    <w:rsid w:val="004325CB"/>
    <w:rsid w:val="00437A65"/>
    <w:rsid w:val="00440A07"/>
    <w:rsid w:val="00440E30"/>
    <w:rsid w:val="0044347A"/>
    <w:rsid w:val="004476C8"/>
    <w:rsid w:val="0046194D"/>
    <w:rsid w:val="00462880"/>
    <w:rsid w:val="00466F0C"/>
    <w:rsid w:val="00471B25"/>
    <w:rsid w:val="00476F24"/>
    <w:rsid w:val="004C55B0"/>
    <w:rsid w:val="004F3C5C"/>
    <w:rsid w:val="004F6BA0"/>
    <w:rsid w:val="00503BEA"/>
    <w:rsid w:val="00506A83"/>
    <w:rsid w:val="00533616"/>
    <w:rsid w:val="00535ABA"/>
    <w:rsid w:val="0053768B"/>
    <w:rsid w:val="005420F2"/>
    <w:rsid w:val="0054285C"/>
    <w:rsid w:val="00547000"/>
    <w:rsid w:val="00550EDC"/>
    <w:rsid w:val="00584173"/>
    <w:rsid w:val="00595520"/>
    <w:rsid w:val="005A44B9"/>
    <w:rsid w:val="005B1BA0"/>
    <w:rsid w:val="005B3DB3"/>
    <w:rsid w:val="005C7AFA"/>
    <w:rsid w:val="005D15CA"/>
    <w:rsid w:val="005E5AC4"/>
    <w:rsid w:val="005F08DF"/>
    <w:rsid w:val="005F3066"/>
    <w:rsid w:val="005F3E61"/>
    <w:rsid w:val="006041D9"/>
    <w:rsid w:val="00604DDD"/>
    <w:rsid w:val="006115CC"/>
    <w:rsid w:val="00611FC4"/>
    <w:rsid w:val="006176FB"/>
    <w:rsid w:val="00630FCB"/>
    <w:rsid w:val="00640B26"/>
    <w:rsid w:val="0065766B"/>
    <w:rsid w:val="00666F2D"/>
    <w:rsid w:val="006770B2"/>
    <w:rsid w:val="00680231"/>
    <w:rsid w:val="00686A48"/>
    <w:rsid w:val="006940E1"/>
    <w:rsid w:val="006A3C72"/>
    <w:rsid w:val="006A5C13"/>
    <w:rsid w:val="006A7392"/>
    <w:rsid w:val="006B03A1"/>
    <w:rsid w:val="006B61C1"/>
    <w:rsid w:val="006B67D9"/>
    <w:rsid w:val="006C5535"/>
    <w:rsid w:val="006D0589"/>
    <w:rsid w:val="006E39F2"/>
    <w:rsid w:val="006E564B"/>
    <w:rsid w:val="006E59E1"/>
    <w:rsid w:val="006E7154"/>
    <w:rsid w:val="007003CD"/>
    <w:rsid w:val="00706D1A"/>
    <w:rsid w:val="0070701E"/>
    <w:rsid w:val="0072632A"/>
    <w:rsid w:val="007358E8"/>
    <w:rsid w:val="00736ECE"/>
    <w:rsid w:val="0074533B"/>
    <w:rsid w:val="007643BC"/>
    <w:rsid w:val="00780C68"/>
    <w:rsid w:val="00782629"/>
    <w:rsid w:val="007959FE"/>
    <w:rsid w:val="007A0CF1"/>
    <w:rsid w:val="007A14D9"/>
    <w:rsid w:val="007B6BA5"/>
    <w:rsid w:val="007C0EF7"/>
    <w:rsid w:val="007C3390"/>
    <w:rsid w:val="007C42D8"/>
    <w:rsid w:val="007C4F4B"/>
    <w:rsid w:val="007D7362"/>
    <w:rsid w:val="007E7186"/>
    <w:rsid w:val="007F0C87"/>
    <w:rsid w:val="007F18EB"/>
    <w:rsid w:val="007F5CE2"/>
    <w:rsid w:val="007F6611"/>
    <w:rsid w:val="00805397"/>
    <w:rsid w:val="00810BAC"/>
    <w:rsid w:val="00811D20"/>
    <w:rsid w:val="008175E9"/>
    <w:rsid w:val="008242D7"/>
    <w:rsid w:val="00825045"/>
    <w:rsid w:val="0082577B"/>
    <w:rsid w:val="00845BF3"/>
    <w:rsid w:val="00845BFB"/>
    <w:rsid w:val="008530F1"/>
    <w:rsid w:val="00860E68"/>
    <w:rsid w:val="00866893"/>
    <w:rsid w:val="00866F02"/>
    <w:rsid w:val="00867D18"/>
    <w:rsid w:val="00871F9A"/>
    <w:rsid w:val="00871FD5"/>
    <w:rsid w:val="0088172E"/>
    <w:rsid w:val="00881EFA"/>
    <w:rsid w:val="008879CB"/>
    <w:rsid w:val="008979B1"/>
    <w:rsid w:val="008A3498"/>
    <w:rsid w:val="008A6737"/>
    <w:rsid w:val="008A6B25"/>
    <w:rsid w:val="008A6C4F"/>
    <w:rsid w:val="008B389E"/>
    <w:rsid w:val="008B7C01"/>
    <w:rsid w:val="008D045E"/>
    <w:rsid w:val="008D3F25"/>
    <w:rsid w:val="008D4D82"/>
    <w:rsid w:val="008E0E46"/>
    <w:rsid w:val="008E21F5"/>
    <w:rsid w:val="008E7116"/>
    <w:rsid w:val="008E7AB9"/>
    <w:rsid w:val="008F143B"/>
    <w:rsid w:val="008F3882"/>
    <w:rsid w:val="008F4B7C"/>
    <w:rsid w:val="00900E9D"/>
    <w:rsid w:val="00904987"/>
    <w:rsid w:val="00917B16"/>
    <w:rsid w:val="00926E47"/>
    <w:rsid w:val="0094684F"/>
    <w:rsid w:val="00947162"/>
    <w:rsid w:val="009610D0"/>
    <w:rsid w:val="0096375C"/>
    <w:rsid w:val="00964FC2"/>
    <w:rsid w:val="009662E6"/>
    <w:rsid w:val="0097095E"/>
    <w:rsid w:val="00977D84"/>
    <w:rsid w:val="0098592B"/>
    <w:rsid w:val="00985FC4"/>
    <w:rsid w:val="00990766"/>
    <w:rsid w:val="00991261"/>
    <w:rsid w:val="00995079"/>
    <w:rsid w:val="009964C4"/>
    <w:rsid w:val="009A7B81"/>
    <w:rsid w:val="009C35E2"/>
    <w:rsid w:val="009D01C0"/>
    <w:rsid w:val="009D6A08"/>
    <w:rsid w:val="009E0A16"/>
    <w:rsid w:val="009E378B"/>
    <w:rsid w:val="009E5A6B"/>
    <w:rsid w:val="009E6CB7"/>
    <w:rsid w:val="009E7970"/>
    <w:rsid w:val="009F2EAC"/>
    <w:rsid w:val="009F57E3"/>
    <w:rsid w:val="00A10F4F"/>
    <w:rsid w:val="00A11067"/>
    <w:rsid w:val="00A11957"/>
    <w:rsid w:val="00A1704A"/>
    <w:rsid w:val="00A23071"/>
    <w:rsid w:val="00A3266E"/>
    <w:rsid w:val="00A425EB"/>
    <w:rsid w:val="00A637B0"/>
    <w:rsid w:val="00A72F22"/>
    <w:rsid w:val="00A733BC"/>
    <w:rsid w:val="00A748A6"/>
    <w:rsid w:val="00A76A69"/>
    <w:rsid w:val="00A867B3"/>
    <w:rsid w:val="00A879A4"/>
    <w:rsid w:val="00A91178"/>
    <w:rsid w:val="00A91A3C"/>
    <w:rsid w:val="00AA0FF8"/>
    <w:rsid w:val="00AC0F2C"/>
    <w:rsid w:val="00AC502A"/>
    <w:rsid w:val="00AD39D0"/>
    <w:rsid w:val="00AF4055"/>
    <w:rsid w:val="00AF58C1"/>
    <w:rsid w:val="00B04A3F"/>
    <w:rsid w:val="00B06643"/>
    <w:rsid w:val="00B15055"/>
    <w:rsid w:val="00B20551"/>
    <w:rsid w:val="00B30179"/>
    <w:rsid w:val="00B33FC7"/>
    <w:rsid w:val="00B34605"/>
    <w:rsid w:val="00B37B15"/>
    <w:rsid w:val="00B40CDC"/>
    <w:rsid w:val="00B44D6A"/>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38A"/>
    <w:rsid w:val="00C65C34"/>
    <w:rsid w:val="00C745C3"/>
    <w:rsid w:val="00C8426D"/>
    <w:rsid w:val="00C978F5"/>
    <w:rsid w:val="00CA24A4"/>
    <w:rsid w:val="00CB348D"/>
    <w:rsid w:val="00CD46F5"/>
    <w:rsid w:val="00CE4602"/>
    <w:rsid w:val="00CE4A8F"/>
    <w:rsid w:val="00CF071D"/>
    <w:rsid w:val="00D0123D"/>
    <w:rsid w:val="00D15B04"/>
    <w:rsid w:val="00D2031B"/>
    <w:rsid w:val="00D22F57"/>
    <w:rsid w:val="00D25FE2"/>
    <w:rsid w:val="00D37DA9"/>
    <w:rsid w:val="00D406A7"/>
    <w:rsid w:val="00D43252"/>
    <w:rsid w:val="00D44D86"/>
    <w:rsid w:val="00D50B7D"/>
    <w:rsid w:val="00D52012"/>
    <w:rsid w:val="00D704E5"/>
    <w:rsid w:val="00D72727"/>
    <w:rsid w:val="00D978C6"/>
    <w:rsid w:val="00DA0956"/>
    <w:rsid w:val="00DA357F"/>
    <w:rsid w:val="00DA3E12"/>
    <w:rsid w:val="00DA7275"/>
    <w:rsid w:val="00DB4F72"/>
    <w:rsid w:val="00DB51BC"/>
    <w:rsid w:val="00DC18AD"/>
    <w:rsid w:val="00DC37B5"/>
    <w:rsid w:val="00DF5E2E"/>
    <w:rsid w:val="00DF7CAE"/>
    <w:rsid w:val="00E126D4"/>
    <w:rsid w:val="00E259F7"/>
    <w:rsid w:val="00E40B01"/>
    <w:rsid w:val="00E423C0"/>
    <w:rsid w:val="00E6414C"/>
    <w:rsid w:val="00E7260F"/>
    <w:rsid w:val="00E8702D"/>
    <w:rsid w:val="00E905F4"/>
    <w:rsid w:val="00E916A9"/>
    <w:rsid w:val="00E916DE"/>
    <w:rsid w:val="00E925AD"/>
    <w:rsid w:val="00E96630"/>
    <w:rsid w:val="00EA5291"/>
    <w:rsid w:val="00EA7720"/>
    <w:rsid w:val="00EC0CE8"/>
    <w:rsid w:val="00ED0762"/>
    <w:rsid w:val="00ED18DC"/>
    <w:rsid w:val="00ED6201"/>
    <w:rsid w:val="00ED7A2A"/>
    <w:rsid w:val="00EE083A"/>
    <w:rsid w:val="00EF1D7F"/>
    <w:rsid w:val="00F0137E"/>
    <w:rsid w:val="00F04977"/>
    <w:rsid w:val="00F21786"/>
    <w:rsid w:val="00F27D88"/>
    <w:rsid w:val="00F3742B"/>
    <w:rsid w:val="00F41C72"/>
    <w:rsid w:val="00F41FDB"/>
    <w:rsid w:val="00F5471D"/>
    <w:rsid w:val="00F56D63"/>
    <w:rsid w:val="00F609A9"/>
    <w:rsid w:val="00F635C8"/>
    <w:rsid w:val="00F80C99"/>
    <w:rsid w:val="00F84367"/>
    <w:rsid w:val="00F867EC"/>
    <w:rsid w:val="00F91B2B"/>
    <w:rsid w:val="00FC03CD"/>
    <w:rsid w:val="00FC0646"/>
    <w:rsid w:val="00FC68B7"/>
    <w:rsid w:val="00FD207C"/>
    <w:rsid w:val="00FE3A0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A6B5D"/>
  <w15:docId w15:val="{AC5DE382-F05F-4E8B-94A5-37B7B51C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cf01">
    <w:name w:val="cf01"/>
    <w:basedOn w:val="DefaultParagraphFont"/>
    <w:rsid w:val="005E5AC4"/>
    <w:rPr>
      <w:rFonts w:ascii="Segoe UI" w:hAnsi="Segoe UI" w:cs="Segoe UI" w:hint="default"/>
      <w:sz w:val="18"/>
      <w:szCs w:val="18"/>
    </w:rPr>
  </w:style>
  <w:style w:type="character" w:customStyle="1" w:styleId="SingleTxtGChar">
    <w:name w:val="_ Single Txt_G Char"/>
    <w:link w:val="SingleTxtG"/>
    <w:rsid w:val="008530F1"/>
    <w:rPr>
      <w:lang w:val="en-GB"/>
    </w:rPr>
  </w:style>
  <w:style w:type="paragraph" w:styleId="CommentText">
    <w:name w:val="annotation text"/>
    <w:basedOn w:val="Normal"/>
    <w:link w:val="CommentTextChar"/>
    <w:unhideWhenUsed/>
    <w:rsid w:val="006E59E1"/>
    <w:pPr>
      <w:spacing w:line="240" w:lineRule="auto"/>
    </w:pPr>
  </w:style>
  <w:style w:type="character" w:customStyle="1" w:styleId="CommentTextChar">
    <w:name w:val="Comment Text Char"/>
    <w:basedOn w:val="DefaultParagraphFont"/>
    <w:link w:val="CommentText"/>
    <w:rsid w:val="006E59E1"/>
    <w:rPr>
      <w:lang w:val="en-GB"/>
    </w:rPr>
  </w:style>
  <w:style w:type="character" w:styleId="CommentReference">
    <w:name w:val="annotation reference"/>
    <w:uiPriority w:val="99"/>
    <w:rsid w:val="006E59E1"/>
    <w:rPr>
      <w:sz w:val="6"/>
    </w:rPr>
  </w:style>
  <w:style w:type="paragraph" w:styleId="CommentSubject">
    <w:name w:val="annotation subject"/>
    <w:basedOn w:val="CommentText"/>
    <w:next w:val="CommentText"/>
    <w:link w:val="CommentSubjectChar"/>
    <w:semiHidden/>
    <w:unhideWhenUsed/>
    <w:rsid w:val="00825045"/>
    <w:rPr>
      <w:b/>
      <w:bCs/>
    </w:rPr>
  </w:style>
  <w:style w:type="character" w:customStyle="1" w:styleId="CommentSubjectChar">
    <w:name w:val="Comment Subject Char"/>
    <w:basedOn w:val="CommentTextChar"/>
    <w:link w:val="CommentSubject"/>
    <w:semiHidden/>
    <w:rsid w:val="0082504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Users\Losasso\AppData\Local\Microsoft\Windows\INetCache\Content.Outlook\B0MF9SYG\www.unece.org\env\eia\implementation\implementation_committee.html" TargetMode="External"/><Relationship Id="rId1" Type="http://schemas.openxmlformats.org/officeDocument/2006/relationships/hyperlink" Target="https://unece.org/sites/default/files/2021-02/Implementation%20Committee%20structure%20functions%20procedures%20rules.e%20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A2351CB3-37DA-4C09-9920-089EC1B2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10294</Words>
  <Characters>58982</Characters>
  <Application>Microsoft Office Word</Application>
  <DocSecurity>0</DocSecurity>
  <Lines>1193</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ECE/MP.EIA/2023/13</vt:lpstr>
      <vt:lpstr/>
    </vt:vector>
  </TitlesOfParts>
  <Company>CSD</Company>
  <LinksUpToDate>false</LinksUpToDate>
  <CharactersWithSpaces>69068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ECE/MP.EIA/2023/13</dc:title>
  <dc:subject>2320991</dc:subject>
  <dc:creator>Maricar De_La_Cruz</dc:creator>
  <cp:keywords>ECE/MP.EIA/SEA/2023/13</cp:keywords>
  <dc:description/>
  <cp:lastModifiedBy>Don Canete Martin</cp:lastModifiedBy>
  <cp:revision>2</cp:revision>
  <cp:lastPrinted>2009-02-18T09:36:00Z</cp:lastPrinted>
  <dcterms:created xsi:type="dcterms:W3CDTF">2023-10-30T16:02:00Z</dcterms:created>
  <dcterms:modified xsi:type="dcterms:W3CDTF">2023-10-30T16:02:00Z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16215257-dda6-41f5-994c-65796dffcf95</vt:lpwstr>
  </property>
  <property fmtid="{D5CDD505-2E9C-101B-9397-08002B2CF9AE}" pid="4" name="MediaServiceImageTags">
    <vt:lpwstr/>
  </property>
</Properties>
</file>