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31A2849E"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6A0ECD">
              <w:rPr>
                <w:b/>
                <w:sz w:val="40"/>
                <w:szCs w:val="40"/>
              </w:rPr>
              <w:t>20</w:t>
            </w:r>
          </w:p>
        </w:tc>
      </w:tr>
      <w:tr w:rsidR="0099001C" w:rsidRPr="00EA2D43" w14:paraId="3DDB8869" w14:textId="77777777" w:rsidTr="00F04D0A">
        <w:trPr>
          <w:cantSplit/>
          <w:trHeight w:hRule="exact" w:val="2695"/>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50E34251"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6A0ECD">
              <w:rPr>
                <w:rFonts w:asciiTheme="majorBidi" w:hAnsiTheme="majorBidi" w:cstheme="majorBidi"/>
                <w:b/>
                <w:color w:val="000000"/>
              </w:rPr>
              <w:t>8</w:t>
            </w:r>
            <w:r w:rsidR="00CB42E3">
              <w:rPr>
                <w:rFonts w:asciiTheme="majorBidi" w:hAnsiTheme="majorBidi" w:cstheme="majorBidi"/>
                <w:b/>
                <w:color w:val="000000"/>
              </w:rPr>
              <w:t xml:space="preserve"> November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77777777" w:rsidR="007037A7" w:rsidRPr="006500BA" w:rsidRDefault="007037A7" w:rsidP="007037A7">
            <w:r w:rsidRPr="006500BA">
              <w:t xml:space="preserve">Geneva, </w:t>
            </w:r>
            <w:r>
              <w:t xml:space="preserve">27 November-6 December 2023 </w:t>
            </w:r>
          </w:p>
          <w:p w14:paraId="1CFF9B86" w14:textId="1E4F65DC" w:rsidR="007037A7" w:rsidRPr="00DA2203" w:rsidRDefault="007037A7" w:rsidP="007037A7">
            <w:r w:rsidRPr="00DA2203">
              <w:t xml:space="preserve">Item </w:t>
            </w:r>
            <w:r w:rsidR="001D1865">
              <w:t>2 (e)</w:t>
            </w:r>
            <w:r w:rsidRPr="00DA2203">
              <w:t xml:space="preserve"> of the provisional agenda</w:t>
            </w:r>
          </w:p>
          <w:p w14:paraId="441E491E" w14:textId="77777777" w:rsidR="00A01F79" w:rsidRDefault="001D1865" w:rsidP="00447D77">
            <w:pPr>
              <w:rPr>
                <w:b/>
                <w:bCs/>
              </w:rPr>
            </w:pPr>
            <w:r w:rsidRPr="00E5466C">
              <w:rPr>
                <w:b/>
                <w:bCs/>
              </w:rPr>
              <w:t xml:space="preserve">Explosives and related matters: </w:t>
            </w:r>
          </w:p>
          <w:p w14:paraId="49DCFCD0" w14:textId="1AE451AE" w:rsidR="0099001C" w:rsidRPr="00177B5E" w:rsidRDefault="001D1865" w:rsidP="00447D77">
            <w:pPr>
              <w:rPr>
                <w:b/>
                <w:bCs/>
              </w:rPr>
            </w:pPr>
            <w:r>
              <w:rPr>
                <w:b/>
                <w:bCs/>
              </w:rPr>
              <w:t>Energetic samples</w:t>
            </w:r>
          </w:p>
        </w:tc>
      </w:tr>
    </w:tbl>
    <w:p w14:paraId="68635388" w14:textId="7CC179DA" w:rsidR="00AD18C5" w:rsidRDefault="00706D51" w:rsidP="00E51AB6">
      <w:pPr>
        <w:pStyle w:val="HChG"/>
        <w:rPr>
          <w:lang w:val="en-US"/>
        </w:rPr>
      </w:pPr>
      <w:r w:rsidRPr="00BC2AC9">
        <w:rPr>
          <w:rFonts w:eastAsia="MS Mincho"/>
        </w:rPr>
        <w:tab/>
      </w:r>
      <w:r w:rsidRPr="00BC2AC9">
        <w:rPr>
          <w:rFonts w:eastAsia="MS Mincho"/>
        </w:rPr>
        <w:tab/>
      </w:r>
      <w:r w:rsidR="0092451E" w:rsidRPr="0064541A">
        <w:rPr>
          <w:lang w:val="en-US"/>
        </w:rPr>
        <w:t>Transport of energetic samples</w:t>
      </w:r>
    </w:p>
    <w:p w14:paraId="1330E10D" w14:textId="3AD5365F" w:rsidR="0092451E" w:rsidRDefault="00845DC2" w:rsidP="00845DC2">
      <w:pPr>
        <w:pStyle w:val="H1G"/>
        <w:rPr>
          <w:lang w:val="en-US"/>
        </w:rPr>
      </w:pPr>
      <w:r>
        <w:rPr>
          <w:lang w:val="en-US"/>
        </w:rPr>
        <w:tab/>
      </w:r>
      <w:r>
        <w:rPr>
          <w:lang w:val="en-US"/>
        </w:rPr>
        <w:tab/>
      </w:r>
      <w:r w:rsidRPr="0064541A">
        <w:rPr>
          <w:lang w:val="en-US"/>
        </w:rPr>
        <w:t>Transmitted by the European Chemical Industry Council (</w:t>
      </w:r>
      <w:r>
        <w:rPr>
          <w:lang w:val="en-US"/>
        </w:rPr>
        <w:t>Cefic</w:t>
      </w:r>
      <w:r w:rsidRPr="0064541A">
        <w:rPr>
          <w:lang w:val="en-US"/>
        </w:rPr>
        <w:t>)</w:t>
      </w:r>
    </w:p>
    <w:p w14:paraId="78AF17F2" w14:textId="0CDF9887" w:rsidR="00BA49B5" w:rsidRDefault="00E00759" w:rsidP="00E00759">
      <w:pPr>
        <w:pStyle w:val="HChG"/>
        <w:rPr>
          <w:szCs w:val="28"/>
        </w:rPr>
      </w:pPr>
      <w:r>
        <w:rPr>
          <w:szCs w:val="28"/>
        </w:rPr>
        <w:tab/>
        <w:t>I.</w:t>
      </w:r>
      <w:r>
        <w:rPr>
          <w:szCs w:val="28"/>
        </w:rPr>
        <w:tab/>
      </w:r>
      <w:r w:rsidR="00BA49B5">
        <w:t>Introduction</w:t>
      </w:r>
    </w:p>
    <w:p w14:paraId="70369FF0" w14:textId="375F3DF6" w:rsidR="00BA49B5" w:rsidRPr="0064541A" w:rsidRDefault="00E00759" w:rsidP="00E00759">
      <w:pPr>
        <w:pStyle w:val="SingleTxtG"/>
        <w:tabs>
          <w:tab w:val="left" w:pos="1701"/>
        </w:tabs>
        <w:rPr>
          <w:lang w:val="en-US"/>
        </w:rPr>
      </w:pPr>
      <w:r w:rsidRPr="0064541A">
        <w:rPr>
          <w:lang w:val="en-US"/>
        </w:rPr>
        <w:t>1.</w:t>
      </w:r>
      <w:r w:rsidRPr="0064541A">
        <w:rPr>
          <w:lang w:val="en-US"/>
        </w:rPr>
        <w:tab/>
      </w:r>
      <w:r w:rsidR="00BA49B5" w:rsidRPr="0064541A">
        <w:rPr>
          <w:lang w:val="en-US"/>
        </w:rPr>
        <w:t xml:space="preserve">Research and development </w:t>
      </w:r>
      <w:r w:rsidR="00BA49B5">
        <w:rPr>
          <w:lang w:val="en-US"/>
        </w:rPr>
        <w:t xml:space="preserve">(R&amp;D) departments </w:t>
      </w:r>
      <w:r w:rsidR="00BA49B5" w:rsidRPr="0064541A">
        <w:rPr>
          <w:lang w:val="en-US"/>
        </w:rPr>
        <w:t>in industry, public institutes and universities frequently need to transport substances for the purpose of testing i.e.</w:t>
      </w:r>
      <w:r w:rsidR="00BA49B5">
        <w:rPr>
          <w:lang w:val="en-US"/>
        </w:rPr>
        <w:t>,</w:t>
      </w:r>
      <w:r w:rsidR="00BA49B5" w:rsidRPr="0064541A">
        <w:rPr>
          <w:lang w:val="en-US"/>
        </w:rPr>
        <w:t xml:space="preserve"> the determination of physical, chemical, biological, toxicological or ecotoxicological properties</w:t>
      </w:r>
      <w:r w:rsidR="00BA49B5">
        <w:rPr>
          <w:lang w:val="en-US"/>
        </w:rPr>
        <w:t>,</w:t>
      </w:r>
      <w:r w:rsidR="00BA49B5" w:rsidRPr="0064541A">
        <w:rPr>
          <w:lang w:val="en-US"/>
        </w:rPr>
        <w:t xml:space="preserve"> and behavior, fitness for use</w:t>
      </w:r>
      <w:r w:rsidR="00BA49B5">
        <w:rPr>
          <w:lang w:val="en-US"/>
        </w:rPr>
        <w:t>,</w:t>
      </w:r>
      <w:r w:rsidR="00BA49B5" w:rsidRPr="0064541A">
        <w:rPr>
          <w:lang w:val="en-US"/>
        </w:rPr>
        <w:t xml:space="preserve"> or application.</w:t>
      </w:r>
    </w:p>
    <w:p w14:paraId="7AA2B24B" w14:textId="45E2E026" w:rsidR="00BA49B5" w:rsidRPr="009C767D" w:rsidRDefault="00E00759" w:rsidP="00E00759">
      <w:pPr>
        <w:pStyle w:val="SingleTxtG"/>
        <w:tabs>
          <w:tab w:val="left" w:pos="1701"/>
        </w:tabs>
        <w:rPr>
          <w:lang w:val="en-US"/>
        </w:rPr>
      </w:pPr>
      <w:r w:rsidRPr="009C767D">
        <w:rPr>
          <w:lang w:val="en-US"/>
        </w:rPr>
        <w:t>2.</w:t>
      </w:r>
      <w:r w:rsidRPr="009C767D">
        <w:rPr>
          <w:lang w:val="en-US"/>
        </w:rPr>
        <w:tab/>
      </w:r>
      <w:r w:rsidR="00BA49B5" w:rsidRPr="009C767D">
        <w:rPr>
          <w:lang w:val="en-US"/>
        </w:rPr>
        <w:t>These substances usually consist of organic molecules</w:t>
      </w:r>
      <w:r w:rsidR="00BA49B5">
        <w:rPr>
          <w:lang w:val="en-US"/>
        </w:rPr>
        <w:t xml:space="preserve"> that</w:t>
      </w:r>
      <w:r w:rsidR="00BA49B5" w:rsidRPr="009C767D">
        <w:rPr>
          <w:lang w:val="en-US"/>
        </w:rPr>
        <w:t xml:space="preserve"> are building blocks</w:t>
      </w:r>
      <w:r w:rsidR="00BA49B5">
        <w:rPr>
          <w:lang w:val="en-US"/>
        </w:rPr>
        <w:t xml:space="preserve">, </w:t>
      </w:r>
      <w:r w:rsidR="00BA49B5" w:rsidRPr="009C767D">
        <w:rPr>
          <w:lang w:val="en-US"/>
        </w:rPr>
        <w:t>intermediates, or active ingredients for pharmaceutical or agricultural chemicals. Although not designed to be explosives of Class 1, many of these substances carry functional groups listed in table</w:t>
      </w:r>
      <w:r w:rsidR="00BA49B5">
        <w:rPr>
          <w:lang w:val="en-US"/>
        </w:rPr>
        <w:t>s A6.1 or A6.3 in Annex 6 (screening p</w:t>
      </w:r>
      <w:r w:rsidR="00BA49B5" w:rsidRPr="009C767D">
        <w:rPr>
          <w:lang w:val="en-US"/>
        </w:rPr>
        <w:t xml:space="preserve">rocedures) of the </w:t>
      </w:r>
      <w:r w:rsidR="00BA49B5" w:rsidRPr="00BF0F7E">
        <w:rPr>
          <w:i/>
          <w:iCs/>
          <w:lang w:val="en-US"/>
        </w:rPr>
        <w:t>Manual of Tests and Criteria</w:t>
      </w:r>
      <w:r w:rsidR="00BA49B5" w:rsidRPr="009C767D">
        <w:rPr>
          <w:lang w:val="en-US"/>
        </w:rPr>
        <w:t>, indicating potential explosive or self-reactive properties.</w:t>
      </w:r>
    </w:p>
    <w:p w14:paraId="4E9EEE0B" w14:textId="2FC579EA" w:rsidR="00BA49B5" w:rsidRDefault="00E00759" w:rsidP="00E00759">
      <w:pPr>
        <w:pStyle w:val="SingleTxtG"/>
        <w:tabs>
          <w:tab w:val="left" w:pos="1701"/>
        </w:tabs>
        <w:rPr>
          <w:lang w:val="en-US"/>
        </w:rPr>
      </w:pPr>
      <w:r>
        <w:rPr>
          <w:lang w:val="en-US"/>
        </w:rPr>
        <w:t>3.</w:t>
      </w:r>
      <w:r>
        <w:rPr>
          <w:lang w:val="en-US"/>
        </w:rPr>
        <w:tab/>
      </w:r>
      <w:r w:rsidR="00BA49B5" w:rsidRPr="4E43FBBA">
        <w:rPr>
          <w:lang w:val="en-US"/>
        </w:rPr>
        <w:t xml:space="preserve">The amounts of substance handled in the research phase are small (typically in the range 10 to 100 g), and reliable information about the proper classification is not available due to the lack of test data. </w:t>
      </w:r>
      <w:r w:rsidR="00BA49B5">
        <w:rPr>
          <w:lang w:val="en-US"/>
        </w:rPr>
        <w:t>Nevertheless</w:t>
      </w:r>
      <w:r w:rsidR="00BA49B5" w:rsidRPr="4E43FBBA">
        <w:rPr>
          <w:lang w:val="en-US"/>
        </w:rPr>
        <w:t xml:space="preserve">, </w:t>
      </w:r>
      <w:r w:rsidR="00BA49B5">
        <w:rPr>
          <w:lang w:val="en-US"/>
        </w:rPr>
        <w:t>important</w:t>
      </w:r>
      <w:r w:rsidR="00BA49B5" w:rsidRPr="4E43FBBA">
        <w:rPr>
          <w:lang w:val="en-US"/>
        </w:rPr>
        <w:t xml:space="preserve"> decisions </w:t>
      </w:r>
      <w:r w:rsidR="00BA49B5">
        <w:rPr>
          <w:lang w:val="en-US"/>
        </w:rPr>
        <w:t>concerning the</w:t>
      </w:r>
      <w:r w:rsidR="00BA49B5" w:rsidRPr="4E43FBBA">
        <w:rPr>
          <w:lang w:val="en-US"/>
        </w:rPr>
        <w:t xml:space="preserve"> further development and application</w:t>
      </w:r>
      <w:r w:rsidR="00BA49B5">
        <w:rPr>
          <w:lang w:val="en-US"/>
        </w:rPr>
        <w:t xml:space="preserve"> of these substances are made in this phase</w:t>
      </w:r>
      <w:r w:rsidR="00BA49B5" w:rsidRPr="4E43FBBA">
        <w:rPr>
          <w:lang w:val="en-US"/>
        </w:rPr>
        <w:t>. Larger amounts of substance first become available in later stages of process scale-up and development.</w:t>
      </w:r>
    </w:p>
    <w:p w14:paraId="421EED25" w14:textId="71675801" w:rsidR="00BA49B5" w:rsidRDefault="00E00759" w:rsidP="00E00759">
      <w:pPr>
        <w:pStyle w:val="SingleTxtG"/>
        <w:tabs>
          <w:tab w:val="left" w:pos="1701"/>
        </w:tabs>
        <w:rPr>
          <w:lang w:val="en-US"/>
        </w:rPr>
      </w:pPr>
      <w:r>
        <w:rPr>
          <w:lang w:val="en-US"/>
        </w:rPr>
        <w:t>4.</w:t>
      </w:r>
      <w:r>
        <w:rPr>
          <w:lang w:val="en-US"/>
        </w:rPr>
        <w:tab/>
      </w:r>
      <w:r w:rsidR="00BA49B5">
        <w:rPr>
          <w:lang w:val="en-US"/>
        </w:rPr>
        <w:t>Proper classification of these substances for transport when such limited amounts are available remains a challenge. Table 1 below specifies the amount of substance needed for classification testing of explosives and self-reactive substances. Obviously, the amount required for this purpose by far exceeds the availability of such substances in research. On the other hand, at a later stage of development, amounts of 2–4 kg have to be transported to a test lab to fulfil the legal requirements for classification.</w:t>
      </w:r>
    </w:p>
    <w:p w14:paraId="377C736B" w14:textId="77777777" w:rsidR="00BA49B5" w:rsidRDefault="00BA49B5" w:rsidP="00BA49B5">
      <w:pPr>
        <w:suppressAutoHyphens w:val="0"/>
        <w:spacing w:line="240" w:lineRule="auto"/>
        <w:rPr>
          <w:lang w:val="en-US"/>
        </w:rPr>
      </w:pPr>
      <w:r>
        <w:rPr>
          <w:lang w:val="en-US"/>
        </w:rPr>
        <w:br w:type="page"/>
      </w:r>
    </w:p>
    <w:p w14:paraId="3C649495" w14:textId="77777777" w:rsidR="00BA49B5" w:rsidRDefault="00BA49B5" w:rsidP="00BA49B5">
      <w:pPr>
        <w:pStyle w:val="SingleTxtG"/>
        <w:tabs>
          <w:tab w:val="left" w:pos="1701"/>
        </w:tabs>
        <w:rPr>
          <w:lang w:val="en-US"/>
        </w:rPr>
      </w:pPr>
    </w:p>
    <w:p w14:paraId="79A4E141" w14:textId="77777777" w:rsidR="00BA49B5" w:rsidRPr="000809F3" w:rsidRDefault="00BA49B5" w:rsidP="00BA49B5">
      <w:pPr>
        <w:pStyle w:val="SingleTxtG"/>
        <w:spacing w:before="240"/>
        <w:ind w:left="1854"/>
        <w:rPr>
          <w:b/>
          <w:bCs/>
        </w:rPr>
      </w:pPr>
      <w:r w:rsidRPr="009B35D8">
        <w:rPr>
          <w:b/>
          <w:bCs/>
        </w:rPr>
        <w:t xml:space="preserve">Table </w:t>
      </w:r>
      <w:r w:rsidRPr="009B35D8">
        <w:rPr>
          <w:b/>
          <w:bCs/>
        </w:rPr>
        <w:fldChar w:fldCharType="begin"/>
      </w:r>
      <w:r w:rsidRPr="009B35D8">
        <w:rPr>
          <w:b/>
          <w:bCs/>
        </w:rPr>
        <w:instrText xml:space="preserve"> SEQ Table \* ARABIC </w:instrText>
      </w:r>
      <w:r w:rsidRPr="009B35D8">
        <w:rPr>
          <w:b/>
          <w:bCs/>
        </w:rPr>
        <w:fldChar w:fldCharType="separate"/>
      </w:r>
      <w:r>
        <w:rPr>
          <w:b/>
          <w:bCs/>
          <w:noProof/>
        </w:rPr>
        <w:t>1</w:t>
      </w:r>
      <w:r w:rsidRPr="009B35D8">
        <w:rPr>
          <w:b/>
          <w:bCs/>
        </w:rPr>
        <w:fldChar w:fldCharType="end"/>
      </w:r>
      <w:r w:rsidRPr="009B35D8">
        <w:rPr>
          <w:b/>
          <w:bCs/>
          <w:noProof/>
        </w:rPr>
        <w:t>:</w:t>
      </w:r>
      <w:r w:rsidRPr="009B35D8">
        <w:rPr>
          <w:b/>
          <w:bCs/>
        </w:rPr>
        <w:t xml:space="preserve">  Typical amounts of substance required for classification testing</w:t>
      </w:r>
    </w:p>
    <w:tbl>
      <w:tblPr>
        <w:tblStyle w:val="TableGrid"/>
        <w:tblW w:w="0" w:type="auto"/>
        <w:tblInd w:w="83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50"/>
        <w:gridCol w:w="1969"/>
        <w:gridCol w:w="1150"/>
        <w:gridCol w:w="850"/>
        <w:gridCol w:w="2268"/>
        <w:gridCol w:w="1081"/>
      </w:tblGrid>
      <w:tr w:rsidR="00BA49B5" w:rsidRPr="00176D81" w14:paraId="4360B819" w14:textId="77777777" w:rsidTr="00D336FE">
        <w:trPr>
          <w:trHeight w:val="347"/>
        </w:trPr>
        <w:tc>
          <w:tcPr>
            <w:tcW w:w="3969" w:type="dxa"/>
            <w:gridSpan w:val="3"/>
            <w:tcBorders>
              <w:top w:val="single" w:sz="12" w:space="0" w:color="auto"/>
              <w:bottom w:val="nil"/>
              <w:right w:val="single" w:sz="12" w:space="0" w:color="auto"/>
            </w:tcBorders>
            <w:shd w:val="clear" w:color="auto" w:fill="FDE9D9" w:themeFill="accent6" w:themeFillTint="33"/>
          </w:tcPr>
          <w:p w14:paraId="4562859B" w14:textId="77777777" w:rsidR="00BA49B5" w:rsidRPr="00B03234" w:rsidRDefault="00BA49B5" w:rsidP="00D336FE">
            <w:pPr>
              <w:jc w:val="center"/>
              <w:rPr>
                <w:b/>
                <w:bCs/>
              </w:rPr>
            </w:pPr>
            <w:r w:rsidRPr="00B03234">
              <w:rPr>
                <w:b/>
                <w:bCs/>
              </w:rPr>
              <w:t>Class 1 Acceptance procedure</w:t>
            </w:r>
          </w:p>
        </w:tc>
        <w:tc>
          <w:tcPr>
            <w:tcW w:w="4199" w:type="dxa"/>
            <w:gridSpan w:val="3"/>
            <w:tcBorders>
              <w:left w:val="single" w:sz="12" w:space="0" w:color="auto"/>
            </w:tcBorders>
            <w:shd w:val="clear" w:color="auto" w:fill="FDE9D9" w:themeFill="accent6" w:themeFillTint="33"/>
          </w:tcPr>
          <w:p w14:paraId="6FAC630C" w14:textId="77777777" w:rsidR="00BA49B5" w:rsidRPr="00B03234" w:rsidRDefault="00BA49B5" w:rsidP="00D336FE">
            <w:pPr>
              <w:jc w:val="center"/>
              <w:rPr>
                <w:b/>
                <w:bCs/>
              </w:rPr>
            </w:pPr>
            <w:r w:rsidRPr="00B03234">
              <w:rPr>
                <w:b/>
                <w:bCs/>
              </w:rPr>
              <w:t>Testing of self-reactive substances</w:t>
            </w:r>
          </w:p>
        </w:tc>
      </w:tr>
      <w:tr w:rsidR="00BA49B5" w14:paraId="3F92CE4F" w14:textId="77777777" w:rsidTr="008A1DE8">
        <w:trPr>
          <w:trHeight w:val="338"/>
        </w:trPr>
        <w:tc>
          <w:tcPr>
            <w:tcW w:w="850" w:type="dxa"/>
            <w:shd w:val="clear" w:color="auto" w:fill="FDE9D9" w:themeFill="accent6" w:themeFillTint="33"/>
          </w:tcPr>
          <w:p w14:paraId="708370EB" w14:textId="77777777" w:rsidR="00BA49B5" w:rsidRPr="009C767D" w:rsidRDefault="00BA49B5" w:rsidP="00D336FE">
            <w:pPr>
              <w:jc w:val="center"/>
            </w:pPr>
            <w:r w:rsidRPr="009C767D">
              <w:t>UN Test</w:t>
            </w:r>
          </w:p>
        </w:tc>
        <w:tc>
          <w:tcPr>
            <w:tcW w:w="1969" w:type="dxa"/>
            <w:tcBorders>
              <w:top w:val="nil"/>
              <w:bottom w:val="nil"/>
            </w:tcBorders>
            <w:shd w:val="clear" w:color="auto" w:fill="FDE9D9" w:themeFill="accent6" w:themeFillTint="33"/>
          </w:tcPr>
          <w:p w14:paraId="7D8FDF67" w14:textId="77777777" w:rsidR="00BA49B5" w:rsidRPr="009C767D" w:rsidRDefault="00BA49B5" w:rsidP="00D336FE">
            <w:pPr>
              <w:jc w:val="center"/>
            </w:pPr>
            <w:r w:rsidRPr="009C767D">
              <w:t>Name</w:t>
            </w:r>
          </w:p>
        </w:tc>
        <w:tc>
          <w:tcPr>
            <w:tcW w:w="1150" w:type="dxa"/>
            <w:tcBorders>
              <w:top w:val="nil"/>
              <w:bottom w:val="nil"/>
              <w:right w:val="single" w:sz="12" w:space="0" w:color="auto"/>
            </w:tcBorders>
            <w:shd w:val="clear" w:color="auto" w:fill="FDE9D9" w:themeFill="accent6" w:themeFillTint="33"/>
          </w:tcPr>
          <w:p w14:paraId="137A7253" w14:textId="77777777" w:rsidR="00BA49B5" w:rsidRPr="009C767D" w:rsidRDefault="00BA49B5" w:rsidP="00D336FE">
            <w:pPr>
              <w:jc w:val="center"/>
            </w:pPr>
            <w:r w:rsidRPr="009C767D">
              <w:t>Amount (g)</w:t>
            </w:r>
          </w:p>
        </w:tc>
        <w:tc>
          <w:tcPr>
            <w:tcW w:w="850" w:type="dxa"/>
            <w:tcBorders>
              <w:left w:val="single" w:sz="12" w:space="0" w:color="auto"/>
            </w:tcBorders>
            <w:shd w:val="clear" w:color="auto" w:fill="FDE9D9" w:themeFill="accent6" w:themeFillTint="33"/>
          </w:tcPr>
          <w:p w14:paraId="5B809006" w14:textId="77777777" w:rsidR="00BA49B5" w:rsidRPr="009C767D" w:rsidRDefault="00BA49B5" w:rsidP="00D336FE">
            <w:pPr>
              <w:jc w:val="center"/>
            </w:pPr>
            <w:r w:rsidRPr="009C767D">
              <w:t>UN Test</w:t>
            </w:r>
          </w:p>
        </w:tc>
        <w:tc>
          <w:tcPr>
            <w:tcW w:w="2268" w:type="dxa"/>
            <w:shd w:val="clear" w:color="auto" w:fill="FDE9D9" w:themeFill="accent6" w:themeFillTint="33"/>
          </w:tcPr>
          <w:p w14:paraId="6E222705" w14:textId="77777777" w:rsidR="00BA49B5" w:rsidRPr="009C767D" w:rsidRDefault="00BA49B5" w:rsidP="00D336FE">
            <w:pPr>
              <w:jc w:val="center"/>
            </w:pPr>
            <w:r w:rsidRPr="009C767D">
              <w:t>Name</w:t>
            </w:r>
          </w:p>
        </w:tc>
        <w:tc>
          <w:tcPr>
            <w:tcW w:w="1081" w:type="dxa"/>
            <w:shd w:val="clear" w:color="auto" w:fill="FDE9D9" w:themeFill="accent6" w:themeFillTint="33"/>
          </w:tcPr>
          <w:p w14:paraId="2F3FD9C9" w14:textId="77777777" w:rsidR="00BA49B5" w:rsidRPr="009C767D" w:rsidRDefault="00BA49B5" w:rsidP="00D336FE">
            <w:pPr>
              <w:jc w:val="center"/>
            </w:pPr>
            <w:r w:rsidRPr="009C767D">
              <w:t>Amount (g)</w:t>
            </w:r>
          </w:p>
        </w:tc>
      </w:tr>
      <w:tr w:rsidR="00BA49B5" w14:paraId="5180D95C" w14:textId="77777777" w:rsidTr="00D336FE">
        <w:trPr>
          <w:trHeight w:val="182"/>
        </w:trPr>
        <w:tc>
          <w:tcPr>
            <w:tcW w:w="850" w:type="dxa"/>
          </w:tcPr>
          <w:p w14:paraId="7E0181D0" w14:textId="77777777" w:rsidR="00BA49B5" w:rsidRPr="009C767D" w:rsidRDefault="00BA49B5" w:rsidP="00D336FE">
            <w:pPr>
              <w:jc w:val="center"/>
            </w:pPr>
            <w:r w:rsidRPr="009C767D">
              <w:t>2 (a)</w:t>
            </w:r>
          </w:p>
        </w:tc>
        <w:tc>
          <w:tcPr>
            <w:tcW w:w="1969" w:type="dxa"/>
            <w:tcBorders>
              <w:top w:val="nil"/>
              <w:bottom w:val="nil"/>
            </w:tcBorders>
          </w:tcPr>
          <w:p w14:paraId="1ADE15F4" w14:textId="77777777" w:rsidR="00BA49B5" w:rsidRPr="009C767D" w:rsidRDefault="00BA49B5" w:rsidP="00D336FE">
            <w:r w:rsidRPr="009C767D">
              <w:t>UN gap test</w:t>
            </w:r>
          </w:p>
        </w:tc>
        <w:tc>
          <w:tcPr>
            <w:tcW w:w="1150" w:type="dxa"/>
            <w:tcBorders>
              <w:top w:val="nil"/>
              <w:bottom w:val="nil"/>
              <w:right w:val="single" w:sz="12" w:space="0" w:color="auto"/>
            </w:tcBorders>
          </w:tcPr>
          <w:p w14:paraId="54FD0230" w14:textId="77777777" w:rsidR="00BA49B5" w:rsidRPr="009C767D" w:rsidRDefault="00BA49B5" w:rsidP="00D336FE">
            <w:pPr>
              <w:jc w:val="center"/>
            </w:pPr>
            <w:r w:rsidRPr="009C767D">
              <w:t>1000</w:t>
            </w:r>
          </w:p>
        </w:tc>
        <w:tc>
          <w:tcPr>
            <w:tcW w:w="850" w:type="dxa"/>
            <w:tcBorders>
              <w:left w:val="single" w:sz="12" w:space="0" w:color="auto"/>
            </w:tcBorders>
          </w:tcPr>
          <w:p w14:paraId="0949CF65" w14:textId="77777777" w:rsidR="00BA49B5" w:rsidRPr="009C767D" w:rsidRDefault="00BA49B5" w:rsidP="00D336FE">
            <w:pPr>
              <w:jc w:val="center"/>
            </w:pPr>
            <w:r w:rsidRPr="009C767D">
              <w:t>A.1</w:t>
            </w:r>
          </w:p>
        </w:tc>
        <w:tc>
          <w:tcPr>
            <w:tcW w:w="2268" w:type="dxa"/>
          </w:tcPr>
          <w:p w14:paraId="6FA61501" w14:textId="77777777" w:rsidR="00BA49B5" w:rsidRPr="009C767D" w:rsidRDefault="00BA49B5" w:rsidP="00D336FE">
            <w:r w:rsidRPr="009C767D">
              <w:t>BAM 50/60 steel tube</w:t>
            </w:r>
          </w:p>
        </w:tc>
        <w:tc>
          <w:tcPr>
            <w:tcW w:w="1081" w:type="dxa"/>
          </w:tcPr>
          <w:p w14:paraId="5180B3DC" w14:textId="77777777" w:rsidR="00BA49B5" w:rsidRPr="009C767D" w:rsidRDefault="00BA49B5" w:rsidP="00D336FE">
            <w:pPr>
              <w:jc w:val="center"/>
            </w:pPr>
            <w:r w:rsidRPr="009C767D">
              <w:t>2000</w:t>
            </w:r>
          </w:p>
        </w:tc>
      </w:tr>
      <w:tr w:rsidR="00BA49B5" w14:paraId="2FACD38D" w14:textId="77777777" w:rsidTr="00D336FE">
        <w:trPr>
          <w:trHeight w:val="182"/>
        </w:trPr>
        <w:tc>
          <w:tcPr>
            <w:tcW w:w="850" w:type="dxa"/>
          </w:tcPr>
          <w:p w14:paraId="571F817A" w14:textId="77777777" w:rsidR="00BA49B5" w:rsidRPr="009C767D" w:rsidRDefault="00BA49B5" w:rsidP="00D336FE">
            <w:pPr>
              <w:jc w:val="center"/>
            </w:pPr>
            <w:r w:rsidRPr="009C767D">
              <w:t>2 (b)</w:t>
            </w:r>
          </w:p>
        </w:tc>
        <w:tc>
          <w:tcPr>
            <w:tcW w:w="1969" w:type="dxa"/>
            <w:tcBorders>
              <w:top w:val="nil"/>
              <w:bottom w:val="nil"/>
            </w:tcBorders>
          </w:tcPr>
          <w:p w14:paraId="6EB7041A" w14:textId="77777777" w:rsidR="00BA49B5" w:rsidRPr="009C767D" w:rsidRDefault="00BA49B5" w:rsidP="00D336FE">
            <w:r w:rsidRPr="009C767D">
              <w:t>Koenen test</w:t>
            </w:r>
          </w:p>
        </w:tc>
        <w:tc>
          <w:tcPr>
            <w:tcW w:w="1150" w:type="dxa"/>
            <w:tcBorders>
              <w:top w:val="nil"/>
              <w:bottom w:val="nil"/>
              <w:right w:val="single" w:sz="12" w:space="0" w:color="auto"/>
            </w:tcBorders>
          </w:tcPr>
          <w:p w14:paraId="7E255107" w14:textId="77777777" w:rsidR="00BA49B5" w:rsidRPr="009C767D" w:rsidRDefault="00BA49B5" w:rsidP="00D336FE">
            <w:pPr>
              <w:jc w:val="center"/>
            </w:pPr>
            <w:r w:rsidRPr="009C767D">
              <w:t>200</w:t>
            </w:r>
          </w:p>
        </w:tc>
        <w:tc>
          <w:tcPr>
            <w:tcW w:w="850" w:type="dxa"/>
            <w:tcBorders>
              <w:left w:val="single" w:sz="12" w:space="0" w:color="auto"/>
            </w:tcBorders>
          </w:tcPr>
          <w:p w14:paraId="78A275D9" w14:textId="77777777" w:rsidR="00BA49B5" w:rsidRPr="009C767D" w:rsidRDefault="00BA49B5" w:rsidP="00D336FE">
            <w:pPr>
              <w:jc w:val="center"/>
            </w:pPr>
            <w:r w:rsidRPr="009C767D">
              <w:t>C.1</w:t>
            </w:r>
          </w:p>
        </w:tc>
        <w:tc>
          <w:tcPr>
            <w:tcW w:w="2268" w:type="dxa"/>
          </w:tcPr>
          <w:p w14:paraId="0B8FECDD" w14:textId="77777777" w:rsidR="00BA49B5" w:rsidRPr="009C767D" w:rsidRDefault="00BA49B5" w:rsidP="00D336FE">
            <w:r w:rsidRPr="009C767D">
              <w:t>Time/pressure test</w:t>
            </w:r>
          </w:p>
        </w:tc>
        <w:tc>
          <w:tcPr>
            <w:tcW w:w="1081" w:type="dxa"/>
          </w:tcPr>
          <w:p w14:paraId="2B7E8479" w14:textId="77777777" w:rsidR="00BA49B5" w:rsidRPr="009C767D" w:rsidRDefault="00BA49B5" w:rsidP="00D336FE">
            <w:pPr>
              <w:jc w:val="center"/>
            </w:pPr>
            <w:r w:rsidRPr="009C767D">
              <w:t>15</w:t>
            </w:r>
          </w:p>
        </w:tc>
      </w:tr>
      <w:tr w:rsidR="00BA49B5" w14:paraId="2C567556" w14:textId="77777777" w:rsidTr="00D336FE">
        <w:trPr>
          <w:trHeight w:val="195"/>
        </w:trPr>
        <w:tc>
          <w:tcPr>
            <w:tcW w:w="850" w:type="dxa"/>
          </w:tcPr>
          <w:p w14:paraId="143C878A" w14:textId="77777777" w:rsidR="00BA49B5" w:rsidRPr="009C767D" w:rsidRDefault="00BA49B5" w:rsidP="00D336FE">
            <w:pPr>
              <w:jc w:val="center"/>
            </w:pPr>
            <w:r w:rsidRPr="009C767D">
              <w:t>2 (c) (</w:t>
            </w:r>
            <w:proofErr w:type="spellStart"/>
            <w:r w:rsidRPr="009C767D">
              <w:t>i</w:t>
            </w:r>
            <w:proofErr w:type="spellEnd"/>
            <w:r w:rsidRPr="009C767D">
              <w:t>)</w:t>
            </w:r>
          </w:p>
        </w:tc>
        <w:tc>
          <w:tcPr>
            <w:tcW w:w="1969" w:type="dxa"/>
            <w:tcBorders>
              <w:top w:val="nil"/>
              <w:bottom w:val="nil"/>
            </w:tcBorders>
          </w:tcPr>
          <w:p w14:paraId="71287F43" w14:textId="77777777" w:rsidR="00BA49B5" w:rsidRPr="009C767D" w:rsidRDefault="00BA49B5" w:rsidP="00D336FE">
            <w:r w:rsidRPr="009C767D">
              <w:t>Time/pressure test</w:t>
            </w:r>
          </w:p>
        </w:tc>
        <w:tc>
          <w:tcPr>
            <w:tcW w:w="1150" w:type="dxa"/>
            <w:tcBorders>
              <w:top w:val="nil"/>
              <w:bottom w:val="nil"/>
              <w:right w:val="single" w:sz="12" w:space="0" w:color="auto"/>
            </w:tcBorders>
          </w:tcPr>
          <w:p w14:paraId="39A72E24" w14:textId="77777777" w:rsidR="00BA49B5" w:rsidRPr="009C767D" w:rsidRDefault="00BA49B5" w:rsidP="00D336FE">
            <w:pPr>
              <w:jc w:val="center"/>
            </w:pPr>
            <w:r w:rsidRPr="009C767D">
              <w:t>15</w:t>
            </w:r>
          </w:p>
        </w:tc>
        <w:tc>
          <w:tcPr>
            <w:tcW w:w="850" w:type="dxa"/>
            <w:tcBorders>
              <w:left w:val="single" w:sz="12" w:space="0" w:color="auto"/>
            </w:tcBorders>
          </w:tcPr>
          <w:p w14:paraId="5DA1FE35" w14:textId="77777777" w:rsidR="00BA49B5" w:rsidRPr="009C767D" w:rsidRDefault="00BA49B5" w:rsidP="00D336FE">
            <w:pPr>
              <w:jc w:val="center"/>
            </w:pPr>
            <w:r w:rsidRPr="009C767D">
              <w:t>C.2</w:t>
            </w:r>
          </w:p>
        </w:tc>
        <w:tc>
          <w:tcPr>
            <w:tcW w:w="2268" w:type="dxa"/>
          </w:tcPr>
          <w:p w14:paraId="2AA21D02" w14:textId="77777777" w:rsidR="00BA49B5" w:rsidRPr="009C767D" w:rsidRDefault="00BA49B5" w:rsidP="00D336FE">
            <w:r w:rsidRPr="009C767D">
              <w:t>Deflagration test</w:t>
            </w:r>
          </w:p>
        </w:tc>
        <w:tc>
          <w:tcPr>
            <w:tcW w:w="1081" w:type="dxa"/>
          </w:tcPr>
          <w:p w14:paraId="283FA2D4" w14:textId="77777777" w:rsidR="00BA49B5" w:rsidRPr="009C767D" w:rsidRDefault="00BA49B5" w:rsidP="00D336FE">
            <w:pPr>
              <w:jc w:val="center"/>
            </w:pPr>
            <w:r w:rsidRPr="009C767D">
              <w:t>350</w:t>
            </w:r>
          </w:p>
        </w:tc>
      </w:tr>
      <w:tr w:rsidR="00BA49B5" w14:paraId="64F5CCDB" w14:textId="77777777" w:rsidTr="00D336FE">
        <w:trPr>
          <w:trHeight w:val="182"/>
        </w:trPr>
        <w:tc>
          <w:tcPr>
            <w:tcW w:w="850" w:type="dxa"/>
          </w:tcPr>
          <w:p w14:paraId="0BE02150" w14:textId="77777777" w:rsidR="00BA49B5" w:rsidRPr="009C767D" w:rsidRDefault="00BA49B5" w:rsidP="00D336FE">
            <w:pPr>
              <w:jc w:val="center"/>
            </w:pPr>
            <w:r w:rsidRPr="009C767D">
              <w:t>3 (a) (ii)</w:t>
            </w:r>
          </w:p>
        </w:tc>
        <w:tc>
          <w:tcPr>
            <w:tcW w:w="1969" w:type="dxa"/>
            <w:tcBorders>
              <w:top w:val="nil"/>
              <w:bottom w:val="nil"/>
            </w:tcBorders>
          </w:tcPr>
          <w:p w14:paraId="306AAEF7" w14:textId="77777777" w:rsidR="00BA49B5" w:rsidRPr="009C767D" w:rsidRDefault="00BA49B5" w:rsidP="00D336FE">
            <w:r w:rsidRPr="009C767D">
              <w:t xml:space="preserve">BAM </w:t>
            </w:r>
            <w:proofErr w:type="spellStart"/>
            <w:r w:rsidRPr="009C767D">
              <w:t>Fallhammer</w:t>
            </w:r>
            <w:proofErr w:type="spellEnd"/>
          </w:p>
        </w:tc>
        <w:tc>
          <w:tcPr>
            <w:tcW w:w="1150" w:type="dxa"/>
            <w:tcBorders>
              <w:top w:val="nil"/>
              <w:bottom w:val="nil"/>
              <w:right w:val="single" w:sz="12" w:space="0" w:color="auto"/>
            </w:tcBorders>
          </w:tcPr>
          <w:p w14:paraId="07C6F65A" w14:textId="77777777" w:rsidR="00BA49B5" w:rsidRPr="009C767D" w:rsidRDefault="00BA49B5" w:rsidP="00D336FE">
            <w:pPr>
              <w:jc w:val="center"/>
            </w:pPr>
            <w:r w:rsidRPr="009C767D">
              <w:t>1</w:t>
            </w:r>
          </w:p>
        </w:tc>
        <w:tc>
          <w:tcPr>
            <w:tcW w:w="850" w:type="dxa"/>
            <w:tcBorders>
              <w:left w:val="single" w:sz="12" w:space="0" w:color="auto"/>
            </w:tcBorders>
          </w:tcPr>
          <w:p w14:paraId="76E58C25" w14:textId="77777777" w:rsidR="00BA49B5" w:rsidRPr="009C767D" w:rsidRDefault="00BA49B5" w:rsidP="00D336FE">
            <w:pPr>
              <w:jc w:val="center"/>
            </w:pPr>
            <w:r w:rsidRPr="009C767D">
              <w:t>E.1</w:t>
            </w:r>
          </w:p>
        </w:tc>
        <w:tc>
          <w:tcPr>
            <w:tcW w:w="2268" w:type="dxa"/>
          </w:tcPr>
          <w:p w14:paraId="5F3E6325" w14:textId="77777777" w:rsidR="00BA49B5" w:rsidRPr="009C767D" w:rsidRDefault="00BA49B5" w:rsidP="00D336FE">
            <w:r w:rsidRPr="009C767D">
              <w:t>Koenen test</w:t>
            </w:r>
          </w:p>
        </w:tc>
        <w:tc>
          <w:tcPr>
            <w:tcW w:w="1081" w:type="dxa"/>
          </w:tcPr>
          <w:p w14:paraId="776E7E72" w14:textId="77777777" w:rsidR="00BA49B5" w:rsidRPr="009C767D" w:rsidRDefault="00BA49B5" w:rsidP="00D336FE">
            <w:pPr>
              <w:jc w:val="center"/>
            </w:pPr>
            <w:r w:rsidRPr="009C767D">
              <w:t>200</w:t>
            </w:r>
          </w:p>
        </w:tc>
      </w:tr>
      <w:tr w:rsidR="00BA49B5" w14:paraId="50FD41B2" w14:textId="77777777" w:rsidTr="00D336FE">
        <w:trPr>
          <w:trHeight w:val="182"/>
        </w:trPr>
        <w:tc>
          <w:tcPr>
            <w:tcW w:w="850" w:type="dxa"/>
          </w:tcPr>
          <w:p w14:paraId="44C0C7B3" w14:textId="77777777" w:rsidR="00BA49B5" w:rsidRPr="009C767D" w:rsidRDefault="00BA49B5" w:rsidP="00D336FE">
            <w:pPr>
              <w:jc w:val="center"/>
            </w:pPr>
            <w:r w:rsidRPr="009C767D">
              <w:t>3 (b) (</w:t>
            </w:r>
            <w:proofErr w:type="spellStart"/>
            <w:r w:rsidRPr="009C767D">
              <w:t>i</w:t>
            </w:r>
            <w:proofErr w:type="spellEnd"/>
            <w:r w:rsidRPr="009C767D">
              <w:t>)</w:t>
            </w:r>
          </w:p>
        </w:tc>
        <w:tc>
          <w:tcPr>
            <w:tcW w:w="1969" w:type="dxa"/>
            <w:tcBorders>
              <w:top w:val="nil"/>
              <w:bottom w:val="nil"/>
            </w:tcBorders>
          </w:tcPr>
          <w:p w14:paraId="32B9E536" w14:textId="77777777" w:rsidR="00BA49B5" w:rsidRPr="009C767D" w:rsidRDefault="00BA49B5" w:rsidP="00D336FE">
            <w:r w:rsidRPr="009C767D">
              <w:t>BAM friction apparatus</w:t>
            </w:r>
          </w:p>
        </w:tc>
        <w:tc>
          <w:tcPr>
            <w:tcW w:w="1150" w:type="dxa"/>
            <w:tcBorders>
              <w:top w:val="nil"/>
              <w:bottom w:val="nil"/>
              <w:right w:val="single" w:sz="12" w:space="0" w:color="auto"/>
            </w:tcBorders>
          </w:tcPr>
          <w:p w14:paraId="209B1186" w14:textId="77777777" w:rsidR="00BA49B5" w:rsidRPr="009C767D" w:rsidRDefault="00BA49B5" w:rsidP="00D336FE">
            <w:pPr>
              <w:jc w:val="center"/>
            </w:pPr>
            <w:r w:rsidRPr="009C767D">
              <w:t>1</w:t>
            </w:r>
          </w:p>
        </w:tc>
        <w:tc>
          <w:tcPr>
            <w:tcW w:w="850" w:type="dxa"/>
            <w:tcBorders>
              <w:left w:val="single" w:sz="12" w:space="0" w:color="auto"/>
            </w:tcBorders>
          </w:tcPr>
          <w:p w14:paraId="77FC1166" w14:textId="77777777" w:rsidR="00BA49B5" w:rsidRPr="009C767D" w:rsidRDefault="00BA49B5" w:rsidP="00D336FE">
            <w:pPr>
              <w:jc w:val="center"/>
            </w:pPr>
            <w:r w:rsidRPr="009C767D">
              <w:t>E.2</w:t>
            </w:r>
          </w:p>
        </w:tc>
        <w:tc>
          <w:tcPr>
            <w:tcW w:w="2268" w:type="dxa"/>
          </w:tcPr>
          <w:p w14:paraId="1C348073" w14:textId="77777777" w:rsidR="00BA49B5" w:rsidRPr="009C767D" w:rsidRDefault="00BA49B5" w:rsidP="00D336FE">
            <w:r w:rsidRPr="009C767D">
              <w:t>Dutch pressure vessel test</w:t>
            </w:r>
          </w:p>
        </w:tc>
        <w:tc>
          <w:tcPr>
            <w:tcW w:w="1081" w:type="dxa"/>
          </w:tcPr>
          <w:p w14:paraId="25308223" w14:textId="77777777" w:rsidR="00BA49B5" w:rsidRPr="009C767D" w:rsidRDefault="00BA49B5" w:rsidP="00D336FE">
            <w:pPr>
              <w:jc w:val="center"/>
            </w:pPr>
            <w:r w:rsidRPr="009C767D">
              <w:t>200</w:t>
            </w:r>
          </w:p>
        </w:tc>
      </w:tr>
      <w:tr w:rsidR="00BA49B5" w14:paraId="376AC95B" w14:textId="77777777" w:rsidTr="00D336FE">
        <w:trPr>
          <w:trHeight w:val="195"/>
        </w:trPr>
        <w:tc>
          <w:tcPr>
            <w:tcW w:w="850" w:type="dxa"/>
          </w:tcPr>
          <w:p w14:paraId="1ECE205C" w14:textId="77777777" w:rsidR="00BA49B5" w:rsidRPr="009C767D" w:rsidRDefault="00BA49B5" w:rsidP="00D336FE">
            <w:pPr>
              <w:jc w:val="center"/>
            </w:pPr>
            <w:r w:rsidRPr="009C767D">
              <w:t>3 (c) (</w:t>
            </w:r>
            <w:proofErr w:type="spellStart"/>
            <w:r w:rsidRPr="009C767D">
              <w:t>i</w:t>
            </w:r>
            <w:proofErr w:type="spellEnd"/>
            <w:r w:rsidRPr="009C767D">
              <w:t>)</w:t>
            </w:r>
          </w:p>
        </w:tc>
        <w:tc>
          <w:tcPr>
            <w:tcW w:w="1969" w:type="dxa"/>
            <w:tcBorders>
              <w:top w:val="nil"/>
              <w:bottom w:val="nil"/>
            </w:tcBorders>
          </w:tcPr>
          <w:p w14:paraId="64BC22F7" w14:textId="77777777" w:rsidR="00BA49B5" w:rsidRPr="009C767D" w:rsidRDefault="00BA49B5" w:rsidP="00D336FE">
            <w:r w:rsidRPr="009C767D">
              <w:t>Thermal stability test</w:t>
            </w:r>
          </w:p>
        </w:tc>
        <w:tc>
          <w:tcPr>
            <w:tcW w:w="1150" w:type="dxa"/>
            <w:tcBorders>
              <w:top w:val="nil"/>
              <w:bottom w:val="nil"/>
              <w:right w:val="single" w:sz="12" w:space="0" w:color="auto"/>
            </w:tcBorders>
          </w:tcPr>
          <w:p w14:paraId="20964AC1" w14:textId="77777777" w:rsidR="00BA49B5" w:rsidRPr="009C767D" w:rsidRDefault="00BA49B5" w:rsidP="00D336FE">
            <w:pPr>
              <w:jc w:val="center"/>
            </w:pPr>
            <w:r w:rsidRPr="009C767D">
              <w:t>50</w:t>
            </w:r>
          </w:p>
        </w:tc>
        <w:tc>
          <w:tcPr>
            <w:tcW w:w="850" w:type="dxa"/>
            <w:tcBorders>
              <w:left w:val="single" w:sz="12" w:space="0" w:color="auto"/>
            </w:tcBorders>
          </w:tcPr>
          <w:p w14:paraId="40BE8C9B" w14:textId="77777777" w:rsidR="00BA49B5" w:rsidRPr="009C767D" w:rsidRDefault="00BA49B5" w:rsidP="00D336FE">
            <w:pPr>
              <w:jc w:val="center"/>
            </w:pPr>
            <w:r w:rsidRPr="009C767D">
              <w:t>F.3</w:t>
            </w:r>
          </w:p>
        </w:tc>
        <w:tc>
          <w:tcPr>
            <w:tcW w:w="2268" w:type="dxa"/>
          </w:tcPr>
          <w:p w14:paraId="6924DC84" w14:textId="77777777" w:rsidR="00BA49B5" w:rsidRPr="009C767D" w:rsidRDefault="00BA49B5" w:rsidP="00D336FE">
            <w:r w:rsidRPr="009C767D">
              <w:t xml:space="preserve">BAM </w:t>
            </w:r>
            <w:proofErr w:type="spellStart"/>
            <w:r w:rsidRPr="009C767D">
              <w:t>Trauzl</w:t>
            </w:r>
            <w:proofErr w:type="spellEnd"/>
            <w:r w:rsidRPr="009C767D">
              <w:t xml:space="preserve"> test</w:t>
            </w:r>
          </w:p>
        </w:tc>
        <w:tc>
          <w:tcPr>
            <w:tcW w:w="1081" w:type="dxa"/>
          </w:tcPr>
          <w:p w14:paraId="462C955C" w14:textId="77777777" w:rsidR="00BA49B5" w:rsidRPr="009C767D" w:rsidRDefault="00BA49B5" w:rsidP="00D336FE">
            <w:pPr>
              <w:jc w:val="center"/>
            </w:pPr>
            <w:r w:rsidRPr="009C767D">
              <w:t>10</w:t>
            </w:r>
          </w:p>
        </w:tc>
      </w:tr>
      <w:tr w:rsidR="00BA49B5" w14:paraId="24ECE2AD" w14:textId="77777777" w:rsidTr="00D336FE">
        <w:trPr>
          <w:trHeight w:val="182"/>
        </w:trPr>
        <w:tc>
          <w:tcPr>
            <w:tcW w:w="850" w:type="dxa"/>
          </w:tcPr>
          <w:p w14:paraId="16BB8738" w14:textId="77777777" w:rsidR="00BA49B5" w:rsidRPr="009C767D" w:rsidRDefault="00BA49B5" w:rsidP="00D336FE">
            <w:pPr>
              <w:jc w:val="center"/>
            </w:pPr>
            <w:r w:rsidRPr="009C767D">
              <w:t>3 (d)</w:t>
            </w:r>
          </w:p>
        </w:tc>
        <w:tc>
          <w:tcPr>
            <w:tcW w:w="1969" w:type="dxa"/>
            <w:tcBorders>
              <w:top w:val="nil"/>
              <w:bottom w:val="nil"/>
            </w:tcBorders>
          </w:tcPr>
          <w:p w14:paraId="333F3D0C" w14:textId="77777777" w:rsidR="00BA49B5" w:rsidRPr="009C767D" w:rsidRDefault="00BA49B5" w:rsidP="00D336FE">
            <w:r w:rsidRPr="009C767D">
              <w:t>Small scale burning test</w:t>
            </w:r>
          </w:p>
        </w:tc>
        <w:tc>
          <w:tcPr>
            <w:tcW w:w="1150" w:type="dxa"/>
            <w:tcBorders>
              <w:top w:val="nil"/>
              <w:bottom w:val="nil"/>
              <w:right w:val="single" w:sz="12" w:space="0" w:color="auto"/>
            </w:tcBorders>
          </w:tcPr>
          <w:p w14:paraId="1C15B6B3" w14:textId="77777777" w:rsidR="00BA49B5" w:rsidRPr="009C767D" w:rsidRDefault="00BA49B5" w:rsidP="00D336FE">
            <w:pPr>
              <w:jc w:val="center"/>
            </w:pPr>
            <w:r w:rsidRPr="009C767D">
              <w:t>220</w:t>
            </w:r>
          </w:p>
        </w:tc>
        <w:tc>
          <w:tcPr>
            <w:tcW w:w="850" w:type="dxa"/>
            <w:tcBorders>
              <w:left w:val="single" w:sz="12" w:space="0" w:color="auto"/>
            </w:tcBorders>
          </w:tcPr>
          <w:p w14:paraId="080EB37E" w14:textId="77777777" w:rsidR="00BA49B5" w:rsidRPr="009C767D" w:rsidRDefault="00BA49B5" w:rsidP="00D336FE">
            <w:pPr>
              <w:jc w:val="center"/>
            </w:pPr>
            <w:r>
              <w:t>H.4</w:t>
            </w:r>
          </w:p>
        </w:tc>
        <w:tc>
          <w:tcPr>
            <w:tcW w:w="2268" w:type="dxa"/>
          </w:tcPr>
          <w:p w14:paraId="3708A0AC" w14:textId="77777777" w:rsidR="00BA49B5" w:rsidRPr="009C767D" w:rsidRDefault="00BA49B5" w:rsidP="00D336FE">
            <w:r>
              <w:t>Heat accumulation storage test (SADT)</w:t>
            </w:r>
          </w:p>
        </w:tc>
        <w:tc>
          <w:tcPr>
            <w:tcW w:w="1081" w:type="dxa"/>
          </w:tcPr>
          <w:p w14:paraId="6108AD4A" w14:textId="77777777" w:rsidR="00BA49B5" w:rsidRPr="009C767D" w:rsidRDefault="00BA49B5" w:rsidP="00D336FE">
            <w:pPr>
              <w:jc w:val="center"/>
            </w:pPr>
            <w:r>
              <w:t>1000</w:t>
            </w:r>
          </w:p>
        </w:tc>
      </w:tr>
      <w:tr w:rsidR="00BA49B5" w14:paraId="1480BFFA" w14:textId="77777777" w:rsidTr="00D336FE">
        <w:trPr>
          <w:trHeight w:val="290"/>
        </w:trPr>
        <w:tc>
          <w:tcPr>
            <w:tcW w:w="850" w:type="dxa"/>
            <w:shd w:val="clear" w:color="auto" w:fill="FDE9D9" w:themeFill="accent6" w:themeFillTint="33"/>
          </w:tcPr>
          <w:p w14:paraId="2EC0C4D1" w14:textId="77777777" w:rsidR="00BA49B5" w:rsidRPr="009C767D" w:rsidRDefault="00BA49B5" w:rsidP="00D336FE">
            <w:pPr>
              <w:jc w:val="center"/>
            </w:pPr>
            <w:r w:rsidRPr="009C767D">
              <w:t>Sum</w:t>
            </w:r>
          </w:p>
        </w:tc>
        <w:tc>
          <w:tcPr>
            <w:tcW w:w="1969" w:type="dxa"/>
            <w:tcBorders>
              <w:top w:val="nil"/>
              <w:bottom w:val="single" w:sz="12" w:space="0" w:color="auto"/>
            </w:tcBorders>
            <w:shd w:val="clear" w:color="auto" w:fill="FDE9D9" w:themeFill="accent6" w:themeFillTint="33"/>
          </w:tcPr>
          <w:p w14:paraId="344B41B8" w14:textId="77777777" w:rsidR="00BA49B5" w:rsidRPr="009C767D" w:rsidRDefault="00BA49B5" w:rsidP="00D336FE"/>
        </w:tc>
        <w:tc>
          <w:tcPr>
            <w:tcW w:w="1150" w:type="dxa"/>
            <w:tcBorders>
              <w:top w:val="nil"/>
              <w:bottom w:val="single" w:sz="12" w:space="0" w:color="auto"/>
              <w:right w:val="single" w:sz="12" w:space="0" w:color="auto"/>
            </w:tcBorders>
            <w:shd w:val="clear" w:color="auto" w:fill="FDE9D9" w:themeFill="accent6" w:themeFillTint="33"/>
          </w:tcPr>
          <w:p w14:paraId="462507BC" w14:textId="77777777" w:rsidR="00BA49B5" w:rsidRPr="000C6637" w:rsidRDefault="00BA49B5" w:rsidP="00D336FE">
            <w:pPr>
              <w:jc w:val="center"/>
              <w:rPr>
                <w:b/>
                <w:bCs/>
              </w:rPr>
            </w:pPr>
            <w:r w:rsidRPr="000C6637">
              <w:rPr>
                <w:b/>
                <w:bCs/>
              </w:rPr>
              <w:t>1</w:t>
            </w:r>
            <w:r>
              <w:rPr>
                <w:b/>
                <w:bCs/>
              </w:rPr>
              <w:t>4</w:t>
            </w:r>
            <w:r w:rsidRPr="000C6637">
              <w:rPr>
                <w:b/>
                <w:bCs/>
              </w:rPr>
              <w:t>87</w:t>
            </w:r>
          </w:p>
        </w:tc>
        <w:tc>
          <w:tcPr>
            <w:tcW w:w="850" w:type="dxa"/>
            <w:tcBorders>
              <w:left w:val="single" w:sz="12" w:space="0" w:color="auto"/>
            </w:tcBorders>
            <w:shd w:val="clear" w:color="auto" w:fill="FDE9D9" w:themeFill="accent6" w:themeFillTint="33"/>
          </w:tcPr>
          <w:p w14:paraId="15A6939D" w14:textId="77777777" w:rsidR="00BA49B5" w:rsidRPr="009C767D" w:rsidRDefault="00BA49B5" w:rsidP="00D336FE">
            <w:pPr>
              <w:jc w:val="center"/>
            </w:pPr>
            <w:r w:rsidRPr="009C767D">
              <w:t>Sum</w:t>
            </w:r>
          </w:p>
        </w:tc>
        <w:tc>
          <w:tcPr>
            <w:tcW w:w="2268" w:type="dxa"/>
            <w:shd w:val="clear" w:color="auto" w:fill="FDE9D9" w:themeFill="accent6" w:themeFillTint="33"/>
          </w:tcPr>
          <w:p w14:paraId="3279991F" w14:textId="77777777" w:rsidR="00BA49B5" w:rsidRPr="009C767D" w:rsidRDefault="00BA49B5" w:rsidP="00D336FE"/>
        </w:tc>
        <w:tc>
          <w:tcPr>
            <w:tcW w:w="1081" w:type="dxa"/>
            <w:shd w:val="clear" w:color="auto" w:fill="FDE9D9" w:themeFill="accent6" w:themeFillTint="33"/>
          </w:tcPr>
          <w:p w14:paraId="7DF3FEBE" w14:textId="77777777" w:rsidR="00BA49B5" w:rsidRPr="000C6637" w:rsidRDefault="00BA49B5" w:rsidP="00D336FE">
            <w:pPr>
              <w:keepNext/>
              <w:jc w:val="center"/>
              <w:rPr>
                <w:b/>
                <w:bCs/>
              </w:rPr>
            </w:pPr>
            <w:r w:rsidRPr="000C6637">
              <w:rPr>
                <w:b/>
                <w:bCs/>
              </w:rPr>
              <w:t>3775</w:t>
            </w:r>
          </w:p>
        </w:tc>
      </w:tr>
    </w:tbl>
    <w:p w14:paraId="2A51A487" w14:textId="77777777" w:rsidR="00BA49B5" w:rsidRDefault="00BA49B5" w:rsidP="00BA49B5">
      <w:pPr>
        <w:pStyle w:val="SingleTxtG"/>
        <w:tabs>
          <w:tab w:val="left" w:pos="1701"/>
        </w:tabs>
        <w:ind w:left="0"/>
        <w:rPr>
          <w:lang w:val="en-US"/>
        </w:rPr>
      </w:pPr>
    </w:p>
    <w:p w14:paraId="19218631" w14:textId="03DA90B4" w:rsidR="00BA49B5" w:rsidRDefault="00E00759" w:rsidP="00E00759">
      <w:pPr>
        <w:pStyle w:val="SingleTxtG"/>
        <w:tabs>
          <w:tab w:val="left" w:pos="1701"/>
        </w:tabs>
        <w:rPr>
          <w:lang w:val="en-US"/>
        </w:rPr>
      </w:pPr>
      <w:r>
        <w:rPr>
          <w:lang w:val="en-US"/>
        </w:rPr>
        <w:t>5.</w:t>
      </w:r>
      <w:r>
        <w:rPr>
          <w:lang w:val="en-US"/>
        </w:rPr>
        <w:tab/>
      </w:r>
      <w:r w:rsidR="00BA49B5">
        <w:rPr>
          <w:lang w:val="en-US"/>
        </w:rPr>
        <w:t xml:space="preserve">Section 2.0.4.3 of the </w:t>
      </w:r>
      <w:r w:rsidR="00BA49B5" w:rsidRPr="000B293A">
        <w:rPr>
          <w:i/>
          <w:iCs/>
          <w:lang w:val="en-US"/>
        </w:rPr>
        <w:t>Model Regulations</w:t>
      </w:r>
      <w:r w:rsidR="00BA49B5">
        <w:rPr>
          <w:lang w:val="en-US"/>
        </w:rPr>
        <w:t xml:space="preserve"> gives simplified provisions for the transport of very small amounts of samples (up to 56 samples of 1 g each in a cushioning matrix with a very robust outer packaging) following a proposal from Cefic (</w:t>
      </w:r>
      <w:r w:rsidR="00BA49B5" w:rsidRPr="0064541A">
        <w:rPr>
          <w:lang w:val="en-US"/>
        </w:rPr>
        <w:t>ST/SG/AC.10/C.3/2016/61</w:t>
      </w:r>
      <w:r w:rsidR="00BA49B5">
        <w:rPr>
          <w:lang w:val="en-US"/>
        </w:rPr>
        <w:t>), but these provisions are obviously not adequate for shipping the amounts of substance needed for proper classification.</w:t>
      </w:r>
    </w:p>
    <w:p w14:paraId="3625D3A7" w14:textId="0D1147A7" w:rsidR="00BA49B5" w:rsidRDefault="00E00759" w:rsidP="00E00759">
      <w:pPr>
        <w:pStyle w:val="SingleTxtG"/>
        <w:tabs>
          <w:tab w:val="left" w:pos="1701"/>
        </w:tabs>
        <w:rPr>
          <w:lang w:val="en-US"/>
        </w:rPr>
      </w:pPr>
      <w:r>
        <w:rPr>
          <w:lang w:val="en-US"/>
        </w:rPr>
        <w:t>6.</w:t>
      </w:r>
      <w:r>
        <w:rPr>
          <w:lang w:val="en-US"/>
        </w:rPr>
        <w:tab/>
      </w:r>
      <w:r w:rsidR="00BA49B5">
        <w:rPr>
          <w:lang w:val="en-US"/>
        </w:rPr>
        <w:t xml:space="preserve">Certain untested energetic samples can theoretically be transported as potentially new explosives with special approval from a </w:t>
      </w:r>
      <w:r w:rsidR="00B866EC">
        <w:rPr>
          <w:lang w:val="en-US"/>
        </w:rPr>
        <w:t>c</w:t>
      </w:r>
      <w:r w:rsidR="00BA49B5">
        <w:rPr>
          <w:lang w:val="en-US"/>
        </w:rPr>
        <w:t xml:space="preserve">ompetent </w:t>
      </w:r>
      <w:r w:rsidR="00512E8B">
        <w:rPr>
          <w:lang w:val="en-US"/>
        </w:rPr>
        <w:t>a</w:t>
      </w:r>
      <w:r w:rsidR="00BA49B5">
        <w:rPr>
          <w:lang w:val="en-US"/>
        </w:rPr>
        <w:t>uthority. While this route would cover the transport of the amounts of substance needed for classification, the process would be challenging for institutions with little experience in dangerous goods regulations. Furthermore, given the very large number of samples that are transported worldwide by R&amp;D facilities for testing purposes (&gt; 1000 per year and company), requiring approval for all these samples would represent an inordinate demand on the resources of the authorities, and would also delay scientific development at all levels of academic and industrial research.</w:t>
      </w:r>
    </w:p>
    <w:p w14:paraId="64357CF1" w14:textId="2A59E457" w:rsidR="00BA49B5" w:rsidRPr="00F64B70" w:rsidRDefault="00E00759" w:rsidP="00E00759">
      <w:pPr>
        <w:pStyle w:val="SingleTxtG"/>
        <w:tabs>
          <w:tab w:val="left" w:pos="1701"/>
        </w:tabs>
      </w:pPr>
      <w:r w:rsidRPr="00F64B70">
        <w:t>7.</w:t>
      </w:r>
      <w:r w:rsidRPr="00F64B70">
        <w:tab/>
      </w:r>
      <w:r w:rsidR="00BA49B5" w:rsidRPr="4E43FBBA">
        <w:rPr>
          <w:lang w:val="en-US"/>
        </w:rPr>
        <w:t xml:space="preserve">Samples of self-reactive compounds and organic peroxides can be transported in relatively large amounts (Packing Method OP2, 500 g per package, 10 kg per transport unit) according to the provisions of sections </w:t>
      </w:r>
      <w:r w:rsidR="00BA49B5">
        <w:t xml:space="preserve">2.4.2.3.2.4 (b) and 2.5.3.2.5.1 of the </w:t>
      </w:r>
      <w:r w:rsidR="00BA49B5" w:rsidRPr="0089113D">
        <w:rPr>
          <w:i/>
          <w:iCs/>
        </w:rPr>
        <w:t>Model Regulations</w:t>
      </w:r>
      <w:r w:rsidR="00BA49B5">
        <w:t xml:space="preserve">. The need for temperature control can be checked even for small amounts of samples using the procedure described in section 20.3.4 of the </w:t>
      </w:r>
      <w:r w:rsidR="00BA49B5" w:rsidRPr="0089113D">
        <w:rPr>
          <w:i/>
          <w:iCs/>
        </w:rPr>
        <w:t>Manual of Tests and Criteria</w:t>
      </w:r>
      <w:r w:rsidR="00BA49B5">
        <w:t>, which also follows a proposal from Cefic (</w:t>
      </w:r>
      <w:r w:rsidR="00BA49B5" w:rsidRPr="4E43FBBA">
        <w:rPr>
          <w:lang w:val="en-US"/>
        </w:rPr>
        <w:t>ST/SG/AC.10/C.3/2019/64</w:t>
      </w:r>
      <w:r w:rsidR="00BA49B5">
        <w:t xml:space="preserve">). While these amounts </w:t>
      </w:r>
      <w:r w:rsidR="00BA49B5" w:rsidRPr="4E43FBBA">
        <w:rPr>
          <w:lang w:val="en-US"/>
        </w:rPr>
        <w:t>would be suitable for most R&amp;D purposes, the</w:t>
      </w:r>
      <w:r w:rsidR="00BA49B5">
        <w:t>se provisions require at least a partial classification of the substance, since it must be known to be a self-reactive or organic peroxide that is not more dangerous than Type B. Furthermore, strictly speaking, these provisions would not apply to substances whenever the screening provisions in Annex 6 effectively rule out classification of the substance as a self-reactive or an organic peroxide.</w:t>
      </w:r>
    </w:p>
    <w:p w14:paraId="73070A21" w14:textId="54A3C8C4" w:rsidR="00BA49B5" w:rsidRPr="00704E26" w:rsidRDefault="00E00759" w:rsidP="00E00759">
      <w:pPr>
        <w:pStyle w:val="SingleTxtG"/>
        <w:tabs>
          <w:tab w:val="left" w:pos="1701"/>
        </w:tabs>
        <w:rPr>
          <w:lang w:val="en-US"/>
        </w:rPr>
      </w:pPr>
      <w:r w:rsidRPr="00704E26">
        <w:rPr>
          <w:lang w:val="en-US"/>
        </w:rPr>
        <w:t>8.</w:t>
      </w:r>
      <w:r w:rsidRPr="00704E26">
        <w:rPr>
          <w:lang w:val="en-US"/>
        </w:rPr>
        <w:tab/>
      </w:r>
      <w:r w:rsidR="00BA49B5">
        <w:rPr>
          <w:lang w:val="en-US"/>
        </w:rPr>
        <w:t>Further complicating the issue</w:t>
      </w:r>
      <w:r w:rsidR="00BA49B5" w:rsidRPr="00704E26">
        <w:rPr>
          <w:lang w:val="en-US"/>
        </w:rPr>
        <w:t>, many small companies</w:t>
      </w:r>
      <w:r w:rsidR="00BA49B5">
        <w:rPr>
          <w:lang w:val="en-US"/>
        </w:rPr>
        <w:t>, universities,</w:t>
      </w:r>
      <w:r w:rsidR="00BA49B5" w:rsidRPr="00704E26">
        <w:rPr>
          <w:lang w:val="en-US"/>
        </w:rPr>
        <w:t xml:space="preserve"> and </w:t>
      </w:r>
      <w:r w:rsidR="00BA49B5">
        <w:rPr>
          <w:lang w:val="en-US"/>
        </w:rPr>
        <w:t xml:space="preserve">research </w:t>
      </w:r>
      <w:r w:rsidR="00BA49B5" w:rsidRPr="00704E26">
        <w:rPr>
          <w:lang w:val="en-US"/>
        </w:rPr>
        <w:t xml:space="preserve">institutes </w:t>
      </w:r>
      <w:r w:rsidR="00BA49B5">
        <w:rPr>
          <w:lang w:val="en-US"/>
        </w:rPr>
        <w:t>generally have limited knowledge of</w:t>
      </w:r>
      <w:r w:rsidR="00BA49B5" w:rsidRPr="00704E26">
        <w:rPr>
          <w:lang w:val="en-US"/>
        </w:rPr>
        <w:t xml:space="preserve"> dangerous good regulations, and therefore these substances </w:t>
      </w:r>
      <w:r w:rsidR="00BA49B5">
        <w:rPr>
          <w:lang w:val="en-US"/>
        </w:rPr>
        <w:t>are</w:t>
      </w:r>
      <w:r w:rsidR="00BA49B5" w:rsidRPr="00704E26">
        <w:rPr>
          <w:lang w:val="en-US"/>
        </w:rPr>
        <w:t xml:space="preserve"> frequently transported by regular mail or other delivery services under completely inappropriate conditions.</w:t>
      </w:r>
    </w:p>
    <w:p w14:paraId="701C995C" w14:textId="5E913DC9" w:rsidR="00BA49B5" w:rsidRDefault="00E00759" w:rsidP="00E00759">
      <w:pPr>
        <w:pStyle w:val="SingleTxtG"/>
        <w:tabs>
          <w:tab w:val="left" w:pos="1701"/>
        </w:tabs>
        <w:rPr>
          <w:lang w:val="en-US"/>
        </w:rPr>
      </w:pPr>
      <w:r>
        <w:rPr>
          <w:lang w:val="en-US"/>
        </w:rPr>
        <w:t>9.</w:t>
      </w:r>
      <w:r>
        <w:rPr>
          <w:lang w:val="en-US"/>
        </w:rPr>
        <w:tab/>
      </w:r>
      <w:r w:rsidR="00BA49B5" w:rsidRPr="00721A06">
        <w:rPr>
          <w:lang w:val="en-US"/>
        </w:rPr>
        <w:t xml:space="preserve">Due to this situation, </w:t>
      </w:r>
      <w:r w:rsidR="00BA49B5">
        <w:rPr>
          <w:lang w:val="en-US"/>
        </w:rPr>
        <w:t>Cefic</w:t>
      </w:r>
      <w:r w:rsidR="00BA49B5" w:rsidRPr="00721A06">
        <w:rPr>
          <w:lang w:val="en-US"/>
        </w:rPr>
        <w:t xml:space="preserve"> emphasizes the need for a practical solution in this matter </w:t>
      </w:r>
      <w:r w:rsidR="00BA49B5">
        <w:rPr>
          <w:lang w:val="en-US"/>
        </w:rPr>
        <w:t>that is readily</w:t>
      </w:r>
      <w:r w:rsidR="00BA49B5" w:rsidRPr="00721A06">
        <w:rPr>
          <w:lang w:val="en-US"/>
        </w:rPr>
        <w:t xml:space="preserve"> understood and applied </w:t>
      </w:r>
      <w:r w:rsidR="00BA49B5">
        <w:rPr>
          <w:lang w:val="en-US"/>
        </w:rPr>
        <w:t xml:space="preserve">by organizations </w:t>
      </w:r>
      <w:r w:rsidR="00BA49B5" w:rsidRPr="00721A06">
        <w:rPr>
          <w:lang w:val="en-US"/>
        </w:rPr>
        <w:t xml:space="preserve">less </w:t>
      </w:r>
      <w:r w:rsidR="00BA49B5">
        <w:rPr>
          <w:lang w:val="en-US"/>
        </w:rPr>
        <w:t xml:space="preserve">familiar with </w:t>
      </w:r>
      <w:r w:rsidR="00BA49B5" w:rsidRPr="00721A06">
        <w:rPr>
          <w:lang w:val="en-US"/>
        </w:rPr>
        <w:t>dangerous goods regulations.</w:t>
      </w:r>
      <w:r w:rsidR="00BA49B5">
        <w:rPr>
          <w:lang w:val="en-US"/>
        </w:rPr>
        <w:t xml:space="preserve"> Towards this goal Cefic has already submitted proposals for the transport of small amounts of samples (as </w:t>
      </w:r>
      <w:r w:rsidR="00BA49B5" w:rsidRPr="008B1A70">
        <w:rPr>
          <w:lang w:val="en-US"/>
        </w:rPr>
        <w:t xml:space="preserve">mentioned in </w:t>
      </w:r>
      <w:r w:rsidR="00CE48C7">
        <w:rPr>
          <w:lang w:val="en-US"/>
        </w:rPr>
        <w:t>paragraph</w:t>
      </w:r>
      <w:r w:rsidR="00BA49B5" w:rsidRPr="008B1A70">
        <w:rPr>
          <w:lang w:val="en-US"/>
        </w:rPr>
        <w:t xml:space="preserve"> </w:t>
      </w:r>
      <w:r w:rsidR="00BA49B5">
        <w:rPr>
          <w:lang w:val="en-US"/>
        </w:rPr>
        <w:t>5</w:t>
      </w:r>
      <w:r w:rsidR="00BA49B5" w:rsidRPr="008B1A70">
        <w:rPr>
          <w:lang w:val="en-US"/>
        </w:rPr>
        <w:t xml:space="preserve"> above) and also for a practical and easily applicable approach to determine thermal stability and possible temperature control requirements for samples (as mentioned in </w:t>
      </w:r>
      <w:r w:rsidR="00CE48C7">
        <w:rPr>
          <w:lang w:val="en-US"/>
        </w:rPr>
        <w:t>paragraph</w:t>
      </w:r>
      <w:r w:rsidR="00BA49B5" w:rsidRPr="00EE4AEB">
        <w:rPr>
          <w:lang w:val="en-US"/>
        </w:rPr>
        <w:t xml:space="preserve"> </w:t>
      </w:r>
      <w:r w:rsidR="00BA49B5">
        <w:rPr>
          <w:lang w:val="en-US"/>
        </w:rPr>
        <w:t>7 above). These proposals were accepted by the Sub</w:t>
      </w:r>
      <w:r w:rsidR="002B18C9">
        <w:rPr>
          <w:lang w:val="en-US"/>
        </w:rPr>
        <w:t>-C</w:t>
      </w:r>
      <w:r w:rsidR="00BA49B5">
        <w:rPr>
          <w:lang w:val="en-US"/>
        </w:rPr>
        <w:t xml:space="preserve">ommittee in previous biennia and are already included in the </w:t>
      </w:r>
      <w:r w:rsidR="00BA49B5" w:rsidRPr="00CE2D05">
        <w:rPr>
          <w:i/>
          <w:iCs/>
          <w:lang w:val="en-US"/>
        </w:rPr>
        <w:t>Model Regulations</w:t>
      </w:r>
      <w:r w:rsidR="00BA49B5">
        <w:rPr>
          <w:lang w:val="en-US"/>
        </w:rPr>
        <w:t xml:space="preserve"> and the </w:t>
      </w:r>
      <w:r w:rsidR="00BA49B5" w:rsidRPr="00CE2D05">
        <w:rPr>
          <w:i/>
          <w:iCs/>
          <w:lang w:val="en-US"/>
        </w:rPr>
        <w:t>Manual of Tests and Criteria</w:t>
      </w:r>
      <w:r w:rsidR="00BA49B5">
        <w:rPr>
          <w:lang w:val="en-US"/>
        </w:rPr>
        <w:t>.</w:t>
      </w:r>
    </w:p>
    <w:p w14:paraId="1434448D" w14:textId="10ED5AC1" w:rsidR="00BA49B5" w:rsidRDefault="00E00759" w:rsidP="00E00759">
      <w:pPr>
        <w:pStyle w:val="SingleTxtG"/>
        <w:tabs>
          <w:tab w:val="left" w:pos="1701"/>
        </w:tabs>
        <w:rPr>
          <w:lang w:val="en-US"/>
        </w:rPr>
      </w:pPr>
      <w:r>
        <w:rPr>
          <w:lang w:val="en-US"/>
        </w:rPr>
        <w:t>10.</w:t>
      </w:r>
      <w:r>
        <w:rPr>
          <w:lang w:val="en-US"/>
        </w:rPr>
        <w:tab/>
      </w:r>
      <w:r w:rsidR="00BA49B5">
        <w:rPr>
          <w:lang w:val="en-US"/>
        </w:rPr>
        <w:t xml:space="preserve">In the current biennium, Cefic takes the next step </w:t>
      </w:r>
      <w:r w:rsidR="00BA49B5" w:rsidRPr="0064541A">
        <w:rPr>
          <w:lang w:val="en-US"/>
        </w:rPr>
        <w:t>towards a comprehensive solution</w:t>
      </w:r>
      <w:r w:rsidR="00BA49B5">
        <w:rPr>
          <w:lang w:val="en-US"/>
        </w:rPr>
        <w:t xml:space="preserve"> by </w:t>
      </w:r>
      <w:r w:rsidR="00BA49B5" w:rsidRPr="0064541A">
        <w:rPr>
          <w:lang w:val="en-US"/>
        </w:rPr>
        <w:t>introduc</w:t>
      </w:r>
      <w:r w:rsidR="00BA49B5">
        <w:rPr>
          <w:lang w:val="en-US"/>
        </w:rPr>
        <w:t xml:space="preserve">ing </w:t>
      </w:r>
      <w:r w:rsidR="00BA49B5" w:rsidRPr="0064541A">
        <w:rPr>
          <w:lang w:val="en-US"/>
        </w:rPr>
        <w:t xml:space="preserve">their concept for samples in larger amounts. </w:t>
      </w:r>
      <w:r w:rsidR="00BA49B5">
        <w:rPr>
          <w:lang w:val="en-US"/>
        </w:rPr>
        <w:t xml:space="preserve">Encouraged by discussions both in the International Group for Unstable Substances: Energetic and Oxidizing Substances </w:t>
      </w:r>
      <w:r w:rsidR="00BA49B5">
        <w:rPr>
          <w:lang w:val="en-US"/>
        </w:rPr>
        <w:lastRenderedPageBreak/>
        <w:t>(IGUS EOS Working Group) and the Working Group on Explosives of the TDG Sub-Committee, Cefic</w:t>
      </w:r>
      <w:r w:rsidR="00BA49B5" w:rsidRPr="0064541A">
        <w:rPr>
          <w:lang w:val="en-US"/>
        </w:rPr>
        <w:t xml:space="preserve"> submit</w:t>
      </w:r>
      <w:r w:rsidR="00BA49B5">
        <w:rPr>
          <w:lang w:val="en-US"/>
        </w:rPr>
        <w:t>ted a proposal for a flow chart along with detailed justifications</w:t>
      </w:r>
      <w:r w:rsidR="00BA49B5" w:rsidRPr="0064541A">
        <w:rPr>
          <w:lang w:val="en-US"/>
        </w:rPr>
        <w:t>.</w:t>
      </w:r>
      <w:r w:rsidR="00BA49B5">
        <w:rPr>
          <w:lang w:val="en-US"/>
        </w:rPr>
        <w:t xml:space="preserve"> As a result of these discussions, the Working Group on Explosives requested more time to examine the issue and suggested that Cefic submit a formal proposal to facilitate the discussions. Following this request, Cefic now presents this informal document to further facilitate the discussions.</w:t>
      </w:r>
    </w:p>
    <w:p w14:paraId="34369EE1" w14:textId="7974CD1A" w:rsidR="00BA49B5" w:rsidRPr="00775393" w:rsidRDefault="00E00759" w:rsidP="00E00759">
      <w:pPr>
        <w:pStyle w:val="SingleTxtG"/>
        <w:tabs>
          <w:tab w:val="left" w:pos="1701"/>
        </w:tabs>
        <w:rPr>
          <w:lang w:val="en-US"/>
        </w:rPr>
      </w:pPr>
      <w:r w:rsidRPr="00775393">
        <w:rPr>
          <w:lang w:val="en-US"/>
        </w:rPr>
        <w:t>11.</w:t>
      </w:r>
      <w:r w:rsidRPr="00775393">
        <w:rPr>
          <w:lang w:val="en-US"/>
        </w:rPr>
        <w:tab/>
      </w:r>
      <w:r w:rsidR="00BA49B5">
        <w:rPr>
          <w:lang w:val="en-US"/>
        </w:rPr>
        <w:t>Cefic requests the Subcommittee to carefully review the proposal laid out in this paper. Written comments by the delegations are highly appreciated and should be sent by e</w:t>
      </w:r>
      <w:r w:rsidR="00BA49B5">
        <w:rPr>
          <w:lang w:val="en-US"/>
        </w:rPr>
        <w:noBreakHyphen/>
        <w:t>mail to the Cefic representative. Based on the feedback, Cefic will submit a formal proposal for the subsequent summer session.</w:t>
      </w:r>
    </w:p>
    <w:p w14:paraId="2E79E66C" w14:textId="5234C967" w:rsidR="00BA49B5" w:rsidRPr="00775393" w:rsidRDefault="00BA49B5" w:rsidP="00BA49B5">
      <w:pPr>
        <w:pStyle w:val="HChG"/>
      </w:pPr>
      <w:r>
        <w:tab/>
      </w:r>
      <w:r w:rsidR="00E00759">
        <w:t>II.</w:t>
      </w:r>
      <w:r w:rsidR="00E00759">
        <w:tab/>
      </w:r>
      <w:r w:rsidRPr="00775393">
        <w:t>Discussion</w:t>
      </w:r>
    </w:p>
    <w:p w14:paraId="1589780E" w14:textId="77777777" w:rsidR="00BA49B5" w:rsidRPr="006D26EA" w:rsidRDefault="00BA49B5" w:rsidP="00BA49B5">
      <w:pPr>
        <w:pStyle w:val="H1G"/>
        <w:rPr>
          <w:lang w:val="en-US"/>
        </w:rPr>
      </w:pPr>
      <w:r w:rsidRPr="0064541A">
        <w:rPr>
          <w:lang w:val="en-US"/>
        </w:rPr>
        <w:tab/>
      </w:r>
      <w:r w:rsidRPr="0064541A">
        <w:rPr>
          <w:lang w:val="en-US"/>
        </w:rPr>
        <w:tab/>
      </w:r>
      <w:r>
        <w:rPr>
          <w:lang w:val="en-US"/>
        </w:rPr>
        <w:t>Explosives, self-reactive substances, and stable energetic substances</w:t>
      </w:r>
    </w:p>
    <w:p w14:paraId="55CF7B1D" w14:textId="7F44476B" w:rsidR="00BA49B5" w:rsidRDefault="00E00759" w:rsidP="00E00759">
      <w:pPr>
        <w:pStyle w:val="SingleTxtG"/>
        <w:keepNext/>
        <w:tabs>
          <w:tab w:val="left" w:pos="1701"/>
        </w:tabs>
        <w:rPr>
          <w:lang w:val="en-US"/>
        </w:rPr>
      </w:pPr>
      <w:r>
        <w:rPr>
          <w:lang w:val="en-US"/>
        </w:rPr>
        <w:t>12.</w:t>
      </w:r>
      <w:r>
        <w:rPr>
          <w:lang w:val="en-US"/>
        </w:rPr>
        <w:tab/>
      </w:r>
      <w:r w:rsidR="00BA49B5" w:rsidRPr="00F72FE5">
        <w:rPr>
          <w:lang w:val="en-US"/>
        </w:rPr>
        <w:t xml:space="preserve">An overview of the current classification criteria is shown in </w:t>
      </w:r>
      <w:r w:rsidR="00BA49B5">
        <w:rPr>
          <w:lang w:val="en-US"/>
        </w:rPr>
        <w:t>Figure 1</w:t>
      </w:r>
      <w:r w:rsidR="00BA49B5" w:rsidRPr="00F72FE5">
        <w:rPr>
          <w:lang w:val="en-US"/>
        </w:rPr>
        <w:t xml:space="preserve"> below. To simplify the discussion, special cases such as pyrotechnics, articles, and ammonium nitrate emulsions, suspensions or gels (ANEs) are summarized as “intentional explosives” and not further discussed here since the focus of this proposal is on energetic research samples that are not intentional explosives. </w:t>
      </w:r>
    </w:p>
    <w:p w14:paraId="13B2F30F" w14:textId="77777777" w:rsidR="00BA49B5" w:rsidRDefault="00BA49B5" w:rsidP="00BA49B5">
      <w:pPr>
        <w:pStyle w:val="SingleTxtG"/>
        <w:keepNext/>
        <w:tabs>
          <w:tab w:val="left" w:pos="1701"/>
        </w:tabs>
        <w:ind w:left="1494" w:hanging="360"/>
      </w:pPr>
      <w:r>
        <w:rPr>
          <w:noProof/>
          <w:lang w:val="de-DE" w:eastAsia="de-DE"/>
        </w:rPr>
        <w:drawing>
          <wp:inline distT="0" distB="0" distL="0" distR="0" wp14:anchorId="2679F302" wp14:editId="2F6C55E4">
            <wp:extent cx="4666501" cy="273132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218" cy="2738768"/>
                    </a:xfrm>
                    <a:prstGeom prst="rect">
                      <a:avLst/>
                    </a:prstGeom>
                    <a:noFill/>
                  </pic:spPr>
                </pic:pic>
              </a:graphicData>
            </a:graphic>
          </wp:inline>
        </w:drawing>
      </w:r>
    </w:p>
    <w:p w14:paraId="0D34FF73" w14:textId="27EBD001" w:rsidR="00BA49B5" w:rsidRPr="00E00759" w:rsidRDefault="00BA49B5" w:rsidP="00E00759">
      <w:pPr>
        <w:pStyle w:val="Caption"/>
        <w:ind w:left="1134" w:right="1134"/>
        <w:jc w:val="center"/>
        <w:rPr>
          <w:color w:val="auto"/>
          <w:sz w:val="20"/>
          <w:szCs w:val="20"/>
          <w:lang w:val="en-US"/>
        </w:rPr>
      </w:pPr>
      <w:r w:rsidRPr="00927142">
        <w:rPr>
          <w:color w:val="auto"/>
          <w:sz w:val="20"/>
          <w:szCs w:val="20"/>
        </w:rPr>
        <w:t xml:space="preserve">Figure </w:t>
      </w:r>
      <w:r w:rsidRPr="00927142">
        <w:rPr>
          <w:color w:val="auto"/>
          <w:sz w:val="20"/>
          <w:szCs w:val="20"/>
        </w:rPr>
        <w:fldChar w:fldCharType="begin"/>
      </w:r>
      <w:r w:rsidRPr="00927142">
        <w:rPr>
          <w:color w:val="auto"/>
          <w:sz w:val="20"/>
          <w:szCs w:val="20"/>
        </w:rPr>
        <w:instrText xml:space="preserve"> SEQ Figure \* ARABIC </w:instrText>
      </w:r>
      <w:r w:rsidRPr="00927142">
        <w:rPr>
          <w:color w:val="auto"/>
          <w:sz w:val="20"/>
          <w:szCs w:val="20"/>
        </w:rPr>
        <w:fldChar w:fldCharType="separate"/>
      </w:r>
      <w:r>
        <w:rPr>
          <w:noProof/>
          <w:color w:val="auto"/>
          <w:sz w:val="20"/>
          <w:szCs w:val="20"/>
        </w:rPr>
        <w:t>1</w:t>
      </w:r>
      <w:r w:rsidRPr="00927142">
        <w:rPr>
          <w:color w:val="auto"/>
          <w:sz w:val="20"/>
          <w:szCs w:val="20"/>
        </w:rPr>
        <w:fldChar w:fldCharType="end"/>
      </w:r>
      <w:r w:rsidRPr="00927142">
        <w:rPr>
          <w:noProof/>
          <w:color w:val="auto"/>
          <w:sz w:val="20"/>
          <w:szCs w:val="20"/>
        </w:rPr>
        <w:t>:</w:t>
      </w:r>
      <w:r w:rsidRPr="00927142">
        <w:rPr>
          <w:color w:val="auto"/>
          <w:sz w:val="20"/>
          <w:szCs w:val="20"/>
        </w:rPr>
        <w:t xml:space="preserve"> Classes of energetic substances</w:t>
      </w:r>
    </w:p>
    <w:p w14:paraId="45389254" w14:textId="14398F89" w:rsidR="00BA49B5" w:rsidRDefault="00E00759" w:rsidP="00E00759">
      <w:pPr>
        <w:pStyle w:val="SingleTxtG"/>
        <w:tabs>
          <w:tab w:val="left" w:pos="1701"/>
        </w:tabs>
        <w:rPr>
          <w:lang w:val="en-US"/>
        </w:rPr>
      </w:pPr>
      <w:r>
        <w:rPr>
          <w:lang w:val="en-US"/>
        </w:rPr>
        <w:t>13.</w:t>
      </w:r>
      <w:r>
        <w:rPr>
          <w:lang w:val="en-US"/>
        </w:rPr>
        <w:tab/>
      </w:r>
      <w:r w:rsidR="00BA49B5">
        <w:rPr>
          <w:lang w:val="en-US"/>
        </w:rPr>
        <w:t>As already mentioned in the introduction of this document, the samples under consideration contain substances carrying functional groups</w:t>
      </w:r>
      <w:r w:rsidR="00BA49B5" w:rsidRPr="00AC0B4A">
        <w:rPr>
          <w:lang w:val="en-US"/>
        </w:rPr>
        <w:t xml:space="preserve"> </w:t>
      </w:r>
      <w:r w:rsidR="00BA49B5" w:rsidRPr="00AC236C">
        <w:rPr>
          <w:lang w:val="en-US"/>
        </w:rPr>
        <w:t xml:space="preserve">indicating potential explosive or self-reactive properties </w:t>
      </w:r>
      <w:r w:rsidR="00BA49B5">
        <w:rPr>
          <w:lang w:val="en-US"/>
        </w:rPr>
        <w:t>(</w:t>
      </w:r>
      <w:r w:rsidR="00BA49B5" w:rsidRPr="00AC236C">
        <w:rPr>
          <w:lang w:val="en-US"/>
        </w:rPr>
        <w:t>tables A6.1 and</w:t>
      </w:r>
      <w:r w:rsidR="00BA49B5">
        <w:rPr>
          <w:lang w:val="en-US"/>
        </w:rPr>
        <w:t xml:space="preserve"> </w:t>
      </w:r>
      <w:r w:rsidR="00BA49B5" w:rsidRPr="00AC236C">
        <w:rPr>
          <w:lang w:val="en-US"/>
        </w:rPr>
        <w:t>A6.3 in Annex 6 of th</w:t>
      </w:r>
      <w:r w:rsidR="00BA49B5">
        <w:rPr>
          <w:lang w:val="en-US"/>
        </w:rPr>
        <w:t xml:space="preserve">e </w:t>
      </w:r>
      <w:r w:rsidR="00BA49B5" w:rsidRPr="00E465EA">
        <w:rPr>
          <w:i/>
          <w:iCs/>
          <w:lang w:val="en-US"/>
        </w:rPr>
        <w:t>Manual of Tests and Criteria</w:t>
      </w:r>
      <w:r w:rsidR="00BA49B5">
        <w:rPr>
          <w:lang w:val="en-US"/>
        </w:rPr>
        <w:t>).</w:t>
      </w:r>
    </w:p>
    <w:p w14:paraId="26527928" w14:textId="7DC89CF0" w:rsidR="00BA49B5" w:rsidRDefault="00E00759" w:rsidP="00E00759">
      <w:pPr>
        <w:pStyle w:val="SingleTxtG"/>
        <w:tabs>
          <w:tab w:val="left" w:pos="1701"/>
        </w:tabs>
        <w:rPr>
          <w:lang w:val="en-US"/>
        </w:rPr>
      </w:pPr>
      <w:r>
        <w:rPr>
          <w:lang w:val="en-US"/>
        </w:rPr>
        <w:t>14.</w:t>
      </w:r>
      <w:r>
        <w:rPr>
          <w:lang w:val="en-US"/>
        </w:rPr>
        <w:tab/>
      </w:r>
      <w:r w:rsidR="00BA49B5">
        <w:rPr>
          <w:lang w:val="en-US"/>
        </w:rPr>
        <w:t xml:space="preserve">According to 2.1.1.5 of the </w:t>
      </w:r>
      <w:r w:rsidR="00BA49B5" w:rsidRPr="006A42E8">
        <w:rPr>
          <w:i/>
          <w:iCs/>
          <w:lang w:val="en-US"/>
        </w:rPr>
        <w:t>Model Regulations</w:t>
      </w:r>
      <w:r w:rsidR="00BA49B5">
        <w:rPr>
          <w:lang w:val="en-US"/>
        </w:rPr>
        <w:t xml:space="preserve"> and 10.2.1 (b) of the </w:t>
      </w:r>
      <w:r w:rsidR="00BA49B5" w:rsidRPr="00E465EA">
        <w:rPr>
          <w:i/>
          <w:iCs/>
          <w:lang w:val="en-US"/>
        </w:rPr>
        <w:t>Manual of Tests and Criteria</w:t>
      </w:r>
      <w:r w:rsidR="00BA49B5">
        <w:rPr>
          <w:lang w:val="en-US"/>
        </w:rPr>
        <w:t>, any substance should be first considered for inclusion in Class 1.</w:t>
      </w:r>
    </w:p>
    <w:p w14:paraId="44FEC8CD" w14:textId="0F6A5842" w:rsidR="00BA49B5" w:rsidRDefault="00E00759" w:rsidP="00E00759">
      <w:pPr>
        <w:pStyle w:val="SingleTxtG"/>
        <w:tabs>
          <w:tab w:val="left" w:pos="1701"/>
        </w:tabs>
        <w:rPr>
          <w:lang w:val="en-US"/>
        </w:rPr>
      </w:pPr>
      <w:r>
        <w:rPr>
          <w:lang w:val="en-US"/>
        </w:rPr>
        <w:t>15.</w:t>
      </w:r>
      <w:r>
        <w:rPr>
          <w:lang w:val="en-US"/>
        </w:rPr>
        <w:tab/>
      </w:r>
      <w:r w:rsidR="00BA49B5">
        <w:rPr>
          <w:lang w:val="en-US"/>
        </w:rPr>
        <w:t xml:space="preserve">Appendix 6, section 3.3 (c) of the </w:t>
      </w:r>
      <w:r w:rsidR="00BA49B5" w:rsidRPr="006A42E8">
        <w:rPr>
          <w:i/>
          <w:iCs/>
          <w:lang w:val="en-US"/>
        </w:rPr>
        <w:t>Manual of Tests and Criteria</w:t>
      </w:r>
      <w:r w:rsidR="00BA49B5">
        <w:rPr>
          <w:lang w:val="en-US"/>
        </w:rPr>
        <w:t xml:space="preserve"> states that for organic substances containing chemical groups associated with explosive properties the Class 1 acceptance procedure does not have to be applied:</w:t>
      </w:r>
    </w:p>
    <w:p w14:paraId="7D6A2F12" w14:textId="78CA995C" w:rsidR="00BA49B5" w:rsidRPr="00052876" w:rsidRDefault="00E00759" w:rsidP="00E00759">
      <w:pPr>
        <w:pStyle w:val="SingleTxtG"/>
        <w:ind w:left="2268" w:hanging="567"/>
        <w:rPr>
          <w:lang w:val="en-US"/>
        </w:rPr>
      </w:pPr>
      <w:r w:rsidRPr="00052876">
        <w:rPr>
          <w:lang w:val="en-US"/>
        </w:rPr>
        <w:t>(a)</w:t>
      </w:r>
      <w:r w:rsidRPr="00052876">
        <w:rPr>
          <w:lang w:val="en-US"/>
        </w:rPr>
        <w:tab/>
      </w:r>
      <w:r w:rsidR="00BA49B5">
        <w:rPr>
          <w:lang w:val="en-US"/>
        </w:rPr>
        <w:t>W</w:t>
      </w:r>
      <w:r w:rsidR="00BA49B5" w:rsidRPr="00052876">
        <w:rPr>
          <w:lang w:val="en-US"/>
        </w:rPr>
        <w:t>hen the exothermic decomposition energy is less than 500 J/g, or</w:t>
      </w:r>
    </w:p>
    <w:p w14:paraId="6D9CB421" w14:textId="2DE47A26" w:rsidR="00BA49B5" w:rsidRPr="008D59C1" w:rsidRDefault="00E00759" w:rsidP="00E00759">
      <w:pPr>
        <w:pStyle w:val="SingleTxtG"/>
        <w:ind w:left="1701"/>
        <w:rPr>
          <w:lang w:val="en-US"/>
        </w:rPr>
      </w:pPr>
      <w:r w:rsidRPr="008D59C1">
        <w:rPr>
          <w:lang w:val="en-US"/>
        </w:rPr>
        <w:t>(b)</w:t>
      </w:r>
      <w:r w:rsidRPr="008D59C1">
        <w:rPr>
          <w:lang w:val="en-US"/>
        </w:rPr>
        <w:tab/>
      </w:r>
      <w:r w:rsidR="00BA49B5">
        <w:rPr>
          <w:lang w:val="en-US"/>
        </w:rPr>
        <w:t>W</w:t>
      </w:r>
      <w:r w:rsidR="00BA49B5" w:rsidRPr="00052876">
        <w:rPr>
          <w:lang w:val="en-US"/>
        </w:rPr>
        <w:t xml:space="preserve">hen the onset of exothermic decomposition is 500 °C or above as </w:t>
      </w:r>
      <w:r w:rsidR="00BA49B5" w:rsidRPr="00052876">
        <w:rPr>
          <w:lang w:val="en-US"/>
        </w:rPr>
        <w:tab/>
        <w:t>indicated by Table A6.2.</w:t>
      </w:r>
    </w:p>
    <w:p w14:paraId="2FB75A17" w14:textId="496DE2D3" w:rsidR="00BA49B5" w:rsidRDefault="00E00759" w:rsidP="00E00759">
      <w:pPr>
        <w:pStyle w:val="SingleTxtG"/>
        <w:tabs>
          <w:tab w:val="left" w:pos="1701"/>
        </w:tabs>
        <w:rPr>
          <w:lang w:val="en-US"/>
        </w:rPr>
      </w:pPr>
      <w:r>
        <w:rPr>
          <w:lang w:val="en-US"/>
        </w:rPr>
        <w:t>16.</w:t>
      </w:r>
      <w:r>
        <w:rPr>
          <w:lang w:val="en-US"/>
        </w:rPr>
        <w:tab/>
      </w:r>
      <w:r w:rsidR="00BA49B5">
        <w:rPr>
          <w:lang w:val="en-US"/>
        </w:rPr>
        <w:t xml:space="preserve">If both of these conditions are not met, then </w:t>
      </w:r>
      <w:r w:rsidR="00BA49B5" w:rsidRPr="256ECD73">
        <w:rPr>
          <w:lang w:val="en-US"/>
        </w:rPr>
        <w:t xml:space="preserve">classification of the </w:t>
      </w:r>
      <w:r w:rsidR="00BA49B5">
        <w:rPr>
          <w:lang w:val="en-US"/>
        </w:rPr>
        <w:t xml:space="preserve">substance must </w:t>
      </w:r>
      <w:r w:rsidR="00BA49B5" w:rsidRPr="0F4E450C">
        <w:rPr>
          <w:lang w:val="en-US"/>
        </w:rPr>
        <w:t xml:space="preserve">follow </w:t>
      </w:r>
      <w:r w:rsidR="00BA49B5">
        <w:rPr>
          <w:lang w:val="en-US"/>
        </w:rPr>
        <w:t xml:space="preserve">the acceptance procedure as described in sections 2.1.3.2 and 2.1.3.3 of the </w:t>
      </w:r>
      <w:r w:rsidR="00BA49B5" w:rsidRPr="002869C6">
        <w:rPr>
          <w:i/>
          <w:iCs/>
          <w:lang w:val="en-US"/>
        </w:rPr>
        <w:t xml:space="preserve">Model </w:t>
      </w:r>
      <w:r w:rsidR="00BA49B5" w:rsidRPr="002869C6">
        <w:rPr>
          <w:i/>
          <w:iCs/>
          <w:lang w:val="en-US"/>
        </w:rPr>
        <w:lastRenderedPageBreak/>
        <w:t>Regulations</w:t>
      </w:r>
      <w:r w:rsidR="00BA49B5">
        <w:rPr>
          <w:lang w:val="en-US"/>
        </w:rPr>
        <w:t xml:space="preserve">; a flow chart showing this procedure is given in Figure 10.2 of the </w:t>
      </w:r>
      <w:r w:rsidR="00BA49B5" w:rsidRPr="002869C6">
        <w:rPr>
          <w:i/>
          <w:iCs/>
          <w:lang w:val="en-US"/>
        </w:rPr>
        <w:t>Manual of Tests and Criteria</w:t>
      </w:r>
      <w:r w:rsidR="00BA49B5">
        <w:rPr>
          <w:lang w:val="en-US"/>
        </w:rPr>
        <w:t>. For possible non-intentional explosives, test series 2 determines whether a substance is to be considered for Class 1 (Box 7 of that flow chart).</w:t>
      </w:r>
    </w:p>
    <w:p w14:paraId="2807E0D3" w14:textId="01BCF775" w:rsidR="00BA49B5" w:rsidRDefault="00E00759" w:rsidP="00E00759">
      <w:pPr>
        <w:pStyle w:val="SingleTxtG"/>
        <w:tabs>
          <w:tab w:val="left" w:pos="1701"/>
        </w:tabs>
        <w:rPr>
          <w:lang w:val="en-US"/>
        </w:rPr>
      </w:pPr>
      <w:r>
        <w:rPr>
          <w:lang w:val="en-US"/>
        </w:rPr>
        <w:t>17.</w:t>
      </w:r>
      <w:r>
        <w:rPr>
          <w:lang w:val="en-US"/>
        </w:rPr>
        <w:tab/>
      </w:r>
      <w:r w:rsidR="00BA49B5" w:rsidRPr="005F4826">
        <w:rPr>
          <w:lang w:val="en-US"/>
        </w:rPr>
        <w:t xml:space="preserve">Subsequently, </w:t>
      </w:r>
      <w:r w:rsidR="00BA49B5">
        <w:rPr>
          <w:lang w:val="en-US"/>
        </w:rPr>
        <w:t xml:space="preserve">the </w:t>
      </w:r>
      <w:r w:rsidR="00BA49B5" w:rsidRPr="005F4826">
        <w:rPr>
          <w:lang w:val="en-US"/>
        </w:rPr>
        <w:t xml:space="preserve">thermal stability and mechanical sensitivity </w:t>
      </w:r>
      <w:r w:rsidR="00BA49B5">
        <w:rPr>
          <w:lang w:val="en-US"/>
        </w:rPr>
        <w:t>of the substance are</w:t>
      </w:r>
      <w:r w:rsidR="00BA49B5" w:rsidRPr="005F4826">
        <w:rPr>
          <w:lang w:val="en-US"/>
        </w:rPr>
        <w:t xml:space="preserve"> determined (test series 3 and 4). If the subs</w:t>
      </w:r>
      <w:r w:rsidR="00BA49B5">
        <w:rPr>
          <w:lang w:val="en-US"/>
        </w:rPr>
        <w:t>tance is not thermally stable, C</w:t>
      </w:r>
      <w:r w:rsidR="00BA49B5" w:rsidRPr="005F4826">
        <w:rPr>
          <w:lang w:val="en-US"/>
        </w:rPr>
        <w:t>lass 1 is rejected (box 12). However, section 10.3.3.</w:t>
      </w:r>
      <w:r w:rsidR="00BA49B5">
        <w:rPr>
          <w:lang w:val="en-US"/>
        </w:rPr>
        <w:t>4</w:t>
      </w:r>
      <w:r w:rsidR="00BA49B5" w:rsidRPr="005F4826">
        <w:rPr>
          <w:lang w:val="en-US"/>
        </w:rPr>
        <w:t xml:space="preserve"> of the </w:t>
      </w:r>
      <w:r w:rsidR="00BA49B5" w:rsidRPr="007B0FAE">
        <w:rPr>
          <w:i/>
          <w:iCs/>
          <w:lang w:val="en-US"/>
        </w:rPr>
        <w:t>Manual of Tests and Criteria</w:t>
      </w:r>
      <w:r w:rsidR="00BA49B5">
        <w:rPr>
          <w:lang w:val="en-US"/>
        </w:rPr>
        <w:t xml:space="preserve"> </w:t>
      </w:r>
      <w:r w:rsidR="00BA49B5" w:rsidRPr="005F4826">
        <w:rPr>
          <w:lang w:val="en-US"/>
        </w:rPr>
        <w:t>suggests that for “a substance, not designed to have an explosive effect … it is more appropriate to start the testing procedure with test series 3</w:t>
      </w:r>
      <w:r w:rsidR="00BA49B5">
        <w:rPr>
          <w:lang w:val="en-US"/>
        </w:rPr>
        <w:t>” to ensure safe handling during testing</w:t>
      </w:r>
      <w:r w:rsidR="00BA49B5" w:rsidRPr="005F4826">
        <w:rPr>
          <w:lang w:val="en-US"/>
        </w:rPr>
        <w:t>.</w:t>
      </w:r>
    </w:p>
    <w:p w14:paraId="5148C888" w14:textId="43E34AE4" w:rsidR="00BA49B5" w:rsidRDefault="00E00759" w:rsidP="00E00759">
      <w:pPr>
        <w:pStyle w:val="SingleTxtG"/>
        <w:tabs>
          <w:tab w:val="left" w:pos="1701"/>
        </w:tabs>
        <w:rPr>
          <w:lang w:val="en-US"/>
        </w:rPr>
      </w:pPr>
      <w:r>
        <w:rPr>
          <w:lang w:val="en-US"/>
        </w:rPr>
        <w:t>18.</w:t>
      </w:r>
      <w:r>
        <w:rPr>
          <w:lang w:val="en-US"/>
        </w:rPr>
        <w:tab/>
      </w:r>
      <w:r w:rsidR="00BA49B5">
        <w:rPr>
          <w:lang w:val="en-US"/>
        </w:rPr>
        <w:t>If Class 1 is rejected due to insufficient thermal stability, a classification as a self-reactive substance will apply.</w:t>
      </w:r>
    </w:p>
    <w:p w14:paraId="7041E6FD" w14:textId="55F4F531" w:rsidR="00BA49B5" w:rsidRDefault="00E00759" w:rsidP="00E00759">
      <w:pPr>
        <w:pStyle w:val="SingleTxtG"/>
        <w:tabs>
          <w:tab w:val="left" w:pos="1701"/>
        </w:tabs>
        <w:rPr>
          <w:lang w:val="en-US"/>
        </w:rPr>
      </w:pPr>
      <w:r>
        <w:rPr>
          <w:lang w:val="en-US"/>
        </w:rPr>
        <w:t>19.</w:t>
      </w:r>
      <w:r>
        <w:rPr>
          <w:lang w:val="en-US"/>
        </w:rPr>
        <w:tab/>
      </w:r>
      <w:r w:rsidR="00BA49B5">
        <w:rPr>
          <w:lang w:val="en-US"/>
        </w:rPr>
        <w:t xml:space="preserve">Self-reactive substances are defined in 2.4.2.3.1.1 of the </w:t>
      </w:r>
      <w:r w:rsidR="00BA49B5" w:rsidRPr="007B0FAE">
        <w:rPr>
          <w:i/>
          <w:iCs/>
          <w:lang w:val="en-US"/>
        </w:rPr>
        <w:t>Model Regulations</w:t>
      </w:r>
      <w:r w:rsidR="00BA49B5">
        <w:rPr>
          <w:lang w:val="en-US"/>
        </w:rPr>
        <w:t xml:space="preserve"> as “</w:t>
      </w:r>
      <w:r w:rsidR="00BA49B5" w:rsidRPr="00DB22BD">
        <w:rPr>
          <w:lang w:val="en-US"/>
        </w:rPr>
        <w:t>thermally unstable substances liable to undergo a strongly exothermic decomposition even without participation of oxygen (air)</w:t>
      </w:r>
      <w:r w:rsidR="00BA49B5">
        <w:rPr>
          <w:lang w:val="en-US"/>
        </w:rPr>
        <w:t>”</w:t>
      </w:r>
      <w:r w:rsidR="00BA49B5" w:rsidRPr="00DB22BD">
        <w:rPr>
          <w:lang w:val="en-US"/>
        </w:rPr>
        <w:t>.</w:t>
      </w:r>
      <w:r w:rsidR="00BA49B5">
        <w:rPr>
          <w:lang w:val="en-US"/>
        </w:rPr>
        <w:t xml:space="preserve"> Apart from differentiation criteria from other classes, substances should be classified as self-reactive if they have a decomposition energy of 300 J/g or more in combination with an </w:t>
      </w:r>
      <w:r w:rsidR="004D25A5">
        <w:rPr>
          <w:lang w:val="en-US"/>
        </w:rPr>
        <w:t xml:space="preserve">self-accelerating decomposition temperature </w:t>
      </w:r>
      <w:r w:rsidR="004D25A5">
        <w:rPr>
          <w:lang w:val="en-US"/>
        </w:rPr>
        <w:t>(</w:t>
      </w:r>
      <w:r w:rsidR="00BA49B5">
        <w:rPr>
          <w:lang w:val="en-US"/>
        </w:rPr>
        <w:t>SADT</w:t>
      </w:r>
      <w:r w:rsidR="004D25A5">
        <w:rPr>
          <w:lang w:val="en-US"/>
        </w:rPr>
        <w:t>)</w:t>
      </w:r>
      <w:r w:rsidR="00BA49B5">
        <w:rPr>
          <w:lang w:val="en-US"/>
        </w:rPr>
        <w:t xml:space="preserve"> of 75 °C or less. The decomposition energy should be determined by differential scanning calorimetry (DSC) according to section 20.3.3.3 of the </w:t>
      </w:r>
      <w:r w:rsidR="00BA49B5" w:rsidRPr="000C0B5E">
        <w:rPr>
          <w:i/>
          <w:iCs/>
          <w:lang w:val="en-US"/>
        </w:rPr>
        <w:t>Manual of Tests and Criteria</w:t>
      </w:r>
      <w:r w:rsidR="00BA49B5">
        <w:rPr>
          <w:lang w:val="en-US"/>
        </w:rPr>
        <w:t>, while the SADT should be determined by one of the H-series tests.</w:t>
      </w:r>
    </w:p>
    <w:p w14:paraId="2B477318" w14:textId="14F8EC98" w:rsidR="00BA49B5" w:rsidRDefault="00E00759" w:rsidP="00E00759">
      <w:pPr>
        <w:pStyle w:val="SingleTxtG"/>
        <w:tabs>
          <w:tab w:val="left" w:pos="1701"/>
        </w:tabs>
        <w:rPr>
          <w:lang w:val="en-US"/>
        </w:rPr>
      </w:pPr>
      <w:r>
        <w:rPr>
          <w:lang w:val="en-US"/>
        </w:rPr>
        <w:t>20.</w:t>
      </w:r>
      <w:r>
        <w:rPr>
          <w:lang w:val="en-US"/>
        </w:rPr>
        <w:tab/>
      </w:r>
      <w:r w:rsidR="00BA49B5">
        <w:rPr>
          <w:lang w:val="en-US"/>
        </w:rPr>
        <w:t xml:space="preserve">Section 5.1 (b) in Appendix 6 of the </w:t>
      </w:r>
      <w:r w:rsidR="00BA49B5" w:rsidRPr="000C0B5E">
        <w:rPr>
          <w:i/>
          <w:iCs/>
          <w:lang w:val="en-US"/>
        </w:rPr>
        <w:t>Manual of Tests and Criteria</w:t>
      </w:r>
      <w:r w:rsidR="00BA49B5">
        <w:rPr>
          <w:lang w:val="en-US"/>
        </w:rPr>
        <w:t xml:space="preserve"> and section 2.4.2.3.1.1 of the </w:t>
      </w:r>
      <w:r w:rsidR="00BA49B5" w:rsidRPr="000C0B5E">
        <w:rPr>
          <w:i/>
          <w:iCs/>
          <w:lang w:val="en-US"/>
        </w:rPr>
        <w:t>Model Regulations</w:t>
      </w:r>
      <w:r w:rsidR="00BA49B5">
        <w:rPr>
          <w:lang w:val="en-US"/>
        </w:rPr>
        <w:t xml:space="preserve"> state that classification as a self-reactive substance does not apply if either one of the two criteria described above is not fulfilled. Temperature control is required if the SADT is less than or equal to 55 °C (see 2.4.2.3.4) as shown in Figure 1 above.</w:t>
      </w:r>
    </w:p>
    <w:p w14:paraId="6F172ADF" w14:textId="6385D29E" w:rsidR="00BA49B5" w:rsidRDefault="00E00759" w:rsidP="00E00759">
      <w:pPr>
        <w:pStyle w:val="SingleTxtG"/>
        <w:tabs>
          <w:tab w:val="left" w:pos="1701"/>
        </w:tabs>
        <w:rPr>
          <w:lang w:val="en-US"/>
        </w:rPr>
      </w:pPr>
      <w:r>
        <w:rPr>
          <w:lang w:val="en-US"/>
        </w:rPr>
        <w:t>21.</w:t>
      </w:r>
      <w:r>
        <w:rPr>
          <w:lang w:val="en-US"/>
        </w:rPr>
        <w:tab/>
      </w:r>
      <w:r w:rsidR="00BA49B5">
        <w:rPr>
          <w:lang w:val="en-US"/>
        </w:rPr>
        <w:t>If a substance is thermally stable at 75 °C and passes Test Series 2, a classification as explosive (Class 1) and self-reactive (Division 4.1) is not applicable. Such substances would be assigned to the box denoted “stable energetics” in Figure 1.</w:t>
      </w:r>
    </w:p>
    <w:p w14:paraId="66D48DF8" w14:textId="07319C17" w:rsidR="00BA49B5" w:rsidRDefault="00E00759" w:rsidP="00E00759">
      <w:pPr>
        <w:pStyle w:val="SingleTxtG"/>
        <w:tabs>
          <w:tab w:val="left" w:pos="1701"/>
        </w:tabs>
        <w:rPr>
          <w:lang w:val="en-US"/>
        </w:rPr>
      </w:pPr>
      <w:r>
        <w:rPr>
          <w:lang w:val="en-US"/>
        </w:rPr>
        <w:t>22.</w:t>
      </w:r>
      <w:r>
        <w:rPr>
          <w:lang w:val="en-US"/>
        </w:rPr>
        <w:tab/>
      </w:r>
      <w:r w:rsidR="00BA49B5">
        <w:rPr>
          <w:lang w:val="en-US"/>
        </w:rPr>
        <w:t>Experience in industry has shown that the vast majority (&gt;</w:t>
      </w:r>
      <w:r w:rsidR="00D71974">
        <w:rPr>
          <w:lang w:val="en-US"/>
        </w:rPr>
        <w:t xml:space="preserve"> </w:t>
      </w:r>
      <w:r w:rsidR="00BA49B5">
        <w:rPr>
          <w:lang w:val="en-US"/>
        </w:rPr>
        <w:t>95%) of substances in the scope of this document would be characterized as such stable energetics, a small percentage (&lt;</w:t>
      </w:r>
      <w:r w:rsidR="00C27D6E">
        <w:rPr>
          <w:lang w:val="en-US"/>
        </w:rPr>
        <w:t> </w:t>
      </w:r>
      <w:r w:rsidR="00BA49B5">
        <w:rPr>
          <w:lang w:val="en-US"/>
        </w:rPr>
        <w:t>5 %) as self-reactive and a negligible amount (less than 0.1 %) as explosive (</w:t>
      </w:r>
      <w:r w:rsidR="00BA49B5">
        <w:rPr>
          <w:lang w:val="en-US"/>
        </w:rPr>
        <w:fldChar w:fldCharType="begin"/>
      </w:r>
      <w:r w:rsidR="00BA49B5">
        <w:rPr>
          <w:lang w:val="en-US"/>
        </w:rPr>
        <w:instrText xml:space="preserve"> REF _Ref145582406 \h </w:instrText>
      </w:r>
      <w:r w:rsidR="00BA49B5">
        <w:rPr>
          <w:lang w:val="en-US"/>
        </w:rPr>
      </w:r>
      <w:r w:rsidR="00BA49B5">
        <w:rPr>
          <w:lang w:val="en-US"/>
        </w:rPr>
        <w:fldChar w:fldCharType="separate"/>
      </w:r>
      <w:r w:rsidR="00BA49B5" w:rsidRPr="00927142">
        <w:t xml:space="preserve">Figure </w:t>
      </w:r>
      <w:r w:rsidR="00BA49B5">
        <w:rPr>
          <w:noProof/>
        </w:rPr>
        <w:t>2</w:t>
      </w:r>
      <w:r w:rsidR="00BA49B5">
        <w:rPr>
          <w:lang w:val="en-US"/>
        </w:rPr>
        <w:fldChar w:fldCharType="end"/>
      </w:r>
      <w:r w:rsidR="00BA49B5">
        <w:rPr>
          <w:lang w:val="en-US"/>
        </w:rPr>
        <w:t>).</w:t>
      </w:r>
    </w:p>
    <w:p w14:paraId="03573EBC" w14:textId="77777777" w:rsidR="00BA49B5" w:rsidRDefault="00BA49B5" w:rsidP="00BA49B5">
      <w:pPr>
        <w:pStyle w:val="SingleTxtG"/>
        <w:tabs>
          <w:tab w:val="left" w:pos="1701"/>
        </w:tabs>
        <w:jc w:val="center"/>
        <w:rPr>
          <w:lang w:val="en-US"/>
        </w:rPr>
      </w:pPr>
      <w:r w:rsidRPr="006065F6">
        <w:rPr>
          <w:noProof/>
        </w:rPr>
        <w:drawing>
          <wp:inline distT="0" distB="0" distL="0" distR="0" wp14:anchorId="6A27CE36" wp14:editId="141EEB46">
            <wp:extent cx="4125518" cy="1880006"/>
            <wp:effectExtent l="0" t="0" r="8890" b="6350"/>
            <wp:docPr id="9" name="Diagramm 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0E6B64" w14:textId="77777777" w:rsidR="00BA49B5" w:rsidRDefault="00BA49B5" w:rsidP="00BA49B5">
      <w:pPr>
        <w:pStyle w:val="Caption"/>
        <w:ind w:left="993" w:right="992"/>
        <w:jc w:val="center"/>
        <w:rPr>
          <w:lang w:val="en-US"/>
        </w:rPr>
      </w:pPr>
      <w:bookmarkStart w:id="0" w:name="_Ref145582406"/>
      <w:r w:rsidRPr="00927142">
        <w:rPr>
          <w:color w:val="auto"/>
          <w:sz w:val="20"/>
          <w:szCs w:val="20"/>
        </w:rPr>
        <w:t xml:space="preserve">Figure </w:t>
      </w:r>
      <w:r w:rsidRPr="00927142">
        <w:rPr>
          <w:color w:val="auto"/>
          <w:sz w:val="20"/>
          <w:szCs w:val="20"/>
        </w:rPr>
        <w:fldChar w:fldCharType="begin"/>
      </w:r>
      <w:r w:rsidRPr="00927142">
        <w:rPr>
          <w:color w:val="auto"/>
          <w:sz w:val="20"/>
          <w:szCs w:val="20"/>
        </w:rPr>
        <w:instrText xml:space="preserve"> SEQ Figure \* ARABIC </w:instrText>
      </w:r>
      <w:r w:rsidRPr="00927142">
        <w:rPr>
          <w:color w:val="auto"/>
          <w:sz w:val="20"/>
          <w:szCs w:val="20"/>
        </w:rPr>
        <w:fldChar w:fldCharType="separate"/>
      </w:r>
      <w:r>
        <w:rPr>
          <w:noProof/>
          <w:color w:val="auto"/>
          <w:sz w:val="20"/>
          <w:szCs w:val="20"/>
        </w:rPr>
        <w:t>2</w:t>
      </w:r>
      <w:r w:rsidRPr="00927142">
        <w:rPr>
          <w:color w:val="auto"/>
          <w:sz w:val="20"/>
          <w:szCs w:val="20"/>
        </w:rPr>
        <w:fldChar w:fldCharType="end"/>
      </w:r>
      <w:bookmarkEnd w:id="0"/>
      <w:r w:rsidRPr="00927142">
        <w:rPr>
          <w:noProof/>
          <w:color w:val="auto"/>
          <w:sz w:val="20"/>
          <w:szCs w:val="20"/>
        </w:rPr>
        <w:t>:</w:t>
      </w:r>
      <w:r w:rsidRPr="00927142">
        <w:rPr>
          <w:color w:val="auto"/>
          <w:sz w:val="20"/>
          <w:szCs w:val="20"/>
        </w:rPr>
        <w:t xml:space="preserve"> </w:t>
      </w:r>
      <w:r>
        <w:rPr>
          <w:color w:val="auto"/>
          <w:sz w:val="20"/>
          <w:szCs w:val="20"/>
        </w:rPr>
        <w:t>Distribution of research samples following testing</w:t>
      </w:r>
    </w:p>
    <w:p w14:paraId="553AC4E7" w14:textId="6B7311B6" w:rsidR="00BA49B5" w:rsidRDefault="00F352C2" w:rsidP="00F352C2">
      <w:pPr>
        <w:pStyle w:val="H1G"/>
        <w:rPr>
          <w:lang w:val="en-US"/>
        </w:rPr>
      </w:pPr>
      <w:r>
        <w:rPr>
          <w:lang w:val="en-US"/>
        </w:rPr>
        <w:tab/>
      </w:r>
      <w:r>
        <w:rPr>
          <w:lang w:val="en-US"/>
        </w:rPr>
        <w:tab/>
      </w:r>
      <w:r w:rsidR="00BA49B5">
        <w:rPr>
          <w:lang w:val="en-US"/>
        </w:rPr>
        <w:t>Issues to be solved for the transport of energetic samples</w:t>
      </w:r>
    </w:p>
    <w:p w14:paraId="4AA0A922" w14:textId="6D986948" w:rsidR="00BA49B5" w:rsidRDefault="00E00759" w:rsidP="00E00759">
      <w:pPr>
        <w:pStyle w:val="SingleTxtG"/>
        <w:tabs>
          <w:tab w:val="left" w:pos="1701"/>
        </w:tabs>
        <w:rPr>
          <w:lang w:val="en-US"/>
        </w:rPr>
      </w:pPr>
      <w:r>
        <w:rPr>
          <w:lang w:val="en-US"/>
        </w:rPr>
        <w:t>23.</w:t>
      </w:r>
      <w:r>
        <w:rPr>
          <w:lang w:val="en-US"/>
        </w:rPr>
        <w:tab/>
      </w:r>
      <w:r w:rsidR="00BA49B5" w:rsidRPr="0064541A">
        <w:rPr>
          <w:lang w:val="en-US"/>
        </w:rPr>
        <w:t>Whereas the transport of samples of self-reactive substances and organic peroxides is permitted under the provisions of 2.4.2.3.2.4 (b) and 2.5.3.2.5.1, respectively, substances considered to meet the criteria for Class 1 are prohibited for transport by 2.0.4.2 (b).</w:t>
      </w:r>
    </w:p>
    <w:p w14:paraId="108567AE" w14:textId="2DB7572F" w:rsidR="00BA49B5" w:rsidRDefault="00E00759" w:rsidP="00E00759">
      <w:pPr>
        <w:pStyle w:val="SingleTxtG"/>
        <w:tabs>
          <w:tab w:val="left" w:pos="1701"/>
        </w:tabs>
        <w:rPr>
          <w:lang w:val="en-US"/>
        </w:rPr>
      </w:pPr>
      <w:r>
        <w:rPr>
          <w:lang w:val="en-US"/>
        </w:rPr>
        <w:t>24.</w:t>
      </w:r>
      <w:r>
        <w:rPr>
          <w:lang w:val="en-US"/>
        </w:rPr>
        <w:tab/>
      </w:r>
      <w:r w:rsidR="00BA49B5">
        <w:rPr>
          <w:lang w:val="en-US"/>
        </w:rPr>
        <w:t>The classification depicted above as presented in Figure 1 works on the presumption that all necessary data are available for a proper classification.</w:t>
      </w:r>
    </w:p>
    <w:p w14:paraId="68E72805" w14:textId="3B18490D" w:rsidR="00BA49B5" w:rsidRDefault="00E00759" w:rsidP="00E00759">
      <w:pPr>
        <w:pStyle w:val="SingleTxtG"/>
        <w:tabs>
          <w:tab w:val="left" w:pos="1701"/>
        </w:tabs>
        <w:rPr>
          <w:lang w:val="en-US"/>
        </w:rPr>
      </w:pPr>
      <w:r>
        <w:rPr>
          <w:lang w:val="en-US"/>
        </w:rPr>
        <w:t>25.</w:t>
      </w:r>
      <w:r>
        <w:rPr>
          <w:lang w:val="en-US"/>
        </w:rPr>
        <w:tab/>
      </w:r>
      <w:r w:rsidR="00BA49B5">
        <w:rPr>
          <w:lang w:val="en-US"/>
        </w:rPr>
        <w:t>Section 2.4.2.3.2.4 (b) permits the transport of self-reactive substances as type C provided that:</w:t>
      </w:r>
    </w:p>
    <w:p w14:paraId="06F72F4C" w14:textId="108E3873" w:rsidR="00BA49B5" w:rsidRPr="006D5AAE" w:rsidRDefault="00E00759" w:rsidP="00E00759">
      <w:pPr>
        <w:pStyle w:val="SingleTxtG"/>
        <w:ind w:left="1701"/>
      </w:pPr>
      <w:r w:rsidRPr="006D5AAE">
        <w:lastRenderedPageBreak/>
        <w:t>(a)</w:t>
      </w:r>
      <w:r w:rsidRPr="006D5AAE">
        <w:tab/>
      </w:r>
      <w:r w:rsidR="00BA49B5" w:rsidRPr="006D5AAE">
        <w:t>Available data indicate that the sample would not be more dangerous than type B;</w:t>
      </w:r>
    </w:p>
    <w:p w14:paraId="53DE242A" w14:textId="4F80857F" w:rsidR="00BA49B5" w:rsidRPr="006D5AAE" w:rsidRDefault="00E00759" w:rsidP="00E00759">
      <w:pPr>
        <w:pStyle w:val="SingleTxtG"/>
        <w:ind w:left="1701"/>
      </w:pPr>
      <w:r w:rsidRPr="006D5AAE">
        <w:t>(b)</w:t>
      </w:r>
      <w:r w:rsidRPr="006D5AAE">
        <w:tab/>
      </w:r>
      <w:r w:rsidR="00BA49B5" w:rsidRPr="006D5AAE">
        <w:t>Packing method OP2 is applied with a</w:t>
      </w:r>
      <w:r w:rsidR="00BA49B5">
        <w:t>n</w:t>
      </w:r>
      <w:r w:rsidR="00BA49B5" w:rsidRPr="006D5AAE">
        <w:t xml:space="preserve"> upper limit of 10 kg per cargo transport unit; and</w:t>
      </w:r>
    </w:p>
    <w:p w14:paraId="0C1E49E2" w14:textId="645C99AE" w:rsidR="00BA49B5" w:rsidRDefault="00E00759" w:rsidP="00E00759">
      <w:pPr>
        <w:pStyle w:val="SingleTxtG"/>
        <w:ind w:left="2268" w:hanging="567"/>
      </w:pPr>
      <w:r>
        <w:t>(c)</w:t>
      </w:r>
      <w:r>
        <w:tab/>
      </w:r>
      <w:r w:rsidR="00BA49B5" w:rsidRPr="006D5AAE">
        <w:t>Temperature control and dangerous phase separation are considered.</w:t>
      </w:r>
    </w:p>
    <w:p w14:paraId="010528CA" w14:textId="77777777" w:rsidR="00BA49B5" w:rsidRPr="006D5AAE" w:rsidRDefault="00BA49B5" w:rsidP="00BA49B5">
      <w:pPr>
        <w:pStyle w:val="SingleTxtG"/>
      </w:pPr>
      <w:r>
        <w:t xml:space="preserve">Similar provisions are provided in section </w:t>
      </w:r>
      <w:r w:rsidRPr="00A36CA9">
        <w:t>2.5.3.2.5.1</w:t>
      </w:r>
      <w:r>
        <w:t xml:space="preserve"> for the transport of organic peroxides.</w:t>
      </w:r>
    </w:p>
    <w:p w14:paraId="3DFA7E03" w14:textId="7A212385" w:rsidR="00BA49B5" w:rsidRPr="006C143E" w:rsidRDefault="00E00759" w:rsidP="00E00759">
      <w:pPr>
        <w:pStyle w:val="SingleTxtG"/>
        <w:tabs>
          <w:tab w:val="left" w:pos="1701"/>
        </w:tabs>
        <w:rPr>
          <w:lang w:val="en-US"/>
        </w:rPr>
      </w:pPr>
      <w:r w:rsidRPr="006C143E">
        <w:rPr>
          <w:lang w:val="en-US"/>
        </w:rPr>
        <w:t>26.</w:t>
      </w:r>
      <w:r w:rsidRPr="006C143E">
        <w:rPr>
          <w:lang w:val="en-US"/>
        </w:rPr>
        <w:tab/>
      </w:r>
      <w:r w:rsidR="00BA49B5">
        <w:rPr>
          <w:lang w:val="en-US"/>
        </w:rPr>
        <w:t xml:space="preserve">As the text is written, it presumes that a classification as self-reactive is already established, i.e., decomposition energy ≥ 300 J/g and SADT ≤ 75 °C and subsequent </w:t>
      </w:r>
      <w:r w:rsidR="00BA49B5" w:rsidRPr="006C143E">
        <w:rPr>
          <w:lang w:val="en-US"/>
        </w:rPr>
        <w:t xml:space="preserve">measures for temperature control have been determined by measurement. As shown in </w:t>
      </w:r>
      <w:r w:rsidR="00BA49B5">
        <w:rPr>
          <w:lang w:val="en-US"/>
        </w:rPr>
        <w:t>Figure 1</w:t>
      </w:r>
      <w:r w:rsidR="00BA49B5" w:rsidRPr="006C143E">
        <w:rPr>
          <w:lang w:val="en-US"/>
        </w:rPr>
        <w:t xml:space="preserve"> above, full testing in this context requires roughly 4 kg of substance. However, what has to be done in order to transport this amount of sample to the test lab for SADT determination in the first place?</w:t>
      </w:r>
    </w:p>
    <w:p w14:paraId="4DC10E82" w14:textId="46CE79BD" w:rsidR="00BA49B5" w:rsidRDefault="00E00759" w:rsidP="00E00759">
      <w:pPr>
        <w:pStyle w:val="SingleTxtG"/>
        <w:tabs>
          <w:tab w:val="left" w:pos="1701"/>
        </w:tabs>
        <w:rPr>
          <w:lang w:val="en-US"/>
        </w:rPr>
      </w:pPr>
      <w:r>
        <w:rPr>
          <w:lang w:val="en-US"/>
        </w:rPr>
        <w:t>27.</w:t>
      </w:r>
      <w:r>
        <w:rPr>
          <w:lang w:val="en-US"/>
        </w:rPr>
        <w:tab/>
      </w:r>
      <w:r w:rsidR="00BA49B5">
        <w:rPr>
          <w:lang w:val="en-US"/>
        </w:rPr>
        <w:t>On the other hand, for a substance that is thermally stable, about 2 kg of material are necessary to perform test series 2. While UN 0190 offers a legal yet conservative provision for the transport of unclassified energetic substances, its application in such cases would be an intolerable burden both for industry and competent authorities and is by no means appropriate, especially with samples in the research phase when only small amounts (generally 10 to 100 g) are to be carried. As shown in Figure 2, only for a very small percentage of samples would the classification as explosive be justified; and in all those cases a very high decomposition energy (&gt; 2500 J/g) had been measured.</w:t>
      </w:r>
    </w:p>
    <w:p w14:paraId="0256793B" w14:textId="50C59413" w:rsidR="00BA49B5" w:rsidRDefault="00E00759" w:rsidP="00E00759">
      <w:pPr>
        <w:pStyle w:val="SingleTxtG"/>
        <w:tabs>
          <w:tab w:val="left" w:pos="1701"/>
        </w:tabs>
        <w:rPr>
          <w:lang w:val="en-US"/>
        </w:rPr>
      </w:pPr>
      <w:r>
        <w:rPr>
          <w:lang w:val="en-US"/>
        </w:rPr>
        <w:t>28.</w:t>
      </w:r>
      <w:r>
        <w:rPr>
          <w:lang w:val="en-US"/>
        </w:rPr>
        <w:tab/>
      </w:r>
      <w:r w:rsidR="00BA49B5">
        <w:rPr>
          <w:lang w:val="en-US"/>
        </w:rPr>
        <w:t>Following numerous discussions with competent authorities and international experts, Cefic has developed the concept of transporting energetic samples under the regime of self-reactive substances of division 4.1. Reasons are:</w:t>
      </w:r>
    </w:p>
    <w:p w14:paraId="4A758468" w14:textId="77777777" w:rsidR="00BA49B5" w:rsidRPr="006D5AAE" w:rsidRDefault="00BA49B5" w:rsidP="00BA49B5">
      <w:pPr>
        <w:pStyle w:val="SingleTxtG"/>
        <w:ind w:left="1701"/>
      </w:pPr>
      <w:r>
        <w:t>(a)</w:t>
      </w:r>
      <w:r>
        <w:tab/>
      </w:r>
      <w:r w:rsidRPr="006D5AAE">
        <w:t>Provisions for the</w:t>
      </w:r>
      <w:r>
        <w:t xml:space="preserve"> safe</w:t>
      </w:r>
      <w:r w:rsidRPr="006D5AAE">
        <w:t xml:space="preserve"> transport of self-reactive substances already exist (see above and 2.0.4.2 (c));</w:t>
      </w:r>
    </w:p>
    <w:p w14:paraId="19655790" w14:textId="77777777" w:rsidR="00BA49B5" w:rsidRPr="006D5AAE" w:rsidRDefault="00BA49B5" w:rsidP="00BA49B5">
      <w:pPr>
        <w:pStyle w:val="SingleTxtG"/>
        <w:ind w:left="1701"/>
      </w:pPr>
      <w:r>
        <w:t>(b)</w:t>
      </w:r>
      <w:r w:rsidRPr="006D5AAE">
        <w:tab/>
        <w:t xml:space="preserve">Self-reactive substances may have explosive properties (see 2.4.2.3.1.2), and </w:t>
      </w:r>
      <w:r w:rsidRPr="006D5AAE">
        <w:tab/>
        <w:t>appropriate packing instructions (P520) are prescribed;</w:t>
      </w:r>
    </w:p>
    <w:p w14:paraId="5FDCE842" w14:textId="77777777" w:rsidR="00BA49B5" w:rsidRPr="006D5AAE" w:rsidRDefault="00BA49B5" w:rsidP="00BA49B5">
      <w:pPr>
        <w:pStyle w:val="SingleTxtG"/>
        <w:ind w:left="1701"/>
      </w:pPr>
      <w:r w:rsidRPr="006D5AAE">
        <w:t>(</w:t>
      </w:r>
      <w:r>
        <w:t>c</w:t>
      </w:r>
      <w:r w:rsidRPr="006D5AAE">
        <w:t>)</w:t>
      </w:r>
      <w:r w:rsidRPr="006D5AAE">
        <w:tab/>
        <w:t>Temperature control is applicable for substances of low thermal stability.</w:t>
      </w:r>
    </w:p>
    <w:p w14:paraId="38C7079D" w14:textId="516953ED" w:rsidR="00BA49B5" w:rsidRDefault="00E00759" w:rsidP="00E00759">
      <w:pPr>
        <w:pStyle w:val="SingleTxtG"/>
        <w:tabs>
          <w:tab w:val="left" w:pos="1701"/>
        </w:tabs>
        <w:rPr>
          <w:lang w:val="en-US"/>
        </w:rPr>
      </w:pPr>
      <w:r>
        <w:rPr>
          <w:lang w:val="en-US"/>
        </w:rPr>
        <w:t>29.</w:t>
      </w:r>
      <w:r>
        <w:rPr>
          <w:lang w:val="en-US"/>
        </w:rPr>
        <w:tab/>
      </w:r>
      <w:r w:rsidR="00BA49B5">
        <w:rPr>
          <w:lang w:val="en-US"/>
        </w:rPr>
        <w:t>It should be also noted that type B self-</w:t>
      </w:r>
      <w:proofErr w:type="spellStart"/>
      <w:r w:rsidR="00BA49B5">
        <w:rPr>
          <w:lang w:val="en-US"/>
        </w:rPr>
        <w:t>reactives</w:t>
      </w:r>
      <w:proofErr w:type="spellEnd"/>
      <w:r w:rsidR="00BA49B5">
        <w:rPr>
          <w:lang w:val="en-US"/>
        </w:rPr>
        <w:t xml:space="preserve"> may be carried in limited quantities of 100 g (solids, UN 3222) and 25 ml (liquids, UN 3221), respectively.</w:t>
      </w:r>
    </w:p>
    <w:p w14:paraId="467BF17E" w14:textId="0CCEF1F3" w:rsidR="00BA49B5" w:rsidRPr="0064541A" w:rsidRDefault="00E00759" w:rsidP="00E00759">
      <w:pPr>
        <w:pStyle w:val="SingleTxtG"/>
        <w:tabs>
          <w:tab w:val="left" w:pos="1701"/>
        </w:tabs>
        <w:rPr>
          <w:lang w:val="en-US"/>
        </w:rPr>
      </w:pPr>
      <w:r w:rsidRPr="0064541A">
        <w:rPr>
          <w:lang w:val="en-US"/>
        </w:rPr>
        <w:t>30.</w:t>
      </w:r>
      <w:r w:rsidRPr="0064541A">
        <w:rPr>
          <w:lang w:val="en-US"/>
        </w:rPr>
        <w:tab/>
      </w:r>
      <w:r w:rsidR="00BA49B5">
        <w:rPr>
          <w:lang w:val="en-US"/>
        </w:rPr>
        <w:t xml:space="preserve"> The Sub-Committee has supported this approach and adopted </w:t>
      </w:r>
      <w:proofErr w:type="spellStart"/>
      <w:r w:rsidR="00BA49B5">
        <w:rPr>
          <w:lang w:val="en-US"/>
        </w:rPr>
        <w:t>Cefic</w:t>
      </w:r>
      <w:r w:rsidR="00BA49B5" w:rsidRPr="0064541A">
        <w:rPr>
          <w:lang w:val="en-US"/>
        </w:rPr>
        <w:t>’s</w:t>
      </w:r>
      <w:proofErr w:type="spellEnd"/>
      <w:r w:rsidR="00BA49B5" w:rsidRPr="0064541A">
        <w:rPr>
          <w:lang w:val="en-US"/>
        </w:rPr>
        <w:t xml:space="preserve"> proposal</w:t>
      </w:r>
      <w:r w:rsidR="00BA49B5">
        <w:rPr>
          <w:lang w:val="en-US"/>
        </w:rPr>
        <w:t>s</w:t>
      </w:r>
      <w:r w:rsidR="00BA49B5" w:rsidRPr="0064541A">
        <w:rPr>
          <w:lang w:val="en-US"/>
        </w:rPr>
        <w:t xml:space="preserve"> </w:t>
      </w:r>
      <w:r w:rsidR="00DD76E4">
        <w:rPr>
          <w:lang w:val="en-US"/>
        </w:rPr>
        <w:t xml:space="preserve">in documents </w:t>
      </w:r>
      <w:r w:rsidR="00BA49B5" w:rsidRPr="0064541A">
        <w:rPr>
          <w:lang w:val="en-US"/>
        </w:rPr>
        <w:t xml:space="preserve">ST/SG/AC.10/C.3/2016/61 </w:t>
      </w:r>
      <w:r w:rsidR="00BA49B5">
        <w:rPr>
          <w:lang w:val="en-US"/>
        </w:rPr>
        <w:t xml:space="preserve">and </w:t>
      </w:r>
      <w:r w:rsidR="00BA49B5" w:rsidRPr="00F7041B">
        <w:rPr>
          <w:lang w:val="en-US"/>
        </w:rPr>
        <w:t>ST/SG/AC.10/C.3/2019/64</w:t>
      </w:r>
      <w:r w:rsidR="00BA49B5">
        <w:rPr>
          <w:lang w:val="en-US"/>
        </w:rPr>
        <w:t xml:space="preserve"> i</w:t>
      </w:r>
      <w:r w:rsidR="00BA49B5" w:rsidRPr="0064541A">
        <w:rPr>
          <w:lang w:val="en-US"/>
        </w:rPr>
        <w:t>n</w:t>
      </w:r>
      <w:r w:rsidR="00BA49B5">
        <w:rPr>
          <w:lang w:val="en-US"/>
        </w:rPr>
        <w:t xml:space="preserve"> previous </w:t>
      </w:r>
      <w:r w:rsidR="00BA49B5" w:rsidRPr="0064541A">
        <w:rPr>
          <w:lang w:val="en-US"/>
        </w:rPr>
        <w:t>bienni</w:t>
      </w:r>
      <w:r w:rsidR="00BA49B5">
        <w:rPr>
          <w:lang w:val="en-US"/>
        </w:rPr>
        <w:t>a</w:t>
      </w:r>
      <w:r w:rsidR="00BA49B5" w:rsidRPr="0064541A">
        <w:rPr>
          <w:lang w:val="en-US"/>
        </w:rPr>
        <w:t xml:space="preserve">. The new provisions in section 2.0.4.3 allow for the transport of small amounts of samples (up to 1 g </w:t>
      </w:r>
      <w:r w:rsidR="00BA49B5">
        <w:rPr>
          <w:lang w:val="en-US"/>
        </w:rPr>
        <w:t>or</w:t>
      </w:r>
      <w:r w:rsidR="00BA49B5" w:rsidRPr="0064541A">
        <w:rPr>
          <w:lang w:val="en-US"/>
        </w:rPr>
        <w:t xml:space="preserve"> 1 ml) as self-reactive substances type C under certain restrictions in a very specific package</w:t>
      </w:r>
      <w:r w:rsidR="00BA49B5">
        <w:rPr>
          <w:lang w:val="en-US"/>
        </w:rPr>
        <w:t xml:space="preserve">, while the provisions in </w:t>
      </w:r>
      <w:r w:rsidR="00BA49B5" w:rsidRPr="00BC6AFC">
        <w:rPr>
          <w:lang w:val="en-US"/>
        </w:rPr>
        <w:t xml:space="preserve">section 20.3.4 of the </w:t>
      </w:r>
      <w:r w:rsidR="00BA49B5" w:rsidRPr="0084210A">
        <w:rPr>
          <w:i/>
          <w:iCs/>
        </w:rPr>
        <w:t>Manual of Tests and Criteria</w:t>
      </w:r>
      <w:r w:rsidR="00BA49B5" w:rsidRPr="00BC6AFC">
        <w:rPr>
          <w:lang w:val="en-US"/>
        </w:rPr>
        <w:t xml:space="preserve"> </w:t>
      </w:r>
      <w:r w:rsidR="00BA49B5">
        <w:rPr>
          <w:lang w:val="en-US"/>
        </w:rPr>
        <w:t>describe a practical method of estimating the thermal stability of new energetic samples and determining a control temperature for their transport</w:t>
      </w:r>
      <w:r w:rsidR="00BA49B5" w:rsidRPr="0064541A">
        <w:rPr>
          <w:lang w:val="en-US"/>
        </w:rPr>
        <w:t>.</w:t>
      </w:r>
    </w:p>
    <w:p w14:paraId="1BEC585A" w14:textId="65F85707" w:rsidR="00BA49B5" w:rsidRPr="0064541A" w:rsidRDefault="00E00759" w:rsidP="00E00759">
      <w:pPr>
        <w:pStyle w:val="SingleTxtG"/>
        <w:tabs>
          <w:tab w:val="left" w:pos="1701"/>
        </w:tabs>
        <w:rPr>
          <w:lang w:val="en-US"/>
        </w:rPr>
      </w:pPr>
      <w:r w:rsidRPr="0064541A">
        <w:rPr>
          <w:lang w:val="en-US"/>
        </w:rPr>
        <w:t>31.</w:t>
      </w:r>
      <w:r w:rsidRPr="0064541A">
        <w:rPr>
          <w:lang w:val="en-US"/>
        </w:rPr>
        <w:tab/>
      </w:r>
      <w:r w:rsidR="00BA49B5" w:rsidRPr="0064541A">
        <w:rPr>
          <w:lang w:val="en-US"/>
        </w:rPr>
        <w:t>The adopted solution in section 2.</w:t>
      </w:r>
      <w:r w:rsidR="00BA49B5">
        <w:rPr>
          <w:lang w:val="en-US"/>
        </w:rPr>
        <w:t>0.</w:t>
      </w:r>
      <w:r w:rsidR="00BA49B5" w:rsidRPr="0064541A">
        <w:rPr>
          <w:lang w:val="en-US"/>
        </w:rPr>
        <w:t xml:space="preserve">4.3 for small samples (up to 1 g scale) is built on a safe </w:t>
      </w:r>
      <w:r w:rsidR="00BA49B5">
        <w:rPr>
          <w:lang w:val="en-US"/>
        </w:rPr>
        <w:t xml:space="preserve">package </w:t>
      </w:r>
      <w:r w:rsidR="00BA49B5" w:rsidRPr="0064541A">
        <w:rPr>
          <w:lang w:val="en-US"/>
        </w:rPr>
        <w:t>design:</w:t>
      </w:r>
    </w:p>
    <w:p w14:paraId="5506258C" w14:textId="14F6A68E" w:rsidR="00BA49B5" w:rsidRPr="003F3F2A" w:rsidRDefault="00E00759" w:rsidP="00E00759">
      <w:pPr>
        <w:pStyle w:val="SingleTxtG"/>
        <w:ind w:left="1701"/>
      </w:pPr>
      <w:r w:rsidRPr="003F3F2A">
        <w:t>(a)</w:t>
      </w:r>
      <w:r w:rsidRPr="003F3F2A">
        <w:tab/>
      </w:r>
      <w:r w:rsidR="00BA49B5" w:rsidRPr="003F3F2A">
        <w:t xml:space="preserve">The package is sufficiently strong to survive the detonation even of an intentional explosive (see </w:t>
      </w:r>
      <w:r w:rsidR="0084210A">
        <w:t xml:space="preserve">document </w:t>
      </w:r>
      <w:r w:rsidR="00BA49B5">
        <w:t>ST/SG/AC.10/C.3/2016/61</w:t>
      </w:r>
      <w:r w:rsidR="00BA49B5" w:rsidRPr="003F3F2A">
        <w:t>), and</w:t>
      </w:r>
    </w:p>
    <w:p w14:paraId="67DB562E" w14:textId="5B9F5BF8" w:rsidR="00BA49B5" w:rsidRPr="003F3F2A" w:rsidRDefault="00E00759" w:rsidP="00E00759">
      <w:pPr>
        <w:pStyle w:val="SingleTxtG"/>
        <w:ind w:left="1701"/>
      </w:pPr>
      <w:r w:rsidRPr="003F3F2A">
        <w:t>(b)</w:t>
      </w:r>
      <w:r w:rsidRPr="003F3F2A">
        <w:tab/>
      </w:r>
      <w:r w:rsidR="00BA49B5" w:rsidRPr="003F3F2A">
        <w:t xml:space="preserve">The inner design </w:t>
      </w:r>
      <w:r w:rsidR="00BA49B5">
        <w:t xml:space="preserve">of the package </w:t>
      </w:r>
      <w:r w:rsidR="00BA49B5" w:rsidRPr="003F3F2A">
        <w:t>prevents a propagation of detonation from one sample to another.</w:t>
      </w:r>
    </w:p>
    <w:p w14:paraId="6486193F" w14:textId="7B71E65C" w:rsidR="00BA49B5" w:rsidRDefault="00E00759" w:rsidP="00E00759">
      <w:pPr>
        <w:pStyle w:val="SingleTxtG"/>
        <w:tabs>
          <w:tab w:val="left" w:pos="1701"/>
        </w:tabs>
        <w:rPr>
          <w:lang w:val="en-US"/>
        </w:rPr>
      </w:pPr>
      <w:r>
        <w:rPr>
          <w:lang w:val="en-US"/>
        </w:rPr>
        <w:t>32.</w:t>
      </w:r>
      <w:r>
        <w:rPr>
          <w:lang w:val="en-US"/>
        </w:rPr>
        <w:tab/>
      </w:r>
      <w:r w:rsidR="00BA49B5" w:rsidRPr="0064541A">
        <w:rPr>
          <w:lang w:val="en-US"/>
        </w:rPr>
        <w:t xml:space="preserve">For larger amounts of samples, this concept is obviously not </w:t>
      </w:r>
      <w:r w:rsidR="00BA49B5">
        <w:rPr>
          <w:lang w:val="en-US"/>
        </w:rPr>
        <w:t>practical</w:t>
      </w:r>
      <w:r w:rsidR="00BA49B5" w:rsidRPr="0064541A">
        <w:rPr>
          <w:lang w:val="en-US"/>
        </w:rPr>
        <w:t>. Therefore, further proceedings have to be based on increased knowledge about safety-relevant properties of the sample</w:t>
      </w:r>
      <w:r w:rsidR="00BA49B5" w:rsidRPr="00C11E40">
        <w:rPr>
          <w:lang w:val="en-US"/>
        </w:rPr>
        <w:t>. It seemed obvious to use the decomposition energy as an assessment criterion since the effects of an incident correlate with the amount of energy involved.</w:t>
      </w:r>
    </w:p>
    <w:p w14:paraId="07836D5E" w14:textId="60A6D623" w:rsidR="00BA49B5" w:rsidRPr="0064541A" w:rsidRDefault="00E00759" w:rsidP="00E00759">
      <w:pPr>
        <w:pStyle w:val="SingleTxtG"/>
        <w:tabs>
          <w:tab w:val="left" w:pos="1701"/>
        </w:tabs>
        <w:rPr>
          <w:lang w:val="en-US"/>
        </w:rPr>
      </w:pPr>
      <w:r w:rsidRPr="0064541A">
        <w:rPr>
          <w:lang w:val="en-US"/>
        </w:rPr>
        <w:t>33.</w:t>
      </w:r>
      <w:r w:rsidRPr="0064541A">
        <w:rPr>
          <w:lang w:val="en-US"/>
        </w:rPr>
        <w:tab/>
      </w:r>
      <w:r w:rsidR="00BA49B5" w:rsidRPr="0064541A">
        <w:rPr>
          <w:lang w:val="en-US"/>
        </w:rPr>
        <w:t xml:space="preserve">Generally, the decomposition energy and the onset of decomposition can be easily determined by DSC methods </w:t>
      </w:r>
      <w:r w:rsidR="00BA49B5">
        <w:rPr>
          <w:lang w:val="en-US"/>
        </w:rPr>
        <w:t xml:space="preserve">with very small amounts of substance </w:t>
      </w:r>
      <w:r w:rsidR="00BA49B5" w:rsidRPr="0064541A">
        <w:rPr>
          <w:lang w:val="en-US"/>
        </w:rPr>
        <w:t xml:space="preserve">(see </w:t>
      </w:r>
      <w:r w:rsidR="00BA49B5" w:rsidRPr="004F5202">
        <w:rPr>
          <w:i/>
          <w:iCs/>
          <w:lang w:val="en-US"/>
        </w:rPr>
        <w:t>Manual of Tests and Criteria</w:t>
      </w:r>
      <w:r w:rsidR="00BA49B5" w:rsidRPr="004F5202">
        <w:rPr>
          <w:lang w:val="en-US"/>
        </w:rPr>
        <w:t xml:space="preserve">, </w:t>
      </w:r>
      <w:r w:rsidR="00BA49B5" w:rsidRPr="0064541A">
        <w:rPr>
          <w:lang w:val="en-US"/>
        </w:rPr>
        <w:t xml:space="preserve">section 20.3.3.3). </w:t>
      </w:r>
      <w:r w:rsidR="00BA49B5" w:rsidRPr="00AC236C">
        <w:rPr>
          <w:lang w:val="en-US"/>
        </w:rPr>
        <w:t xml:space="preserve">This </w:t>
      </w:r>
      <w:r w:rsidR="00BA49B5">
        <w:rPr>
          <w:lang w:val="en-US"/>
        </w:rPr>
        <w:t>document</w:t>
      </w:r>
      <w:r w:rsidR="00BA49B5" w:rsidRPr="00AC236C">
        <w:rPr>
          <w:lang w:val="en-US"/>
        </w:rPr>
        <w:t xml:space="preserve"> describes</w:t>
      </w:r>
      <w:r w:rsidR="00BA49B5">
        <w:rPr>
          <w:lang w:val="en-US"/>
        </w:rPr>
        <w:t xml:space="preserve"> </w:t>
      </w:r>
      <w:r w:rsidR="00BA49B5" w:rsidRPr="0064541A">
        <w:rPr>
          <w:lang w:val="en-US"/>
        </w:rPr>
        <w:t xml:space="preserve">how information </w:t>
      </w:r>
      <w:r w:rsidR="00BA49B5">
        <w:rPr>
          <w:lang w:val="en-US"/>
        </w:rPr>
        <w:t xml:space="preserve">derived from these tests </w:t>
      </w:r>
      <w:r w:rsidR="00BA49B5" w:rsidRPr="0064541A">
        <w:rPr>
          <w:lang w:val="en-US"/>
        </w:rPr>
        <w:t xml:space="preserve">may be used as the basis for a preliminary assessment of </w:t>
      </w:r>
      <w:r w:rsidR="00BA49B5">
        <w:rPr>
          <w:lang w:val="en-US"/>
        </w:rPr>
        <w:t>new energetic</w:t>
      </w:r>
      <w:r w:rsidR="00BA49B5" w:rsidRPr="0064541A">
        <w:rPr>
          <w:lang w:val="en-US"/>
        </w:rPr>
        <w:t xml:space="preserve"> samples.</w:t>
      </w:r>
    </w:p>
    <w:p w14:paraId="58075CB4" w14:textId="77777777" w:rsidR="00BA49B5" w:rsidRPr="0064541A" w:rsidRDefault="00BA49B5" w:rsidP="00BA49B5">
      <w:pPr>
        <w:pStyle w:val="H1G"/>
        <w:rPr>
          <w:lang w:val="en-US"/>
        </w:rPr>
      </w:pPr>
      <w:r>
        <w:rPr>
          <w:lang w:val="en-US"/>
        </w:rPr>
        <w:lastRenderedPageBreak/>
        <w:tab/>
      </w:r>
      <w:r>
        <w:rPr>
          <w:lang w:val="en-US"/>
        </w:rPr>
        <w:tab/>
      </w:r>
      <w:r w:rsidRPr="0064541A">
        <w:rPr>
          <w:lang w:val="en-US"/>
        </w:rPr>
        <w:t>Decomposition energy</w:t>
      </w:r>
    </w:p>
    <w:p w14:paraId="2D7C5004" w14:textId="62653B75" w:rsidR="00BA49B5" w:rsidRDefault="00E00759" w:rsidP="00E00759">
      <w:pPr>
        <w:pStyle w:val="SingleTxtG"/>
        <w:tabs>
          <w:tab w:val="left" w:pos="1701"/>
        </w:tabs>
        <w:rPr>
          <w:lang w:val="en-US"/>
        </w:rPr>
      </w:pPr>
      <w:r>
        <w:rPr>
          <w:lang w:val="en-US"/>
        </w:rPr>
        <w:t>34.</w:t>
      </w:r>
      <w:r>
        <w:rPr>
          <w:lang w:val="en-US"/>
        </w:rPr>
        <w:tab/>
      </w:r>
      <w:r w:rsidR="00BA49B5" w:rsidRPr="0064541A">
        <w:rPr>
          <w:lang w:val="en-US"/>
        </w:rPr>
        <w:t xml:space="preserve">A representative set of </w:t>
      </w:r>
      <w:r w:rsidR="00BA49B5">
        <w:rPr>
          <w:lang w:val="en-US"/>
        </w:rPr>
        <w:t xml:space="preserve">R&amp;D </w:t>
      </w:r>
      <w:r w:rsidR="00BA49B5" w:rsidRPr="0064541A">
        <w:rPr>
          <w:lang w:val="en-US"/>
        </w:rPr>
        <w:t xml:space="preserve">samples (369 substances) was investigated with respect to their decomposition energy. For this purpose, screening DSCs were measured at heating rates of 3-5 K/min in agreement with the </w:t>
      </w:r>
      <w:r w:rsidR="00BA49B5">
        <w:rPr>
          <w:lang w:val="en-US"/>
        </w:rPr>
        <w:t>requirements outlined in the</w:t>
      </w:r>
      <w:r w:rsidR="00BA49B5" w:rsidRPr="0064541A">
        <w:rPr>
          <w:lang w:val="en-US"/>
        </w:rPr>
        <w:t xml:space="preserve"> </w:t>
      </w:r>
      <w:r w:rsidR="00BA49B5" w:rsidRPr="00CD1B40">
        <w:rPr>
          <w:i/>
          <w:iCs/>
          <w:lang w:val="en-US"/>
        </w:rPr>
        <w:t>Manual of Tests and Criteria</w:t>
      </w:r>
      <w:r w:rsidR="00BA49B5" w:rsidRPr="0064541A">
        <w:rPr>
          <w:lang w:val="en-US"/>
        </w:rPr>
        <w:t>, section 20.3.3.3.</w:t>
      </w:r>
    </w:p>
    <w:p w14:paraId="15166F24" w14:textId="7DD88BE6" w:rsidR="00BA49B5" w:rsidRPr="00CB12A8" w:rsidRDefault="00E00759" w:rsidP="00E00759">
      <w:pPr>
        <w:pStyle w:val="SingleTxtG"/>
        <w:tabs>
          <w:tab w:val="left" w:pos="1701"/>
        </w:tabs>
        <w:rPr>
          <w:lang w:val="en-US"/>
        </w:rPr>
      </w:pPr>
      <w:r w:rsidRPr="00CB12A8">
        <w:rPr>
          <w:lang w:val="en-US"/>
        </w:rPr>
        <w:t>35.</w:t>
      </w:r>
      <w:r w:rsidRPr="00CB12A8">
        <w:rPr>
          <w:lang w:val="en-US"/>
        </w:rPr>
        <w:tab/>
      </w:r>
      <w:r w:rsidR="00BA49B5">
        <w:rPr>
          <w:lang w:val="en-US"/>
        </w:rPr>
        <w:t xml:space="preserve">For comparison, the self-reactive substances listed in section </w:t>
      </w:r>
      <w:r w:rsidR="00BA49B5" w:rsidRPr="002B37F5">
        <w:rPr>
          <w:lang w:val="en-US"/>
        </w:rPr>
        <w:t>2.4.2.3.2.3</w:t>
      </w:r>
      <w:r w:rsidR="00BA49B5">
        <w:rPr>
          <w:lang w:val="en-US"/>
        </w:rPr>
        <w:t xml:space="preserve"> of the </w:t>
      </w:r>
      <w:r w:rsidR="00BA49B5" w:rsidRPr="00CD1B40">
        <w:rPr>
          <w:i/>
          <w:iCs/>
          <w:lang w:val="en-US"/>
        </w:rPr>
        <w:t xml:space="preserve">Model Regulations </w:t>
      </w:r>
      <w:r w:rsidR="00BA49B5">
        <w:rPr>
          <w:lang w:val="en-US"/>
        </w:rPr>
        <w:t>were evaluated with respect to their decomposition energies (</w:t>
      </w:r>
      <w:r w:rsidR="0049647C">
        <w:rPr>
          <w:lang w:val="en-US"/>
        </w:rPr>
        <w:t>F</w:t>
      </w:r>
      <w:r w:rsidR="00BA49B5">
        <w:rPr>
          <w:lang w:val="en-US"/>
        </w:rPr>
        <w:t>igure 3). Where available, measurement data were taken; in other cases, literature data were used or bond increment methods applied (see table 3 in the annex to this document).</w:t>
      </w:r>
    </w:p>
    <w:p w14:paraId="18B268B6" w14:textId="77777777" w:rsidR="00BA49B5" w:rsidRDefault="00BA49B5" w:rsidP="00BA49B5">
      <w:pPr>
        <w:pStyle w:val="SingleTxtG"/>
        <w:keepNext/>
        <w:tabs>
          <w:tab w:val="left" w:pos="1701"/>
        </w:tabs>
      </w:pPr>
      <w:r w:rsidRPr="00CB12A8">
        <w:rPr>
          <w:noProof/>
          <w:lang w:val="de-DE" w:eastAsia="de-DE"/>
        </w:rPr>
        <w:drawing>
          <wp:inline distT="0" distB="0" distL="0" distR="0" wp14:anchorId="0134A75D" wp14:editId="5C054079">
            <wp:extent cx="4745354" cy="27328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46598" cy="2733608"/>
                    </a:xfrm>
                    <a:prstGeom prst="rect">
                      <a:avLst/>
                    </a:prstGeom>
                  </pic:spPr>
                </pic:pic>
              </a:graphicData>
            </a:graphic>
          </wp:inline>
        </w:drawing>
      </w:r>
    </w:p>
    <w:p w14:paraId="0F67BD2D" w14:textId="77777777" w:rsidR="00BA49B5" w:rsidRPr="00202885" w:rsidRDefault="00BA49B5" w:rsidP="00BA49B5">
      <w:pPr>
        <w:pStyle w:val="Caption"/>
        <w:jc w:val="center"/>
        <w:rPr>
          <w:color w:val="auto"/>
          <w:sz w:val="20"/>
          <w:szCs w:val="20"/>
        </w:rPr>
      </w:pPr>
      <w:r w:rsidRPr="00202885">
        <w:rPr>
          <w:color w:val="auto"/>
          <w:sz w:val="20"/>
          <w:szCs w:val="20"/>
        </w:rPr>
        <w:t xml:space="preserve">Figure </w:t>
      </w:r>
      <w:r w:rsidRPr="00202885">
        <w:rPr>
          <w:color w:val="auto"/>
          <w:sz w:val="20"/>
          <w:szCs w:val="20"/>
        </w:rPr>
        <w:fldChar w:fldCharType="begin"/>
      </w:r>
      <w:r w:rsidRPr="00202885">
        <w:rPr>
          <w:color w:val="auto"/>
          <w:sz w:val="20"/>
          <w:szCs w:val="20"/>
        </w:rPr>
        <w:instrText xml:space="preserve"> SEQ Figure \* ARABIC </w:instrText>
      </w:r>
      <w:r w:rsidRPr="00202885">
        <w:rPr>
          <w:color w:val="auto"/>
          <w:sz w:val="20"/>
          <w:szCs w:val="20"/>
        </w:rPr>
        <w:fldChar w:fldCharType="separate"/>
      </w:r>
      <w:r>
        <w:rPr>
          <w:noProof/>
          <w:color w:val="auto"/>
          <w:sz w:val="20"/>
          <w:szCs w:val="20"/>
        </w:rPr>
        <w:t>3</w:t>
      </w:r>
      <w:r w:rsidRPr="00202885">
        <w:rPr>
          <w:color w:val="auto"/>
          <w:sz w:val="20"/>
          <w:szCs w:val="20"/>
        </w:rPr>
        <w:fldChar w:fldCharType="end"/>
      </w:r>
      <w:r w:rsidRPr="00202885">
        <w:rPr>
          <w:color w:val="auto"/>
          <w:sz w:val="20"/>
          <w:szCs w:val="20"/>
        </w:rPr>
        <w:t>: Decomposition</w:t>
      </w:r>
      <w:r>
        <w:rPr>
          <w:color w:val="auto"/>
          <w:sz w:val="20"/>
          <w:szCs w:val="20"/>
        </w:rPr>
        <w:t xml:space="preserve"> energies</w:t>
      </w:r>
      <w:r w:rsidRPr="00202885">
        <w:rPr>
          <w:color w:val="auto"/>
          <w:sz w:val="20"/>
          <w:szCs w:val="20"/>
        </w:rPr>
        <w:t xml:space="preserve"> of energetic samples vs. listed self-</w:t>
      </w:r>
      <w:proofErr w:type="spellStart"/>
      <w:r w:rsidRPr="00202885">
        <w:rPr>
          <w:color w:val="auto"/>
          <w:sz w:val="20"/>
          <w:szCs w:val="20"/>
        </w:rPr>
        <w:t>reactives</w:t>
      </w:r>
      <w:proofErr w:type="spellEnd"/>
    </w:p>
    <w:p w14:paraId="19D11D86" w14:textId="3543DF09" w:rsidR="00BA49B5" w:rsidRDefault="00E00759" w:rsidP="00E00759">
      <w:pPr>
        <w:pStyle w:val="SingleTxtG"/>
        <w:tabs>
          <w:tab w:val="left" w:pos="1701"/>
        </w:tabs>
        <w:rPr>
          <w:lang w:val="en-US"/>
        </w:rPr>
      </w:pPr>
      <w:r>
        <w:rPr>
          <w:lang w:val="en-US"/>
        </w:rPr>
        <w:t>36.</w:t>
      </w:r>
      <w:r>
        <w:rPr>
          <w:lang w:val="en-US"/>
        </w:rPr>
        <w:tab/>
      </w:r>
      <w:r w:rsidR="00BA49B5" w:rsidRPr="00134644">
        <w:rPr>
          <w:lang w:val="en-US"/>
        </w:rPr>
        <w:t xml:space="preserve">Evidently, the shape and position of the distributions form an excellent match. </w:t>
      </w:r>
      <w:r w:rsidR="00BA49B5" w:rsidRPr="0064541A">
        <w:rPr>
          <w:lang w:val="en-US"/>
        </w:rPr>
        <w:t>The coheren</w:t>
      </w:r>
      <w:r w:rsidR="00BA49B5">
        <w:rPr>
          <w:lang w:val="en-US"/>
        </w:rPr>
        <w:t>ce</w:t>
      </w:r>
      <w:r w:rsidR="00BA49B5" w:rsidRPr="0064541A">
        <w:rPr>
          <w:lang w:val="en-US"/>
        </w:rPr>
        <w:t xml:space="preserve"> with the </w:t>
      </w:r>
      <w:r w:rsidR="00BA49B5">
        <w:rPr>
          <w:lang w:val="en-US"/>
        </w:rPr>
        <w:t xml:space="preserve">curve for the self-reactive </w:t>
      </w:r>
      <w:r w:rsidR="00BA49B5" w:rsidRPr="00AC236C">
        <w:rPr>
          <w:lang w:val="en-US"/>
        </w:rPr>
        <w:t>substances</w:t>
      </w:r>
      <w:r w:rsidR="00BA49B5">
        <w:rPr>
          <w:lang w:val="en-US"/>
        </w:rPr>
        <w:t xml:space="preserve"> </w:t>
      </w:r>
      <w:r w:rsidR="00BA49B5" w:rsidRPr="0064541A">
        <w:rPr>
          <w:lang w:val="en-US"/>
        </w:rPr>
        <w:t>justifies the treatment</w:t>
      </w:r>
      <w:r w:rsidR="00BA49B5">
        <w:rPr>
          <w:lang w:val="en-US"/>
        </w:rPr>
        <w:t xml:space="preserve"> of energetic samples</w:t>
      </w:r>
      <w:r w:rsidR="00BA49B5" w:rsidRPr="0064541A">
        <w:rPr>
          <w:lang w:val="en-US"/>
        </w:rPr>
        <w:t xml:space="preserve"> under th</w:t>
      </w:r>
      <w:r w:rsidR="00BA49B5">
        <w:rPr>
          <w:lang w:val="en-US"/>
        </w:rPr>
        <w:t>e same provisions as self-</w:t>
      </w:r>
      <w:proofErr w:type="spellStart"/>
      <w:r w:rsidR="00BA49B5">
        <w:rPr>
          <w:lang w:val="en-US"/>
        </w:rPr>
        <w:t>reactives</w:t>
      </w:r>
      <w:proofErr w:type="spellEnd"/>
      <w:r w:rsidR="00BA49B5">
        <w:rPr>
          <w:lang w:val="en-US"/>
        </w:rPr>
        <w:t xml:space="preserve"> and </w:t>
      </w:r>
      <w:r w:rsidR="00BA49B5" w:rsidRPr="00134644">
        <w:rPr>
          <w:lang w:val="en-US"/>
        </w:rPr>
        <w:t>strong</w:t>
      </w:r>
      <w:r w:rsidR="00BA49B5">
        <w:rPr>
          <w:lang w:val="en-US"/>
        </w:rPr>
        <w:t>ly</w:t>
      </w:r>
      <w:r w:rsidR="00BA49B5" w:rsidRPr="00134644">
        <w:rPr>
          <w:lang w:val="en-US"/>
        </w:rPr>
        <w:t xml:space="preserve"> </w:t>
      </w:r>
      <w:r w:rsidR="00BA49B5">
        <w:rPr>
          <w:lang w:val="en-US"/>
        </w:rPr>
        <w:t>supports</w:t>
      </w:r>
      <w:r w:rsidR="00BA49B5" w:rsidRPr="00134644">
        <w:rPr>
          <w:lang w:val="en-US"/>
        </w:rPr>
        <w:t xml:space="preserve"> the approach taken by </w:t>
      </w:r>
      <w:r w:rsidR="00BA49B5">
        <w:rPr>
          <w:lang w:val="en-US"/>
        </w:rPr>
        <w:t>Cefic</w:t>
      </w:r>
      <w:r w:rsidR="00BA49B5" w:rsidRPr="00134644">
        <w:rPr>
          <w:lang w:val="en-US"/>
        </w:rPr>
        <w:t xml:space="preserve"> (see </w:t>
      </w:r>
      <w:r w:rsidR="009C4571">
        <w:rPr>
          <w:lang w:val="en-US"/>
        </w:rPr>
        <w:t>paragraph</w:t>
      </w:r>
      <w:r w:rsidR="00BA49B5" w:rsidRPr="002D081F">
        <w:rPr>
          <w:lang w:val="en-US"/>
        </w:rPr>
        <w:t xml:space="preserve"> 28</w:t>
      </w:r>
      <w:r w:rsidR="00BA49B5" w:rsidRPr="00E11624">
        <w:rPr>
          <w:lang w:val="en-US"/>
        </w:rPr>
        <w:t xml:space="preserve"> </w:t>
      </w:r>
      <w:r w:rsidR="00BA49B5" w:rsidRPr="00134644">
        <w:rPr>
          <w:lang w:val="en-US"/>
        </w:rPr>
        <w:t>above).</w:t>
      </w:r>
    </w:p>
    <w:p w14:paraId="06665DAC" w14:textId="4CB3C790" w:rsidR="00BA49B5" w:rsidRPr="00134644" w:rsidRDefault="00E00759" w:rsidP="00E00759">
      <w:pPr>
        <w:pStyle w:val="SingleTxtG"/>
        <w:tabs>
          <w:tab w:val="left" w:pos="1701"/>
        </w:tabs>
        <w:rPr>
          <w:lang w:val="en-US"/>
        </w:rPr>
      </w:pPr>
      <w:r w:rsidRPr="00134644">
        <w:rPr>
          <w:lang w:val="en-US"/>
        </w:rPr>
        <w:t>37.</w:t>
      </w:r>
      <w:r w:rsidRPr="00134644">
        <w:rPr>
          <w:lang w:val="en-US"/>
        </w:rPr>
        <w:tab/>
      </w:r>
      <w:r w:rsidR="00BA49B5">
        <w:rPr>
          <w:lang w:val="en-US"/>
        </w:rPr>
        <w:t>As a further comparison</w:t>
      </w:r>
      <w:r w:rsidR="00BA49B5" w:rsidRPr="0064541A">
        <w:rPr>
          <w:lang w:val="en-US"/>
        </w:rPr>
        <w:t xml:space="preserve">, literature data for known explosives were compiled </w:t>
      </w:r>
      <w:r w:rsidR="00BA49B5">
        <w:rPr>
          <w:lang w:val="en-US"/>
        </w:rPr>
        <w:t xml:space="preserve">and evaluated </w:t>
      </w:r>
      <w:r w:rsidR="00BA49B5" w:rsidRPr="0064541A">
        <w:rPr>
          <w:lang w:val="en-US"/>
        </w:rPr>
        <w:t xml:space="preserve">(J. Köhler, R. Meyer, </w:t>
      </w:r>
      <w:proofErr w:type="spellStart"/>
      <w:r w:rsidR="00BA49B5" w:rsidRPr="0064541A">
        <w:rPr>
          <w:lang w:val="en-US"/>
        </w:rPr>
        <w:t>Explosivstoffe</w:t>
      </w:r>
      <w:proofErr w:type="spellEnd"/>
      <w:r w:rsidR="00BA49B5" w:rsidRPr="0064541A">
        <w:rPr>
          <w:lang w:val="en-US"/>
        </w:rPr>
        <w:t>, Wiley-VCH). T</w:t>
      </w:r>
      <w:r w:rsidR="00BA49B5">
        <w:rPr>
          <w:lang w:val="en-US"/>
        </w:rPr>
        <w:t xml:space="preserve">he results are shown in </w:t>
      </w:r>
      <w:r w:rsidR="0049647C">
        <w:rPr>
          <w:lang w:val="en-US"/>
        </w:rPr>
        <w:t>F</w:t>
      </w:r>
      <w:r w:rsidR="00BA49B5">
        <w:rPr>
          <w:lang w:val="en-US"/>
        </w:rPr>
        <w:t>igure 4</w:t>
      </w:r>
      <w:r w:rsidR="00BA49B5" w:rsidRPr="0064541A">
        <w:rPr>
          <w:lang w:val="en-US"/>
        </w:rPr>
        <w:t>:</w:t>
      </w:r>
    </w:p>
    <w:p w14:paraId="2024479C" w14:textId="77777777" w:rsidR="00BA49B5" w:rsidRDefault="00BA49B5" w:rsidP="00BA49B5">
      <w:pPr>
        <w:pStyle w:val="SingleTxtG"/>
        <w:keepNext/>
        <w:tabs>
          <w:tab w:val="left" w:pos="1701"/>
        </w:tabs>
      </w:pPr>
      <w:r>
        <w:rPr>
          <w:noProof/>
          <w:lang w:val="de-DE" w:eastAsia="de-DE"/>
        </w:rPr>
        <w:drawing>
          <wp:inline distT="0" distB="0" distL="0" distR="0" wp14:anchorId="508749CF" wp14:editId="164F6F7A">
            <wp:extent cx="4698610" cy="2620551"/>
            <wp:effectExtent l="0" t="0" r="698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47558" cy="2647851"/>
                    </a:xfrm>
                    <a:prstGeom prst="rect">
                      <a:avLst/>
                    </a:prstGeom>
                  </pic:spPr>
                </pic:pic>
              </a:graphicData>
            </a:graphic>
          </wp:inline>
        </w:drawing>
      </w:r>
    </w:p>
    <w:p w14:paraId="4D1B3421" w14:textId="549C92B3" w:rsidR="00971D20" w:rsidRPr="00971D20" w:rsidRDefault="00BA49B5" w:rsidP="00971D20">
      <w:pPr>
        <w:pStyle w:val="Caption"/>
        <w:jc w:val="center"/>
        <w:rPr>
          <w:color w:val="auto"/>
          <w:sz w:val="20"/>
          <w:szCs w:val="20"/>
        </w:rPr>
      </w:pPr>
      <w:bookmarkStart w:id="1" w:name="_Ref146218813"/>
      <w:r w:rsidRPr="00202885">
        <w:rPr>
          <w:color w:val="auto"/>
          <w:sz w:val="20"/>
          <w:szCs w:val="20"/>
        </w:rPr>
        <w:t xml:space="preserve">Figure </w:t>
      </w:r>
      <w:r w:rsidRPr="00202885">
        <w:rPr>
          <w:color w:val="auto"/>
          <w:sz w:val="20"/>
          <w:szCs w:val="20"/>
        </w:rPr>
        <w:fldChar w:fldCharType="begin"/>
      </w:r>
      <w:r w:rsidRPr="00202885">
        <w:rPr>
          <w:color w:val="auto"/>
          <w:sz w:val="20"/>
          <w:szCs w:val="20"/>
        </w:rPr>
        <w:instrText xml:space="preserve"> SEQ Figure \* ARABIC </w:instrText>
      </w:r>
      <w:r w:rsidRPr="00202885">
        <w:rPr>
          <w:color w:val="auto"/>
          <w:sz w:val="20"/>
          <w:szCs w:val="20"/>
        </w:rPr>
        <w:fldChar w:fldCharType="separate"/>
      </w:r>
      <w:r>
        <w:rPr>
          <w:noProof/>
          <w:color w:val="auto"/>
          <w:sz w:val="20"/>
          <w:szCs w:val="20"/>
        </w:rPr>
        <w:t>4</w:t>
      </w:r>
      <w:r w:rsidRPr="00202885">
        <w:rPr>
          <w:color w:val="auto"/>
          <w:sz w:val="20"/>
          <w:szCs w:val="20"/>
        </w:rPr>
        <w:fldChar w:fldCharType="end"/>
      </w:r>
      <w:bookmarkEnd w:id="1"/>
      <w:r w:rsidRPr="00202885">
        <w:rPr>
          <w:color w:val="auto"/>
          <w:sz w:val="20"/>
          <w:szCs w:val="20"/>
        </w:rPr>
        <w:t xml:space="preserve">: Decomposition </w:t>
      </w:r>
      <w:r>
        <w:rPr>
          <w:color w:val="auto"/>
          <w:sz w:val="20"/>
          <w:szCs w:val="20"/>
        </w:rPr>
        <w:t xml:space="preserve">energy </w:t>
      </w:r>
      <w:r w:rsidRPr="00202885">
        <w:rPr>
          <w:color w:val="auto"/>
          <w:sz w:val="20"/>
          <w:szCs w:val="20"/>
        </w:rPr>
        <w:t>of energetic samples vs. known explosives</w:t>
      </w:r>
    </w:p>
    <w:p w14:paraId="507026FA" w14:textId="0A0DFD83" w:rsidR="00BA49B5" w:rsidRPr="0024188D" w:rsidRDefault="00E00759" w:rsidP="00E00759">
      <w:pPr>
        <w:pStyle w:val="SingleTxtG"/>
        <w:tabs>
          <w:tab w:val="left" w:pos="1701"/>
        </w:tabs>
        <w:rPr>
          <w:lang w:val="en-US"/>
        </w:rPr>
      </w:pPr>
      <w:r w:rsidRPr="0024188D">
        <w:rPr>
          <w:lang w:val="en-US"/>
        </w:rPr>
        <w:lastRenderedPageBreak/>
        <w:t>38.</w:t>
      </w:r>
      <w:r w:rsidRPr="0024188D">
        <w:rPr>
          <w:lang w:val="en-US"/>
        </w:rPr>
        <w:tab/>
      </w:r>
      <w:r w:rsidR="00BA49B5" w:rsidRPr="0024188D">
        <w:rPr>
          <w:lang w:val="en-US"/>
        </w:rPr>
        <w:t xml:space="preserve">Figure </w:t>
      </w:r>
      <w:r w:rsidR="00BA49B5">
        <w:rPr>
          <w:lang w:val="en-US"/>
        </w:rPr>
        <w:t>5</w:t>
      </w:r>
      <w:r w:rsidR="00BA49B5" w:rsidRPr="0024188D">
        <w:rPr>
          <w:lang w:val="en-US"/>
        </w:rPr>
        <w:t xml:space="preserve"> shows a similar </w:t>
      </w:r>
      <w:r w:rsidR="00BA49B5">
        <w:rPr>
          <w:lang w:val="en-US"/>
        </w:rPr>
        <w:t>comparison of energetic R&amp;D samples with</w:t>
      </w:r>
      <w:r w:rsidR="00BA49B5" w:rsidRPr="0024188D">
        <w:rPr>
          <w:lang w:val="en-US"/>
        </w:rPr>
        <w:t xml:space="preserve"> desensitized explosives and stable energetic co</w:t>
      </w:r>
      <w:r w:rsidR="00BA49B5">
        <w:rPr>
          <w:lang w:val="en-US"/>
        </w:rPr>
        <w:t xml:space="preserve">mpounds (data for these last two taken from the </w:t>
      </w:r>
      <w:r w:rsidR="00BA49B5" w:rsidRPr="008C1C90">
        <w:rPr>
          <w:i/>
          <w:iCs/>
          <w:lang w:val="en-US"/>
        </w:rPr>
        <w:t>Model Regulations</w:t>
      </w:r>
      <w:r w:rsidR="00BA49B5">
        <w:rPr>
          <w:lang w:val="en-US"/>
        </w:rPr>
        <w:t xml:space="preserve">; see </w:t>
      </w:r>
      <w:r w:rsidR="008C1C90">
        <w:rPr>
          <w:lang w:val="en-US"/>
        </w:rPr>
        <w:t>T</w:t>
      </w:r>
      <w:r w:rsidR="00BA49B5">
        <w:rPr>
          <w:lang w:val="en-US"/>
        </w:rPr>
        <w:t>ables 4 and 5 in the annex to this document</w:t>
      </w:r>
      <w:r w:rsidR="00BA49B5" w:rsidRPr="0024188D">
        <w:rPr>
          <w:lang w:val="en-US"/>
        </w:rPr>
        <w:t>).</w:t>
      </w:r>
      <w:r w:rsidR="00BA49B5">
        <w:rPr>
          <w:lang w:val="en-US"/>
        </w:rPr>
        <w:t xml:space="preserve"> The stable energetics in the context of this document are substances exhibiting a decomposition energy of more than 1000 J/g outside of Class 1 and Self-</w:t>
      </w:r>
      <w:proofErr w:type="spellStart"/>
      <w:r w:rsidR="00BA49B5">
        <w:rPr>
          <w:lang w:val="en-US"/>
        </w:rPr>
        <w:t>reactives</w:t>
      </w:r>
      <w:proofErr w:type="spellEnd"/>
      <w:r w:rsidR="00BA49B5">
        <w:rPr>
          <w:lang w:val="en-US"/>
        </w:rPr>
        <w:t xml:space="preserve"> of Division 4.1. Note that some of these products, such as nitromethane and derivatives of nitrobenzene, are currently produced and transported in huge volumes. Numerous polymerizing substances exhibit large heats of reaction as well (see </w:t>
      </w:r>
      <w:r w:rsidR="00F5061F">
        <w:rPr>
          <w:lang w:val="en-US"/>
        </w:rPr>
        <w:t xml:space="preserve">informal document </w:t>
      </w:r>
      <w:r w:rsidR="00BA49B5" w:rsidRPr="00FF1096">
        <w:rPr>
          <w:lang w:val="en-US"/>
        </w:rPr>
        <w:t>UN/SCETDG/47/INF.27</w:t>
      </w:r>
      <w:r w:rsidR="00BA49B5">
        <w:rPr>
          <w:lang w:val="en-US"/>
        </w:rPr>
        <w:t>).</w:t>
      </w:r>
    </w:p>
    <w:p w14:paraId="79941C69" w14:textId="77777777" w:rsidR="00BA49B5" w:rsidRDefault="00BA49B5" w:rsidP="00BA49B5">
      <w:pPr>
        <w:pStyle w:val="SingleTxtG"/>
        <w:keepNext/>
        <w:tabs>
          <w:tab w:val="left" w:pos="1134"/>
        </w:tabs>
      </w:pPr>
      <w:r>
        <w:rPr>
          <w:noProof/>
          <w:lang w:val="de-DE" w:eastAsia="de-DE"/>
        </w:rPr>
        <w:drawing>
          <wp:inline distT="0" distB="0" distL="0" distR="0" wp14:anchorId="0F8341D1" wp14:editId="3980A5D9">
            <wp:extent cx="4713667" cy="261391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17251" cy="2615902"/>
                    </a:xfrm>
                    <a:prstGeom prst="rect">
                      <a:avLst/>
                    </a:prstGeom>
                  </pic:spPr>
                </pic:pic>
              </a:graphicData>
            </a:graphic>
          </wp:inline>
        </w:drawing>
      </w:r>
    </w:p>
    <w:p w14:paraId="4212CEF2" w14:textId="77777777" w:rsidR="00BA49B5" w:rsidRPr="00202885" w:rsidRDefault="00BA49B5" w:rsidP="00BA49B5">
      <w:pPr>
        <w:pStyle w:val="Caption"/>
        <w:jc w:val="center"/>
        <w:rPr>
          <w:color w:val="auto"/>
          <w:sz w:val="20"/>
          <w:szCs w:val="20"/>
          <w:lang w:val="en-US"/>
        </w:rPr>
      </w:pPr>
      <w:r w:rsidRPr="00202885">
        <w:rPr>
          <w:color w:val="auto"/>
          <w:sz w:val="20"/>
          <w:szCs w:val="20"/>
        </w:rPr>
        <w:t xml:space="preserve">Figure </w:t>
      </w:r>
      <w:r w:rsidRPr="00202885">
        <w:rPr>
          <w:color w:val="auto"/>
          <w:sz w:val="20"/>
          <w:szCs w:val="20"/>
        </w:rPr>
        <w:fldChar w:fldCharType="begin"/>
      </w:r>
      <w:r w:rsidRPr="00202885">
        <w:rPr>
          <w:color w:val="auto"/>
          <w:sz w:val="20"/>
          <w:szCs w:val="20"/>
        </w:rPr>
        <w:instrText xml:space="preserve"> SEQ Figure \* ARABIC </w:instrText>
      </w:r>
      <w:r w:rsidRPr="00202885">
        <w:rPr>
          <w:color w:val="auto"/>
          <w:sz w:val="20"/>
          <w:szCs w:val="20"/>
        </w:rPr>
        <w:fldChar w:fldCharType="separate"/>
      </w:r>
      <w:r>
        <w:rPr>
          <w:noProof/>
          <w:color w:val="auto"/>
          <w:sz w:val="20"/>
          <w:szCs w:val="20"/>
        </w:rPr>
        <w:t>5</w:t>
      </w:r>
      <w:r w:rsidRPr="00202885">
        <w:rPr>
          <w:color w:val="auto"/>
          <w:sz w:val="20"/>
          <w:szCs w:val="20"/>
        </w:rPr>
        <w:fldChar w:fldCharType="end"/>
      </w:r>
      <w:r w:rsidRPr="00202885">
        <w:rPr>
          <w:color w:val="auto"/>
          <w:sz w:val="20"/>
          <w:szCs w:val="20"/>
        </w:rPr>
        <w:t xml:space="preserve">: Decomposition </w:t>
      </w:r>
      <w:r>
        <w:rPr>
          <w:color w:val="auto"/>
          <w:sz w:val="20"/>
          <w:szCs w:val="20"/>
        </w:rPr>
        <w:t xml:space="preserve">energies </w:t>
      </w:r>
      <w:r w:rsidRPr="00202885">
        <w:rPr>
          <w:color w:val="auto"/>
          <w:sz w:val="20"/>
          <w:szCs w:val="20"/>
        </w:rPr>
        <w:t xml:space="preserve">of energetic samples vs. </w:t>
      </w:r>
      <w:r>
        <w:rPr>
          <w:color w:val="auto"/>
          <w:sz w:val="20"/>
          <w:szCs w:val="20"/>
        </w:rPr>
        <w:br/>
      </w:r>
      <w:r w:rsidRPr="00202885">
        <w:rPr>
          <w:color w:val="auto"/>
          <w:sz w:val="20"/>
          <w:szCs w:val="20"/>
        </w:rPr>
        <w:t>desensitized explosives and stable energetics</w:t>
      </w:r>
    </w:p>
    <w:p w14:paraId="6699FBD8" w14:textId="486BD1B6" w:rsidR="00BA49B5" w:rsidRDefault="00E00759" w:rsidP="00E00759">
      <w:pPr>
        <w:pStyle w:val="SingleTxtG"/>
        <w:tabs>
          <w:tab w:val="left" w:pos="1701"/>
        </w:tabs>
        <w:rPr>
          <w:lang w:val="en-US"/>
        </w:rPr>
      </w:pPr>
      <w:r>
        <w:rPr>
          <w:lang w:val="en-US"/>
        </w:rPr>
        <w:t>39.</w:t>
      </w:r>
      <w:r>
        <w:rPr>
          <w:lang w:val="en-US"/>
        </w:rPr>
        <w:tab/>
      </w:r>
      <w:r w:rsidR="00BA49B5" w:rsidRPr="0064541A">
        <w:rPr>
          <w:lang w:val="en-US"/>
        </w:rPr>
        <w:t xml:space="preserve">Evidently, the energetic </w:t>
      </w:r>
      <w:r w:rsidR="00BA49B5">
        <w:rPr>
          <w:lang w:val="en-US"/>
        </w:rPr>
        <w:t xml:space="preserve">R&amp;D </w:t>
      </w:r>
      <w:r w:rsidR="00BA49B5" w:rsidRPr="0064541A">
        <w:rPr>
          <w:lang w:val="en-US"/>
        </w:rPr>
        <w:t xml:space="preserve">samples form a group of lower decomposition energies clearly separated from the explosives </w:t>
      </w:r>
      <w:r w:rsidR="00BA49B5">
        <w:rPr>
          <w:lang w:val="en-US"/>
        </w:rPr>
        <w:t xml:space="preserve">and stable energetics </w:t>
      </w:r>
      <w:r w:rsidR="00BA49B5" w:rsidRPr="0064541A">
        <w:rPr>
          <w:lang w:val="en-US"/>
        </w:rPr>
        <w:t>with much higher energies</w:t>
      </w:r>
      <w:r w:rsidR="00BA49B5">
        <w:rPr>
          <w:lang w:val="en-US"/>
        </w:rPr>
        <w:t xml:space="preserve"> (</w:t>
      </w:r>
      <w:r w:rsidR="00641CED">
        <w:rPr>
          <w:lang w:val="en-US"/>
        </w:rPr>
        <w:t>F</w:t>
      </w:r>
      <w:r w:rsidR="00BA49B5">
        <w:rPr>
          <w:lang w:val="en-US"/>
        </w:rPr>
        <w:t>igures 4 and 5)</w:t>
      </w:r>
      <w:r w:rsidR="00BA49B5" w:rsidRPr="0064541A">
        <w:rPr>
          <w:lang w:val="en-US"/>
        </w:rPr>
        <w:t xml:space="preserve">. </w:t>
      </w:r>
      <w:r w:rsidR="00BA49B5">
        <w:rPr>
          <w:lang w:val="en-US"/>
        </w:rPr>
        <w:t xml:space="preserve">Except for one substance (the salt lead </w:t>
      </w:r>
      <w:proofErr w:type="spellStart"/>
      <w:r w:rsidR="00BA49B5">
        <w:rPr>
          <w:lang w:val="en-US"/>
        </w:rPr>
        <w:t>trinitroresorcinate</w:t>
      </w:r>
      <w:proofErr w:type="spellEnd"/>
      <w:r w:rsidR="00BA49B5">
        <w:rPr>
          <w:lang w:val="en-US"/>
        </w:rPr>
        <w:t>, 1480 J/g), no known explosive could be identified with a decomposition energy &lt;</w:t>
      </w:r>
      <w:r w:rsidR="00CC57A3">
        <w:rPr>
          <w:lang w:val="en-US"/>
        </w:rPr>
        <w:t> </w:t>
      </w:r>
      <w:r w:rsidR="00BA49B5">
        <w:rPr>
          <w:lang w:val="en-US"/>
        </w:rPr>
        <w:t xml:space="preserve">1500 J/g. In the group of the desensitized explosives, the salts silver picrate, zirconium picramate and barium </w:t>
      </w:r>
      <w:proofErr w:type="spellStart"/>
      <w:r w:rsidR="00BA49B5">
        <w:rPr>
          <w:lang w:val="en-US"/>
        </w:rPr>
        <w:t>azide</w:t>
      </w:r>
      <w:proofErr w:type="spellEnd"/>
      <w:r w:rsidR="00BA49B5">
        <w:rPr>
          <w:lang w:val="en-US"/>
        </w:rPr>
        <w:t xml:space="preserve"> exhibit similar low decomposition energies. As intentional initiating explosives, these substances are clearly outside of the scope of 2.0.4.3.</w:t>
      </w:r>
    </w:p>
    <w:p w14:paraId="3C5F76D2" w14:textId="19873125" w:rsidR="00BA49B5" w:rsidRDefault="00E00759" w:rsidP="00E00759">
      <w:pPr>
        <w:pStyle w:val="SingleTxtG"/>
        <w:tabs>
          <w:tab w:val="left" w:pos="1701"/>
        </w:tabs>
        <w:rPr>
          <w:lang w:val="en-US"/>
        </w:rPr>
      </w:pPr>
      <w:r>
        <w:rPr>
          <w:lang w:val="en-US"/>
        </w:rPr>
        <w:t>40.</w:t>
      </w:r>
      <w:r>
        <w:rPr>
          <w:lang w:val="en-US"/>
        </w:rPr>
        <w:tab/>
      </w:r>
      <w:r w:rsidR="00BA49B5">
        <w:rPr>
          <w:lang w:val="en-US"/>
        </w:rPr>
        <w:t xml:space="preserve">The decomposition energies of the desensitized forms of sodium </w:t>
      </w:r>
      <w:proofErr w:type="spellStart"/>
      <w:r w:rsidR="00BA49B5">
        <w:rPr>
          <w:lang w:val="en-US"/>
        </w:rPr>
        <w:t>pricramate</w:t>
      </w:r>
      <w:proofErr w:type="spellEnd"/>
      <w:r w:rsidR="00BA49B5">
        <w:rPr>
          <w:lang w:val="en-US"/>
        </w:rPr>
        <w:t xml:space="preserve">, ammonium perchlorate, and sodium </w:t>
      </w:r>
      <w:proofErr w:type="spellStart"/>
      <w:r w:rsidR="00BA49B5">
        <w:rPr>
          <w:lang w:val="en-US"/>
        </w:rPr>
        <w:t>dinitrocresolate</w:t>
      </w:r>
      <w:proofErr w:type="spellEnd"/>
      <w:r w:rsidR="00BA49B5">
        <w:rPr>
          <w:lang w:val="en-US"/>
        </w:rPr>
        <w:t xml:space="preserve"> are found in the range 1900-2000 J/g. All these compounds can be chemically characterized as salts. For the non-salts 4</w:t>
      </w:r>
      <w:r w:rsidR="00BA49B5">
        <w:rPr>
          <w:lang w:val="en-US"/>
        </w:rPr>
        <w:noBreakHyphen/>
        <w:t>nitrophenylhydrazine and 1-hydroxybenotriazole in their desensitized form, a lower energy limit of 2000 J/g is found as well. These considerations lead to the conclusion that for the samples as described in 2.0.4.3.1 (a) a safe transport is warranted for decomposition energies:</w:t>
      </w:r>
    </w:p>
    <w:p w14:paraId="355E189A" w14:textId="77777777" w:rsidR="00BA49B5" w:rsidRPr="003F3F2A" w:rsidRDefault="00BA49B5" w:rsidP="00BA49B5">
      <w:pPr>
        <w:pStyle w:val="SingleTxtG"/>
        <w:ind w:firstLine="567"/>
      </w:pPr>
      <w:r>
        <w:tab/>
        <w:t>(a</w:t>
      </w:r>
      <w:r w:rsidRPr="003F3F2A">
        <w:t>)</w:t>
      </w:r>
      <w:r w:rsidRPr="003F3F2A">
        <w:tab/>
        <w:t>Below 1500 J/g for salts</w:t>
      </w:r>
      <w:r>
        <w:t xml:space="preserve"> and complexes</w:t>
      </w:r>
      <w:r w:rsidRPr="003F3F2A">
        <w:t>, and</w:t>
      </w:r>
    </w:p>
    <w:p w14:paraId="75E29C44" w14:textId="77777777" w:rsidR="00BA49B5" w:rsidRPr="003F3F2A" w:rsidRDefault="00BA49B5" w:rsidP="00BA49B5">
      <w:pPr>
        <w:pStyle w:val="SingleTxtG"/>
        <w:ind w:firstLine="567"/>
      </w:pPr>
      <w:r>
        <w:tab/>
        <w:t>(b</w:t>
      </w:r>
      <w:r w:rsidRPr="003F3F2A">
        <w:t>)</w:t>
      </w:r>
      <w:r w:rsidRPr="003F3F2A">
        <w:tab/>
        <w:t>Below 2000 J/g for substances other than salts</w:t>
      </w:r>
      <w:r>
        <w:t xml:space="preserve"> and complexes</w:t>
      </w:r>
      <w:r w:rsidRPr="003F3F2A">
        <w:t>.</w:t>
      </w:r>
    </w:p>
    <w:p w14:paraId="1191D21E" w14:textId="3C4AB825" w:rsidR="00BA49B5" w:rsidRDefault="00E00759" w:rsidP="00E00759">
      <w:pPr>
        <w:pStyle w:val="SingleTxtG"/>
        <w:tabs>
          <w:tab w:val="left" w:pos="1701"/>
        </w:tabs>
        <w:rPr>
          <w:lang w:val="en-US"/>
        </w:rPr>
      </w:pPr>
      <w:r>
        <w:rPr>
          <w:lang w:val="en-US"/>
        </w:rPr>
        <w:t>41.</w:t>
      </w:r>
      <w:r>
        <w:rPr>
          <w:lang w:val="en-US"/>
        </w:rPr>
        <w:tab/>
      </w:r>
      <w:r w:rsidR="00BA49B5">
        <w:rPr>
          <w:lang w:val="en-US"/>
        </w:rPr>
        <w:t>Evidently, in terms of possible energy release the R&amp;D samples are not more dangerous that self-reactive substances of types B to E which is in agreement with 2.4.2.3.2.4 (b)(</w:t>
      </w:r>
      <w:proofErr w:type="spellStart"/>
      <w:r w:rsidR="00BA49B5">
        <w:rPr>
          <w:lang w:val="en-US"/>
        </w:rPr>
        <w:t>i</w:t>
      </w:r>
      <w:proofErr w:type="spellEnd"/>
      <w:r w:rsidR="00BA49B5">
        <w:rPr>
          <w:lang w:val="en-US"/>
        </w:rPr>
        <w:t>).</w:t>
      </w:r>
    </w:p>
    <w:p w14:paraId="223694A7" w14:textId="7AD4443C" w:rsidR="00BA49B5" w:rsidRPr="0064541A" w:rsidRDefault="00E00759" w:rsidP="00E00759">
      <w:pPr>
        <w:pStyle w:val="SingleTxtG"/>
        <w:tabs>
          <w:tab w:val="left" w:pos="1701"/>
        </w:tabs>
        <w:rPr>
          <w:lang w:val="en-US"/>
        </w:rPr>
      </w:pPr>
      <w:r w:rsidRPr="0064541A">
        <w:rPr>
          <w:lang w:val="en-US"/>
        </w:rPr>
        <w:t>42.</w:t>
      </w:r>
      <w:r w:rsidRPr="0064541A">
        <w:rPr>
          <w:lang w:val="en-US"/>
        </w:rPr>
        <w:tab/>
      </w:r>
      <w:r w:rsidR="00BA49B5">
        <w:rPr>
          <w:lang w:val="en-US"/>
        </w:rPr>
        <w:t>As discussed above, t</w:t>
      </w:r>
      <w:r w:rsidR="00BA49B5" w:rsidRPr="00C45AA8">
        <w:rPr>
          <w:lang w:val="en-US"/>
        </w:rPr>
        <w:t>he large majority of</w:t>
      </w:r>
      <w:r w:rsidR="00BA49B5">
        <w:rPr>
          <w:lang w:val="en-US"/>
        </w:rPr>
        <w:t xml:space="preserve"> known explosives have a decomposition energy above 2000 J/g. Samples exhibiting such energies have an increased chance of being explosive substances and would need closer inspection before transport.</w:t>
      </w:r>
    </w:p>
    <w:p w14:paraId="22F196A6" w14:textId="7F79B2FB" w:rsidR="00BA49B5" w:rsidRDefault="00E00759" w:rsidP="00E00759">
      <w:pPr>
        <w:pStyle w:val="SingleTxtG"/>
        <w:tabs>
          <w:tab w:val="left" w:pos="1701"/>
        </w:tabs>
        <w:rPr>
          <w:lang w:val="en-US"/>
        </w:rPr>
      </w:pPr>
      <w:r>
        <w:rPr>
          <w:lang w:val="en-US"/>
        </w:rPr>
        <w:t>43.</w:t>
      </w:r>
      <w:r>
        <w:rPr>
          <w:lang w:val="en-US"/>
        </w:rPr>
        <w:tab/>
      </w:r>
      <w:r w:rsidR="00BA49B5" w:rsidRPr="0069552B">
        <w:rPr>
          <w:lang w:val="en-US"/>
        </w:rPr>
        <w:t xml:space="preserve">Therefore, it appears justified to allow the transport of energetic samples as self-reactive substances Type C under the provisions of 2.4.2.3.2.4 (b) depending on their energy content </w:t>
      </w:r>
      <w:r w:rsidR="00BA49B5">
        <w:rPr>
          <w:lang w:val="en-US"/>
        </w:rPr>
        <w:t xml:space="preserve">(decomposition enthalpy </w:t>
      </w:r>
      <w:proofErr w:type="spellStart"/>
      <w:r w:rsidR="00BA49B5">
        <w:rPr>
          <w:lang w:val="en-US"/>
        </w:rPr>
        <w:t>ΔH</w:t>
      </w:r>
      <w:r w:rsidR="00BA49B5" w:rsidRPr="00C21165">
        <w:rPr>
          <w:vertAlign w:val="subscript"/>
          <w:lang w:val="en-US"/>
        </w:rPr>
        <w:t>decomp</w:t>
      </w:r>
      <w:proofErr w:type="spellEnd"/>
      <w:r w:rsidR="00BA49B5">
        <w:rPr>
          <w:lang w:val="en-US"/>
        </w:rPr>
        <w:t xml:space="preserve">) </w:t>
      </w:r>
      <w:r w:rsidR="00BA49B5" w:rsidRPr="0069552B">
        <w:rPr>
          <w:lang w:val="en-US"/>
        </w:rPr>
        <w:t>as follows:</w:t>
      </w:r>
    </w:p>
    <w:p w14:paraId="1A6B0CA1" w14:textId="77777777" w:rsidR="00BA49B5" w:rsidRPr="00927142" w:rsidRDefault="00BA49B5" w:rsidP="00017986">
      <w:pPr>
        <w:pStyle w:val="Caption"/>
        <w:keepNext/>
        <w:keepLines/>
        <w:jc w:val="center"/>
        <w:rPr>
          <w:color w:val="auto"/>
          <w:sz w:val="20"/>
          <w:szCs w:val="20"/>
          <w:lang w:val="en-US"/>
        </w:rPr>
      </w:pPr>
      <w:r w:rsidRPr="00927142">
        <w:rPr>
          <w:color w:val="auto"/>
          <w:sz w:val="20"/>
          <w:szCs w:val="20"/>
        </w:rPr>
        <w:lastRenderedPageBreak/>
        <w:t xml:space="preserve">Table </w:t>
      </w:r>
      <w:r w:rsidRPr="00927142">
        <w:rPr>
          <w:color w:val="auto"/>
          <w:sz w:val="20"/>
          <w:szCs w:val="20"/>
        </w:rPr>
        <w:fldChar w:fldCharType="begin"/>
      </w:r>
      <w:r w:rsidRPr="00927142">
        <w:rPr>
          <w:color w:val="auto"/>
          <w:sz w:val="20"/>
          <w:szCs w:val="20"/>
        </w:rPr>
        <w:instrText xml:space="preserve"> SEQ Table \* ARABIC </w:instrText>
      </w:r>
      <w:r w:rsidRPr="00927142">
        <w:rPr>
          <w:color w:val="auto"/>
          <w:sz w:val="20"/>
          <w:szCs w:val="20"/>
        </w:rPr>
        <w:fldChar w:fldCharType="separate"/>
      </w:r>
      <w:r>
        <w:rPr>
          <w:noProof/>
          <w:color w:val="auto"/>
          <w:sz w:val="20"/>
          <w:szCs w:val="20"/>
        </w:rPr>
        <w:t>2</w:t>
      </w:r>
      <w:r w:rsidRPr="00927142">
        <w:rPr>
          <w:color w:val="auto"/>
          <w:sz w:val="20"/>
          <w:szCs w:val="20"/>
        </w:rPr>
        <w:fldChar w:fldCharType="end"/>
      </w:r>
      <w:r w:rsidRPr="00927142">
        <w:rPr>
          <w:color w:val="auto"/>
          <w:sz w:val="20"/>
          <w:szCs w:val="20"/>
        </w:rPr>
        <w:t>: Suggested thresholds for testing of energetic samples</w:t>
      </w:r>
    </w:p>
    <w:tbl>
      <w:tblPr>
        <w:tblStyle w:val="TableGrid"/>
        <w:tblW w:w="0" w:type="auto"/>
        <w:tblInd w:w="1555" w:type="dxa"/>
        <w:tblLook w:val="04A0" w:firstRow="1" w:lastRow="0" w:firstColumn="1" w:lastColumn="0" w:noHBand="0" w:noVBand="1"/>
      </w:tblPr>
      <w:tblGrid>
        <w:gridCol w:w="2562"/>
        <w:gridCol w:w="1984"/>
        <w:gridCol w:w="2126"/>
      </w:tblGrid>
      <w:tr w:rsidR="00BA49B5" w:rsidRPr="00F82336" w14:paraId="1E32D34C" w14:textId="77777777" w:rsidTr="00D336FE">
        <w:tc>
          <w:tcPr>
            <w:tcW w:w="2562" w:type="dxa"/>
            <w:shd w:val="clear" w:color="auto" w:fill="DAEEF3" w:themeFill="accent5" w:themeFillTint="33"/>
          </w:tcPr>
          <w:p w14:paraId="17D04792" w14:textId="77777777" w:rsidR="00BA49B5" w:rsidRPr="00CF0FE7" w:rsidRDefault="00BA49B5" w:rsidP="00017986">
            <w:pPr>
              <w:pStyle w:val="SingleTxtG"/>
              <w:keepNext/>
              <w:keepLines/>
              <w:tabs>
                <w:tab w:val="left" w:pos="1701"/>
              </w:tabs>
              <w:ind w:left="0" w:right="142"/>
              <w:jc w:val="center"/>
              <w:rPr>
                <w:b/>
                <w:bCs/>
                <w:lang w:val="en-US"/>
              </w:rPr>
            </w:pPr>
            <w:r>
              <w:rPr>
                <w:b/>
                <w:bCs/>
                <w:lang w:val="en-US"/>
              </w:rPr>
              <w:t>Testing requirements</w:t>
            </w:r>
          </w:p>
        </w:tc>
        <w:tc>
          <w:tcPr>
            <w:tcW w:w="1984" w:type="dxa"/>
            <w:shd w:val="clear" w:color="auto" w:fill="DAEEF3" w:themeFill="accent5" w:themeFillTint="33"/>
          </w:tcPr>
          <w:p w14:paraId="2C565FAB" w14:textId="77777777" w:rsidR="00BA49B5" w:rsidRPr="00CF0FE7" w:rsidRDefault="00BA49B5" w:rsidP="00017986">
            <w:pPr>
              <w:pStyle w:val="SingleTxtG"/>
              <w:keepNext/>
              <w:keepLines/>
              <w:tabs>
                <w:tab w:val="left" w:pos="1701"/>
              </w:tabs>
              <w:ind w:left="0" w:right="0"/>
              <w:jc w:val="center"/>
              <w:rPr>
                <w:b/>
                <w:bCs/>
                <w:lang w:val="en-US"/>
              </w:rPr>
            </w:pPr>
            <w:r w:rsidRPr="00CF0FE7">
              <w:rPr>
                <w:b/>
                <w:bCs/>
                <w:lang w:val="en-US"/>
              </w:rPr>
              <w:t>Salts</w:t>
            </w:r>
          </w:p>
        </w:tc>
        <w:tc>
          <w:tcPr>
            <w:tcW w:w="2126" w:type="dxa"/>
            <w:shd w:val="clear" w:color="auto" w:fill="DAEEF3" w:themeFill="accent5" w:themeFillTint="33"/>
          </w:tcPr>
          <w:p w14:paraId="08A0DC5F" w14:textId="77777777" w:rsidR="00BA49B5" w:rsidRPr="00CF0FE7" w:rsidRDefault="00BA49B5" w:rsidP="00017986">
            <w:pPr>
              <w:pStyle w:val="SingleTxtG"/>
              <w:keepNext/>
              <w:keepLines/>
              <w:tabs>
                <w:tab w:val="left" w:pos="1701"/>
              </w:tabs>
              <w:ind w:left="0" w:right="141"/>
              <w:jc w:val="center"/>
              <w:rPr>
                <w:b/>
                <w:bCs/>
                <w:lang w:val="en-US"/>
              </w:rPr>
            </w:pPr>
            <w:r w:rsidRPr="00CF0FE7">
              <w:rPr>
                <w:b/>
                <w:bCs/>
                <w:lang w:val="en-US"/>
              </w:rPr>
              <w:t>Other</w:t>
            </w:r>
            <w:r>
              <w:rPr>
                <w:b/>
                <w:bCs/>
                <w:lang w:val="en-US"/>
              </w:rPr>
              <w:t xml:space="preserve"> organic</w:t>
            </w:r>
            <w:r w:rsidRPr="00CF0FE7">
              <w:rPr>
                <w:b/>
                <w:bCs/>
                <w:lang w:val="en-US"/>
              </w:rPr>
              <w:t xml:space="preserve"> substances</w:t>
            </w:r>
          </w:p>
        </w:tc>
      </w:tr>
      <w:tr w:rsidR="00BA49B5" w14:paraId="739B1C71" w14:textId="77777777" w:rsidTr="00D336FE">
        <w:tc>
          <w:tcPr>
            <w:tcW w:w="2562" w:type="dxa"/>
          </w:tcPr>
          <w:p w14:paraId="1EE0D996" w14:textId="77777777" w:rsidR="00BA49B5" w:rsidRDefault="00BA49B5" w:rsidP="00017986">
            <w:pPr>
              <w:pStyle w:val="SingleTxtG"/>
              <w:keepNext/>
              <w:keepLines/>
              <w:tabs>
                <w:tab w:val="left" w:pos="1701"/>
              </w:tabs>
              <w:ind w:left="0" w:right="142"/>
              <w:jc w:val="center"/>
              <w:rPr>
                <w:lang w:val="en-US"/>
              </w:rPr>
            </w:pPr>
            <w:r>
              <w:rPr>
                <w:lang w:val="en-US"/>
              </w:rPr>
              <w:t>No testing required</w:t>
            </w:r>
          </w:p>
        </w:tc>
        <w:tc>
          <w:tcPr>
            <w:tcW w:w="1984" w:type="dxa"/>
          </w:tcPr>
          <w:p w14:paraId="33081434" w14:textId="77777777" w:rsidR="00BA49B5" w:rsidRDefault="00BA49B5" w:rsidP="00017986">
            <w:pPr>
              <w:pStyle w:val="SingleTxtG"/>
              <w:keepNext/>
              <w:keepLines/>
              <w:tabs>
                <w:tab w:val="left" w:pos="1701"/>
              </w:tabs>
              <w:ind w:left="0" w:right="124"/>
              <w:jc w:val="center"/>
              <w:rPr>
                <w:lang w:val="en-US"/>
              </w:rPr>
            </w:pPr>
            <w:proofErr w:type="spellStart"/>
            <w:r>
              <w:rPr>
                <w:lang w:val="en-US"/>
              </w:rPr>
              <w:t>ΔH</w:t>
            </w:r>
            <w:r w:rsidRPr="00D42F53">
              <w:rPr>
                <w:vertAlign w:val="subscript"/>
                <w:lang w:val="en-US"/>
              </w:rPr>
              <w:t>decomp</w:t>
            </w:r>
            <w:proofErr w:type="spellEnd"/>
            <w:r>
              <w:rPr>
                <w:lang w:val="en-US"/>
              </w:rPr>
              <w:t xml:space="preserve"> &lt; 1500 J/g</w:t>
            </w:r>
          </w:p>
        </w:tc>
        <w:tc>
          <w:tcPr>
            <w:tcW w:w="2126" w:type="dxa"/>
          </w:tcPr>
          <w:p w14:paraId="57FBD805" w14:textId="77777777" w:rsidR="00BA49B5" w:rsidRDefault="00BA49B5" w:rsidP="00017986">
            <w:pPr>
              <w:pStyle w:val="SingleTxtG"/>
              <w:keepNext/>
              <w:keepLines/>
              <w:tabs>
                <w:tab w:val="left" w:pos="1701"/>
              </w:tabs>
              <w:ind w:left="0" w:right="141"/>
              <w:jc w:val="center"/>
              <w:rPr>
                <w:lang w:val="en-US"/>
              </w:rPr>
            </w:pPr>
            <w:proofErr w:type="spellStart"/>
            <w:r>
              <w:rPr>
                <w:lang w:val="en-US"/>
              </w:rPr>
              <w:t>ΔH</w:t>
            </w:r>
            <w:r w:rsidRPr="00D42F53">
              <w:rPr>
                <w:vertAlign w:val="subscript"/>
                <w:lang w:val="en-US"/>
              </w:rPr>
              <w:t>decomp</w:t>
            </w:r>
            <w:proofErr w:type="spellEnd"/>
            <w:r>
              <w:rPr>
                <w:lang w:val="en-US"/>
              </w:rPr>
              <w:t xml:space="preserve"> &lt; 2000 J/g</w:t>
            </w:r>
          </w:p>
        </w:tc>
      </w:tr>
      <w:tr w:rsidR="00BA49B5" w14:paraId="460E49C5" w14:textId="77777777" w:rsidTr="00D336FE">
        <w:tc>
          <w:tcPr>
            <w:tcW w:w="2562" w:type="dxa"/>
          </w:tcPr>
          <w:p w14:paraId="209F1915" w14:textId="77777777" w:rsidR="00BA49B5" w:rsidRDefault="00BA49B5" w:rsidP="00017986">
            <w:pPr>
              <w:pStyle w:val="SingleTxtG"/>
              <w:keepNext/>
              <w:keepLines/>
              <w:tabs>
                <w:tab w:val="left" w:pos="1701"/>
              </w:tabs>
              <w:ind w:left="0" w:right="142"/>
              <w:jc w:val="center"/>
              <w:rPr>
                <w:lang w:val="en-US"/>
              </w:rPr>
            </w:pPr>
            <w:r>
              <w:rPr>
                <w:lang w:val="en-US"/>
              </w:rPr>
              <w:t>Additional testing required</w:t>
            </w:r>
          </w:p>
        </w:tc>
        <w:tc>
          <w:tcPr>
            <w:tcW w:w="1984" w:type="dxa"/>
          </w:tcPr>
          <w:p w14:paraId="12920230" w14:textId="77777777" w:rsidR="00BA49B5" w:rsidRDefault="00BA49B5" w:rsidP="00017986">
            <w:pPr>
              <w:pStyle w:val="SingleTxtG"/>
              <w:keepNext/>
              <w:keepLines/>
              <w:tabs>
                <w:tab w:val="left" w:pos="1701"/>
              </w:tabs>
              <w:ind w:left="0" w:right="124"/>
              <w:jc w:val="center"/>
              <w:rPr>
                <w:lang w:val="en-US"/>
              </w:rPr>
            </w:pPr>
            <w:proofErr w:type="spellStart"/>
            <w:r>
              <w:rPr>
                <w:lang w:val="en-US"/>
              </w:rPr>
              <w:t>ΔH</w:t>
            </w:r>
            <w:r w:rsidRPr="00D42F53">
              <w:rPr>
                <w:vertAlign w:val="subscript"/>
                <w:lang w:val="en-US"/>
              </w:rPr>
              <w:t>decomp</w:t>
            </w:r>
            <w:proofErr w:type="spellEnd"/>
            <w:r>
              <w:rPr>
                <w:lang w:val="en-US"/>
              </w:rPr>
              <w:t xml:space="preserve"> ≥ 1500 J/g</w:t>
            </w:r>
          </w:p>
        </w:tc>
        <w:tc>
          <w:tcPr>
            <w:tcW w:w="2126" w:type="dxa"/>
          </w:tcPr>
          <w:p w14:paraId="066AB0D3" w14:textId="77777777" w:rsidR="00BA49B5" w:rsidRDefault="00BA49B5" w:rsidP="00017986">
            <w:pPr>
              <w:pStyle w:val="SingleTxtG"/>
              <w:keepNext/>
              <w:keepLines/>
              <w:tabs>
                <w:tab w:val="left" w:pos="1701"/>
              </w:tabs>
              <w:ind w:left="0" w:right="141"/>
              <w:jc w:val="center"/>
              <w:rPr>
                <w:lang w:val="en-US"/>
              </w:rPr>
            </w:pPr>
            <w:proofErr w:type="spellStart"/>
            <w:r>
              <w:rPr>
                <w:lang w:val="en-US"/>
              </w:rPr>
              <w:t>ΔH</w:t>
            </w:r>
            <w:r w:rsidRPr="00D42F53">
              <w:rPr>
                <w:vertAlign w:val="subscript"/>
                <w:lang w:val="en-US"/>
              </w:rPr>
              <w:t>decomp</w:t>
            </w:r>
            <w:proofErr w:type="spellEnd"/>
            <w:r>
              <w:rPr>
                <w:lang w:val="en-US"/>
              </w:rPr>
              <w:t xml:space="preserve"> ≥ 2000 J/g</w:t>
            </w:r>
          </w:p>
        </w:tc>
      </w:tr>
    </w:tbl>
    <w:p w14:paraId="71EE06B0" w14:textId="77777777" w:rsidR="005E6C37" w:rsidRDefault="005E6C37" w:rsidP="00E00759">
      <w:pPr>
        <w:pStyle w:val="SingleTxtG"/>
        <w:tabs>
          <w:tab w:val="left" w:pos="1701"/>
        </w:tabs>
        <w:rPr>
          <w:lang w:val="en-US"/>
        </w:rPr>
      </w:pPr>
    </w:p>
    <w:p w14:paraId="498606A2" w14:textId="05142C24" w:rsidR="00BA49B5" w:rsidRDefault="00E00759" w:rsidP="00E00759">
      <w:pPr>
        <w:pStyle w:val="SingleTxtG"/>
        <w:tabs>
          <w:tab w:val="left" w:pos="1701"/>
        </w:tabs>
        <w:rPr>
          <w:lang w:val="en-US"/>
        </w:rPr>
      </w:pPr>
      <w:r>
        <w:rPr>
          <w:lang w:val="en-US"/>
        </w:rPr>
        <w:t>44.</w:t>
      </w:r>
      <w:r>
        <w:rPr>
          <w:lang w:val="en-US"/>
        </w:rPr>
        <w:tab/>
      </w:r>
      <w:r w:rsidR="00BA49B5">
        <w:rPr>
          <w:lang w:val="en-US"/>
        </w:rPr>
        <w:t>If additional testing becomes necessary according to the criteria laid down in table 2, what appears to be a reasonable way forward? Considering that only limited amounts of substance are available in early stages for such testing, it is suggested to obtain a preliminary assessment for the sample transport based on the test for explosive power (Test F.3) and time/pressure test for assessing the ability to deflagrate rapidly (Test C.1). Since soft packagings are prescribed in packing instruction P520, the Koenen test (Test E.1) appears less useful in this context.</w:t>
      </w:r>
    </w:p>
    <w:p w14:paraId="35B942EE" w14:textId="54FA446C" w:rsidR="00BA49B5" w:rsidRDefault="00E00759" w:rsidP="00E00759">
      <w:pPr>
        <w:pStyle w:val="SingleTxtG"/>
        <w:tabs>
          <w:tab w:val="left" w:pos="1701"/>
        </w:tabs>
        <w:rPr>
          <w:lang w:val="en-US"/>
        </w:rPr>
      </w:pPr>
      <w:r>
        <w:rPr>
          <w:lang w:val="en-US"/>
        </w:rPr>
        <w:t>45.</w:t>
      </w:r>
      <w:r>
        <w:rPr>
          <w:lang w:val="en-US"/>
        </w:rPr>
        <w:tab/>
      </w:r>
      <w:r w:rsidR="00BA49B5">
        <w:rPr>
          <w:lang w:val="en-US"/>
        </w:rPr>
        <w:t>If in Test C.1 the result “yes, rapidly” OR in Test F.3 the result “not low” would be obtained, two possible options emerge: Options 1 would be to contact the competent authority for a special permit as per UN 0190</w:t>
      </w:r>
      <w:r w:rsidR="00BA49B5" w:rsidRPr="00F52E3B">
        <w:rPr>
          <w:lang w:val="en-US"/>
        </w:rPr>
        <w:t xml:space="preserve">; as an alternative, </w:t>
      </w:r>
      <w:r w:rsidR="00BA49B5">
        <w:rPr>
          <w:lang w:val="en-US"/>
        </w:rPr>
        <w:t xml:space="preserve">the substance may be dissolved in an appropriate solvent or diluted with an inert compound to obtain a homogeneous mixture to be submitted again to the assessment procedure starting from box 10 in the proposed flow chart below. If the result obtained indicates no critical values, the available data would justify a sample transport </w:t>
      </w:r>
      <w:r w:rsidR="00BA49B5" w:rsidRPr="0064541A">
        <w:rPr>
          <w:lang w:val="en-US"/>
        </w:rPr>
        <w:t>under the</w:t>
      </w:r>
      <w:r w:rsidR="00BA49B5">
        <w:rPr>
          <w:lang w:val="en-US"/>
        </w:rPr>
        <w:t xml:space="preserve"> established</w:t>
      </w:r>
      <w:r w:rsidR="00BA49B5" w:rsidRPr="0064541A">
        <w:rPr>
          <w:lang w:val="en-US"/>
        </w:rPr>
        <w:t xml:space="preserve"> provisions of 2.4.2.3.2.4 (b) as self-reactive substance Type C</w:t>
      </w:r>
      <w:r w:rsidR="00BA49B5">
        <w:rPr>
          <w:lang w:val="en-US"/>
        </w:rPr>
        <w:t>, packing method OP2, packing instruction P520.</w:t>
      </w:r>
    </w:p>
    <w:p w14:paraId="1F496247" w14:textId="22036964" w:rsidR="00BA49B5" w:rsidRDefault="00E00759" w:rsidP="00E00759">
      <w:pPr>
        <w:pStyle w:val="SingleTxtG"/>
        <w:tabs>
          <w:tab w:val="left" w:pos="1701"/>
        </w:tabs>
        <w:rPr>
          <w:lang w:val="en-US"/>
        </w:rPr>
      </w:pPr>
      <w:r>
        <w:rPr>
          <w:lang w:val="en-US"/>
        </w:rPr>
        <w:t>46.</w:t>
      </w:r>
      <w:r>
        <w:rPr>
          <w:lang w:val="en-US"/>
        </w:rPr>
        <w:tab/>
      </w:r>
      <w:r w:rsidR="00BA49B5" w:rsidRPr="0064541A">
        <w:rPr>
          <w:lang w:val="en-US"/>
        </w:rPr>
        <w:t xml:space="preserve">Based on these considerations, a tentative flowchart incorporating already existing provisions has been drafted (see </w:t>
      </w:r>
      <w:r w:rsidR="00641CED">
        <w:rPr>
          <w:lang w:val="en-US"/>
        </w:rPr>
        <w:t>F</w:t>
      </w:r>
      <w:r w:rsidR="00BA49B5" w:rsidRPr="0064541A">
        <w:rPr>
          <w:lang w:val="en-US"/>
        </w:rPr>
        <w:t xml:space="preserve">igure </w:t>
      </w:r>
      <w:r w:rsidR="00BA49B5">
        <w:rPr>
          <w:lang w:val="en-US"/>
        </w:rPr>
        <w:t>6</w:t>
      </w:r>
      <w:r w:rsidR="00BA49B5" w:rsidRPr="0064541A">
        <w:rPr>
          <w:lang w:val="en-US"/>
        </w:rPr>
        <w:t>).</w:t>
      </w:r>
    </w:p>
    <w:p w14:paraId="5D4C1203" w14:textId="2A5DD65B" w:rsidR="00BA49B5" w:rsidRPr="00DA6941" w:rsidRDefault="00E00759" w:rsidP="00E00759">
      <w:pPr>
        <w:pStyle w:val="SingleTxtG"/>
        <w:tabs>
          <w:tab w:val="left" w:pos="1701"/>
        </w:tabs>
        <w:rPr>
          <w:lang w:val="en-US"/>
        </w:rPr>
      </w:pPr>
      <w:r w:rsidRPr="00DA6941">
        <w:rPr>
          <w:lang w:val="en-US"/>
        </w:rPr>
        <w:t>47.</w:t>
      </w:r>
      <w:r w:rsidRPr="00DA6941">
        <w:rPr>
          <w:lang w:val="en-US"/>
        </w:rPr>
        <w:tab/>
      </w:r>
      <w:r w:rsidR="00BA49B5" w:rsidRPr="00DA6941">
        <w:rPr>
          <w:lang w:val="en-US"/>
        </w:rPr>
        <w:t xml:space="preserve">Boxes 1 through 9, 11 and 12 refer to already existing provisions in the </w:t>
      </w:r>
      <w:r w:rsidR="00BA49B5" w:rsidRPr="0065541D">
        <w:rPr>
          <w:i/>
          <w:iCs/>
          <w:lang w:val="en-US"/>
        </w:rPr>
        <w:t>Model Regulations</w:t>
      </w:r>
      <w:r w:rsidR="0065541D" w:rsidRPr="0065541D">
        <w:rPr>
          <w:lang w:val="en-US"/>
        </w:rPr>
        <w:t>.</w:t>
      </w:r>
    </w:p>
    <w:p w14:paraId="4A5BDD39" w14:textId="2B8B5D4A" w:rsidR="00BA49B5" w:rsidRPr="00DA6941" w:rsidRDefault="00E00759" w:rsidP="00E00759">
      <w:pPr>
        <w:pStyle w:val="SingleTxtG"/>
        <w:tabs>
          <w:tab w:val="left" w:pos="1701"/>
        </w:tabs>
        <w:rPr>
          <w:lang w:val="en-US"/>
        </w:rPr>
      </w:pPr>
      <w:r w:rsidRPr="00DA6941">
        <w:rPr>
          <w:lang w:val="en-US"/>
        </w:rPr>
        <w:t>48.</w:t>
      </w:r>
      <w:r w:rsidRPr="00DA6941">
        <w:rPr>
          <w:lang w:val="en-US"/>
        </w:rPr>
        <w:tab/>
      </w:r>
      <w:r w:rsidR="00BA49B5" w:rsidRPr="00DA6941">
        <w:rPr>
          <w:lang w:val="en-US"/>
        </w:rPr>
        <w:t xml:space="preserve">Box 4 refers to section </w:t>
      </w:r>
      <w:r w:rsidR="00BA49B5">
        <w:rPr>
          <w:lang w:val="en-US"/>
        </w:rPr>
        <w:t xml:space="preserve">5.1 (b) of Appendix 6 of the </w:t>
      </w:r>
      <w:r w:rsidR="00BA49B5" w:rsidRPr="00E40D18">
        <w:rPr>
          <w:i/>
          <w:iCs/>
          <w:lang w:val="en-US"/>
        </w:rPr>
        <w:t>Manual of Tests and Criteria</w:t>
      </w:r>
      <w:r w:rsidR="00BA49B5" w:rsidRPr="00DA6941">
        <w:rPr>
          <w:lang w:val="en-US"/>
        </w:rPr>
        <w:t>. Since the approach applies the self-</w:t>
      </w:r>
      <w:proofErr w:type="spellStart"/>
      <w:r w:rsidR="00BA49B5" w:rsidRPr="00DA6941">
        <w:rPr>
          <w:lang w:val="en-US"/>
        </w:rPr>
        <w:t>reactives</w:t>
      </w:r>
      <w:proofErr w:type="spellEnd"/>
      <w:r w:rsidR="00BA49B5" w:rsidRPr="00DA6941">
        <w:rPr>
          <w:lang w:val="en-US"/>
        </w:rPr>
        <w:t xml:space="preserve"> regime for all energetic compounds, the SADT criterion is not relevant in this context. Below a decomposition energy of 300 J/g, a classification as a self-reactive substance or as explosive can be ruled (see also </w:t>
      </w:r>
      <w:r w:rsidR="00BA49B5">
        <w:rPr>
          <w:lang w:val="en-US"/>
        </w:rPr>
        <w:t>Figure 1</w:t>
      </w:r>
      <w:r w:rsidR="00BA49B5" w:rsidRPr="00DA6941">
        <w:rPr>
          <w:lang w:val="en-US"/>
        </w:rPr>
        <w:t xml:space="preserve"> above).</w:t>
      </w:r>
    </w:p>
    <w:p w14:paraId="4142AF45" w14:textId="680BE635" w:rsidR="00BA49B5" w:rsidRPr="00DA6941" w:rsidRDefault="00E00759" w:rsidP="00E00759">
      <w:pPr>
        <w:pStyle w:val="SingleTxtG"/>
        <w:tabs>
          <w:tab w:val="left" w:pos="1701"/>
        </w:tabs>
        <w:rPr>
          <w:lang w:val="en-US"/>
        </w:rPr>
      </w:pPr>
      <w:r w:rsidRPr="00DA6941">
        <w:rPr>
          <w:lang w:val="en-US"/>
        </w:rPr>
        <w:t>49.</w:t>
      </w:r>
      <w:r w:rsidRPr="00DA6941">
        <w:rPr>
          <w:lang w:val="en-US"/>
        </w:rPr>
        <w:tab/>
      </w:r>
      <w:r w:rsidR="00BA49B5" w:rsidRPr="00DA6941">
        <w:rPr>
          <w:lang w:val="en-US"/>
        </w:rPr>
        <w:t xml:space="preserve">Box 4 is not meant to have a mandatory measured value for the substance under concern. </w:t>
      </w:r>
      <w:r w:rsidR="00BA49B5">
        <w:rPr>
          <w:lang w:val="en-US"/>
        </w:rPr>
        <w:t>P</w:t>
      </w:r>
      <w:r w:rsidR="00BA49B5" w:rsidRPr="00DA6941">
        <w:rPr>
          <w:lang w:val="en-US"/>
        </w:rPr>
        <w:t>ossible valid way</w:t>
      </w:r>
      <w:r w:rsidR="00BA49B5">
        <w:rPr>
          <w:lang w:val="en-US"/>
        </w:rPr>
        <w:t>s</w:t>
      </w:r>
      <w:r w:rsidR="00BA49B5" w:rsidRPr="00DA6941">
        <w:rPr>
          <w:lang w:val="en-US"/>
        </w:rPr>
        <w:t xml:space="preserve"> to escape to box 5 would be</w:t>
      </w:r>
      <w:r w:rsidR="00BA49B5">
        <w:rPr>
          <w:lang w:val="en-US"/>
        </w:rPr>
        <w:t xml:space="preserve">, for example, </w:t>
      </w:r>
      <w:r w:rsidR="00BA49B5" w:rsidRPr="00DA6941">
        <w:rPr>
          <w:lang w:val="en-US"/>
        </w:rPr>
        <w:t>experience wi</w:t>
      </w:r>
      <w:r w:rsidR="00BA49B5">
        <w:rPr>
          <w:lang w:val="en-US"/>
        </w:rPr>
        <w:t xml:space="preserve">th data from similar compounds or </w:t>
      </w:r>
      <w:r w:rsidR="00BA49B5" w:rsidRPr="00DA6941">
        <w:rPr>
          <w:lang w:val="en-US"/>
        </w:rPr>
        <w:t xml:space="preserve">an extrapolation from data of a small molecule to a larger </w:t>
      </w:r>
      <w:r w:rsidR="00BA49B5">
        <w:rPr>
          <w:lang w:val="en-US"/>
        </w:rPr>
        <w:t>one</w:t>
      </w:r>
      <w:r w:rsidR="00BA49B5" w:rsidRPr="00DA6941">
        <w:rPr>
          <w:lang w:val="en-US"/>
        </w:rPr>
        <w:t xml:space="preserve">. </w:t>
      </w:r>
    </w:p>
    <w:p w14:paraId="364AC28F" w14:textId="606A45FD" w:rsidR="00BA49B5" w:rsidRPr="00DA6941" w:rsidRDefault="00E00759" w:rsidP="00E00759">
      <w:pPr>
        <w:pStyle w:val="SingleTxtG"/>
        <w:tabs>
          <w:tab w:val="left" w:pos="1701"/>
        </w:tabs>
        <w:rPr>
          <w:lang w:val="en-US"/>
        </w:rPr>
      </w:pPr>
      <w:r w:rsidRPr="00DA6941">
        <w:rPr>
          <w:lang w:val="en-US"/>
        </w:rPr>
        <w:t>50.</w:t>
      </w:r>
      <w:r w:rsidRPr="00DA6941">
        <w:rPr>
          <w:lang w:val="en-US"/>
        </w:rPr>
        <w:tab/>
      </w:r>
      <w:r w:rsidR="00BA49B5" w:rsidRPr="00DA6941">
        <w:rPr>
          <w:lang w:val="en-US"/>
        </w:rPr>
        <w:t>Boxes 6 through 9 refer to the provisions in section 2.</w:t>
      </w:r>
      <w:r w:rsidR="00BA49B5">
        <w:rPr>
          <w:lang w:val="en-US"/>
        </w:rPr>
        <w:t>0.</w:t>
      </w:r>
      <w:r w:rsidR="00BA49B5" w:rsidRPr="00DA6941">
        <w:rPr>
          <w:lang w:val="en-US"/>
        </w:rPr>
        <w:t>4.3.</w:t>
      </w:r>
    </w:p>
    <w:p w14:paraId="6D16AF47" w14:textId="62332DA0" w:rsidR="00BA49B5" w:rsidRPr="00DA6941" w:rsidRDefault="00E00759" w:rsidP="00E00759">
      <w:pPr>
        <w:pStyle w:val="SingleTxtG"/>
        <w:tabs>
          <w:tab w:val="left" w:pos="1701"/>
        </w:tabs>
        <w:rPr>
          <w:lang w:val="en-US"/>
        </w:rPr>
      </w:pPr>
      <w:r w:rsidRPr="00DA6941">
        <w:rPr>
          <w:lang w:val="en-US"/>
        </w:rPr>
        <w:t>51.</w:t>
      </w:r>
      <w:r w:rsidRPr="00DA6941">
        <w:rPr>
          <w:lang w:val="en-US"/>
        </w:rPr>
        <w:tab/>
      </w:r>
      <w:r w:rsidR="00BA49B5" w:rsidRPr="00DA6941">
        <w:rPr>
          <w:lang w:val="en-US"/>
        </w:rPr>
        <w:t xml:space="preserve">Box 10 would be new text requiring the determination of the decomposition behavior (energy and onset) of the sample for amounts exceeding 1 g or 1 ml per sample. </w:t>
      </w:r>
    </w:p>
    <w:p w14:paraId="1A4F3400" w14:textId="7ECEA19C" w:rsidR="00BA49B5" w:rsidRPr="0064541A" w:rsidRDefault="00E00759" w:rsidP="00E00759">
      <w:pPr>
        <w:pStyle w:val="SingleTxtG"/>
        <w:tabs>
          <w:tab w:val="left" w:pos="1701"/>
        </w:tabs>
        <w:rPr>
          <w:lang w:val="en-US"/>
        </w:rPr>
      </w:pPr>
      <w:r w:rsidRPr="0064541A">
        <w:rPr>
          <w:lang w:val="en-US"/>
        </w:rPr>
        <w:t>52.</w:t>
      </w:r>
      <w:r w:rsidRPr="0064541A">
        <w:rPr>
          <w:lang w:val="en-US"/>
        </w:rPr>
        <w:tab/>
      </w:r>
      <w:r w:rsidR="00BA49B5">
        <w:rPr>
          <w:lang w:val="en-US"/>
        </w:rPr>
        <w:t xml:space="preserve">Box 11 identifies low </w:t>
      </w:r>
      <w:r w:rsidR="00BA49B5" w:rsidRPr="0064541A">
        <w:rPr>
          <w:lang w:val="en-US"/>
        </w:rPr>
        <w:t xml:space="preserve">energy samples </w:t>
      </w:r>
      <w:r w:rsidR="00BA49B5">
        <w:rPr>
          <w:lang w:val="en-US"/>
        </w:rPr>
        <w:t>that</w:t>
      </w:r>
      <w:r w:rsidR="00AD046A">
        <w:rPr>
          <w:lang w:val="en-US"/>
        </w:rPr>
        <w:t>:</w:t>
      </w:r>
    </w:p>
    <w:p w14:paraId="6B8AAB8E" w14:textId="67F7E611" w:rsidR="00BA49B5" w:rsidRPr="0064541A" w:rsidRDefault="00BA49B5" w:rsidP="003B4269">
      <w:pPr>
        <w:pStyle w:val="SingleTxtG"/>
        <w:tabs>
          <w:tab w:val="left" w:pos="1701"/>
        </w:tabs>
        <w:ind w:left="1701"/>
        <w:rPr>
          <w:lang w:val="en-US"/>
        </w:rPr>
      </w:pPr>
      <w:r>
        <w:rPr>
          <w:lang w:val="en-US"/>
        </w:rPr>
        <w:t>(a)</w:t>
      </w:r>
      <w:r>
        <w:rPr>
          <w:lang w:val="en-US"/>
        </w:rPr>
        <w:tab/>
        <w:t>A</w:t>
      </w:r>
      <w:r w:rsidRPr="0064541A">
        <w:rPr>
          <w:lang w:val="en-US"/>
        </w:rPr>
        <w:t>re no</w:t>
      </w:r>
      <w:r>
        <w:rPr>
          <w:lang w:val="en-US"/>
        </w:rPr>
        <w:t>t</w:t>
      </w:r>
      <w:r w:rsidRPr="0064541A">
        <w:rPr>
          <w:lang w:val="en-US"/>
        </w:rPr>
        <w:t xml:space="preserve"> candidates for self-reactive substances due to their thermal stability</w:t>
      </w:r>
      <w:r>
        <w:rPr>
          <w:lang w:val="en-US"/>
        </w:rPr>
        <w:t xml:space="preserve"> </w:t>
      </w:r>
      <w:r>
        <w:rPr>
          <w:lang w:val="en-US"/>
        </w:rPr>
        <w:tab/>
        <w:t>(see paragraph 53 below)</w:t>
      </w:r>
      <w:r w:rsidRPr="0064541A">
        <w:rPr>
          <w:lang w:val="en-US"/>
        </w:rPr>
        <w:t>,</w:t>
      </w:r>
      <w:r>
        <w:rPr>
          <w:lang w:val="en-US"/>
        </w:rPr>
        <w:t xml:space="preserve"> </w:t>
      </w:r>
      <w:r w:rsidRPr="0064541A">
        <w:rPr>
          <w:lang w:val="en-US"/>
        </w:rPr>
        <w:t>and</w:t>
      </w:r>
    </w:p>
    <w:p w14:paraId="41E45255" w14:textId="1A3DF4FB" w:rsidR="00BA49B5" w:rsidRDefault="00BA49B5" w:rsidP="00715C33">
      <w:pPr>
        <w:pStyle w:val="SingleTxtG"/>
        <w:tabs>
          <w:tab w:val="left" w:pos="1701"/>
        </w:tabs>
        <w:ind w:left="1701"/>
        <w:rPr>
          <w:lang w:val="en-US"/>
        </w:rPr>
      </w:pPr>
      <w:r>
        <w:rPr>
          <w:lang w:val="en-US"/>
        </w:rPr>
        <w:t>(b)</w:t>
      </w:r>
      <w:r>
        <w:rPr>
          <w:lang w:val="en-US"/>
        </w:rPr>
        <w:tab/>
        <w:t>D</w:t>
      </w:r>
      <w:r w:rsidRPr="0064541A">
        <w:rPr>
          <w:lang w:val="en-US"/>
        </w:rPr>
        <w:t xml:space="preserve">o not require the Class 1 acceptance procedure based on the criteria </w:t>
      </w:r>
      <w:r>
        <w:rPr>
          <w:lang w:val="en-US"/>
        </w:rPr>
        <w:tab/>
      </w:r>
      <w:r w:rsidRPr="0064541A">
        <w:rPr>
          <w:lang w:val="en-US"/>
        </w:rPr>
        <w:t>outlined in</w:t>
      </w:r>
      <w:r>
        <w:rPr>
          <w:lang w:val="en-US"/>
        </w:rPr>
        <w:t xml:space="preserve"> table 6.2 of Annex 6 of the </w:t>
      </w:r>
      <w:r w:rsidRPr="00ED3697">
        <w:rPr>
          <w:i/>
          <w:iCs/>
          <w:lang w:val="en-US"/>
        </w:rPr>
        <w:t>Manual of Tests and Criteria</w:t>
      </w:r>
      <w:r>
        <w:rPr>
          <w:lang w:val="en-US"/>
        </w:rPr>
        <w:t xml:space="preserve"> (see paragraph</w:t>
      </w:r>
      <w:r w:rsidR="00ED3697">
        <w:rPr>
          <w:lang w:val="en-US"/>
        </w:rPr>
        <w:t> </w:t>
      </w:r>
      <w:r>
        <w:rPr>
          <w:lang w:val="en-US"/>
        </w:rPr>
        <w:t>54</w:t>
      </w:r>
      <w:r w:rsidR="00ED3697">
        <w:rPr>
          <w:lang w:val="en-US"/>
        </w:rPr>
        <w:t xml:space="preserve"> below</w:t>
      </w:r>
      <w:r>
        <w:rPr>
          <w:lang w:val="en-US"/>
        </w:rPr>
        <w:t>)</w:t>
      </w:r>
      <w:r w:rsidRPr="0064541A">
        <w:rPr>
          <w:lang w:val="en-US"/>
        </w:rPr>
        <w:t>.</w:t>
      </w:r>
    </w:p>
    <w:p w14:paraId="6F376882" w14:textId="3E943199" w:rsidR="00BA49B5" w:rsidRDefault="00E00759" w:rsidP="00E00759">
      <w:pPr>
        <w:pStyle w:val="SingleTxtG"/>
        <w:tabs>
          <w:tab w:val="left" w:pos="1701"/>
        </w:tabs>
        <w:rPr>
          <w:lang w:val="en-US"/>
        </w:rPr>
      </w:pPr>
      <w:r>
        <w:rPr>
          <w:lang w:val="en-US"/>
        </w:rPr>
        <w:t>53.</w:t>
      </w:r>
      <w:r>
        <w:rPr>
          <w:lang w:val="en-US"/>
        </w:rPr>
        <w:tab/>
      </w:r>
      <w:r w:rsidR="00BA49B5">
        <w:rPr>
          <w:lang w:val="en-US"/>
        </w:rPr>
        <w:t xml:space="preserve">According </w:t>
      </w:r>
      <w:r w:rsidR="00BA49B5" w:rsidRPr="00DA6941">
        <w:rPr>
          <w:lang w:val="en-US"/>
        </w:rPr>
        <w:t>to the “100 K rule” applied in worldwide chemical safety assessment</w:t>
      </w:r>
      <w:r w:rsidR="00BA49B5">
        <w:rPr>
          <w:lang w:val="en-US"/>
        </w:rPr>
        <w:t>, keeping a distance of 100 K from the decomposition onset</w:t>
      </w:r>
      <w:r w:rsidR="00BA49B5" w:rsidRPr="00DA6941">
        <w:rPr>
          <w:lang w:val="en-US"/>
        </w:rPr>
        <w:t xml:space="preserve"> </w:t>
      </w:r>
      <w:r w:rsidR="00BA49B5">
        <w:rPr>
          <w:lang w:val="en-US"/>
        </w:rPr>
        <w:t xml:space="preserve">has proven a </w:t>
      </w:r>
      <w:r w:rsidR="00BA49B5" w:rsidRPr="00DA6941">
        <w:rPr>
          <w:lang w:val="en-US"/>
        </w:rPr>
        <w:t>practical rule of thumb</w:t>
      </w:r>
      <w:r w:rsidR="00BA49B5">
        <w:rPr>
          <w:lang w:val="en-US"/>
        </w:rPr>
        <w:t xml:space="preserve"> to avoid thermal runaway reactions. With an additional safety margin of 20 K for </w:t>
      </w:r>
      <w:r w:rsidR="00BA49B5" w:rsidRPr="00DA6941">
        <w:rPr>
          <w:lang w:val="en-US"/>
        </w:rPr>
        <w:t>the</w:t>
      </w:r>
      <w:r w:rsidR="00BA49B5">
        <w:rPr>
          <w:lang w:val="en-US"/>
        </w:rPr>
        <w:t xml:space="preserve"> </w:t>
      </w:r>
      <w:r w:rsidR="00BA49B5" w:rsidRPr="00DA6941">
        <w:rPr>
          <w:lang w:val="en-US"/>
        </w:rPr>
        <w:t xml:space="preserve">decomposition onset </w:t>
      </w:r>
      <w:r w:rsidR="00BA49B5">
        <w:rPr>
          <w:lang w:val="en-US"/>
        </w:rPr>
        <w:t>of 200</w:t>
      </w:r>
      <w:r w:rsidR="00BA49B5" w:rsidRPr="00DA6941">
        <w:rPr>
          <w:lang w:val="en-US"/>
        </w:rPr>
        <w:t xml:space="preserve"> °C, a</w:t>
      </w:r>
      <w:r w:rsidR="00BA49B5">
        <w:rPr>
          <w:lang w:val="en-US"/>
        </w:rPr>
        <w:t xml:space="preserve">n </w:t>
      </w:r>
      <w:r w:rsidR="00BA49B5" w:rsidRPr="00DA6941">
        <w:rPr>
          <w:lang w:val="en-US"/>
        </w:rPr>
        <w:t xml:space="preserve">SADT </w:t>
      </w:r>
      <w:r w:rsidR="00BA49B5">
        <w:rPr>
          <w:lang w:val="en-US"/>
        </w:rPr>
        <w:t>above 75 °C</w:t>
      </w:r>
      <w:r w:rsidR="00BA49B5" w:rsidRPr="00DA6941">
        <w:rPr>
          <w:lang w:val="en-US"/>
        </w:rPr>
        <w:t xml:space="preserve"> </w:t>
      </w:r>
      <w:r w:rsidR="00BA49B5">
        <w:rPr>
          <w:lang w:val="en-US"/>
        </w:rPr>
        <w:t xml:space="preserve">is ensured </w:t>
      </w:r>
      <w:r w:rsidR="00BA49B5" w:rsidRPr="00DA6941">
        <w:rPr>
          <w:lang w:val="en-US"/>
        </w:rPr>
        <w:t>and consequently, a classification as self-reactive according to 2.4.2.3.1.1 (e) can be ruled out.</w:t>
      </w:r>
    </w:p>
    <w:p w14:paraId="3BB13711" w14:textId="11247474" w:rsidR="00BA49B5" w:rsidRDefault="00E00759" w:rsidP="00E00759">
      <w:pPr>
        <w:pStyle w:val="SingleTxtG"/>
        <w:tabs>
          <w:tab w:val="left" w:pos="1701"/>
        </w:tabs>
        <w:rPr>
          <w:lang w:val="en-US"/>
        </w:rPr>
      </w:pPr>
      <w:r>
        <w:rPr>
          <w:lang w:val="en-US"/>
        </w:rPr>
        <w:t>54.</w:t>
      </w:r>
      <w:r>
        <w:rPr>
          <w:lang w:val="en-US"/>
        </w:rPr>
        <w:tab/>
      </w:r>
      <w:r w:rsidR="00BA49B5" w:rsidRPr="00DA6941">
        <w:rPr>
          <w:lang w:val="en-US"/>
        </w:rPr>
        <w:t>For explosives, a lower energy limit of 500 J/g applies according to section 3.3 (</w:t>
      </w:r>
      <w:r w:rsidR="00BA49B5">
        <w:rPr>
          <w:lang w:val="en-US"/>
        </w:rPr>
        <w:t xml:space="preserve">c) in appendix 6 of the </w:t>
      </w:r>
      <w:r w:rsidR="00BA49B5" w:rsidRPr="009846AD">
        <w:rPr>
          <w:i/>
          <w:iCs/>
          <w:lang w:val="en-US"/>
        </w:rPr>
        <w:t>Manual of Tests and Criteria</w:t>
      </w:r>
      <w:r w:rsidR="00BA49B5">
        <w:rPr>
          <w:lang w:val="en-US"/>
        </w:rPr>
        <w:t xml:space="preserve"> </w:t>
      </w:r>
      <w:r w:rsidR="00BA49B5" w:rsidRPr="00DA6941">
        <w:rPr>
          <w:lang w:val="en-US"/>
        </w:rPr>
        <w:t xml:space="preserve">(yellow box in </w:t>
      </w:r>
      <w:r w:rsidR="00BA49B5">
        <w:rPr>
          <w:lang w:val="en-US"/>
        </w:rPr>
        <w:t>Figure 1</w:t>
      </w:r>
      <w:r w:rsidR="00BA49B5" w:rsidRPr="00DA6941">
        <w:rPr>
          <w:lang w:val="en-US"/>
        </w:rPr>
        <w:t xml:space="preserve">). </w:t>
      </w:r>
      <w:r w:rsidR="00BA49B5">
        <w:rPr>
          <w:lang w:val="en-US"/>
        </w:rPr>
        <w:t>In this context</w:t>
      </w:r>
      <w:r w:rsidR="00BA49B5" w:rsidRPr="00DA6941">
        <w:rPr>
          <w:lang w:val="en-US"/>
        </w:rPr>
        <w:t xml:space="preserve">, see the discussion in </w:t>
      </w:r>
      <w:r w:rsidR="00BA49B5">
        <w:rPr>
          <w:lang w:val="en-US"/>
        </w:rPr>
        <w:t>paragraph</w:t>
      </w:r>
      <w:r w:rsidR="00BA49B5" w:rsidRPr="00DA6941">
        <w:rPr>
          <w:lang w:val="en-US"/>
        </w:rPr>
        <w:t xml:space="preserve"> </w:t>
      </w:r>
      <w:r w:rsidR="00BA49B5" w:rsidRPr="00030E9D">
        <w:rPr>
          <w:lang w:val="en-US"/>
        </w:rPr>
        <w:t>1</w:t>
      </w:r>
      <w:r w:rsidR="00BA49B5">
        <w:rPr>
          <w:lang w:val="en-US"/>
        </w:rPr>
        <w:t>5</w:t>
      </w:r>
      <w:r w:rsidR="00BA49B5" w:rsidRPr="00DA6941">
        <w:rPr>
          <w:lang w:val="en-US"/>
        </w:rPr>
        <w:t xml:space="preserve"> in this </w:t>
      </w:r>
      <w:r w:rsidR="00BA49B5">
        <w:rPr>
          <w:lang w:val="en-US"/>
        </w:rPr>
        <w:t>document</w:t>
      </w:r>
      <w:r w:rsidR="00BA49B5" w:rsidRPr="00DA6941">
        <w:rPr>
          <w:lang w:val="en-US"/>
        </w:rPr>
        <w:t>.</w:t>
      </w:r>
    </w:p>
    <w:p w14:paraId="189A5A20" w14:textId="227F852B" w:rsidR="00BA49B5" w:rsidRPr="00DA6941" w:rsidRDefault="00E00759" w:rsidP="00E00759">
      <w:pPr>
        <w:pStyle w:val="SingleTxtG"/>
        <w:tabs>
          <w:tab w:val="left" w:pos="1701"/>
        </w:tabs>
        <w:rPr>
          <w:lang w:val="en-US"/>
        </w:rPr>
      </w:pPr>
      <w:r w:rsidRPr="00DA6941">
        <w:rPr>
          <w:lang w:val="en-US"/>
        </w:rPr>
        <w:lastRenderedPageBreak/>
        <w:t>55.</w:t>
      </w:r>
      <w:r w:rsidRPr="00DA6941">
        <w:rPr>
          <w:lang w:val="en-US"/>
        </w:rPr>
        <w:tab/>
      </w:r>
      <w:r w:rsidR="00BA49B5">
        <w:rPr>
          <w:lang w:val="en-US"/>
        </w:rPr>
        <w:t xml:space="preserve">In box 13, possible temperature control requirements are determined as described in section 20.3.4 in the </w:t>
      </w:r>
      <w:r w:rsidR="00BA49B5" w:rsidRPr="00584698">
        <w:rPr>
          <w:i/>
          <w:iCs/>
          <w:lang w:val="en-US"/>
        </w:rPr>
        <w:t>Manual of Tests and Criteria</w:t>
      </w:r>
      <w:r w:rsidR="00BA49B5">
        <w:rPr>
          <w:lang w:val="en-US"/>
        </w:rPr>
        <w:t>.</w:t>
      </w:r>
    </w:p>
    <w:p w14:paraId="74803405" w14:textId="304A4215" w:rsidR="00BA49B5" w:rsidRPr="00DA6941" w:rsidRDefault="00E00759" w:rsidP="00E00759">
      <w:pPr>
        <w:pStyle w:val="SingleTxtG"/>
        <w:tabs>
          <w:tab w:val="left" w:pos="1701"/>
        </w:tabs>
        <w:rPr>
          <w:lang w:val="en-US"/>
        </w:rPr>
      </w:pPr>
      <w:r w:rsidRPr="00DA6941">
        <w:rPr>
          <w:lang w:val="en-US"/>
        </w:rPr>
        <w:t>56.</w:t>
      </w:r>
      <w:r w:rsidRPr="00DA6941">
        <w:rPr>
          <w:lang w:val="en-US"/>
        </w:rPr>
        <w:tab/>
      </w:r>
      <w:r w:rsidR="00BA49B5" w:rsidRPr="00DA6941">
        <w:rPr>
          <w:lang w:val="en-US"/>
        </w:rPr>
        <w:t>Boxes 14 to 2</w:t>
      </w:r>
      <w:r w:rsidR="00BA49B5">
        <w:rPr>
          <w:lang w:val="en-US"/>
        </w:rPr>
        <w:t>1</w:t>
      </w:r>
      <w:r w:rsidR="00BA49B5" w:rsidRPr="00DA6941">
        <w:rPr>
          <w:lang w:val="en-US"/>
        </w:rPr>
        <w:t xml:space="preserve"> establish the criteria suggested in </w:t>
      </w:r>
      <w:r w:rsidR="007B4E53">
        <w:rPr>
          <w:lang w:val="en-US"/>
        </w:rPr>
        <w:t>paragraphs</w:t>
      </w:r>
      <w:r w:rsidR="00BA49B5" w:rsidRPr="00DA6941">
        <w:rPr>
          <w:lang w:val="en-US"/>
        </w:rPr>
        <w:t xml:space="preserve"> </w:t>
      </w:r>
      <w:r w:rsidR="00BA49B5" w:rsidRPr="00030E9D">
        <w:rPr>
          <w:lang w:val="en-US"/>
        </w:rPr>
        <w:t xml:space="preserve">40 to </w:t>
      </w:r>
      <w:r w:rsidR="00BA49B5">
        <w:rPr>
          <w:lang w:val="en-US"/>
        </w:rPr>
        <w:t>45</w:t>
      </w:r>
      <w:r w:rsidR="00BA49B5" w:rsidRPr="00DA6941">
        <w:rPr>
          <w:lang w:val="en-US"/>
        </w:rPr>
        <w:t xml:space="preserve"> above.</w:t>
      </w:r>
      <w:r w:rsidR="00BA49B5">
        <w:rPr>
          <w:lang w:val="en-US"/>
        </w:rPr>
        <w:t xml:space="preserve"> Boxes 15 and 19 refer to the existing provisions concerning the transport of samples of self-reactive substances. </w:t>
      </w:r>
    </w:p>
    <w:p w14:paraId="75589F12" w14:textId="77777777" w:rsidR="00BA49B5" w:rsidRPr="00C638AC" w:rsidRDefault="00BA49B5" w:rsidP="00BA49B5">
      <w:pPr>
        <w:pStyle w:val="SingleTxtG"/>
        <w:tabs>
          <w:tab w:val="left" w:pos="1701"/>
        </w:tabs>
        <w:jc w:val="center"/>
      </w:pPr>
      <w:r w:rsidRPr="004C12F2">
        <w:rPr>
          <w:noProof/>
        </w:rPr>
        <w:drawing>
          <wp:inline distT="0" distB="0" distL="0" distR="0" wp14:anchorId="17675525" wp14:editId="723A21B6">
            <wp:extent cx="4984115" cy="474408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4115" cy="4744085"/>
                    </a:xfrm>
                    <a:prstGeom prst="rect">
                      <a:avLst/>
                    </a:prstGeom>
                    <a:noFill/>
                    <a:ln>
                      <a:noFill/>
                    </a:ln>
                  </pic:spPr>
                </pic:pic>
              </a:graphicData>
            </a:graphic>
          </wp:inline>
        </w:drawing>
      </w:r>
    </w:p>
    <w:p w14:paraId="63DB6E19" w14:textId="77777777" w:rsidR="00BA49B5" w:rsidRDefault="00BA49B5" w:rsidP="00BA49B5"/>
    <w:p w14:paraId="741B98F5" w14:textId="77777777" w:rsidR="00BA49B5" w:rsidRPr="00F841E1" w:rsidRDefault="00BA49B5" w:rsidP="00BA49B5">
      <w:pPr>
        <w:pStyle w:val="Caption"/>
        <w:ind w:left="567"/>
        <w:jc w:val="center"/>
        <w:rPr>
          <w:color w:val="auto"/>
          <w:sz w:val="20"/>
          <w:szCs w:val="20"/>
          <w:lang w:val="en-US"/>
        </w:rPr>
      </w:pPr>
      <w:r w:rsidRPr="00F841E1">
        <w:rPr>
          <w:color w:val="auto"/>
          <w:sz w:val="20"/>
          <w:szCs w:val="20"/>
          <w:lang w:val="en-US"/>
        </w:rPr>
        <w:t>Figure</w:t>
      </w:r>
      <w:r>
        <w:rPr>
          <w:color w:val="auto"/>
          <w:sz w:val="20"/>
          <w:szCs w:val="20"/>
          <w:lang w:val="en-US"/>
        </w:rPr>
        <w:t xml:space="preserve"> 6</w:t>
      </w:r>
      <w:r w:rsidRPr="00F841E1">
        <w:rPr>
          <w:color w:val="auto"/>
          <w:sz w:val="20"/>
          <w:szCs w:val="20"/>
          <w:lang w:val="en-US"/>
        </w:rPr>
        <w:t>: Tentative flowchart for energetic samples</w:t>
      </w:r>
    </w:p>
    <w:p w14:paraId="61C7F413" w14:textId="77777777" w:rsidR="00BA49B5" w:rsidRDefault="00BA49B5" w:rsidP="00BA49B5">
      <w:pPr>
        <w:jc w:val="center"/>
        <w:rPr>
          <w:lang w:val="en-US"/>
        </w:rPr>
      </w:pPr>
      <w:r w:rsidRPr="00747EC1">
        <w:rPr>
          <w:noProof/>
        </w:rPr>
        <w:lastRenderedPageBreak/>
        <w:drawing>
          <wp:inline distT="0" distB="0" distL="0" distR="0" wp14:anchorId="3B2C48F1" wp14:editId="2CF708EA">
            <wp:extent cx="4385751" cy="79438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7299" cy="7946654"/>
                    </a:xfrm>
                    <a:prstGeom prst="rect">
                      <a:avLst/>
                    </a:prstGeom>
                    <a:noFill/>
                    <a:ln>
                      <a:noFill/>
                    </a:ln>
                  </pic:spPr>
                </pic:pic>
              </a:graphicData>
            </a:graphic>
          </wp:inline>
        </w:drawing>
      </w:r>
    </w:p>
    <w:p w14:paraId="4EEB6D85" w14:textId="77777777" w:rsidR="00BA49B5" w:rsidRDefault="00BA49B5" w:rsidP="00BA49B5">
      <w:pPr>
        <w:pStyle w:val="Caption"/>
        <w:jc w:val="center"/>
        <w:rPr>
          <w:color w:val="auto"/>
          <w:sz w:val="20"/>
          <w:szCs w:val="20"/>
        </w:rPr>
      </w:pPr>
      <w:r w:rsidRPr="00927142">
        <w:rPr>
          <w:color w:val="auto"/>
          <w:sz w:val="20"/>
          <w:szCs w:val="20"/>
        </w:rPr>
        <w:t xml:space="preserve">Figure </w:t>
      </w:r>
      <w:r>
        <w:rPr>
          <w:color w:val="auto"/>
          <w:sz w:val="20"/>
          <w:szCs w:val="20"/>
        </w:rPr>
        <w:t>6</w:t>
      </w:r>
      <w:r w:rsidRPr="00927142">
        <w:rPr>
          <w:color w:val="auto"/>
          <w:sz w:val="20"/>
          <w:szCs w:val="20"/>
        </w:rPr>
        <w:t>: Tentative flowchart for energetic samples (continued)</w:t>
      </w:r>
    </w:p>
    <w:p w14:paraId="38D56162" w14:textId="77777777" w:rsidR="00BA49B5" w:rsidRDefault="00BA49B5" w:rsidP="00BA49B5">
      <w:pPr>
        <w:suppressAutoHyphens w:val="0"/>
        <w:spacing w:line="240" w:lineRule="auto"/>
        <w:rPr>
          <w:lang w:val="en-US"/>
        </w:rPr>
      </w:pPr>
    </w:p>
    <w:p w14:paraId="6D05ACD0" w14:textId="77777777" w:rsidR="00BA49B5" w:rsidRDefault="00BA49B5" w:rsidP="00BA49B5">
      <w:pPr>
        <w:suppressAutoHyphens w:val="0"/>
        <w:spacing w:line="240" w:lineRule="auto"/>
        <w:rPr>
          <w:lang w:val="en-US"/>
        </w:rPr>
      </w:pPr>
    </w:p>
    <w:p w14:paraId="0DC39AF5" w14:textId="491C2C96" w:rsidR="00BA49B5" w:rsidRDefault="00BA49B5" w:rsidP="00BA49B5">
      <w:pPr>
        <w:pStyle w:val="HChG"/>
      </w:pPr>
      <w:r>
        <w:lastRenderedPageBreak/>
        <w:tab/>
      </w:r>
      <w:r w:rsidR="00971D20">
        <w:t>III.</w:t>
      </w:r>
      <w:r w:rsidR="00971D20">
        <w:tab/>
      </w:r>
      <w:r>
        <w:t>Proposal</w:t>
      </w:r>
    </w:p>
    <w:p w14:paraId="241C51FE" w14:textId="42F01167" w:rsidR="00BA49B5" w:rsidRDefault="00E00759" w:rsidP="00E00759">
      <w:pPr>
        <w:pStyle w:val="SingleTxtG"/>
        <w:tabs>
          <w:tab w:val="left" w:pos="1701"/>
        </w:tabs>
        <w:rPr>
          <w:lang w:val="en-US"/>
        </w:rPr>
      </w:pPr>
      <w:r>
        <w:rPr>
          <w:lang w:val="en-US"/>
        </w:rPr>
        <w:t>57.</w:t>
      </w:r>
      <w:r>
        <w:rPr>
          <w:lang w:val="en-US"/>
        </w:rPr>
        <w:tab/>
      </w:r>
      <w:r w:rsidR="00BA49B5">
        <w:rPr>
          <w:lang w:val="en-US"/>
        </w:rPr>
        <w:t>Insert a new section 2.0.4.3.2 to read:</w:t>
      </w:r>
    </w:p>
    <w:p w14:paraId="6D823E75" w14:textId="77777777" w:rsidR="00BA49B5" w:rsidRPr="00C14780" w:rsidRDefault="00BA49B5" w:rsidP="00BA49B5">
      <w:pPr>
        <w:pStyle w:val="SingleTxtG"/>
        <w:tabs>
          <w:tab w:val="left" w:pos="1701"/>
        </w:tabs>
        <w:ind w:left="1701"/>
        <w:rPr>
          <w:lang w:val="en-US"/>
        </w:rPr>
      </w:pPr>
      <w:r w:rsidRPr="00C14780">
        <w:rPr>
          <w:lang w:val="en-US"/>
        </w:rPr>
        <w:t xml:space="preserve">“Samples of organic substances carrying functional groups listed in tables A6.1 and/or A6.3 in Appendix 6 (Screening Procedures) of the </w:t>
      </w:r>
      <w:r w:rsidRPr="004B334F">
        <w:rPr>
          <w:i/>
          <w:iCs/>
          <w:lang w:val="en-US"/>
        </w:rPr>
        <w:t>Manual of Tests and Criteria</w:t>
      </w:r>
      <w:r w:rsidRPr="00C14780">
        <w:rPr>
          <w:lang w:val="en-US"/>
        </w:rPr>
        <w:t xml:space="preserve"> may be assigned to one of the appropriate entries for self-reactive substances type C (UN</w:t>
      </w:r>
      <w:r>
        <w:rPr>
          <w:lang w:val="en-US"/>
        </w:rPr>
        <w:t> </w:t>
      </w:r>
      <w:r w:rsidRPr="00C14780">
        <w:rPr>
          <w:lang w:val="en-US"/>
        </w:rPr>
        <w:t xml:space="preserve">3223, UN 3224, UN 3233, UN 3234 as applicable) of Division 4.1 </w:t>
      </w:r>
      <w:r>
        <w:rPr>
          <w:lang w:val="en-US"/>
        </w:rPr>
        <w:t xml:space="preserve">and transported under the provisions of 2.4.2.3.2.4 (b) </w:t>
      </w:r>
      <w:r w:rsidRPr="00C14780">
        <w:rPr>
          <w:lang w:val="en-US"/>
        </w:rPr>
        <w:t>provided that:</w:t>
      </w:r>
    </w:p>
    <w:p w14:paraId="38A30FC2" w14:textId="34307B1F" w:rsidR="00BA49B5" w:rsidRPr="00FB4352" w:rsidRDefault="00E00759" w:rsidP="00AA1094">
      <w:pPr>
        <w:pStyle w:val="SingleTxtG"/>
        <w:ind w:left="2268" w:hanging="567"/>
      </w:pPr>
      <w:r w:rsidRPr="00FB4352">
        <w:t>(a)</w:t>
      </w:r>
      <w:r w:rsidRPr="00FB4352">
        <w:tab/>
      </w:r>
      <w:r w:rsidR="00BA49B5" w:rsidRPr="00FB4352">
        <w:t>They fulfil the criteria of 2.0.4.3.1 (a) through (c),</w:t>
      </w:r>
      <w:r w:rsidR="00BA49B5">
        <w:t xml:space="preserve"> and</w:t>
      </w:r>
    </w:p>
    <w:p w14:paraId="62A045B0" w14:textId="46B8A220" w:rsidR="00BA49B5" w:rsidRPr="00FB4352" w:rsidRDefault="00E00759" w:rsidP="00AA1094">
      <w:pPr>
        <w:pStyle w:val="SingleTxtG"/>
        <w:ind w:left="2268" w:hanging="567"/>
      </w:pPr>
      <w:r w:rsidRPr="00FB4352">
        <w:t>(b)</w:t>
      </w:r>
      <w:r w:rsidRPr="00FB4352">
        <w:tab/>
      </w:r>
      <w:r w:rsidR="00BA49B5" w:rsidRPr="00FB4352">
        <w:t>Their decomposition energy is</w:t>
      </w:r>
    </w:p>
    <w:p w14:paraId="399E6454" w14:textId="4BD1B279" w:rsidR="00BA49B5" w:rsidRDefault="00E00759" w:rsidP="00E00759">
      <w:pPr>
        <w:pStyle w:val="SingleTxtG"/>
        <w:ind w:left="2835" w:hanging="567"/>
      </w:pPr>
      <w:r>
        <w:t>(</w:t>
      </w:r>
      <w:proofErr w:type="spellStart"/>
      <w:r>
        <w:t>i</w:t>
      </w:r>
      <w:proofErr w:type="spellEnd"/>
      <w:r>
        <w:t>)</w:t>
      </w:r>
      <w:r>
        <w:tab/>
      </w:r>
      <w:r w:rsidR="00BA49B5" w:rsidRPr="004D4698">
        <w:t>Less than 1500 J/g for salts or complexe</w:t>
      </w:r>
      <w:r w:rsidR="00BA49B5">
        <w:t>s of organic compounds</w:t>
      </w:r>
      <w:r w:rsidR="00BA49B5" w:rsidRPr="004D4698">
        <w:t>, or</w:t>
      </w:r>
    </w:p>
    <w:p w14:paraId="0C7BB9DE" w14:textId="77777777" w:rsidR="00BA49B5" w:rsidRPr="004D4698" w:rsidRDefault="00BA49B5" w:rsidP="00BA49B5">
      <w:pPr>
        <w:pStyle w:val="SingleTxtG"/>
        <w:ind w:left="2268"/>
      </w:pPr>
      <w:r>
        <w:t>(ii)</w:t>
      </w:r>
      <w:r>
        <w:tab/>
        <w:t>L</w:t>
      </w:r>
      <w:r w:rsidRPr="004D4698">
        <w:t xml:space="preserve">ess than 2000 J/g for other </w:t>
      </w:r>
      <w:r>
        <w:t xml:space="preserve">organic </w:t>
      </w:r>
      <w:r w:rsidRPr="004D4698">
        <w:t>substances, or</w:t>
      </w:r>
    </w:p>
    <w:p w14:paraId="01963AD7" w14:textId="459DA50D" w:rsidR="00BA49B5" w:rsidRDefault="00E00759" w:rsidP="00E00759">
      <w:pPr>
        <w:pStyle w:val="SingleTxtG"/>
        <w:ind w:left="2835" w:hanging="567"/>
      </w:pPr>
      <w:r>
        <w:t>(iii)</w:t>
      </w:r>
      <w:r>
        <w:tab/>
      </w:r>
      <w:r w:rsidR="00BA49B5">
        <w:t xml:space="preserve">1500 J/g or more for salts or complexes of organic compounds, and in test UN C.1 the result is not “yes, rapidly” and in test UN F.3 the result is not “not low”, or </w:t>
      </w:r>
    </w:p>
    <w:p w14:paraId="7B5BFEA0" w14:textId="7D126445" w:rsidR="00BA49B5" w:rsidRPr="00FB4352" w:rsidRDefault="00E00759" w:rsidP="00E00759">
      <w:pPr>
        <w:pStyle w:val="SingleTxtG"/>
        <w:ind w:left="2835" w:hanging="567"/>
      </w:pPr>
      <w:r w:rsidRPr="00FB4352">
        <w:t>(iv)</w:t>
      </w:r>
      <w:r w:rsidRPr="00FB4352">
        <w:tab/>
      </w:r>
      <w:r w:rsidR="00BA49B5">
        <w:t>2000 J/g or more for other organic substances, and in test UN C.1 the result is not “yes, rapidly” and in test UN F.3 the result is not “not low”.</w:t>
      </w:r>
      <w:r w:rsidR="00BA49B5" w:rsidRPr="00FB4352">
        <w:t xml:space="preserve"> </w:t>
      </w:r>
    </w:p>
    <w:p w14:paraId="13444CFF" w14:textId="77777777" w:rsidR="00BA49B5" w:rsidRDefault="00BA49B5" w:rsidP="00BA49B5">
      <w:pPr>
        <w:pStyle w:val="SingleTxtG"/>
        <w:tabs>
          <w:tab w:val="left" w:pos="1701"/>
        </w:tabs>
        <w:ind w:left="1701"/>
        <w:rPr>
          <w:lang w:val="en-US"/>
        </w:rPr>
      </w:pPr>
      <w:r>
        <w:rPr>
          <w:lang w:val="en-US"/>
        </w:rPr>
        <w:t>The assessment in (iii) and (iv) may be based on a single test C.1 and F.3 each. If the criteria in (b) above are fulfilled, it can be assumed that the sample is not more dangerous that self-reactive substances type B.</w:t>
      </w:r>
    </w:p>
    <w:p w14:paraId="3E4A7DDF" w14:textId="12D36173" w:rsidR="00BA49B5" w:rsidRDefault="00BA49B5" w:rsidP="00BA49B5">
      <w:pPr>
        <w:pStyle w:val="SingleTxtG"/>
        <w:tabs>
          <w:tab w:val="left" w:pos="1701"/>
        </w:tabs>
        <w:ind w:left="1701"/>
        <w:rPr>
          <w:lang w:val="en-US"/>
        </w:rPr>
      </w:pPr>
      <w:r>
        <w:rPr>
          <w:lang w:val="en-US"/>
        </w:rPr>
        <w:t xml:space="preserve">An appropriate method to determine temperature control requirements is described in section 20.3.4 of the </w:t>
      </w:r>
      <w:r w:rsidRPr="004B334F">
        <w:rPr>
          <w:i/>
          <w:iCs/>
          <w:lang w:val="en-US"/>
        </w:rPr>
        <w:t>Manual of Tests and Criteria</w:t>
      </w:r>
      <w:r>
        <w:rPr>
          <w:lang w:val="en-US"/>
        </w:rPr>
        <w:t>.</w:t>
      </w:r>
    </w:p>
    <w:p w14:paraId="4ACBA66F" w14:textId="77777777" w:rsidR="00BA49B5" w:rsidRDefault="00BA49B5" w:rsidP="00BA49B5">
      <w:pPr>
        <w:pStyle w:val="SingleTxtG"/>
        <w:tabs>
          <w:tab w:val="left" w:pos="1701"/>
        </w:tabs>
        <w:ind w:left="1701"/>
        <w:rPr>
          <w:lang w:val="en-US"/>
        </w:rPr>
      </w:pPr>
      <w:r>
        <w:rPr>
          <w:lang w:val="en-US"/>
        </w:rPr>
        <w:t xml:space="preserve">Samples not passing the criteria in (iii) or (iv) above may be transported by an approval issued by </w:t>
      </w:r>
      <w:r w:rsidRPr="00F13EC4">
        <w:rPr>
          <w:lang w:val="en-US"/>
        </w:rPr>
        <w:t>the competent authority of the country</w:t>
      </w:r>
      <w:r>
        <w:rPr>
          <w:lang w:val="en-US"/>
        </w:rPr>
        <w:t xml:space="preserve"> of origin</w:t>
      </w:r>
      <w:r w:rsidRPr="00F13EC4">
        <w:rPr>
          <w:lang w:val="en-US"/>
        </w:rPr>
        <w:t xml:space="preserve">. The statement of approval shall </w:t>
      </w:r>
      <w:r>
        <w:rPr>
          <w:lang w:val="en-US"/>
        </w:rPr>
        <w:t>be based on</w:t>
      </w:r>
      <w:r w:rsidRPr="00F13EC4">
        <w:rPr>
          <w:lang w:val="en-US"/>
        </w:rPr>
        <w:t xml:space="preserve"> </w:t>
      </w:r>
      <w:r>
        <w:rPr>
          <w:lang w:val="en-US"/>
        </w:rPr>
        <w:t xml:space="preserve">the available information and </w:t>
      </w:r>
      <w:r w:rsidRPr="00F13EC4">
        <w:rPr>
          <w:lang w:val="en-US"/>
        </w:rPr>
        <w:t>contain the classification and the relevant transport conditions.</w:t>
      </w:r>
      <w:r>
        <w:rPr>
          <w:lang w:val="en-US"/>
        </w:rPr>
        <w:t xml:space="preserve"> Alternatively, the sample may be dissolved or diluted with an inert compound to form a homogenous mixture in agreement with the criteria in 2.0.4.3.2 (b) (</w:t>
      </w:r>
      <w:proofErr w:type="spellStart"/>
      <w:r>
        <w:rPr>
          <w:lang w:val="en-US"/>
        </w:rPr>
        <w:t>i</w:t>
      </w:r>
      <w:proofErr w:type="spellEnd"/>
      <w:r>
        <w:rPr>
          <w:lang w:val="en-US"/>
        </w:rPr>
        <w:t>) or (ii) as applicable.”</w:t>
      </w:r>
    </w:p>
    <w:p w14:paraId="01BCC2AD" w14:textId="4E8FC8AD" w:rsidR="00BA49B5" w:rsidRDefault="00E00759" w:rsidP="00E00759">
      <w:pPr>
        <w:pStyle w:val="SingleTxtG"/>
        <w:tabs>
          <w:tab w:val="left" w:pos="1701"/>
        </w:tabs>
        <w:rPr>
          <w:lang w:val="en-US"/>
        </w:rPr>
      </w:pPr>
      <w:r>
        <w:rPr>
          <w:lang w:val="en-US"/>
        </w:rPr>
        <w:t>58.</w:t>
      </w:r>
      <w:r>
        <w:rPr>
          <w:lang w:val="en-US"/>
        </w:rPr>
        <w:tab/>
      </w:r>
      <w:r w:rsidR="00BA49B5">
        <w:rPr>
          <w:lang w:val="en-US"/>
        </w:rPr>
        <w:t>Insert a new section 2.0.4.3.3 to read:</w:t>
      </w:r>
    </w:p>
    <w:p w14:paraId="41850BDD" w14:textId="77777777" w:rsidR="00BA49B5" w:rsidRDefault="00BA49B5" w:rsidP="00BA49B5">
      <w:pPr>
        <w:pStyle w:val="SingleTxtG"/>
        <w:ind w:left="1701"/>
        <w:rPr>
          <w:lang w:val="en-US"/>
        </w:rPr>
      </w:pPr>
      <w:r>
        <w:rPr>
          <w:lang w:val="en-US"/>
        </w:rPr>
        <w:t>“A flow chart describing the classification of energetic samples is shown in figure 2.0.4.”</w:t>
      </w:r>
    </w:p>
    <w:p w14:paraId="2824ECCA" w14:textId="7266A78C" w:rsidR="00BA49B5" w:rsidRDefault="00E00759" w:rsidP="00E00759">
      <w:pPr>
        <w:pStyle w:val="SingleTxtG"/>
        <w:tabs>
          <w:tab w:val="left" w:pos="1701"/>
        </w:tabs>
        <w:rPr>
          <w:lang w:val="en-US"/>
        </w:rPr>
      </w:pPr>
      <w:r>
        <w:rPr>
          <w:lang w:val="en-US"/>
        </w:rPr>
        <w:t>59.</w:t>
      </w:r>
      <w:r>
        <w:rPr>
          <w:lang w:val="en-US"/>
        </w:rPr>
        <w:tab/>
      </w:r>
      <w:r w:rsidR="00BA49B5">
        <w:rPr>
          <w:lang w:val="en-US"/>
        </w:rPr>
        <w:t xml:space="preserve">Insert the flow chart in </w:t>
      </w:r>
      <w:r w:rsidR="00BA62A1">
        <w:rPr>
          <w:lang w:val="en-US"/>
        </w:rPr>
        <w:t>F</w:t>
      </w:r>
      <w:r w:rsidR="00BA49B5">
        <w:rPr>
          <w:lang w:val="en-US"/>
        </w:rPr>
        <w:t>igure 6 of this proposal as figure 2.0.4.</w:t>
      </w:r>
    </w:p>
    <w:p w14:paraId="2B9CC126" w14:textId="3061F932" w:rsidR="00BA49B5" w:rsidRPr="00094B11" w:rsidRDefault="00BA49B5" w:rsidP="00BA49B5">
      <w:pPr>
        <w:pStyle w:val="HChG"/>
      </w:pPr>
      <w:r>
        <w:tab/>
      </w:r>
      <w:r w:rsidR="00971D20">
        <w:t>IV.</w:t>
      </w:r>
      <w:r w:rsidR="00971D20">
        <w:tab/>
      </w:r>
      <w:r w:rsidRPr="00094B11">
        <w:t>Justification</w:t>
      </w:r>
    </w:p>
    <w:p w14:paraId="37AA9863" w14:textId="1FAB1749" w:rsidR="00BA49B5" w:rsidRDefault="00E00759" w:rsidP="00E00759">
      <w:pPr>
        <w:pStyle w:val="SingleTxtG"/>
        <w:tabs>
          <w:tab w:val="left" w:pos="1701"/>
        </w:tabs>
        <w:rPr>
          <w:lang w:val="en-US"/>
        </w:rPr>
      </w:pPr>
      <w:r>
        <w:rPr>
          <w:lang w:val="en-US"/>
        </w:rPr>
        <w:t>60.</w:t>
      </w:r>
      <w:r>
        <w:rPr>
          <w:lang w:val="en-US"/>
        </w:rPr>
        <w:tab/>
      </w:r>
      <w:r w:rsidR="00BA49B5">
        <w:rPr>
          <w:lang w:val="en-US"/>
        </w:rPr>
        <w:t>The proposal presents a comprehensive and practical solution for the transport of energetic samples.</w:t>
      </w:r>
    </w:p>
    <w:p w14:paraId="26A4CFAE" w14:textId="1B54CF8D" w:rsidR="00BA49B5" w:rsidRPr="0003668D" w:rsidRDefault="00E00759" w:rsidP="00E00759">
      <w:pPr>
        <w:pStyle w:val="SingleTxtG"/>
        <w:tabs>
          <w:tab w:val="left" w:pos="1701"/>
        </w:tabs>
        <w:rPr>
          <w:lang w:val="en-US"/>
        </w:rPr>
      </w:pPr>
      <w:r w:rsidRPr="0003668D">
        <w:rPr>
          <w:lang w:val="en-US"/>
        </w:rPr>
        <w:t>61.</w:t>
      </w:r>
      <w:r w:rsidRPr="0003668D">
        <w:rPr>
          <w:lang w:val="en-US"/>
        </w:rPr>
        <w:tab/>
      </w:r>
      <w:r w:rsidR="00BA49B5" w:rsidRPr="0003668D">
        <w:rPr>
          <w:lang w:val="en-US"/>
        </w:rPr>
        <w:t>The vast majority of these R&amp;D substances never make it to further stages of development for economic or business reasons</w:t>
      </w:r>
      <w:r w:rsidR="00BA49B5">
        <w:rPr>
          <w:lang w:val="en-US"/>
        </w:rPr>
        <w:t>. From this point of view</w:t>
      </w:r>
      <w:r w:rsidR="00BA49B5" w:rsidRPr="0003668D">
        <w:rPr>
          <w:lang w:val="en-US"/>
        </w:rPr>
        <w:t xml:space="preserve">, extensive testing for formal classification is not justified in this early phase of development, </w:t>
      </w:r>
      <w:r w:rsidR="00BA49B5">
        <w:rPr>
          <w:lang w:val="en-US"/>
        </w:rPr>
        <w:t xml:space="preserve">and </w:t>
      </w:r>
      <w:r w:rsidR="00BA49B5" w:rsidRPr="0003668D">
        <w:rPr>
          <w:lang w:val="en-US"/>
        </w:rPr>
        <w:t xml:space="preserve">a simplified </w:t>
      </w:r>
      <w:r w:rsidR="00BA49B5">
        <w:rPr>
          <w:lang w:val="en-US"/>
        </w:rPr>
        <w:t xml:space="preserve">and efficient </w:t>
      </w:r>
      <w:r w:rsidR="00BA49B5" w:rsidRPr="0003668D">
        <w:rPr>
          <w:lang w:val="en-US"/>
        </w:rPr>
        <w:t>testing regime to ensure safe handling and transport would be beneficial.</w:t>
      </w:r>
    </w:p>
    <w:p w14:paraId="1BC00527" w14:textId="246131F0" w:rsidR="00BA49B5" w:rsidRDefault="00E00759" w:rsidP="00E00759">
      <w:pPr>
        <w:pStyle w:val="SingleTxtG"/>
        <w:tabs>
          <w:tab w:val="left" w:pos="1701"/>
        </w:tabs>
        <w:rPr>
          <w:lang w:val="en-US"/>
        </w:rPr>
      </w:pPr>
      <w:r>
        <w:rPr>
          <w:lang w:val="en-US"/>
        </w:rPr>
        <w:t>62.</w:t>
      </w:r>
      <w:r>
        <w:rPr>
          <w:lang w:val="en-US"/>
        </w:rPr>
        <w:tab/>
      </w:r>
      <w:r w:rsidR="00BA49B5">
        <w:rPr>
          <w:lang w:val="en-US"/>
        </w:rPr>
        <w:t>In the discussion above, it has been shown that the decomposition energies of these samples match the regime of existing self-reactive substances (</w:t>
      </w:r>
      <w:r w:rsidR="00FF4544">
        <w:rPr>
          <w:lang w:val="en-US"/>
        </w:rPr>
        <w:t>F</w:t>
      </w:r>
      <w:r w:rsidR="00BA49B5">
        <w:rPr>
          <w:lang w:val="en-US"/>
        </w:rPr>
        <w:t>igure 3 of this document), whereas the decomposition energies of known Class 1 explosives are found at much higher energies. The discussion has further led to the conclusion that below the energy values listed in table 2 candidates for Class 1 can be excluded for substances and amounts in the scope of this proposal.</w:t>
      </w:r>
    </w:p>
    <w:p w14:paraId="309272D3" w14:textId="0D541C7E" w:rsidR="00BA49B5" w:rsidRDefault="00E00759" w:rsidP="00E00759">
      <w:pPr>
        <w:pStyle w:val="SingleTxtG"/>
        <w:tabs>
          <w:tab w:val="left" w:pos="1701"/>
        </w:tabs>
        <w:rPr>
          <w:lang w:val="en-US"/>
        </w:rPr>
      </w:pPr>
      <w:r>
        <w:rPr>
          <w:lang w:val="en-US"/>
        </w:rPr>
        <w:t>63.</w:t>
      </w:r>
      <w:r>
        <w:rPr>
          <w:lang w:val="en-US"/>
        </w:rPr>
        <w:tab/>
      </w:r>
      <w:r w:rsidR="00BA49B5">
        <w:rPr>
          <w:lang w:val="en-US"/>
        </w:rPr>
        <w:t>For samples of higher energies, further tests in limited amounts allow a safe, initial assessment. In critical cases, an approval by the competent authority will be required. Dilution with an inert compound has been identified as an alternative option.</w:t>
      </w:r>
    </w:p>
    <w:p w14:paraId="7D4BD154" w14:textId="04D57E1F" w:rsidR="00BA49B5" w:rsidRDefault="00E00759" w:rsidP="00E00759">
      <w:pPr>
        <w:pStyle w:val="SingleTxtG"/>
        <w:tabs>
          <w:tab w:val="left" w:pos="1701"/>
        </w:tabs>
        <w:rPr>
          <w:lang w:val="en-US"/>
        </w:rPr>
      </w:pPr>
      <w:r>
        <w:rPr>
          <w:lang w:val="en-US"/>
        </w:rPr>
        <w:lastRenderedPageBreak/>
        <w:t>64.</w:t>
      </w:r>
      <w:r>
        <w:rPr>
          <w:lang w:val="en-US"/>
        </w:rPr>
        <w:tab/>
      </w:r>
      <w:r w:rsidR="00BA49B5">
        <w:rPr>
          <w:lang w:val="en-US"/>
        </w:rPr>
        <w:t>By referring to the regime of self-reactive substances, existing provisions and packing instructions are applied, which should facilitate the implementation in the modal regulations.</w:t>
      </w:r>
    </w:p>
    <w:p w14:paraId="60AA8B0F" w14:textId="342EDCB3" w:rsidR="00BA49B5" w:rsidRDefault="00E00759" w:rsidP="00E00759">
      <w:pPr>
        <w:pStyle w:val="SingleTxtG"/>
        <w:tabs>
          <w:tab w:val="left" w:pos="1701"/>
        </w:tabs>
        <w:rPr>
          <w:lang w:val="en-US"/>
        </w:rPr>
      </w:pPr>
      <w:r>
        <w:rPr>
          <w:lang w:val="en-US"/>
        </w:rPr>
        <w:t>65.</w:t>
      </w:r>
      <w:r>
        <w:rPr>
          <w:lang w:val="en-US"/>
        </w:rPr>
        <w:tab/>
      </w:r>
      <w:r w:rsidR="00BA49B5">
        <w:rPr>
          <w:lang w:val="en-US"/>
        </w:rPr>
        <w:t>The proposed flow charts guide classifiers through the relevant steps and should be helpful for organizations less familiar with dangerous goods regulations, thus increasing the safety during the transport of research samples.</w:t>
      </w:r>
    </w:p>
    <w:p w14:paraId="09A5AEEC" w14:textId="77777777" w:rsidR="00BA49B5" w:rsidRDefault="00BA49B5" w:rsidP="00BA49B5">
      <w:pPr>
        <w:suppressAutoHyphens w:val="0"/>
        <w:spacing w:line="240" w:lineRule="auto"/>
        <w:rPr>
          <w:lang w:val="en-US"/>
        </w:rPr>
      </w:pPr>
      <w:r>
        <w:rPr>
          <w:lang w:val="en-US"/>
        </w:rPr>
        <w:br w:type="page"/>
      </w:r>
    </w:p>
    <w:p w14:paraId="34343980" w14:textId="46C97CBB" w:rsidR="00BA49B5" w:rsidRPr="00F66F59" w:rsidRDefault="003455D3" w:rsidP="00BA49B5">
      <w:pPr>
        <w:pStyle w:val="HChG"/>
        <w:rPr>
          <w:lang w:val="en-US"/>
        </w:rPr>
      </w:pPr>
      <w:r>
        <w:rPr>
          <w:lang w:val="en-US"/>
        </w:rPr>
        <w:lastRenderedPageBreak/>
        <w:tab/>
      </w:r>
      <w:r>
        <w:rPr>
          <w:lang w:val="en-US"/>
        </w:rPr>
        <w:tab/>
      </w:r>
      <w:r w:rsidR="00BA49B5" w:rsidRPr="00F66F59">
        <w:rPr>
          <w:lang w:val="en-US"/>
        </w:rPr>
        <w:t>A</w:t>
      </w:r>
      <w:r w:rsidR="00BA49B5">
        <w:rPr>
          <w:lang w:val="en-US"/>
        </w:rPr>
        <w:t>nnex</w:t>
      </w:r>
    </w:p>
    <w:p w14:paraId="528EABF4" w14:textId="38EB1869" w:rsidR="00BA49B5" w:rsidRPr="00556E07" w:rsidRDefault="00BA49B5" w:rsidP="00BA49B5">
      <w:pPr>
        <w:pStyle w:val="Caption"/>
        <w:keepNext/>
        <w:jc w:val="center"/>
        <w:rPr>
          <w:shd w:val="pct15" w:color="auto" w:fill="FFFFFF"/>
        </w:rPr>
      </w:pPr>
      <w:r w:rsidRPr="00927142">
        <w:rPr>
          <w:color w:val="auto"/>
          <w:sz w:val="20"/>
          <w:szCs w:val="20"/>
        </w:rPr>
        <w:t xml:space="preserve">Table </w:t>
      </w:r>
      <w:r w:rsidRPr="00927142">
        <w:rPr>
          <w:color w:val="auto"/>
          <w:sz w:val="20"/>
          <w:szCs w:val="20"/>
        </w:rPr>
        <w:fldChar w:fldCharType="begin"/>
      </w:r>
      <w:r w:rsidRPr="00927142">
        <w:rPr>
          <w:color w:val="auto"/>
          <w:sz w:val="20"/>
          <w:szCs w:val="20"/>
        </w:rPr>
        <w:instrText xml:space="preserve"> SEQ Table \* ARABIC </w:instrText>
      </w:r>
      <w:r w:rsidRPr="00927142">
        <w:rPr>
          <w:color w:val="auto"/>
          <w:sz w:val="20"/>
          <w:szCs w:val="20"/>
        </w:rPr>
        <w:fldChar w:fldCharType="separate"/>
      </w:r>
      <w:r>
        <w:rPr>
          <w:noProof/>
          <w:color w:val="auto"/>
          <w:sz w:val="20"/>
          <w:szCs w:val="20"/>
        </w:rPr>
        <w:t>3</w:t>
      </w:r>
      <w:r w:rsidRPr="00927142">
        <w:rPr>
          <w:color w:val="auto"/>
          <w:sz w:val="20"/>
          <w:szCs w:val="20"/>
        </w:rPr>
        <w:fldChar w:fldCharType="end"/>
      </w:r>
      <w:r w:rsidRPr="00927142">
        <w:rPr>
          <w:noProof/>
          <w:color w:val="auto"/>
          <w:sz w:val="20"/>
          <w:szCs w:val="20"/>
        </w:rPr>
        <w:t>: Decomposition energies of self-reactive substances</w:t>
      </w:r>
      <w:r w:rsidRPr="00927142">
        <w:rPr>
          <w:noProof/>
          <w:color w:val="auto"/>
          <w:sz w:val="20"/>
          <w:szCs w:val="20"/>
        </w:rPr>
        <w:br/>
      </w:r>
      <w:r w:rsidRPr="00927142">
        <w:rPr>
          <w:bCs w:val="0"/>
          <w:noProof/>
          <w:color w:val="auto"/>
          <w:sz w:val="20"/>
          <w:szCs w:val="20"/>
        </w:rPr>
        <w:t>(</w:t>
      </w:r>
      <w:r w:rsidRPr="00494B5D">
        <w:rPr>
          <w:bCs w:val="0"/>
          <w:i/>
          <w:iCs/>
          <w:noProof/>
          <w:color w:val="auto"/>
          <w:sz w:val="20"/>
          <w:szCs w:val="20"/>
        </w:rPr>
        <w:t xml:space="preserve">Model </w:t>
      </w:r>
      <w:r w:rsidR="00494B5D" w:rsidRPr="00494B5D">
        <w:rPr>
          <w:bCs w:val="0"/>
          <w:i/>
          <w:iCs/>
          <w:noProof/>
          <w:color w:val="auto"/>
          <w:sz w:val="20"/>
          <w:szCs w:val="20"/>
        </w:rPr>
        <w:t>R</w:t>
      </w:r>
      <w:r w:rsidRPr="00494B5D">
        <w:rPr>
          <w:bCs w:val="0"/>
          <w:i/>
          <w:iCs/>
          <w:noProof/>
          <w:color w:val="auto"/>
          <w:sz w:val="20"/>
          <w:szCs w:val="20"/>
        </w:rPr>
        <w:t>egulations</w:t>
      </w:r>
      <w:r w:rsidRPr="00927142">
        <w:rPr>
          <w:bCs w:val="0"/>
          <w:noProof/>
          <w:color w:val="auto"/>
          <w:sz w:val="20"/>
          <w:szCs w:val="20"/>
        </w:rPr>
        <w:t>, section 2.4.2.3.2.3)</w:t>
      </w:r>
    </w:p>
    <w:tbl>
      <w:tblPr>
        <w:tblStyle w:val="TableGrid"/>
        <w:tblW w:w="7640" w:type="dxa"/>
        <w:tblInd w:w="113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813"/>
        <w:gridCol w:w="851"/>
        <w:gridCol w:w="850"/>
        <w:gridCol w:w="709"/>
        <w:gridCol w:w="850"/>
        <w:gridCol w:w="567"/>
      </w:tblGrid>
      <w:tr w:rsidR="00BA49B5" w:rsidRPr="00927142" w14:paraId="6E2CD2D2" w14:textId="77777777" w:rsidTr="00D44E8D">
        <w:trPr>
          <w:trHeight w:val="828"/>
          <w:tblHeader/>
        </w:trPr>
        <w:tc>
          <w:tcPr>
            <w:tcW w:w="3813" w:type="dxa"/>
            <w:hideMark/>
          </w:tcPr>
          <w:p w14:paraId="4667A248"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r w:rsidRPr="00927142">
              <w:rPr>
                <w:rFonts w:asciiTheme="majorBidi" w:hAnsiTheme="majorBidi" w:cstheme="majorBidi"/>
                <w:color w:val="000000"/>
                <w:lang w:val="en-US" w:eastAsia="de-DE"/>
              </w:rPr>
              <w:t>Name</w:t>
            </w:r>
          </w:p>
        </w:tc>
        <w:tc>
          <w:tcPr>
            <w:tcW w:w="851" w:type="dxa"/>
            <w:hideMark/>
          </w:tcPr>
          <w:p w14:paraId="10C97A8D"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proofErr w:type="spellStart"/>
            <w:r w:rsidRPr="00927142">
              <w:rPr>
                <w:rFonts w:asciiTheme="majorBidi" w:hAnsiTheme="majorBidi" w:cstheme="majorBidi"/>
                <w:color w:val="000000"/>
                <w:lang w:val="en-US" w:eastAsia="de-DE"/>
              </w:rPr>
              <w:t>Concen-tration</w:t>
            </w:r>
            <w:proofErr w:type="spellEnd"/>
          </w:p>
          <w:p w14:paraId="1C6F3743"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r w:rsidRPr="00927142">
              <w:rPr>
                <w:rFonts w:asciiTheme="majorBidi" w:hAnsiTheme="majorBidi" w:cstheme="majorBidi"/>
                <w:color w:val="000000"/>
                <w:lang w:val="en-US" w:eastAsia="de-DE"/>
              </w:rPr>
              <w:t>(%)</w:t>
            </w:r>
          </w:p>
        </w:tc>
        <w:tc>
          <w:tcPr>
            <w:tcW w:w="850" w:type="dxa"/>
            <w:hideMark/>
          </w:tcPr>
          <w:p w14:paraId="71A7B61E"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r w:rsidRPr="00927142">
              <w:rPr>
                <w:rFonts w:asciiTheme="majorBidi" w:hAnsiTheme="majorBidi" w:cstheme="majorBidi"/>
                <w:color w:val="000000"/>
                <w:lang w:val="en-US" w:eastAsia="de-DE"/>
              </w:rPr>
              <w:t>Packing method</w:t>
            </w:r>
          </w:p>
        </w:tc>
        <w:tc>
          <w:tcPr>
            <w:tcW w:w="709" w:type="dxa"/>
            <w:hideMark/>
          </w:tcPr>
          <w:p w14:paraId="4A028041"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r w:rsidRPr="00927142">
              <w:rPr>
                <w:rFonts w:asciiTheme="majorBidi" w:hAnsiTheme="majorBidi" w:cstheme="majorBidi"/>
                <w:color w:val="000000"/>
                <w:lang w:val="en-US" w:eastAsia="de-DE"/>
              </w:rPr>
              <w:t>UN generic entry</w:t>
            </w:r>
          </w:p>
        </w:tc>
        <w:tc>
          <w:tcPr>
            <w:tcW w:w="850" w:type="dxa"/>
            <w:hideMark/>
          </w:tcPr>
          <w:p w14:paraId="5CFF120E"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r w:rsidRPr="00927142">
              <w:rPr>
                <w:rFonts w:asciiTheme="majorBidi" w:hAnsiTheme="majorBidi" w:cstheme="majorBidi"/>
                <w:color w:val="000000"/>
                <w:lang w:val="en-US" w:eastAsia="de-DE"/>
              </w:rPr>
              <w:t>Decom-position energy (estimate) (J/g)</w:t>
            </w:r>
          </w:p>
        </w:tc>
        <w:tc>
          <w:tcPr>
            <w:tcW w:w="567" w:type="dxa"/>
            <w:hideMark/>
          </w:tcPr>
          <w:p w14:paraId="40649820" w14:textId="77777777" w:rsidR="00BA49B5" w:rsidRPr="00927142" w:rsidRDefault="00BA49B5" w:rsidP="00D336FE">
            <w:pPr>
              <w:suppressAutoHyphens w:val="0"/>
              <w:spacing w:line="240" w:lineRule="auto"/>
              <w:jc w:val="center"/>
              <w:rPr>
                <w:rFonts w:asciiTheme="majorBidi" w:hAnsiTheme="majorBidi" w:cstheme="majorBidi"/>
                <w:color w:val="000000"/>
                <w:lang w:val="en-US" w:eastAsia="de-DE"/>
              </w:rPr>
            </w:pPr>
            <w:r w:rsidRPr="00927142">
              <w:rPr>
                <w:rFonts w:asciiTheme="majorBidi" w:hAnsiTheme="majorBidi" w:cstheme="majorBidi"/>
                <w:color w:val="000000"/>
                <w:lang w:val="en-US" w:eastAsia="de-DE"/>
              </w:rPr>
              <w:t>Type</w:t>
            </w:r>
          </w:p>
        </w:tc>
      </w:tr>
      <w:tr w:rsidR="00BA49B5" w:rsidRPr="00927142" w14:paraId="63C42616" w14:textId="77777777" w:rsidTr="00D44E8D">
        <w:trPr>
          <w:trHeight w:val="552"/>
        </w:trPr>
        <w:tc>
          <w:tcPr>
            <w:tcW w:w="3813" w:type="dxa"/>
            <w:hideMark/>
          </w:tcPr>
          <w:p w14:paraId="48A0C244" w14:textId="77777777" w:rsidR="00BA49B5" w:rsidRPr="00927142" w:rsidRDefault="00BA49B5" w:rsidP="00D336FE">
            <w:pPr>
              <w:suppressAutoHyphens w:val="0"/>
              <w:spacing w:line="240" w:lineRule="auto"/>
              <w:rPr>
                <w:rFonts w:asciiTheme="majorBidi" w:hAnsiTheme="majorBidi" w:cstheme="majorBidi"/>
                <w:color w:val="000000"/>
                <w:lang w:val="en-US" w:eastAsia="de-DE"/>
              </w:rPr>
            </w:pPr>
            <w:r w:rsidRPr="00927142">
              <w:rPr>
                <w:rFonts w:asciiTheme="majorBidi" w:hAnsiTheme="majorBidi" w:cstheme="majorBidi"/>
                <w:color w:val="000000"/>
                <w:lang w:val="en-US" w:eastAsia="de-DE"/>
              </w:rPr>
              <w:t>ACETONE-PYROGALLOL COPOLYMER 2-DIAZO-1-NAPHTHOL-5-SULPHONATE</w:t>
            </w:r>
          </w:p>
        </w:tc>
        <w:tc>
          <w:tcPr>
            <w:tcW w:w="851" w:type="dxa"/>
            <w:noWrap/>
            <w:hideMark/>
          </w:tcPr>
          <w:p w14:paraId="5A498DD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52D30A2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OP8</w:t>
            </w:r>
          </w:p>
        </w:tc>
        <w:tc>
          <w:tcPr>
            <w:tcW w:w="709" w:type="dxa"/>
            <w:noWrap/>
            <w:hideMark/>
          </w:tcPr>
          <w:p w14:paraId="0538877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3228</w:t>
            </w:r>
          </w:p>
        </w:tc>
        <w:tc>
          <w:tcPr>
            <w:tcW w:w="850" w:type="dxa"/>
            <w:noWrap/>
            <w:hideMark/>
          </w:tcPr>
          <w:p w14:paraId="64B1437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521</w:t>
            </w:r>
          </w:p>
        </w:tc>
        <w:tc>
          <w:tcPr>
            <w:tcW w:w="567" w:type="dxa"/>
            <w:noWrap/>
            <w:hideMark/>
          </w:tcPr>
          <w:p w14:paraId="7F75C2E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E</w:t>
            </w:r>
          </w:p>
        </w:tc>
      </w:tr>
      <w:tr w:rsidR="00BA49B5" w:rsidRPr="00927142" w14:paraId="34ECA9F0" w14:textId="77777777" w:rsidTr="00D44E8D">
        <w:trPr>
          <w:trHeight w:val="276"/>
        </w:trPr>
        <w:tc>
          <w:tcPr>
            <w:tcW w:w="3813" w:type="dxa"/>
            <w:hideMark/>
          </w:tcPr>
          <w:p w14:paraId="76F5FD1F"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AZODICARBONAMIDE FORMULATION TYPE B</w:t>
            </w:r>
          </w:p>
        </w:tc>
        <w:tc>
          <w:tcPr>
            <w:tcW w:w="851" w:type="dxa"/>
            <w:noWrap/>
            <w:hideMark/>
          </w:tcPr>
          <w:p w14:paraId="55FC740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50FB8AB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OP5</w:t>
            </w:r>
          </w:p>
        </w:tc>
        <w:tc>
          <w:tcPr>
            <w:tcW w:w="709" w:type="dxa"/>
            <w:noWrap/>
            <w:hideMark/>
          </w:tcPr>
          <w:p w14:paraId="5D04FFA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3232</w:t>
            </w:r>
          </w:p>
        </w:tc>
        <w:tc>
          <w:tcPr>
            <w:tcW w:w="850" w:type="dxa"/>
            <w:noWrap/>
            <w:hideMark/>
          </w:tcPr>
          <w:p w14:paraId="23D0382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1400</w:t>
            </w:r>
          </w:p>
        </w:tc>
        <w:tc>
          <w:tcPr>
            <w:tcW w:w="567" w:type="dxa"/>
            <w:noWrap/>
            <w:hideMark/>
          </w:tcPr>
          <w:p w14:paraId="0606260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B</w:t>
            </w:r>
          </w:p>
        </w:tc>
      </w:tr>
      <w:tr w:rsidR="00BA49B5" w:rsidRPr="00927142" w14:paraId="4FFD0C42" w14:textId="77777777" w:rsidTr="00D44E8D">
        <w:trPr>
          <w:trHeight w:val="276"/>
        </w:trPr>
        <w:tc>
          <w:tcPr>
            <w:tcW w:w="3813" w:type="dxa"/>
            <w:hideMark/>
          </w:tcPr>
          <w:p w14:paraId="76403127"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AZODICARBONAMIDE FORMULATION TYPE C</w:t>
            </w:r>
          </w:p>
        </w:tc>
        <w:tc>
          <w:tcPr>
            <w:tcW w:w="851" w:type="dxa"/>
            <w:noWrap/>
            <w:hideMark/>
          </w:tcPr>
          <w:p w14:paraId="17AAA4A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087A408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OP6</w:t>
            </w:r>
          </w:p>
        </w:tc>
        <w:tc>
          <w:tcPr>
            <w:tcW w:w="709" w:type="dxa"/>
            <w:noWrap/>
            <w:hideMark/>
          </w:tcPr>
          <w:p w14:paraId="550B446D"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3224</w:t>
            </w:r>
          </w:p>
        </w:tc>
        <w:tc>
          <w:tcPr>
            <w:tcW w:w="850" w:type="dxa"/>
            <w:noWrap/>
            <w:hideMark/>
          </w:tcPr>
          <w:p w14:paraId="2C4CF65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1400</w:t>
            </w:r>
          </w:p>
        </w:tc>
        <w:tc>
          <w:tcPr>
            <w:tcW w:w="567" w:type="dxa"/>
            <w:noWrap/>
            <w:hideMark/>
          </w:tcPr>
          <w:p w14:paraId="1F9270C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C</w:t>
            </w:r>
          </w:p>
        </w:tc>
      </w:tr>
      <w:tr w:rsidR="00BA49B5" w:rsidRPr="00927142" w14:paraId="0CE12A2C" w14:textId="77777777" w:rsidTr="00D44E8D">
        <w:trPr>
          <w:trHeight w:val="276"/>
        </w:trPr>
        <w:tc>
          <w:tcPr>
            <w:tcW w:w="3813" w:type="dxa"/>
            <w:hideMark/>
          </w:tcPr>
          <w:p w14:paraId="39CC1FE3"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AZODICARBONAMIDE FORMULATION TYPE D</w:t>
            </w:r>
          </w:p>
        </w:tc>
        <w:tc>
          <w:tcPr>
            <w:tcW w:w="851" w:type="dxa"/>
            <w:noWrap/>
            <w:hideMark/>
          </w:tcPr>
          <w:p w14:paraId="66F00E1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25AA01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09BD651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41DC9E3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1400</w:t>
            </w:r>
          </w:p>
        </w:tc>
        <w:tc>
          <w:tcPr>
            <w:tcW w:w="567" w:type="dxa"/>
            <w:noWrap/>
            <w:hideMark/>
          </w:tcPr>
          <w:p w14:paraId="47AE82E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5335B9B6" w14:textId="77777777" w:rsidTr="00D44E8D">
        <w:trPr>
          <w:trHeight w:val="276"/>
        </w:trPr>
        <w:tc>
          <w:tcPr>
            <w:tcW w:w="3813" w:type="dxa"/>
            <w:hideMark/>
          </w:tcPr>
          <w:p w14:paraId="351B8153"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2,2' -AZODI(2,4-DIMETHYL- 4-METHOXYVALERONITRILE)</w:t>
            </w:r>
          </w:p>
        </w:tc>
        <w:tc>
          <w:tcPr>
            <w:tcW w:w="851" w:type="dxa"/>
            <w:noWrap/>
            <w:hideMark/>
          </w:tcPr>
          <w:p w14:paraId="7B3D0E7D"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7061BA3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70326E2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59B7DC3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584</w:t>
            </w:r>
          </w:p>
        </w:tc>
        <w:tc>
          <w:tcPr>
            <w:tcW w:w="567" w:type="dxa"/>
            <w:noWrap/>
            <w:hideMark/>
          </w:tcPr>
          <w:p w14:paraId="7D87863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5F15B6D8" w14:textId="77777777" w:rsidTr="00D44E8D">
        <w:trPr>
          <w:trHeight w:val="276"/>
        </w:trPr>
        <w:tc>
          <w:tcPr>
            <w:tcW w:w="3813" w:type="dxa"/>
            <w:hideMark/>
          </w:tcPr>
          <w:p w14:paraId="4F225628"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2,2' -AZODI(2,4-DIMETHYL- VALERONITRILE)</w:t>
            </w:r>
          </w:p>
        </w:tc>
        <w:tc>
          <w:tcPr>
            <w:tcW w:w="851" w:type="dxa"/>
            <w:noWrap/>
            <w:hideMark/>
          </w:tcPr>
          <w:p w14:paraId="73500A9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60B3C07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6AEC4FB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06BA937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725</w:t>
            </w:r>
          </w:p>
        </w:tc>
        <w:tc>
          <w:tcPr>
            <w:tcW w:w="567" w:type="dxa"/>
            <w:noWrap/>
            <w:hideMark/>
          </w:tcPr>
          <w:p w14:paraId="3EB9203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15A647A3" w14:textId="77777777" w:rsidTr="00D44E8D">
        <w:trPr>
          <w:trHeight w:val="276"/>
        </w:trPr>
        <w:tc>
          <w:tcPr>
            <w:tcW w:w="3813" w:type="dxa"/>
            <w:hideMark/>
          </w:tcPr>
          <w:p w14:paraId="5F1466A4"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2,2' -AZODI(ETHYL- 2-METHYLPROPIONATE)</w:t>
            </w:r>
          </w:p>
        </w:tc>
        <w:tc>
          <w:tcPr>
            <w:tcW w:w="851" w:type="dxa"/>
            <w:noWrap/>
            <w:hideMark/>
          </w:tcPr>
          <w:p w14:paraId="2CB28A2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586BD01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3B19EF5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3235</w:t>
            </w:r>
          </w:p>
        </w:tc>
        <w:tc>
          <w:tcPr>
            <w:tcW w:w="850" w:type="dxa"/>
            <w:noWrap/>
            <w:hideMark/>
          </w:tcPr>
          <w:p w14:paraId="6CFFF4A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697</w:t>
            </w:r>
          </w:p>
        </w:tc>
        <w:tc>
          <w:tcPr>
            <w:tcW w:w="567" w:type="dxa"/>
            <w:noWrap/>
            <w:hideMark/>
          </w:tcPr>
          <w:p w14:paraId="3258D9B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0C550CEF" w14:textId="77777777" w:rsidTr="00D44E8D">
        <w:trPr>
          <w:trHeight w:val="276"/>
        </w:trPr>
        <w:tc>
          <w:tcPr>
            <w:tcW w:w="3813" w:type="dxa"/>
            <w:hideMark/>
          </w:tcPr>
          <w:p w14:paraId="2716E420"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1,1-AZODI(HEXAHYDROBENZONITRILE)</w:t>
            </w:r>
          </w:p>
        </w:tc>
        <w:tc>
          <w:tcPr>
            <w:tcW w:w="851" w:type="dxa"/>
            <w:noWrap/>
            <w:hideMark/>
          </w:tcPr>
          <w:p w14:paraId="343A640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3F1C80E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4389799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0C09F8F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768</w:t>
            </w:r>
          </w:p>
        </w:tc>
        <w:tc>
          <w:tcPr>
            <w:tcW w:w="567" w:type="dxa"/>
            <w:noWrap/>
            <w:hideMark/>
          </w:tcPr>
          <w:p w14:paraId="759FBE5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1D19110" w14:textId="77777777" w:rsidTr="00D44E8D">
        <w:trPr>
          <w:trHeight w:val="276"/>
        </w:trPr>
        <w:tc>
          <w:tcPr>
            <w:tcW w:w="3813" w:type="dxa"/>
            <w:hideMark/>
          </w:tcPr>
          <w:p w14:paraId="35DDE8B1"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2,2'-AZODI(ISOBUTYRONITRILE)</w:t>
            </w:r>
          </w:p>
        </w:tc>
        <w:tc>
          <w:tcPr>
            <w:tcW w:w="851" w:type="dxa"/>
            <w:noWrap/>
            <w:hideMark/>
          </w:tcPr>
          <w:p w14:paraId="1D34AD2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08E3D61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OP6</w:t>
            </w:r>
          </w:p>
        </w:tc>
        <w:tc>
          <w:tcPr>
            <w:tcW w:w="709" w:type="dxa"/>
            <w:noWrap/>
            <w:hideMark/>
          </w:tcPr>
          <w:p w14:paraId="2798DBD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3234</w:t>
            </w:r>
          </w:p>
        </w:tc>
        <w:tc>
          <w:tcPr>
            <w:tcW w:w="850" w:type="dxa"/>
            <w:noWrap/>
            <w:hideMark/>
          </w:tcPr>
          <w:p w14:paraId="2E35A1E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1096</w:t>
            </w:r>
          </w:p>
        </w:tc>
        <w:tc>
          <w:tcPr>
            <w:tcW w:w="567" w:type="dxa"/>
            <w:noWrap/>
            <w:hideMark/>
          </w:tcPr>
          <w:p w14:paraId="5A906DC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C</w:t>
            </w:r>
          </w:p>
        </w:tc>
      </w:tr>
      <w:tr w:rsidR="00BA49B5" w:rsidRPr="00927142" w14:paraId="567FA2B5" w14:textId="77777777" w:rsidTr="00D44E8D">
        <w:trPr>
          <w:trHeight w:val="276"/>
        </w:trPr>
        <w:tc>
          <w:tcPr>
            <w:tcW w:w="3813" w:type="dxa"/>
            <w:hideMark/>
          </w:tcPr>
          <w:p w14:paraId="0FB6FE1D"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2,2'-AZODI(2-METHYLBUTYRONITRILE)</w:t>
            </w:r>
          </w:p>
        </w:tc>
        <w:tc>
          <w:tcPr>
            <w:tcW w:w="851" w:type="dxa"/>
            <w:noWrap/>
            <w:hideMark/>
          </w:tcPr>
          <w:p w14:paraId="7A3F563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6ADB078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6FBC524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26AC78D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936</w:t>
            </w:r>
          </w:p>
        </w:tc>
        <w:tc>
          <w:tcPr>
            <w:tcW w:w="567" w:type="dxa"/>
            <w:noWrap/>
            <w:hideMark/>
          </w:tcPr>
          <w:p w14:paraId="41A4488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54AD34B8" w14:textId="77777777" w:rsidTr="00D44E8D">
        <w:trPr>
          <w:trHeight w:val="276"/>
        </w:trPr>
        <w:tc>
          <w:tcPr>
            <w:tcW w:w="3813" w:type="dxa"/>
            <w:hideMark/>
          </w:tcPr>
          <w:p w14:paraId="7991EC04"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BENZENESULPHONYL HYDRAZIDE</w:t>
            </w:r>
          </w:p>
        </w:tc>
        <w:tc>
          <w:tcPr>
            <w:tcW w:w="851" w:type="dxa"/>
            <w:noWrap/>
            <w:hideMark/>
          </w:tcPr>
          <w:p w14:paraId="6E1855B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369DBF9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5CCB3FB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7C5957F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1061</w:t>
            </w:r>
          </w:p>
        </w:tc>
        <w:tc>
          <w:tcPr>
            <w:tcW w:w="567" w:type="dxa"/>
            <w:noWrap/>
            <w:hideMark/>
          </w:tcPr>
          <w:p w14:paraId="0A90161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4F9FF2D2" w14:textId="77777777" w:rsidTr="00D44E8D">
        <w:trPr>
          <w:trHeight w:val="552"/>
        </w:trPr>
        <w:tc>
          <w:tcPr>
            <w:tcW w:w="3813" w:type="dxa"/>
            <w:hideMark/>
          </w:tcPr>
          <w:p w14:paraId="13CC5D0D" w14:textId="77777777" w:rsidR="00BA49B5" w:rsidRPr="00927142" w:rsidRDefault="00BA49B5" w:rsidP="00D336FE">
            <w:pPr>
              <w:suppressAutoHyphens w:val="0"/>
              <w:spacing w:line="240" w:lineRule="auto"/>
              <w:rPr>
                <w:rFonts w:asciiTheme="majorBidi" w:hAnsiTheme="majorBidi" w:cstheme="majorBidi"/>
                <w:color w:val="000000"/>
                <w:lang w:eastAsia="de-DE"/>
              </w:rPr>
            </w:pPr>
            <w:r w:rsidRPr="00927142">
              <w:rPr>
                <w:rFonts w:asciiTheme="majorBidi" w:hAnsiTheme="majorBidi" w:cstheme="majorBidi"/>
                <w:color w:val="000000"/>
                <w:lang w:eastAsia="de-DE"/>
              </w:rPr>
              <w:t>4-(BENZYL(ETHYL)AMINO)-3-ETHOXY-BENZENEDIAZONIUM ZINC CHLORIDE</w:t>
            </w:r>
          </w:p>
        </w:tc>
        <w:tc>
          <w:tcPr>
            <w:tcW w:w="851" w:type="dxa"/>
            <w:noWrap/>
            <w:hideMark/>
          </w:tcPr>
          <w:p w14:paraId="221A65E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69C4593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2CA0387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19A3667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396</w:t>
            </w:r>
          </w:p>
        </w:tc>
        <w:tc>
          <w:tcPr>
            <w:tcW w:w="567" w:type="dxa"/>
            <w:noWrap/>
            <w:hideMark/>
          </w:tcPr>
          <w:p w14:paraId="2C9E4A9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6C2D41A9" w14:textId="77777777" w:rsidTr="00D44E8D">
        <w:trPr>
          <w:trHeight w:val="552"/>
        </w:trPr>
        <w:tc>
          <w:tcPr>
            <w:tcW w:w="3813" w:type="dxa"/>
            <w:hideMark/>
          </w:tcPr>
          <w:p w14:paraId="46334113" w14:textId="77777777" w:rsidR="00BA49B5" w:rsidRPr="00927142" w:rsidRDefault="00BA49B5" w:rsidP="00D336FE">
            <w:pPr>
              <w:suppressAutoHyphens w:val="0"/>
              <w:spacing w:line="240" w:lineRule="auto"/>
              <w:rPr>
                <w:rFonts w:asciiTheme="majorBidi" w:hAnsiTheme="majorBidi" w:cstheme="majorBidi"/>
                <w:color w:val="000000"/>
                <w:lang w:eastAsia="de-DE"/>
              </w:rPr>
            </w:pPr>
            <w:r w:rsidRPr="00927142">
              <w:rPr>
                <w:rFonts w:asciiTheme="majorBidi" w:hAnsiTheme="majorBidi" w:cstheme="majorBidi"/>
                <w:color w:val="000000"/>
                <w:lang w:eastAsia="de-DE"/>
              </w:rPr>
              <w:t>4-(BENZYL(METHYL)AMINO)-3-ETHOXYBENZENEDIAZONIUM ZINC CHLORIDE</w:t>
            </w:r>
          </w:p>
        </w:tc>
        <w:tc>
          <w:tcPr>
            <w:tcW w:w="851" w:type="dxa"/>
            <w:noWrap/>
            <w:hideMark/>
          </w:tcPr>
          <w:p w14:paraId="3754472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37396C9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3106DDA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6F7132F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409</w:t>
            </w:r>
          </w:p>
        </w:tc>
        <w:tc>
          <w:tcPr>
            <w:tcW w:w="567" w:type="dxa"/>
            <w:noWrap/>
            <w:hideMark/>
          </w:tcPr>
          <w:p w14:paraId="64BE1B6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E3B1B44" w14:textId="77777777" w:rsidTr="00D44E8D">
        <w:trPr>
          <w:trHeight w:val="552"/>
        </w:trPr>
        <w:tc>
          <w:tcPr>
            <w:tcW w:w="3813" w:type="dxa"/>
            <w:hideMark/>
          </w:tcPr>
          <w:p w14:paraId="1F3CE00A" w14:textId="77777777" w:rsidR="00BA49B5" w:rsidRPr="00D336FE" w:rsidRDefault="00BA49B5" w:rsidP="00D336FE">
            <w:pPr>
              <w:suppressAutoHyphens w:val="0"/>
              <w:spacing w:line="240" w:lineRule="auto"/>
              <w:rPr>
                <w:rFonts w:asciiTheme="majorBidi" w:hAnsiTheme="majorBidi" w:cstheme="majorBidi"/>
                <w:color w:val="000000"/>
                <w:lang w:eastAsia="de-DE"/>
              </w:rPr>
            </w:pPr>
            <w:r w:rsidRPr="00D336FE">
              <w:rPr>
                <w:rFonts w:asciiTheme="majorBidi" w:hAnsiTheme="majorBidi" w:cstheme="majorBidi"/>
                <w:color w:val="000000"/>
                <w:lang w:eastAsia="de-DE"/>
              </w:rPr>
              <w:t>3-CHLORO-4-DIETHYLAMINOBENZENE-DIAZONIUM ZINC CHLORIDE</w:t>
            </w:r>
          </w:p>
        </w:tc>
        <w:tc>
          <w:tcPr>
            <w:tcW w:w="851" w:type="dxa"/>
            <w:noWrap/>
            <w:hideMark/>
          </w:tcPr>
          <w:p w14:paraId="7D6BABF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6B1BFE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0C1C0DB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2B46BE3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508</w:t>
            </w:r>
          </w:p>
        </w:tc>
        <w:tc>
          <w:tcPr>
            <w:tcW w:w="567" w:type="dxa"/>
            <w:noWrap/>
            <w:hideMark/>
          </w:tcPr>
          <w:p w14:paraId="53FBCED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3EB0D97D" w14:textId="77777777" w:rsidTr="00D44E8D">
        <w:trPr>
          <w:trHeight w:val="276"/>
        </w:trPr>
        <w:tc>
          <w:tcPr>
            <w:tcW w:w="3813" w:type="dxa"/>
            <w:hideMark/>
          </w:tcPr>
          <w:p w14:paraId="3C920800"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2-DIAZO-1-NAPHTHOL-4- SULPHONYL-CHLORIDE</w:t>
            </w:r>
          </w:p>
        </w:tc>
        <w:tc>
          <w:tcPr>
            <w:tcW w:w="851" w:type="dxa"/>
            <w:noWrap/>
            <w:hideMark/>
          </w:tcPr>
          <w:p w14:paraId="4949AB1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A344E1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OP5</w:t>
            </w:r>
          </w:p>
        </w:tc>
        <w:tc>
          <w:tcPr>
            <w:tcW w:w="709" w:type="dxa"/>
            <w:noWrap/>
            <w:hideMark/>
          </w:tcPr>
          <w:p w14:paraId="33A4BAE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3222</w:t>
            </w:r>
          </w:p>
        </w:tc>
        <w:tc>
          <w:tcPr>
            <w:tcW w:w="850" w:type="dxa"/>
            <w:noWrap/>
            <w:hideMark/>
          </w:tcPr>
          <w:p w14:paraId="51A3BF2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930</w:t>
            </w:r>
          </w:p>
        </w:tc>
        <w:tc>
          <w:tcPr>
            <w:tcW w:w="567" w:type="dxa"/>
            <w:noWrap/>
            <w:hideMark/>
          </w:tcPr>
          <w:p w14:paraId="11E9500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B</w:t>
            </w:r>
          </w:p>
        </w:tc>
      </w:tr>
      <w:tr w:rsidR="00BA49B5" w:rsidRPr="00927142" w14:paraId="6500035F" w14:textId="77777777" w:rsidTr="00D44E8D">
        <w:trPr>
          <w:trHeight w:val="276"/>
        </w:trPr>
        <w:tc>
          <w:tcPr>
            <w:tcW w:w="3813" w:type="dxa"/>
            <w:hideMark/>
          </w:tcPr>
          <w:p w14:paraId="2194774A"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2-DIAZO-1-NAPHTHOL-5- SULPHONYL CHLORIDE</w:t>
            </w:r>
          </w:p>
        </w:tc>
        <w:tc>
          <w:tcPr>
            <w:tcW w:w="851" w:type="dxa"/>
            <w:noWrap/>
            <w:hideMark/>
          </w:tcPr>
          <w:p w14:paraId="57B1146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3F69321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OP5</w:t>
            </w:r>
          </w:p>
        </w:tc>
        <w:tc>
          <w:tcPr>
            <w:tcW w:w="709" w:type="dxa"/>
            <w:noWrap/>
            <w:hideMark/>
          </w:tcPr>
          <w:p w14:paraId="41B3D22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3222</w:t>
            </w:r>
          </w:p>
        </w:tc>
        <w:tc>
          <w:tcPr>
            <w:tcW w:w="850" w:type="dxa"/>
            <w:noWrap/>
            <w:hideMark/>
          </w:tcPr>
          <w:p w14:paraId="2A912F2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930</w:t>
            </w:r>
          </w:p>
        </w:tc>
        <w:tc>
          <w:tcPr>
            <w:tcW w:w="567" w:type="dxa"/>
            <w:noWrap/>
            <w:hideMark/>
          </w:tcPr>
          <w:p w14:paraId="1ECACBF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B</w:t>
            </w:r>
          </w:p>
        </w:tc>
      </w:tr>
      <w:tr w:rsidR="00BA49B5" w:rsidRPr="00927142" w14:paraId="7741959E" w14:textId="77777777" w:rsidTr="00D44E8D">
        <w:trPr>
          <w:trHeight w:val="552"/>
        </w:trPr>
        <w:tc>
          <w:tcPr>
            <w:tcW w:w="3813" w:type="dxa"/>
            <w:hideMark/>
          </w:tcPr>
          <w:p w14:paraId="4C8E2D46"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2,5-DIBUTOXY-4-(4-MORPHOLINYL) BENZENEDIAZONIUM, TETRACHLOROZINCATE (2:1)</w:t>
            </w:r>
          </w:p>
        </w:tc>
        <w:tc>
          <w:tcPr>
            <w:tcW w:w="851" w:type="dxa"/>
            <w:noWrap/>
            <w:hideMark/>
          </w:tcPr>
          <w:p w14:paraId="056BC78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12D130A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OP8</w:t>
            </w:r>
          </w:p>
        </w:tc>
        <w:tc>
          <w:tcPr>
            <w:tcW w:w="709" w:type="dxa"/>
            <w:noWrap/>
            <w:hideMark/>
          </w:tcPr>
          <w:p w14:paraId="7E441E2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3228</w:t>
            </w:r>
          </w:p>
        </w:tc>
        <w:tc>
          <w:tcPr>
            <w:tcW w:w="850" w:type="dxa"/>
            <w:noWrap/>
            <w:hideMark/>
          </w:tcPr>
          <w:p w14:paraId="1645B3C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411</w:t>
            </w:r>
          </w:p>
        </w:tc>
        <w:tc>
          <w:tcPr>
            <w:tcW w:w="567" w:type="dxa"/>
            <w:noWrap/>
            <w:hideMark/>
          </w:tcPr>
          <w:p w14:paraId="0B0FC69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E</w:t>
            </w:r>
          </w:p>
        </w:tc>
      </w:tr>
      <w:tr w:rsidR="00BA49B5" w:rsidRPr="00927142" w14:paraId="4C9A2088" w14:textId="77777777" w:rsidTr="00D44E8D">
        <w:trPr>
          <w:trHeight w:val="552"/>
        </w:trPr>
        <w:tc>
          <w:tcPr>
            <w:tcW w:w="3813" w:type="dxa"/>
            <w:hideMark/>
          </w:tcPr>
          <w:p w14:paraId="2A15D2A6" w14:textId="77777777" w:rsidR="00BA49B5" w:rsidRPr="00927142" w:rsidRDefault="00BA49B5" w:rsidP="00D336FE">
            <w:pPr>
              <w:suppressAutoHyphens w:val="0"/>
              <w:spacing w:line="240" w:lineRule="auto"/>
              <w:rPr>
                <w:rFonts w:asciiTheme="majorBidi" w:hAnsiTheme="majorBidi" w:cstheme="majorBidi"/>
                <w:color w:val="000000"/>
                <w:lang w:val="en-US" w:eastAsia="de-DE"/>
              </w:rPr>
            </w:pPr>
            <w:r w:rsidRPr="00927142">
              <w:rPr>
                <w:rFonts w:asciiTheme="majorBidi" w:hAnsiTheme="majorBidi" w:cstheme="majorBidi"/>
                <w:color w:val="000000"/>
                <w:lang w:val="en-US" w:eastAsia="de-DE"/>
              </w:rPr>
              <w:t>2,5-DIETHOXY-4-MORPHOLINO- BENZENEDIAZONIUM ZINC CHLORIDE</w:t>
            </w:r>
          </w:p>
        </w:tc>
        <w:tc>
          <w:tcPr>
            <w:tcW w:w="851" w:type="dxa"/>
            <w:noWrap/>
            <w:hideMark/>
          </w:tcPr>
          <w:p w14:paraId="223EF4B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643EABC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534FE97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3BBBAE8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376</w:t>
            </w:r>
          </w:p>
        </w:tc>
        <w:tc>
          <w:tcPr>
            <w:tcW w:w="567" w:type="dxa"/>
            <w:noWrap/>
            <w:hideMark/>
          </w:tcPr>
          <w:p w14:paraId="2A2445E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6BA78B27" w14:textId="77777777" w:rsidTr="00D44E8D">
        <w:trPr>
          <w:trHeight w:val="552"/>
        </w:trPr>
        <w:tc>
          <w:tcPr>
            <w:tcW w:w="3813" w:type="dxa"/>
            <w:hideMark/>
          </w:tcPr>
          <w:p w14:paraId="4FDEE00A"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2,5-DIETHOXY-4-MORPHOLINO- BENZENEDIAZONIUM TETRAFLUOROBORATE</w:t>
            </w:r>
          </w:p>
        </w:tc>
        <w:tc>
          <w:tcPr>
            <w:tcW w:w="851" w:type="dxa"/>
            <w:noWrap/>
            <w:hideMark/>
          </w:tcPr>
          <w:p w14:paraId="3445C94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7447AD5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7CD1C8C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17117DC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458</w:t>
            </w:r>
          </w:p>
        </w:tc>
        <w:tc>
          <w:tcPr>
            <w:tcW w:w="567" w:type="dxa"/>
            <w:noWrap/>
            <w:hideMark/>
          </w:tcPr>
          <w:p w14:paraId="1511EC6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2B155250" w14:textId="77777777" w:rsidTr="00D44E8D">
        <w:trPr>
          <w:trHeight w:val="552"/>
        </w:trPr>
        <w:tc>
          <w:tcPr>
            <w:tcW w:w="3813" w:type="dxa"/>
            <w:hideMark/>
          </w:tcPr>
          <w:p w14:paraId="15923F8C"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2,5-DIETHOXY-4-(4-MORPHOLINYL)- BENZENEDIAZONIUM SULPHATE</w:t>
            </w:r>
          </w:p>
        </w:tc>
        <w:tc>
          <w:tcPr>
            <w:tcW w:w="851" w:type="dxa"/>
            <w:noWrap/>
            <w:hideMark/>
          </w:tcPr>
          <w:p w14:paraId="269C926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5FA8A01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6312F1DD"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68D5A51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508</w:t>
            </w:r>
          </w:p>
        </w:tc>
        <w:tc>
          <w:tcPr>
            <w:tcW w:w="567" w:type="dxa"/>
            <w:noWrap/>
            <w:hideMark/>
          </w:tcPr>
          <w:p w14:paraId="672C571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32AB130A" w14:textId="77777777" w:rsidTr="00D44E8D">
        <w:trPr>
          <w:trHeight w:val="552"/>
        </w:trPr>
        <w:tc>
          <w:tcPr>
            <w:tcW w:w="3813" w:type="dxa"/>
            <w:hideMark/>
          </w:tcPr>
          <w:p w14:paraId="6C039BCE"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4-(DIMETHYLAMINO)-BENZENE-DIAZONIUM TRICHLOROZINCATE (-1)</w:t>
            </w:r>
          </w:p>
        </w:tc>
        <w:tc>
          <w:tcPr>
            <w:tcW w:w="851" w:type="dxa"/>
            <w:noWrap/>
            <w:hideMark/>
          </w:tcPr>
          <w:p w14:paraId="617D186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171D4CD5"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OP8</w:t>
            </w:r>
          </w:p>
        </w:tc>
        <w:tc>
          <w:tcPr>
            <w:tcW w:w="709" w:type="dxa"/>
            <w:noWrap/>
            <w:hideMark/>
          </w:tcPr>
          <w:p w14:paraId="5A194A1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3228</w:t>
            </w:r>
          </w:p>
        </w:tc>
        <w:tc>
          <w:tcPr>
            <w:tcW w:w="850" w:type="dxa"/>
            <w:noWrap/>
            <w:hideMark/>
          </w:tcPr>
          <w:p w14:paraId="173B3AF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563</w:t>
            </w:r>
          </w:p>
        </w:tc>
        <w:tc>
          <w:tcPr>
            <w:tcW w:w="567" w:type="dxa"/>
            <w:noWrap/>
            <w:hideMark/>
          </w:tcPr>
          <w:p w14:paraId="565269A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E</w:t>
            </w:r>
          </w:p>
        </w:tc>
      </w:tr>
      <w:tr w:rsidR="00BA49B5" w:rsidRPr="00927142" w14:paraId="5899E3E8" w14:textId="77777777" w:rsidTr="00D44E8D">
        <w:trPr>
          <w:trHeight w:val="552"/>
        </w:trPr>
        <w:tc>
          <w:tcPr>
            <w:tcW w:w="3813" w:type="dxa"/>
            <w:hideMark/>
          </w:tcPr>
          <w:p w14:paraId="68064065" w14:textId="77777777" w:rsidR="00BA49B5" w:rsidRPr="00927142" w:rsidRDefault="00BA49B5" w:rsidP="00D336FE">
            <w:pPr>
              <w:suppressAutoHyphens w:val="0"/>
              <w:spacing w:line="240" w:lineRule="auto"/>
              <w:rPr>
                <w:rFonts w:asciiTheme="majorBidi" w:hAnsiTheme="majorBidi" w:cstheme="majorBidi"/>
                <w:color w:val="000000"/>
                <w:lang w:val="en-US" w:eastAsia="de-DE"/>
              </w:rPr>
            </w:pPr>
            <w:r w:rsidRPr="00927142">
              <w:rPr>
                <w:rFonts w:asciiTheme="majorBidi" w:hAnsiTheme="majorBidi" w:cstheme="majorBidi"/>
                <w:color w:val="000000"/>
                <w:lang w:val="en-US" w:eastAsia="de-DE"/>
              </w:rPr>
              <w:t>4-DIMETHYLAMINO-6-(2-DIMETHYL-AMINOETHOXY) TOLUENE- 2-DIAZONIUM ZINC CHLORIDE</w:t>
            </w:r>
          </w:p>
        </w:tc>
        <w:tc>
          <w:tcPr>
            <w:tcW w:w="851" w:type="dxa"/>
            <w:noWrap/>
            <w:hideMark/>
          </w:tcPr>
          <w:p w14:paraId="52E153C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95716FD"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0D19B5C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2E5EC91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427</w:t>
            </w:r>
          </w:p>
        </w:tc>
        <w:tc>
          <w:tcPr>
            <w:tcW w:w="567" w:type="dxa"/>
            <w:noWrap/>
            <w:hideMark/>
          </w:tcPr>
          <w:p w14:paraId="05563E1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905619A" w14:textId="77777777" w:rsidTr="00D44E8D">
        <w:trPr>
          <w:trHeight w:val="276"/>
        </w:trPr>
        <w:tc>
          <w:tcPr>
            <w:tcW w:w="3813" w:type="dxa"/>
            <w:hideMark/>
          </w:tcPr>
          <w:p w14:paraId="22C92169" w14:textId="77777777" w:rsidR="00BA49B5" w:rsidRPr="00D336FE" w:rsidRDefault="00BA49B5" w:rsidP="00D336FE">
            <w:pPr>
              <w:suppressAutoHyphens w:val="0"/>
              <w:spacing w:line="240" w:lineRule="auto"/>
              <w:rPr>
                <w:rFonts w:asciiTheme="majorBidi" w:hAnsiTheme="majorBidi" w:cstheme="majorBidi"/>
                <w:color w:val="000000"/>
                <w:lang w:val="nl-NL" w:eastAsia="de-DE"/>
              </w:rPr>
            </w:pPr>
            <w:r w:rsidRPr="00D336FE">
              <w:rPr>
                <w:rFonts w:asciiTheme="majorBidi" w:hAnsiTheme="majorBidi" w:cstheme="majorBidi"/>
                <w:color w:val="000000"/>
                <w:lang w:val="nl-NL" w:eastAsia="de-DE"/>
              </w:rPr>
              <w:t>N,N'-DINITROSO-N,N'-DIMETHYL TEREPHTHALAMIDE,</w:t>
            </w:r>
          </w:p>
        </w:tc>
        <w:tc>
          <w:tcPr>
            <w:tcW w:w="851" w:type="dxa"/>
            <w:noWrap/>
            <w:hideMark/>
          </w:tcPr>
          <w:p w14:paraId="191382B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72</w:t>
            </w:r>
          </w:p>
        </w:tc>
        <w:tc>
          <w:tcPr>
            <w:tcW w:w="850" w:type="dxa"/>
            <w:noWrap/>
            <w:hideMark/>
          </w:tcPr>
          <w:p w14:paraId="1C8ADB4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OP6</w:t>
            </w:r>
          </w:p>
        </w:tc>
        <w:tc>
          <w:tcPr>
            <w:tcW w:w="709" w:type="dxa"/>
            <w:noWrap/>
            <w:hideMark/>
          </w:tcPr>
          <w:p w14:paraId="160B3E7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3224</w:t>
            </w:r>
          </w:p>
        </w:tc>
        <w:tc>
          <w:tcPr>
            <w:tcW w:w="850" w:type="dxa"/>
            <w:noWrap/>
            <w:hideMark/>
          </w:tcPr>
          <w:p w14:paraId="4867FE8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1755</w:t>
            </w:r>
          </w:p>
        </w:tc>
        <w:tc>
          <w:tcPr>
            <w:tcW w:w="567" w:type="dxa"/>
            <w:noWrap/>
            <w:hideMark/>
          </w:tcPr>
          <w:p w14:paraId="589C235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C</w:t>
            </w:r>
          </w:p>
        </w:tc>
      </w:tr>
      <w:tr w:rsidR="00BA49B5" w:rsidRPr="00927142" w14:paraId="06BB745F" w14:textId="77777777" w:rsidTr="00D44E8D">
        <w:trPr>
          <w:trHeight w:val="276"/>
        </w:trPr>
        <w:tc>
          <w:tcPr>
            <w:tcW w:w="3813" w:type="dxa"/>
            <w:hideMark/>
          </w:tcPr>
          <w:p w14:paraId="5E7E4156"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lastRenderedPageBreak/>
              <w:t>N,N'-DINITROSOPENTAMETHYLENE-TETRAMINE</w:t>
            </w:r>
          </w:p>
        </w:tc>
        <w:tc>
          <w:tcPr>
            <w:tcW w:w="851" w:type="dxa"/>
            <w:noWrap/>
            <w:hideMark/>
          </w:tcPr>
          <w:p w14:paraId="2C9D6BC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82</w:t>
            </w:r>
          </w:p>
        </w:tc>
        <w:tc>
          <w:tcPr>
            <w:tcW w:w="850" w:type="dxa"/>
            <w:noWrap/>
            <w:hideMark/>
          </w:tcPr>
          <w:p w14:paraId="2E3C0AC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OP6</w:t>
            </w:r>
          </w:p>
        </w:tc>
        <w:tc>
          <w:tcPr>
            <w:tcW w:w="709" w:type="dxa"/>
            <w:noWrap/>
            <w:hideMark/>
          </w:tcPr>
          <w:p w14:paraId="5076668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3224</w:t>
            </w:r>
          </w:p>
        </w:tc>
        <w:tc>
          <w:tcPr>
            <w:tcW w:w="850" w:type="dxa"/>
            <w:noWrap/>
            <w:hideMark/>
          </w:tcPr>
          <w:p w14:paraId="694955D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2687</w:t>
            </w:r>
          </w:p>
        </w:tc>
        <w:tc>
          <w:tcPr>
            <w:tcW w:w="567" w:type="dxa"/>
            <w:noWrap/>
            <w:hideMark/>
          </w:tcPr>
          <w:p w14:paraId="3D6FD7ED"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C</w:t>
            </w:r>
          </w:p>
        </w:tc>
      </w:tr>
      <w:tr w:rsidR="00BA49B5" w:rsidRPr="00927142" w14:paraId="46E6F4C9" w14:textId="77777777" w:rsidTr="00D44E8D">
        <w:trPr>
          <w:trHeight w:val="276"/>
        </w:trPr>
        <w:tc>
          <w:tcPr>
            <w:tcW w:w="3813" w:type="dxa"/>
            <w:hideMark/>
          </w:tcPr>
          <w:p w14:paraId="606C08BF"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DIPHENYLOXIDE-4,4'-DISULPHONYL HYDRAZIDE</w:t>
            </w:r>
          </w:p>
        </w:tc>
        <w:tc>
          <w:tcPr>
            <w:tcW w:w="851" w:type="dxa"/>
            <w:noWrap/>
            <w:hideMark/>
          </w:tcPr>
          <w:p w14:paraId="2B9875F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12F2FBE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0EB7492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287D39E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1020</w:t>
            </w:r>
          </w:p>
        </w:tc>
        <w:tc>
          <w:tcPr>
            <w:tcW w:w="567" w:type="dxa"/>
            <w:noWrap/>
            <w:hideMark/>
          </w:tcPr>
          <w:p w14:paraId="67230E4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4AAE42CA" w14:textId="77777777" w:rsidTr="00D44E8D">
        <w:trPr>
          <w:trHeight w:val="276"/>
        </w:trPr>
        <w:tc>
          <w:tcPr>
            <w:tcW w:w="3813" w:type="dxa"/>
            <w:hideMark/>
          </w:tcPr>
          <w:p w14:paraId="254991B2"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4-DIPROPYLAMINOBENZENE- DIAZONIUM ZINC CHLORIDE</w:t>
            </w:r>
          </w:p>
        </w:tc>
        <w:tc>
          <w:tcPr>
            <w:tcW w:w="851" w:type="dxa"/>
            <w:noWrap/>
            <w:hideMark/>
          </w:tcPr>
          <w:p w14:paraId="126728D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1A977FE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41127DA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7D6C885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479</w:t>
            </w:r>
          </w:p>
        </w:tc>
        <w:tc>
          <w:tcPr>
            <w:tcW w:w="567" w:type="dxa"/>
            <w:noWrap/>
            <w:hideMark/>
          </w:tcPr>
          <w:p w14:paraId="47B6CB9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2897B0F3" w14:textId="77777777" w:rsidTr="00D44E8D">
        <w:trPr>
          <w:trHeight w:val="276"/>
        </w:trPr>
        <w:tc>
          <w:tcPr>
            <w:tcW w:w="3813" w:type="dxa"/>
            <w:hideMark/>
          </w:tcPr>
          <w:p w14:paraId="1A4529C9"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N-FORMYL-2-(NITROMETHYLENE) -1,3-PERHYDROTHIAZINE</w:t>
            </w:r>
          </w:p>
        </w:tc>
        <w:tc>
          <w:tcPr>
            <w:tcW w:w="851" w:type="dxa"/>
            <w:noWrap/>
            <w:hideMark/>
          </w:tcPr>
          <w:p w14:paraId="6A60B4C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1B04D97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24177E8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345DC1C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2261</w:t>
            </w:r>
          </w:p>
        </w:tc>
        <w:tc>
          <w:tcPr>
            <w:tcW w:w="567" w:type="dxa"/>
            <w:noWrap/>
            <w:hideMark/>
          </w:tcPr>
          <w:p w14:paraId="0BDFED1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3CA21F7" w14:textId="77777777" w:rsidTr="00D44E8D">
        <w:trPr>
          <w:trHeight w:val="552"/>
        </w:trPr>
        <w:tc>
          <w:tcPr>
            <w:tcW w:w="3813" w:type="dxa"/>
            <w:hideMark/>
          </w:tcPr>
          <w:p w14:paraId="5E6C1E16" w14:textId="77777777" w:rsidR="00BA49B5" w:rsidRPr="00927142" w:rsidRDefault="00BA49B5" w:rsidP="00D336FE">
            <w:pPr>
              <w:suppressAutoHyphens w:val="0"/>
              <w:spacing w:line="240" w:lineRule="auto"/>
              <w:rPr>
                <w:rFonts w:asciiTheme="majorBidi" w:hAnsiTheme="majorBidi" w:cstheme="majorBidi"/>
                <w:color w:val="000000"/>
                <w:lang w:eastAsia="de-DE"/>
              </w:rPr>
            </w:pPr>
            <w:r w:rsidRPr="00927142">
              <w:rPr>
                <w:rFonts w:asciiTheme="majorBidi" w:hAnsiTheme="majorBidi" w:cstheme="majorBidi"/>
                <w:color w:val="000000"/>
                <w:lang w:eastAsia="de-DE"/>
              </w:rPr>
              <w:t>2-(2-HYDROXYETHOXY)-1- (PYRROLIDIN-1-YL)BENZENE-4- DIAZONIUM ZINC CHLORIDE</w:t>
            </w:r>
          </w:p>
        </w:tc>
        <w:tc>
          <w:tcPr>
            <w:tcW w:w="851" w:type="dxa"/>
            <w:noWrap/>
            <w:hideMark/>
          </w:tcPr>
          <w:p w14:paraId="74CB1A9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EC8029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4A1794A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05AE769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443</w:t>
            </w:r>
          </w:p>
        </w:tc>
        <w:tc>
          <w:tcPr>
            <w:tcW w:w="567" w:type="dxa"/>
            <w:noWrap/>
            <w:hideMark/>
          </w:tcPr>
          <w:p w14:paraId="1107D02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63D7BA1" w14:textId="77777777" w:rsidTr="00D44E8D">
        <w:trPr>
          <w:trHeight w:val="552"/>
        </w:trPr>
        <w:tc>
          <w:tcPr>
            <w:tcW w:w="3813" w:type="dxa"/>
            <w:hideMark/>
          </w:tcPr>
          <w:p w14:paraId="2C85F5D8" w14:textId="77777777" w:rsidR="00BA49B5" w:rsidRPr="00927142" w:rsidRDefault="00BA49B5" w:rsidP="00D336FE">
            <w:pPr>
              <w:suppressAutoHyphens w:val="0"/>
              <w:spacing w:line="240" w:lineRule="auto"/>
              <w:rPr>
                <w:rFonts w:asciiTheme="majorBidi" w:hAnsiTheme="majorBidi" w:cstheme="majorBidi"/>
                <w:color w:val="000000"/>
                <w:lang w:eastAsia="de-DE"/>
              </w:rPr>
            </w:pPr>
            <w:r w:rsidRPr="00927142">
              <w:rPr>
                <w:rFonts w:asciiTheme="majorBidi" w:hAnsiTheme="majorBidi" w:cstheme="majorBidi"/>
                <w:color w:val="000000"/>
                <w:lang w:eastAsia="de-DE"/>
              </w:rPr>
              <w:t>3-(2-HYDROXYETHOXY)-4- (PYRROLIDIN-1-YL)BENZENE DIAZONIUM ZINC CHLORIDE</w:t>
            </w:r>
          </w:p>
        </w:tc>
        <w:tc>
          <w:tcPr>
            <w:tcW w:w="851" w:type="dxa"/>
            <w:noWrap/>
            <w:hideMark/>
          </w:tcPr>
          <w:p w14:paraId="2A3535B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565A639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64AB042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0FCB086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443</w:t>
            </w:r>
          </w:p>
        </w:tc>
        <w:tc>
          <w:tcPr>
            <w:tcW w:w="567" w:type="dxa"/>
            <w:noWrap/>
            <w:hideMark/>
          </w:tcPr>
          <w:p w14:paraId="7B0E7F7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097AF77D" w14:textId="77777777" w:rsidTr="00D44E8D">
        <w:trPr>
          <w:trHeight w:val="828"/>
        </w:trPr>
        <w:tc>
          <w:tcPr>
            <w:tcW w:w="3813" w:type="dxa"/>
            <w:hideMark/>
          </w:tcPr>
          <w:p w14:paraId="2FBCC9B3" w14:textId="77777777" w:rsidR="00BA49B5" w:rsidRPr="00927142" w:rsidRDefault="00BA49B5" w:rsidP="00D336FE">
            <w:pPr>
              <w:suppressAutoHyphens w:val="0"/>
              <w:spacing w:line="240" w:lineRule="auto"/>
              <w:rPr>
                <w:rFonts w:asciiTheme="majorBidi" w:hAnsiTheme="majorBidi" w:cstheme="majorBidi"/>
                <w:color w:val="000000"/>
                <w:lang w:eastAsia="de-DE"/>
              </w:rPr>
            </w:pPr>
            <w:r w:rsidRPr="00927142">
              <w:rPr>
                <w:rFonts w:asciiTheme="majorBidi" w:hAnsiTheme="majorBidi" w:cstheme="majorBidi"/>
                <w:color w:val="000000"/>
                <w:lang w:eastAsia="de-DE"/>
              </w:rPr>
              <w:t>2-(N,N-METHYLAMINOETHYL- CARBONYL)-4-(3,4-DIMETHYL- PHENYLSULPHONYL)BENZENE- DIAZONIUM HYDROGEN SULPHATE</w:t>
            </w:r>
          </w:p>
        </w:tc>
        <w:tc>
          <w:tcPr>
            <w:tcW w:w="851" w:type="dxa"/>
            <w:noWrap/>
            <w:hideMark/>
          </w:tcPr>
          <w:p w14:paraId="7892956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96</w:t>
            </w:r>
          </w:p>
        </w:tc>
        <w:tc>
          <w:tcPr>
            <w:tcW w:w="850" w:type="dxa"/>
            <w:noWrap/>
            <w:hideMark/>
          </w:tcPr>
          <w:p w14:paraId="2A7A147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286FEBE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68B8D7A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368</w:t>
            </w:r>
          </w:p>
        </w:tc>
        <w:tc>
          <w:tcPr>
            <w:tcW w:w="567" w:type="dxa"/>
            <w:noWrap/>
            <w:hideMark/>
          </w:tcPr>
          <w:p w14:paraId="1634FA8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33B99280" w14:textId="77777777" w:rsidTr="00D44E8D">
        <w:trPr>
          <w:trHeight w:val="276"/>
        </w:trPr>
        <w:tc>
          <w:tcPr>
            <w:tcW w:w="3813" w:type="dxa"/>
            <w:hideMark/>
          </w:tcPr>
          <w:p w14:paraId="4D753AF8"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4-METHYLBENZENESULPHONYL- HYDRAZIDE</w:t>
            </w:r>
          </w:p>
        </w:tc>
        <w:tc>
          <w:tcPr>
            <w:tcW w:w="851" w:type="dxa"/>
            <w:noWrap/>
            <w:hideMark/>
          </w:tcPr>
          <w:p w14:paraId="25641DA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0CD2562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7C40D34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5DF5A62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981</w:t>
            </w:r>
          </w:p>
        </w:tc>
        <w:tc>
          <w:tcPr>
            <w:tcW w:w="567" w:type="dxa"/>
            <w:noWrap/>
            <w:hideMark/>
          </w:tcPr>
          <w:p w14:paraId="33F406E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A950B14" w14:textId="77777777" w:rsidTr="00D44E8D">
        <w:trPr>
          <w:trHeight w:val="552"/>
        </w:trPr>
        <w:tc>
          <w:tcPr>
            <w:tcW w:w="3813" w:type="dxa"/>
            <w:hideMark/>
          </w:tcPr>
          <w:p w14:paraId="71361662" w14:textId="77777777" w:rsidR="00BA49B5" w:rsidRPr="00927142" w:rsidRDefault="00BA49B5" w:rsidP="00D336FE">
            <w:pPr>
              <w:suppressAutoHyphens w:val="0"/>
              <w:spacing w:line="240" w:lineRule="auto"/>
              <w:rPr>
                <w:rFonts w:asciiTheme="majorBidi" w:hAnsiTheme="majorBidi" w:cstheme="majorBidi"/>
                <w:color w:val="000000"/>
                <w:lang w:val="en-US" w:eastAsia="de-DE"/>
              </w:rPr>
            </w:pPr>
            <w:r w:rsidRPr="00927142">
              <w:rPr>
                <w:rFonts w:asciiTheme="majorBidi" w:hAnsiTheme="majorBidi" w:cstheme="majorBidi"/>
                <w:color w:val="000000"/>
                <w:lang w:val="en-US" w:eastAsia="de-DE"/>
              </w:rPr>
              <w:t>3-METHYL-4-(PYRROLIDIN-1-YL) BENZENEDIAZONIUM TETRAFLUOROBORATE</w:t>
            </w:r>
          </w:p>
        </w:tc>
        <w:tc>
          <w:tcPr>
            <w:tcW w:w="851" w:type="dxa"/>
            <w:noWrap/>
            <w:hideMark/>
          </w:tcPr>
          <w:p w14:paraId="43059E4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95</w:t>
            </w:r>
          </w:p>
        </w:tc>
        <w:tc>
          <w:tcPr>
            <w:tcW w:w="850" w:type="dxa"/>
            <w:noWrap/>
            <w:hideMark/>
          </w:tcPr>
          <w:p w14:paraId="4996844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OP6</w:t>
            </w:r>
          </w:p>
        </w:tc>
        <w:tc>
          <w:tcPr>
            <w:tcW w:w="709" w:type="dxa"/>
            <w:noWrap/>
            <w:hideMark/>
          </w:tcPr>
          <w:p w14:paraId="2E5D7A4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3234</w:t>
            </w:r>
          </w:p>
        </w:tc>
        <w:tc>
          <w:tcPr>
            <w:tcW w:w="850" w:type="dxa"/>
            <w:noWrap/>
            <w:hideMark/>
          </w:tcPr>
          <w:p w14:paraId="5327B6A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622</w:t>
            </w:r>
          </w:p>
        </w:tc>
        <w:tc>
          <w:tcPr>
            <w:tcW w:w="567" w:type="dxa"/>
            <w:noWrap/>
            <w:hideMark/>
          </w:tcPr>
          <w:p w14:paraId="3596F07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C</w:t>
            </w:r>
          </w:p>
        </w:tc>
      </w:tr>
      <w:tr w:rsidR="00BA49B5" w:rsidRPr="00927142" w14:paraId="06E12DCE" w14:textId="77777777" w:rsidTr="00D44E8D">
        <w:trPr>
          <w:trHeight w:val="276"/>
        </w:trPr>
        <w:tc>
          <w:tcPr>
            <w:tcW w:w="3813" w:type="dxa"/>
            <w:hideMark/>
          </w:tcPr>
          <w:p w14:paraId="42D70164"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4-NITROSOPHENOL</w:t>
            </w:r>
          </w:p>
        </w:tc>
        <w:tc>
          <w:tcPr>
            <w:tcW w:w="851" w:type="dxa"/>
            <w:noWrap/>
            <w:hideMark/>
          </w:tcPr>
          <w:p w14:paraId="4D5D2E5F"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0AC8D29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5542FFA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3236</w:t>
            </w:r>
          </w:p>
        </w:tc>
        <w:tc>
          <w:tcPr>
            <w:tcW w:w="850" w:type="dxa"/>
            <w:noWrap/>
            <w:hideMark/>
          </w:tcPr>
          <w:p w14:paraId="0655C67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1210</w:t>
            </w:r>
          </w:p>
        </w:tc>
        <w:tc>
          <w:tcPr>
            <w:tcW w:w="567" w:type="dxa"/>
            <w:noWrap/>
            <w:hideMark/>
          </w:tcPr>
          <w:p w14:paraId="23AB8A3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7752678F" w14:textId="77777777" w:rsidTr="00D44E8D">
        <w:trPr>
          <w:trHeight w:val="552"/>
        </w:trPr>
        <w:tc>
          <w:tcPr>
            <w:tcW w:w="3813" w:type="dxa"/>
            <w:hideMark/>
          </w:tcPr>
          <w:p w14:paraId="07A6ED90" w14:textId="77777777" w:rsidR="00BA49B5" w:rsidRPr="00927142" w:rsidRDefault="00BA49B5" w:rsidP="00D336FE">
            <w:pPr>
              <w:suppressAutoHyphens w:val="0"/>
              <w:spacing w:line="240" w:lineRule="auto"/>
              <w:rPr>
                <w:rFonts w:asciiTheme="majorBidi" w:hAnsiTheme="majorBidi" w:cstheme="majorBidi"/>
                <w:color w:val="000000"/>
                <w:lang w:val="en-US" w:eastAsia="de-DE"/>
              </w:rPr>
            </w:pPr>
            <w:r w:rsidRPr="00927142">
              <w:rPr>
                <w:rFonts w:asciiTheme="majorBidi" w:hAnsiTheme="majorBidi" w:cstheme="majorBidi"/>
                <w:color w:val="000000"/>
                <w:lang w:val="en-US" w:eastAsia="de-DE"/>
              </w:rPr>
              <w:t>PHOSPHOROTHIOIC ACID, O-[(CYANOPHENYL METHYLENE) AZANYL] O,O-DIETHYL ESTER</w:t>
            </w:r>
          </w:p>
        </w:tc>
        <w:tc>
          <w:tcPr>
            <w:tcW w:w="851" w:type="dxa"/>
            <w:noWrap/>
            <w:hideMark/>
          </w:tcPr>
          <w:p w14:paraId="29F469DB"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82-91</w:t>
            </w:r>
          </w:p>
        </w:tc>
        <w:tc>
          <w:tcPr>
            <w:tcW w:w="850" w:type="dxa"/>
            <w:noWrap/>
            <w:hideMark/>
          </w:tcPr>
          <w:p w14:paraId="208DC769"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OP8</w:t>
            </w:r>
          </w:p>
        </w:tc>
        <w:tc>
          <w:tcPr>
            <w:tcW w:w="709" w:type="dxa"/>
            <w:noWrap/>
            <w:hideMark/>
          </w:tcPr>
          <w:p w14:paraId="7A27BA3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3227</w:t>
            </w:r>
          </w:p>
        </w:tc>
        <w:tc>
          <w:tcPr>
            <w:tcW w:w="850" w:type="dxa"/>
            <w:noWrap/>
            <w:hideMark/>
          </w:tcPr>
          <w:p w14:paraId="6120D81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1100</w:t>
            </w:r>
          </w:p>
        </w:tc>
        <w:tc>
          <w:tcPr>
            <w:tcW w:w="567" w:type="dxa"/>
            <w:noWrap/>
            <w:hideMark/>
          </w:tcPr>
          <w:p w14:paraId="440E6556"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E</w:t>
            </w:r>
          </w:p>
        </w:tc>
      </w:tr>
      <w:tr w:rsidR="00BA49B5" w:rsidRPr="00927142" w14:paraId="47D6CF35" w14:textId="77777777" w:rsidTr="00D44E8D">
        <w:trPr>
          <w:trHeight w:val="276"/>
        </w:trPr>
        <w:tc>
          <w:tcPr>
            <w:tcW w:w="3813" w:type="dxa"/>
            <w:hideMark/>
          </w:tcPr>
          <w:p w14:paraId="2F5BD88E"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SODIUM 2-DIAZO-1-NAPHTHOL- 4-SULPHONATE</w:t>
            </w:r>
          </w:p>
        </w:tc>
        <w:tc>
          <w:tcPr>
            <w:tcW w:w="851" w:type="dxa"/>
            <w:noWrap/>
            <w:hideMark/>
          </w:tcPr>
          <w:p w14:paraId="718F7FF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92C683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27A7D9C8"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6D5A9D87"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661</w:t>
            </w:r>
          </w:p>
        </w:tc>
        <w:tc>
          <w:tcPr>
            <w:tcW w:w="567" w:type="dxa"/>
            <w:noWrap/>
            <w:hideMark/>
          </w:tcPr>
          <w:p w14:paraId="485A3602"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300197CA" w14:textId="77777777" w:rsidTr="00D44E8D">
        <w:trPr>
          <w:trHeight w:val="276"/>
        </w:trPr>
        <w:tc>
          <w:tcPr>
            <w:tcW w:w="3813" w:type="dxa"/>
            <w:hideMark/>
          </w:tcPr>
          <w:p w14:paraId="16D7EDFC"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SODIUM 2-DIAZO-1-NAPHTHOL- 5-SULPHONATE</w:t>
            </w:r>
          </w:p>
        </w:tc>
        <w:tc>
          <w:tcPr>
            <w:tcW w:w="851" w:type="dxa"/>
            <w:noWrap/>
            <w:hideMark/>
          </w:tcPr>
          <w:p w14:paraId="74D1AC31"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2AC7D73A"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OP7</w:t>
            </w:r>
          </w:p>
        </w:tc>
        <w:tc>
          <w:tcPr>
            <w:tcW w:w="709" w:type="dxa"/>
            <w:noWrap/>
            <w:hideMark/>
          </w:tcPr>
          <w:p w14:paraId="4F9896A0"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3226</w:t>
            </w:r>
          </w:p>
        </w:tc>
        <w:tc>
          <w:tcPr>
            <w:tcW w:w="850" w:type="dxa"/>
            <w:noWrap/>
            <w:hideMark/>
          </w:tcPr>
          <w:p w14:paraId="2BD747B3"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661</w:t>
            </w:r>
          </w:p>
        </w:tc>
        <w:tc>
          <w:tcPr>
            <w:tcW w:w="567" w:type="dxa"/>
            <w:noWrap/>
            <w:hideMark/>
          </w:tcPr>
          <w:p w14:paraId="7CE6741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D</w:t>
            </w:r>
          </w:p>
        </w:tc>
      </w:tr>
      <w:tr w:rsidR="00BA49B5" w:rsidRPr="00927142" w14:paraId="3C2B7505" w14:textId="77777777" w:rsidTr="00D44E8D">
        <w:trPr>
          <w:trHeight w:val="276"/>
        </w:trPr>
        <w:tc>
          <w:tcPr>
            <w:tcW w:w="3813" w:type="dxa"/>
            <w:hideMark/>
          </w:tcPr>
          <w:p w14:paraId="4828E1A5" w14:textId="77777777" w:rsidR="00BA49B5" w:rsidRPr="00927142" w:rsidRDefault="00BA49B5" w:rsidP="00D336FE">
            <w:pPr>
              <w:suppressAutoHyphens w:val="0"/>
              <w:spacing w:line="240" w:lineRule="auto"/>
              <w:rPr>
                <w:rFonts w:asciiTheme="majorBidi" w:hAnsiTheme="majorBidi" w:cstheme="majorBidi"/>
                <w:color w:val="000000"/>
                <w:lang w:val="de-DE" w:eastAsia="de-DE"/>
              </w:rPr>
            </w:pPr>
            <w:r w:rsidRPr="00927142">
              <w:rPr>
                <w:rFonts w:asciiTheme="majorBidi" w:hAnsiTheme="majorBidi" w:cstheme="majorBidi"/>
                <w:color w:val="000000"/>
                <w:lang w:val="de-DE" w:eastAsia="de-DE"/>
              </w:rPr>
              <w:t>TETRAMINE PALLADIUM (II) NITRATE</w:t>
            </w:r>
          </w:p>
        </w:tc>
        <w:tc>
          <w:tcPr>
            <w:tcW w:w="851" w:type="dxa"/>
            <w:noWrap/>
            <w:hideMark/>
          </w:tcPr>
          <w:p w14:paraId="636558CC"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100</w:t>
            </w:r>
          </w:p>
        </w:tc>
        <w:tc>
          <w:tcPr>
            <w:tcW w:w="850" w:type="dxa"/>
            <w:noWrap/>
            <w:hideMark/>
          </w:tcPr>
          <w:p w14:paraId="420C6C7E"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OP6</w:t>
            </w:r>
          </w:p>
        </w:tc>
        <w:tc>
          <w:tcPr>
            <w:tcW w:w="709" w:type="dxa"/>
            <w:noWrap/>
            <w:hideMark/>
          </w:tcPr>
          <w:p w14:paraId="71AAE43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3234</w:t>
            </w:r>
          </w:p>
        </w:tc>
        <w:tc>
          <w:tcPr>
            <w:tcW w:w="850" w:type="dxa"/>
            <w:noWrap/>
            <w:hideMark/>
          </w:tcPr>
          <w:p w14:paraId="44019534" w14:textId="77777777" w:rsidR="00BA49B5" w:rsidRPr="00927142" w:rsidRDefault="00BA49B5" w:rsidP="00D336FE">
            <w:pPr>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857</w:t>
            </w:r>
          </w:p>
        </w:tc>
        <w:tc>
          <w:tcPr>
            <w:tcW w:w="567" w:type="dxa"/>
            <w:noWrap/>
            <w:hideMark/>
          </w:tcPr>
          <w:p w14:paraId="0BC5BE8A" w14:textId="77777777" w:rsidR="00BA49B5" w:rsidRPr="00927142" w:rsidRDefault="00BA49B5" w:rsidP="00D336FE">
            <w:pPr>
              <w:keepNext/>
              <w:suppressAutoHyphens w:val="0"/>
              <w:spacing w:line="240" w:lineRule="auto"/>
              <w:jc w:val="center"/>
              <w:rPr>
                <w:rFonts w:asciiTheme="majorBidi" w:hAnsiTheme="majorBidi" w:cstheme="majorBidi"/>
                <w:color w:val="000000"/>
                <w:lang w:val="de-DE" w:eastAsia="de-DE"/>
              </w:rPr>
            </w:pPr>
            <w:r w:rsidRPr="00927142">
              <w:rPr>
                <w:rFonts w:asciiTheme="majorBidi" w:hAnsiTheme="majorBidi" w:cstheme="majorBidi"/>
                <w:color w:val="000000"/>
                <w:lang w:val="de-DE" w:eastAsia="de-DE"/>
              </w:rPr>
              <w:t>C</w:t>
            </w:r>
          </w:p>
        </w:tc>
      </w:tr>
    </w:tbl>
    <w:p w14:paraId="3A6A401C" w14:textId="5B7402A3" w:rsidR="00BA49B5" w:rsidRPr="00202885" w:rsidRDefault="00BA49B5" w:rsidP="00BA49B5">
      <w:pPr>
        <w:pStyle w:val="ListParagraph"/>
        <w:tabs>
          <w:tab w:val="left" w:pos="1855"/>
        </w:tabs>
        <w:spacing w:before="240" w:after="120"/>
        <w:ind w:left="1134" w:right="1134"/>
        <w:jc w:val="center"/>
        <w:rPr>
          <w:b/>
          <w:u w:val="single"/>
        </w:rPr>
      </w:pPr>
      <w:r w:rsidRPr="00202885">
        <w:rPr>
          <w:b/>
          <w:bCs/>
        </w:rPr>
        <w:t xml:space="preserve">Table </w:t>
      </w:r>
      <w:r w:rsidRPr="00202885">
        <w:rPr>
          <w:b/>
          <w:bCs/>
        </w:rPr>
        <w:fldChar w:fldCharType="begin"/>
      </w:r>
      <w:r w:rsidRPr="00202885">
        <w:rPr>
          <w:b/>
          <w:bCs/>
        </w:rPr>
        <w:instrText xml:space="preserve"> SEQ Table \* ARABIC </w:instrText>
      </w:r>
      <w:r w:rsidRPr="00202885">
        <w:rPr>
          <w:b/>
          <w:bCs/>
        </w:rPr>
        <w:fldChar w:fldCharType="separate"/>
      </w:r>
      <w:r>
        <w:rPr>
          <w:b/>
          <w:bCs/>
          <w:noProof/>
        </w:rPr>
        <w:t>4</w:t>
      </w:r>
      <w:r w:rsidRPr="00202885">
        <w:rPr>
          <w:b/>
          <w:bCs/>
        </w:rPr>
        <w:fldChar w:fldCharType="end"/>
      </w:r>
      <w:r w:rsidRPr="00202885">
        <w:rPr>
          <w:b/>
          <w:bCs/>
        </w:rPr>
        <w:t>: Decomposition energies of desensitized explosives</w:t>
      </w:r>
      <w:r w:rsidRPr="00202885">
        <w:rPr>
          <w:b/>
          <w:noProof/>
        </w:rPr>
        <w:br/>
        <w:t xml:space="preserve">in Dangerous Goods List of </w:t>
      </w:r>
      <w:r w:rsidR="002A7A9F">
        <w:rPr>
          <w:b/>
          <w:noProof/>
        </w:rPr>
        <w:t xml:space="preserve">the </w:t>
      </w:r>
      <w:r w:rsidRPr="002A7A9F">
        <w:rPr>
          <w:b/>
          <w:i/>
          <w:iCs/>
          <w:noProof/>
        </w:rPr>
        <w:t>Model Regulations</w:t>
      </w:r>
    </w:p>
    <w:tbl>
      <w:tblPr>
        <w:tblStyle w:val="TableGrid"/>
        <w:tblW w:w="7640" w:type="dxa"/>
        <w:tblInd w:w="113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238"/>
        <w:gridCol w:w="993"/>
        <w:gridCol w:w="992"/>
        <w:gridCol w:w="1417"/>
      </w:tblGrid>
      <w:tr w:rsidR="00BA49B5" w:rsidRPr="00202885" w14:paraId="4B85BCFF" w14:textId="77777777" w:rsidTr="00D44E8D">
        <w:trPr>
          <w:trHeight w:val="828"/>
          <w:tblHeader/>
        </w:trPr>
        <w:tc>
          <w:tcPr>
            <w:tcW w:w="4238" w:type="dxa"/>
            <w:hideMark/>
          </w:tcPr>
          <w:p w14:paraId="192A38D5" w14:textId="77777777" w:rsidR="00BA49B5" w:rsidRPr="00202885" w:rsidRDefault="00BA49B5" w:rsidP="00D336FE">
            <w:pPr>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Name</w:t>
            </w:r>
          </w:p>
        </w:tc>
        <w:tc>
          <w:tcPr>
            <w:tcW w:w="993" w:type="dxa"/>
            <w:hideMark/>
          </w:tcPr>
          <w:p w14:paraId="03D301E0" w14:textId="77777777" w:rsidR="00BA49B5" w:rsidRPr="00202885" w:rsidRDefault="00BA49B5" w:rsidP="00D336FE">
            <w:pPr>
              <w:suppressAutoHyphens w:val="0"/>
              <w:spacing w:line="240" w:lineRule="auto"/>
              <w:jc w:val="center"/>
              <w:rPr>
                <w:rFonts w:asciiTheme="majorBidi" w:hAnsiTheme="majorBidi" w:cstheme="majorBidi"/>
                <w:color w:val="000000"/>
                <w:lang w:val="en-US" w:eastAsia="de-DE"/>
              </w:rPr>
            </w:pPr>
            <w:proofErr w:type="spellStart"/>
            <w:r w:rsidRPr="00202885">
              <w:rPr>
                <w:rFonts w:asciiTheme="majorBidi" w:hAnsiTheme="majorBidi" w:cstheme="majorBidi"/>
                <w:color w:val="000000"/>
                <w:lang w:val="en-US" w:eastAsia="de-DE"/>
              </w:rPr>
              <w:t>Concen-tration</w:t>
            </w:r>
            <w:proofErr w:type="spellEnd"/>
          </w:p>
          <w:p w14:paraId="50FB8E38" w14:textId="77777777" w:rsidR="00BA49B5" w:rsidRPr="00202885" w:rsidRDefault="00BA49B5" w:rsidP="00D336FE">
            <w:pPr>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w:t>
            </w:r>
          </w:p>
        </w:tc>
        <w:tc>
          <w:tcPr>
            <w:tcW w:w="992" w:type="dxa"/>
            <w:hideMark/>
          </w:tcPr>
          <w:p w14:paraId="5D8BDBC0" w14:textId="77777777" w:rsidR="00BA49B5" w:rsidRPr="00202885" w:rsidRDefault="00BA49B5" w:rsidP="00D336FE">
            <w:pPr>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UN generic entry</w:t>
            </w:r>
          </w:p>
        </w:tc>
        <w:tc>
          <w:tcPr>
            <w:tcW w:w="1417" w:type="dxa"/>
            <w:hideMark/>
          </w:tcPr>
          <w:p w14:paraId="597A33AF" w14:textId="77777777" w:rsidR="00BA49B5" w:rsidRPr="00202885" w:rsidRDefault="00BA49B5" w:rsidP="00D336FE">
            <w:pPr>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Decomposition energy (estimate)</w:t>
            </w:r>
          </w:p>
          <w:p w14:paraId="401D9FBC" w14:textId="77777777" w:rsidR="00BA49B5" w:rsidRPr="00202885" w:rsidRDefault="00BA49B5" w:rsidP="00D336FE">
            <w:pPr>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(J/g)</w:t>
            </w:r>
          </w:p>
        </w:tc>
      </w:tr>
      <w:tr w:rsidR="00BA49B5" w:rsidRPr="00202885" w14:paraId="50008790" w14:textId="77777777" w:rsidTr="00D44E8D">
        <w:trPr>
          <w:trHeight w:val="552"/>
        </w:trPr>
        <w:tc>
          <w:tcPr>
            <w:tcW w:w="4238" w:type="dxa"/>
            <w:vAlign w:val="bottom"/>
          </w:tcPr>
          <w:p w14:paraId="64B06A56"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AMMONIUM PICRATE, WETTED with not less than 10% water, by mass</w:t>
            </w:r>
          </w:p>
        </w:tc>
        <w:tc>
          <w:tcPr>
            <w:tcW w:w="993" w:type="dxa"/>
            <w:noWrap/>
            <w:vAlign w:val="bottom"/>
          </w:tcPr>
          <w:p w14:paraId="5EEC4E1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2A7BC070"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1310</w:t>
            </w:r>
          </w:p>
        </w:tc>
        <w:tc>
          <w:tcPr>
            <w:tcW w:w="1417" w:type="dxa"/>
            <w:noWrap/>
            <w:vAlign w:val="bottom"/>
            <w:hideMark/>
          </w:tcPr>
          <w:p w14:paraId="68924F7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2538</w:t>
            </w:r>
          </w:p>
        </w:tc>
      </w:tr>
      <w:tr w:rsidR="00BA49B5" w:rsidRPr="00202885" w14:paraId="77B8BBB2" w14:textId="77777777" w:rsidTr="00D44E8D">
        <w:trPr>
          <w:trHeight w:val="276"/>
        </w:trPr>
        <w:tc>
          <w:tcPr>
            <w:tcW w:w="4238" w:type="dxa"/>
            <w:vAlign w:val="bottom"/>
          </w:tcPr>
          <w:p w14:paraId="3F5D83A4"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DINITROPHENOL, WETTED with not less than 15% water, by mass</w:t>
            </w:r>
          </w:p>
        </w:tc>
        <w:tc>
          <w:tcPr>
            <w:tcW w:w="993" w:type="dxa"/>
            <w:noWrap/>
            <w:vAlign w:val="bottom"/>
          </w:tcPr>
          <w:p w14:paraId="01900CB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&lt;85</w:t>
            </w:r>
          </w:p>
        </w:tc>
        <w:tc>
          <w:tcPr>
            <w:tcW w:w="992" w:type="dxa"/>
            <w:noWrap/>
            <w:vAlign w:val="bottom"/>
            <w:hideMark/>
          </w:tcPr>
          <w:p w14:paraId="0E45603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1320</w:t>
            </w:r>
          </w:p>
        </w:tc>
        <w:tc>
          <w:tcPr>
            <w:tcW w:w="1417" w:type="dxa"/>
            <w:noWrap/>
            <w:vAlign w:val="bottom"/>
            <w:hideMark/>
          </w:tcPr>
          <w:p w14:paraId="1687EDC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3195</w:t>
            </w:r>
          </w:p>
        </w:tc>
      </w:tr>
      <w:tr w:rsidR="00BA49B5" w:rsidRPr="00202885" w14:paraId="26C9BD98" w14:textId="77777777" w:rsidTr="00D44E8D">
        <w:trPr>
          <w:trHeight w:val="276"/>
        </w:trPr>
        <w:tc>
          <w:tcPr>
            <w:tcW w:w="4238" w:type="dxa"/>
            <w:vAlign w:val="bottom"/>
          </w:tcPr>
          <w:p w14:paraId="0505952A"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DINITRORESORCINOL, WETTED with not less than 15% water, by mass</w:t>
            </w:r>
          </w:p>
        </w:tc>
        <w:tc>
          <w:tcPr>
            <w:tcW w:w="993" w:type="dxa"/>
            <w:noWrap/>
            <w:vAlign w:val="bottom"/>
          </w:tcPr>
          <w:p w14:paraId="423820EF"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&lt;85</w:t>
            </w:r>
          </w:p>
        </w:tc>
        <w:tc>
          <w:tcPr>
            <w:tcW w:w="992" w:type="dxa"/>
            <w:noWrap/>
            <w:vAlign w:val="bottom"/>
            <w:hideMark/>
          </w:tcPr>
          <w:p w14:paraId="7E543EE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1322</w:t>
            </w:r>
          </w:p>
        </w:tc>
        <w:tc>
          <w:tcPr>
            <w:tcW w:w="1417" w:type="dxa"/>
            <w:noWrap/>
            <w:vAlign w:val="bottom"/>
            <w:hideMark/>
          </w:tcPr>
          <w:p w14:paraId="00FDE1B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2939</w:t>
            </w:r>
          </w:p>
        </w:tc>
      </w:tr>
      <w:tr w:rsidR="00BA49B5" w:rsidRPr="00202885" w14:paraId="42F0107E" w14:textId="77777777" w:rsidTr="00D44E8D">
        <w:trPr>
          <w:trHeight w:val="276"/>
        </w:trPr>
        <w:tc>
          <w:tcPr>
            <w:tcW w:w="4238" w:type="dxa"/>
            <w:vAlign w:val="bottom"/>
          </w:tcPr>
          <w:p w14:paraId="247B30F6"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NITROGUANIDINE (PICRITE), WETTED with not less than 20% water, by mass</w:t>
            </w:r>
          </w:p>
        </w:tc>
        <w:tc>
          <w:tcPr>
            <w:tcW w:w="993" w:type="dxa"/>
            <w:noWrap/>
            <w:vAlign w:val="bottom"/>
          </w:tcPr>
          <w:p w14:paraId="251209F3"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&lt;80</w:t>
            </w:r>
          </w:p>
        </w:tc>
        <w:tc>
          <w:tcPr>
            <w:tcW w:w="992" w:type="dxa"/>
            <w:noWrap/>
            <w:vAlign w:val="bottom"/>
            <w:hideMark/>
          </w:tcPr>
          <w:p w14:paraId="4014706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1336</w:t>
            </w:r>
          </w:p>
        </w:tc>
        <w:tc>
          <w:tcPr>
            <w:tcW w:w="1417" w:type="dxa"/>
            <w:noWrap/>
            <w:vAlign w:val="bottom"/>
            <w:hideMark/>
          </w:tcPr>
          <w:p w14:paraId="6B29F02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2450</w:t>
            </w:r>
          </w:p>
        </w:tc>
      </w:tr>
      <w:tr w:rsidR="00BA49B5" w:rsidRPr="00202885" w14:paraId="1675BE29" w14:textId="77777777" w:rsidTr="00D44E8D">
        <w:trPr>
          <w:trHeight w:val="276"/>
        </w:trPr>
        <w:tc>
          <w:tcPr>
            <w:tcW w:w="4238" w:type="dxa"/>
            <w:vAlign w:val="bottom"/>
          </w:tcPr>
          <w:p w14:paraId="0EB58E50"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NITROSTARCH, WETTED with not less than 20% water, by mass</w:t>
            </w:r>
          </w:p>
        </w:tc>
        <w:tc>
          <w:tcPr>
            <w:tcW w:w="993" w:type="dxa"/>
            <w:noWrap/>
            <w:vAlign w:val="bottom"/>
          </w:tcPr>
          <w:p w14:paraId="6621530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&lt;80</w:t>
            </w:r>
          </w:p>
        </w:tc>
        <w:tc>
          <w:tcPr>
            <w:tcW w:w="992" w:type="dxa"/>
            <w:noWrap/>
            <w:vAlign w:val="bottom"/>
            <w:hideMark/>
          </w:tcPr>
          <w:p w14:paraId="277BF836"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1337</w:t>
            </w:r>
          </w:p>
        </w:tc>
        <w:tc>
          <w:tcPr>
            <w:tcW w:w="1417" w:type="dxa"/>
            <w:noWrap/>
            <w:vAlign w:val="bottom"/>
            <w:hideMark/>
          </w:tcPr>
          <w:p w14:paraId="59EDE4F7"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3251</w:t>
            </w:r>
          </w:p>
        </w:tc>
      </w:tr>
      <w:tr w:rsidR="00BA49B5" w:rsidRPr="00202885" w14:paraId="5D107973" w14:textId="77777777" w:rsidTr="00D44E8D">
        <w:trPr>
          <w:trHeight w:val="276"/>
        </w:trPr>
        <w:tc>
          <w:tcPr>
            <w:tcW w:w="4238" w:type="dxa"/>
            <w:vAlign w:val="bottom"/>
          </w:tcPr>
          <w:p w14:paraId="3E0CE9FC"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TRINITROPHENOL (PICRIC ACID), WETTED with not less than 30% water, by mass</w:t>
            </w:r>
          </w:p>
        </w:tc>
        <w:tc>
          <w:tcPr>
            <w:tcW w:w="993" w:type="dxa"/>
            <w:noWrap/>
            <w:vAlign w:val="bottom"/>
          </w:tcPr>
          <w:p w14:paraId="1079402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&lt;70</w:t>
            </w:r>
          </w:p>
        </w:tc>
        <w:tc>
          <w:tcPr>
            <w:tcW w:w="992" w:type="dxa"/>
            <w:noWrap/>
            <w:vAlign w:val="bottom"/>
            <w:hideMark/>
          </w:tcPr>
          <w:p w14:paraId="169E658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1344</w:t>
            </w:r>
          </w:p>
        </w:tc>
        <w:tc>
          <w:tcPr>
            <w:tcW w:w="1417" w:type="dxa"/>
            <w:noWrap/>
            <w:vAlign w:val="bottom"/>
            <w:hideMark/>
          </w:tcPr>
          <w:p w14:paraId="55A95AE2"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2482</w:t>
            </w:r>
          </w:p>
        </w:tc>
      </w:tr>
      <w:tr w:rsidR="00BA49B5" w:rsidRPr="00202885" w14:paraId="50DBFE9F" w14:textId="77777777" w:rsidTr="00D44E8D">
        <w:trPr>
          <w:trHeight w:val="276"/>
        </w:trPr>
        <w:tc>
          <w:tcPr>
            <w:tcW w:w="4238" w:type="dxa"/>
            <w:vAlign w:val="bottom"/>
          </w:tcPr>
          <w:p w14:paraId="5C101973"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SILVER PICRATE, WETTED with not less than 30% water, by mass</w:t>
            </w:r>
          </w:p>
        </w:tc>
        <w:tc>
          <w:tcPr>
            <w:tcW w:w="993" w:type="dxa"/>
            <w:noWrap/>
            <w:vAlign w:val="bottom"/>
          </w:tcPr>
          <w:p w14:paraId="70AD4776"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&lt;70</w:t>
            </w:r>
          </w:p>
        </w:tc>
        <w:tc>
          <w:tcPr>
            <w:tcW w:w="992" w:type="dxa"/>
            <w:noWrap/>
            <w:vAlign w:val="bottom"/>
            <w:hideMark/>
          </w:tcPr>
          <w:p w14:paraId="429B6F4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1347</w:t>
            </w:r>
          </w:p>
        </w:tc>
        <w:tc>
          <w:tcPr>
            <w:tcW w:w="1417" w:type="dxa"/>
            <w:noWrap/>
            <w:vAlign w:val="bottom"/>
            <w:hideMark/>
          </w:tcPr>
          <w:p w14:paraId="6008E8E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1244</w:t>
            </w:r>
          </w:p>
        </w:tc>
      </w:tr>
      <w:tr w:rsidR="00BA49B5" w:rsidRPr="00202885" w14:paraId="78A03A1B" w14:textId="77777777" w:rsidTr="00D44E8D">
        <w:trPr>
          <w:trHeight w:val="276"/>
        </w:trPr>
        <w:tc>
          <w:tcPr>
            <w:tcW w:w="4238" w:type="dxa"/>
            <w:vAlign w:val="bottom"/>
          </w:tcPr>
          <w:p w14:paraId="22C3FAA5"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lastRenderedPageBreak/>
              <w:t>SODIUM DINITRO-o-CRESOLATE, WETTED with not less than 15% water, by mass</w:t>
            </w:r>
          </w:p>
        </w:tc>
        <w:tc>
          <w:tcPr>
            <w:tcW w:w="993" w:type="dxa"/>
            <w:noWrap/>
            <w:vAlign w:val="bottom"/>
          </w:tcPr>
          <w:p w14:paraId="53736076"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&lt;85</w:t>
            </w:r>
          </w:p>
        </w:tc>
        <w:tc>
          <w:tcPr>
            <w:tcW w:w="992" w:type="dxa"/>
            <w:noWrap/>
            <w:vAlign w:val="bottom"/>
            <w:hideMark/>
          </w:tcPr>
          <w:p w14:paraId="0C48648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1348</w:t>
            </w:r>
          </w:p>
        </w:tc>
        <w:tc>
          <w:tcPr>
            <w:tcW w:w="1417" w:type="dxa"/>
            <w:noWrap/>
            <w:vAlign w:val="bottom"/>
            <w:hideMark/>
          </w:tcPr>
          <w:p w14:paraId="5044C0AB"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1968</w:t>
            </w:r>
          </w:p>
        </w:tc>
      </w:tr>
      <w:tr w:rsidR="00BA49B5" w:rsidRPr="00202885" w14:paraId="2042CB90" w14:textId="77777777" w:rsidTr="00D44E8D">
        <w:trPr>
          <w:trHeight w:val="276"/>
        </w:trPr>
        <w:tc>
          <w:tcPr>
            <w:tcW w:w="4238" w:type="dxa"/>
            <w:vAlign w:val="bottom"/>
          </w:tcPr>
          <w:p w14:paraId="35E223C8"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SODIUM PICRAMATE, WETTED with not less than 20% water, by mass</w:t>
            </w:r>
          </w:p>
        </w:tc>
        <w:tc>
          <w:tcPr>
            <w:tcW w:w="993" w:type="dxa"/>
            <w:noWrap/>
            <w:vAlign w:val="bottom"/>
          </w:tcPr>
          <w:p w14:paraId="3F8380C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&lt;80</w:t>
            </w:r>
          </w:p>
        </w:tc>
        <w:tc>
          <w:tcPr>
            <w:tcW w:w="992" w:type="dxa"/>
            <w:noWrap/>
            <w:vAlign w:val="bottom"/>
            <w:hideMark/>
          </w:tcPr>
          <w:p w14:paraId="32F12DD0"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1349</w:t>
            </w:r>
          </w:p>
        </w:tc>
        <w:tc>
          <w:tcPr>
            <w:tcW w:w="1417" w:type="dxa"/>
            <w:noWrap/>
            <w:vAlign w:val="bottom"/>
            <w:hideMark/>
          </w:tcPr>
          <w:p w14:paraId="6977494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1895</w:t>
            </w:r>
          </w:p>
        </w:tc>
      </w:tr>
      <w:tr w:rsidR="00BA49B5" w:rsidRPr="00202885" w14:paraId="7FD644BE" w14:textId="77777777" w:rsidTr="00D44E8D">
        <w:trPr>
          <w:trHeight w:val="276"/>
        </w:trPr>
        <w:tc>
          <w:tcPr>
            <w:tcW w:w="4238" w:type="dxa"/>
            <w:vAlign w:val="bottom"/>
          </w:tcPr>
          <w:p w14:paraId="3D881194"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TRINITROBENZENE, WETTED with not less than 30% water, by mass</w:t>
            </w:r>
          </w:p>
        </w:tc>
        <w:tc>
          <w:tcPr>
            <w:tcW w:w="993" w:type="dxa"/>
            <w:noWrap/>
            <w:vAlign w:val="bottom"/>
          </w:tcPr>
          <w:p w14:paraId="2817326F"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&lt;70</w:t>
            </w:r>
          </w:p>
        </w:tc>
        <w:tc>
          <w:tcPr>
            <w:tcW w:w="992" w:type="dxa"/>
            <w:noWrap/>
            <w:vAlign w:val="bottom"/>
            <w:hideMark/>
          </w:tcPr>
          <w:p w14:paraId="1CF693BC"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1354</w:t>
            </w:r>
          </w:p>
        </w:tc>
        <w:tc>
          <w:tcPr>
            <w:tcW w:w="1417" w:type="dxa"/>
            <w:noWrap/>
            <w:vAlign w:val="bottom"/>
            <w:hideMark/>
          </w:tcPr>
          <w:p w14:paraId="3A8E4ABF"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2749</w:t>
            </w:r>
          </w:p>
        </w:tc>
      </w:tr>
      <w:tr w:rsidR="00BA49B5" w:rsidRPr="00202885" w14:paraId="0C00F9EB" w14:textId="77777777" w:rsidTr="00D44E8D">
        <w:trPr>
          <w:trHeight w:val="276"/>
        </w:trPr>
        <w:tc>
          <w:tcPr>
            <w:tcW w:w="4238" w:type="dxa"/>
            <w:vAlign w:val="bottom"/>
          </w:tcPr>
          <w:p w14:paraId="5A18388A"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TRINITROBENZOIC ACID, WETTED with not less than 30% water, by mass</w:t>
            </w:r>
          </w:p>
        </w:tc>
        <w:tc>
          <w:tcPr>
            <w:tcW w:w="993" w:type="dxa"/>
            <w:noWrap/>
            <w:vAlign w:val="bottom"/>
          </w:tcPr>
          <w:p w14:paraId="6E3DE85C"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&lt;70</w:t>
            </w:r>
          </w:p>
        </w:tc>
        <w:tc>
          <w:tcPr>
            <w:tcW w:w="992" w:type="dxa"/>
            <w:noWrap/>
            <w:vAlign w:val="bottom"/>
            <w:hideMark/>
          </w:tcPr>
          <w:p w14:paraId="580816A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1355</w:t>
            </w:r>
          </w:p>
        </w:tc>
        <w:tc>
          <w:tcPr>
            <w:tcW w:w="1417" w:type="dxa"/>
            <w:noWrap/>
            <w:vAlign w:val="bottom"/>
            <w:hideMark/>
          </w:tcPr>
          <w:p w14:paraId="4959904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2078</w:t>
            </w:r>
          </w:p>
        </w:tc>
      </w:tr>
      <w:tr w:rsidR="00BA49B5" w:rsidRPr="00202885" w14:paraId="1B4DC1B1" w14:textId="77777777" w:rsidTr="00D44E8D">
        <w:trPr>
          <w:trHeight w:val="552"/>
        </w:trPr>
        <w:tc>
          <w:tcPr>
            <w:tcW w:w="4238" w:type="dxa"/>
            <w:vAlign w:val="bottom"/>
          </w:tcPr>
          <w:p w14:paraId="1C806518"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TRINITROTOLUENE (TNT), WETTED with not less than 30% water, by mass</w:t>
            </w:r>
          </w:p>
        </w:tc>
        <w:tc>
          <w:tcPr>
            <w:tcW w:w="993" w:type="dxa"/>
            <w:noWrap/>
            <w:vAlign w:val="bottom"/>
          </w:tcPr>
          <w:p w14:paraId="04B3107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&lt;70</w:t>
            </w:r>
          </w:p>
        </w:tc>
        <w:tc>
          <w:tcPr>
            <w:tcW w:w="992" w:type="dxa"/>
            <w:noWrap/>
            <w:vAlign w:val="bottom"/>
            <w:hideMark/>
          </w:tcPr>
          <w:p w14:paraId="648AF799"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1356</w:t>
            </w:r>
          </w:p>
        </w:tc>
        <w:tc>
          <w:tcPr>
            <w:tcW w:w="1417" w:type="dxa"/>
            <w:noWrap/>
            <w:vAlign w:val="bottom"/>
            <w:hideMark/>
          </w:tcPr>
          <w:p w14:paraId="4249910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2608</w:t>
            </w:r>
          </w:p>
        </w:tc>
      </w:tr>
      <w:tr w:rsidR="00BA49B5" w:rsidRPr="00202885" w14:paraId="71E2E2E9" w14:textId="77777777" w:rsidTr="00D44E8D">
        <w:trPr>
          <w:trHeight w:val="552"/>
        </w:trPr>
        <w:tc>
          <w:tcPr>
            <w:tcW w:w="4238" w:type="dxa"/>
            <w:vAlign w:val="bottom"/>
          </w:tcPr>
          <w:p w14:paraId="110C585A"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UREA NITRATE, WETTED with not less than 20% water, by mass</w:t>
            </w:r>
          </w:p>
        </w:tc>
        <w:tc>
          <w:tcPr>
            <w:tcW w:w="993" w:type="dxa"/>
            <w:noWrap/>
            <w:vAlign w:val="bottom"/>
          </w:tcPr>
          <w:p w14:paraId="21A63F40"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&lt;80</w:t>
            </w:r>
          </w:p>
        </w:tc>
        <w:tc>
          <w:tcPr>
            <w:tcW w:w="992" w:type="dxa"/>
            <w:noWrap/>
            <w:vAlign w:val="bottom"/>
            <w:hideMark/>
          </w:tcPr>
          <w:p w14:paraId="01D549D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1357</w:t>
            </w:r>
          </w:p>
        </w:tc>
        <w:tc>
          <w:tcPr>
            <w:tcW w:w="1417" w:type="dxa"/>
            <w:noWrap/>
            <w:vAlign w:val="bottom"/>
            <w:hideMark/>
          </w:tcPr>
          <w:p w14:paraId="6E7DF9B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2570</w:t>
            </w:r>
          </w:p>
        </w:tc>
      </w:tr>
      <w:tr w:rsidR="00BA49B5" w:rsidRPr="00202885" w14:paraId="614F0FAE" w14:textId="77777777" w:rsidTr="00D44E8D">
        <w:trPr>
          <w:trHeight w:val="552"/>
        </w:trPr>
        <w:tc>
          <w:tcPr>
            <w:tcW w:w="4238" w:type="dxa"/>
            <w:vAlign w:val="bottom"/>
          </w:tcPr>
          <w:p w14:paraId="2828035A"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ZIRCONIUM PICRAMATE, WETTED with not less than 20% water, by mass</w:t>
            </w:r>
          </w:p>
        </w:tc>
        <w:tc>
          <w:tcPr>
            <w:tcW w:w="993" w:type="dxa"/>
            <w:noWrap/>
            <w:vAlign w:val="bottom"/>
          </w:tcPr>
          <w:p w14:paraId="22154D2B"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&lt;80</w:t>
            </w:r>
          </w:p>
        </w:tc>
        <w:tc>
          <w:tcPr>
            <w:tcW w:w="992" w:type="dxa"/>
            <w:noWrap/>
            <w:vAlign w:val="bottom"/>
            <w:hideMark/>
          </w:tcPr>
          <w:p w14:paraId="263E2A50"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1517</w:t>
            </w:r>
          </w:p>
        </w:tc>
        <w:tc>
          <w:tcPr>
            <w:tcW w:w="1417" w:type="dxa"/>
            <w:noWrap/>
            <w:vAlign w:val="bottom"/>
            <w:hideMark/>
          </w:tcPr>
          <w:p w14:paraId="39EA01A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1848</w:t>
            </w:r>
          </w:p>
        </w:tc>
      </w:tr>
      <w:tr w:rsidR="00BA49B5" w:rsidRPr="00202885" w14:paraId="00CD76ED" w14:textId="77777777" w:rsidTr="00D44E8D">
        <w:trPr>
          <w:trHeight w:val="276"/>
        </w:trPr>
        <w:tc>
          <w:tcPr>
            <w:tcW w:w="4238" w:type="dxa"/>
            <w:vAlign w:val="bottom"/>
          </w:tcPr>
          <w:p w14:paraId="31196B24"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BARIUM AZIDE, WETTED with not less than 50% water, by mass</w:t>
            </w:r>
          </w:p>
        </w:tc>
        <w:tc>
          <w:tcPr>
            <w:tcW w:w="993" w:type="dxa"/>
            <w:noWrap/>
            <w:vAlign w:val="bottom"/>
          </w:tcPr>
          <w:p w14:paraId="3730114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&lt;50</w:t>
            </w:r>
          </w:p>
        </w:tc>
        <w:tc>
          <w:tcPr>
            <w:tcW w:w="992" w:type="dxa"/>
            <w:noWrap/>
            <w:vAlign w:val="bottom"/>
            <w:hideMark/>
          </w:tcPr>
          <w:p w14:paraId="4A12C7E6"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1571</w:t>
            </w:r>
          </w:p>
        </w:tc>
        <w:tc>
          <w:tcPr>
            <w:tcW w:w="1417" w:type="dxa"/>
            <w:noWrap/>
            <w:vAlign w:val="bottom"/>
            <w:hideMark/>
          </w:tcPr>
          <w:p w14:paraId="4D8BA1D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1078</w:t>
            </w:r>
          </w:p>
        </w:tc>
      </w:tr>
      <w:tr w:rsidR="00BA49B5" w:rsidRPr="00202885" w14:paraId="6B00804A" w14:textId="77777777" w:rsidTr="00D44E8D">
        <w:trPr>
          <w:trHeight w:val="276"/>
        </w:trPr>
        <w:tc>
          <w:tcPr>
            <w:tcW w:w="4238" w:type="dxa"/>
            <w:vAlign w:val="bottom"/>
          </w:tcPr>
          <w:p w14:paraId="65581B31"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NITROCELLULOSE WITH WATER (not less than 25% water, by mass)</w:t>
            </w:r>
          </w:p>
        </w:tc>
        <w:tc>
          <w:tcPr>
            <w:tcW w:w="993" w:type="dxa"/>
            <w:noWrap/>
            <w:vAlign w:val="bottom"/>
          </w:tcPr>
          <w:p w14:paraId="0018106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&lt;75</w:t>
            </w:r>
          </w:p>
        </w:tc>
        <w:tc>
          <w:tcPr>
            <w:tcW w:w="992" w:type="dxa"/>
            <w:noWrap/>
            <w:vAlign w:val="bottom"/>
            <w:hideMark/>
          </w:tcPr>
          <w:p w14:paraId="3639158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2555</w:t>
            </w:r>
          </w:p>
        </w:tc>
        <w:tc>
          <w:tcPr>
            <w:tcW w:w="1417" w:type="dxa"/>
            <w:noWrap/>
            <w:vAlign w:val="bottom"/>
            <w:hideMark/>
          </w:tcPr>
          <w:p w14:paraId="46FCCAE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3266</w:t>
            </w:r>
          </w:p>
        </w:tc>
      </w:tr>
      <w:tr w:rsidR="00BA49B5" w:rsidRPr="00202885" w14:paraId="23F7F751" w14:textId="77777777" w:rsidTr="00D44E8D">
        <w:trPr>
          <w:trHeight w:val="552"/>
        </w:trPr>
        <w:tc>
          <w:tcPr>
            <w:tcW w:w="4238" w:type="dxa"/>
            <w:vAlign w:val="bottom"/>
          </w:tcPr>
          <w:p w14:paraId="0D469391"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DIPICRYL SULPHIDE, WETTED with not less than 10% water, by mass</w:t>
            </w:r>
          </w:p>
        </w:tc>
        <w:tc>
          <w:tcPr>
            <w:tcW w:w="993" w:type="dxa"/>
            <w:noWrap/>
            <w:vAlign w:val="bottom"/>
          </w:tcPr>
          <w:p w14:paraId="6797DEB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4848FA49"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2852</w:t>
            </w:r>
          </w:p>
        </w:tc>
        <w:tc>
          <w:tcPr>
            <w:tcW w:w="1417" w:type="dxa"/>
            <w:noWrap/>
            <w:vAlign w:val="bottom"/>
            <w:hideMark/>
          </w:tcPr>
          <w:p w14:paraId="32B6A580"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3191</w:t>
            </w:r>
          </w:p>
        </w:tc>
      </w:tr>
      <w:tr w:rsidR="00BA49B5" w:rsidRPr="00202885" w14:paraId="0EEF73DC" w14:textId="77777777" w:rsidTr="00D44E8D">
        <w:trPr>
          <w:trHeight w:val="552"/>
        </w:trPr>
        <w:tc>
          <w:tcPr>
            <w:tcW w:w="4238" w:type="dxa"/>
            <w:vAlign w:val="bottom"/>
          </w:tcPr>
          <w:p w14:paraId="7AD7B3C4"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ISOSORBIDE DINITRATE MIXTURE with not less than 60% lactose, mannose, starch or calcium hydrogen phosphate</w:t>
            </w:r>
          </w:p>
        </w:tc>
        <w:tc>
          <w:tcPr>
            <w:tcW w:w="993" w:type="dxa"/>
            <w:noWrap/>
            <w:vAlign w:val="bottom"/>
          </w:tcPr>
          <w:p w14:paraId="40186223"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&lt;60</w:t>
            </w:r>
          </w:p>
        </w:tc>
        <w:tc>
          <w:tcPr>
            <w:tcW w:w="992" w:type="dxa"/>
            <w:noWrap/>
            <w:vAlign w:val="bottom"/>
            <w:hideMark/>
          </w:tcPr>
          <w:p w14:paraId="02799CFB"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2907</w:t>
            </w:r>
          </w:p>
        </w:tc>
        <w:tc>
          <w:tcPr>
            <w:tcW w:w="1417" w:type="dxa"/>
            <w:noWrap/>
            <w:vAlign w:val="bottom"/>
            <w:hideMark/>
          </w:tcPr>
          <w:p w14:paraId="0E87E882"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2046</w:t>
            </w:r>
          </w:p>
        </w:tc>
      </w:tr>
      <w:tr w:rsidR="00BA49B5" w:rsidRPr="00202885" w14:paraId="2245617C" w14:textId="77777777" w:rsidTr="00D44E8D">
        <w:trPr>
          <w:trHeight w:val="552"/>
        </w:trPr>
        <w:tc>
          <w:tcPr>
            <w:tcW w:w="4238" w:type="dxa"/>
            <w:vAlign w:val="bottom"/>
          </w:tcPr>
          <w:p w14:paraId="133C84FC"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2-AMINO-4,6-DINITROPHENOL, WETTED with not less than 20% water, by mass</w:t>
            </w:r>
          </w:p>
        </w:tc>
        <w:tc>
          <w:tcPr>
            <w:tcW w:w="993" w:type="dxa"/>
            <w:noWrap/>
            <w:vAlign w:val="bottom"/>
          </w:tcPr>
          <w:p w14:paraId="13C664A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&lt;80</w:t>
            </w:r>
          </w:p>
        </w:tc>
        <w:tc>
          <w:tcPr>
            <w:tcW w:w="992" w:type="dxa"/>
            <w:noWrap/>
            <w:vAlign w:val="bottom"/>
            <w:hideMark/>
          </w:tcPr>
          <w:p w14:paraId="3D1041D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3317</w:t>
            </w:r>
          </w:p>
        </w:tc>
        <w:tc>
          <w:tcPr>
            <w:tcW w:w="1417" w:type="dxa"/>
            <w:noWrap/>
            <w:vAlign w:val="bottom"/>
            <w:hideMark/>
          </w:tcPr>
          <w:p w14:paraId="33BAD9E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2104</w:t>
            </w:r>
          </w:p>
        </w:tc>
      </w:tr>
      <w:tr w:rsidR="00BA49B5" w:rsidRPr="00202885" w14:paraId="205ED662" w14:textId="77777777" w:rsidTr="00D44E8D">
        <w:trPr>
          <w:trHeight w:val="552"/>
        </w:trPr>
        <w:tc>
          <w:tcPr>
            <w:tcW w:w="4238" w:type="dxa"/>
            <w:vAlign w:val="bottom"/>
          </w:tcPr>
          <w:p w14:paraId="5AB9963B"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TRINITROPHENOL (PICRIC ACID), WETTED, with not less than 10% water by mass</w:t>
            </w:r>
          </w:p>
        </w:tc>
        <w:tc>
          <w:tcPr>
            <w:tcW w:w="993" w:type="dxa"/>
            <w:noWrap/>
            <w:vAlign w:val="bottom"/>
          </w:tcPr>
          <w:p w14:paraId="1CC53A8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55628EB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3364</w:t>
            </w:r>
          </w:p>
        </w:tc>
        <w:tc>
          <w:tcPr>
            <w:tcW w:w="1417" w:type="dxa"/>
            <w:noWrap/>
            <w:vAlign w:val="bottom"/>
            <w:hideMark/>
          </w:tcPr>
          <w:p w14:paraId="4109646F"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3191</w:t>
            </w:r>
          </w:p>
        </w:tc>
      </w:tr>
      <w:tr w:rsidR="00BA49B5" w:rsidRPr="00202885" w14:paraId="15B53520" w14:textId="77777777" w:rsidTr="00D44E8D">
        <w:trPr>
          <w:trHeight w:val="552"/>
        </w:trPr>
        <w:tc>
          <w:tcPr>
            <w:tcW w:w="4238" w:type="dxa"/>
            <w:vAlign w:val="bottom"/>
          </w:tcPr>
          <w:p w14:paraId="71534231"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TRINITROCHLOROBENZENE (PICRYL CHLORIDE), WETTED, with not less than 10% water by mass</w:t>
            </w:r>
          </w:p>
        </w:tc>
        <w:tc>
          <w:tcPr>
            <w:tcW w:w="993" w:type="dxa"/>
            <w:noWrap/>
            <w:vAlign w:val="bottom"/>
          </w:tcPr>
          <w:p w14:paraId="221F54C7"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27041D40"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3365</w:t>
            </w:r>
          </w:p>
        </w:tc>
        <w:tc>
          <w:tcPr>
            <w:tcW w:w="1417" w:type="dxa"/>
            <w:noWrap/>
            <w:vAlign w:val="bottom"/>
            <w:hideMark/>
          </w:tcPr>
          <w:p w14:paraId="63E2FA9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3042</w:t>
            </w:r>
          </w:p>
        </w:tc>
      </w:tr>
      <w:tr w:rsidR="00BA49B5" w:rsidRPr="00202885" w14:paraId="77B46592" w14:textId="77777777" w:rsidTr="00D44E8D">
        <w:trPr>
          <w:trHeight w:val="552"/>
        </w:trPr>
        <w:tc>
          <w:tcPr>
            <w:tcW w:w="4238" w:type="dxa"/>
            <w:vAlign w:val="bottom"/>
          </w:tcPr>
          <w:p w14:paraId="63C3C92A"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TRINITROTOLUENE (TNT), WETTED, with not less than 10% water by mass</w:t>
            </w:r>
          </w:p>
        </w:tc>
        <w:tc>
          <w:tcPr>
            <w:tcW w:w="993" w:type="dxa"/>
            <w:noWrap/>
            <w:vAlign w:val="bottom"/>
          </w:tcPr>
          <w:p w14:paraId="69094777"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2407A00F"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3366</w:t>
            </w:r>
          </w:p>
        </w:tc>
        <w:tc>
          <w:tcPr>
            <w:tcW w:w="1417" w:type="dxa"/>
            <w:noWrap/>
            <w:vAlign w:val="bottom"/>
            <w:hideMark/>
          </w:tcPr>
          <w:p w14:paraId="539434A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3353</w:t>
            </w:r>
          </w:p>
        </w:tc>
      </w:tr>
      <w:tr w:rsidR="00BA49B5" w:rsidRPr="00202885" w14:paraId="3390871A" w14:textId="77777777" w:rsidTr="00D44E8D">
        <w:trPr>
          <w:trHeight w:val="276"/>
        </w:trPr>
        <w:tc>
          <w:tcPr>
            <w:tcW w:w="4238" w:type="dxa"/>
            <w:vAlign w:val="bottom"/>
          </w:tcPr>
          <w:p w14:paraId="5EA984C1"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TRINITROBENZENE, WETTED, with not less than 10% water by mass</w:t>
            </w:r>
          </w:p>
        </w:tc>
        <w:tc>
          <w:tcPr>
            <w:tcW w:w="993" w:type="dxa"/>
            <w:noWrap/>
            <w:vAlign w:val="bottom"/>
          </w:tcPr>
          <w:p w14:paraId="2856BD8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22B2911B"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3367</w:t>
            </w:r>
          </w:p>
        </w:tc>
        <w:tc>
          <w:tcPr>
            <w:tcW w:w="1417" w:type="dxa"/>
            <w:noWrap/>
            <w:vAlign w:val="bottom"/>
            <w:hideMark/>
          </w:tcPr>
          <w:p w14:paraId="37758C3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3534</w:t>
            </w:r>
          </w:p>
        </w:tc>
      </w:tr>
      <w:tr w:rsidR="00BA49B5" w:rsidRPr="00202885" w14:paraId="3CBAAD2C" w14:textId="77777777" w:rsidTr="00D44E8D">
        <w:trPr>
          <w:trHeight w:val="276"/>
        </w:trPr>
        <w:tc>
          <w:tcPr>
            <w:tcW w:w="4238" w:type="dxa"/>
            <w:vAlign w:val="bottom"/>
          </w:tcPr>
          <w:p w14:paraId="4A9BAC9D"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TRINITROBENZOIC ACID, WETTED, with not less than 10% water by mass</w:t>
            </w:r>
          </w:p>
        </w:tc>
        <w:tc>
          <w:tcPr>
            <w:tcW w:w="993" w:type="dxa"/>
            <w:noWrap/>
            <w:vAlign w:val="bottom"/>
          </w:tcPr>
          <w:p w14:paraId="5139D767"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3309787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3368</w:t>
            </w:r>
          </w:p>
        </w:tc>
        <w:tc>
          <w:tcPr>
            <w:tcW w:w="1417" w:type="dxa"/>
            <w:noWrap/>
            <w:vAlign w:val="bottom"/>
            <w:hideMark/>
          </w:tcPr>
          <w:p w14:paraId="0D6026BC"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2672</w:t>
            </w:r>
          </w:p>
        </w:tc>
      </w:tr>
      <w:tr w:rsidR="00BA49B5" w:rsidRPr="00202885" w14:paraId="4D2E260F" w14:textId="77777777" w:rsidTr="00D44E8D">
        <w:trPr>
          <w:trHeight w:val="276"/>
        </w:trPr>
        <w:tc>
          <w:tcPr>
            <w:tcW w:w="4238" w:type="dxa"/>
            <w:vAlign w:val="bottom"/>
          </w:tcPr>
          <w:p w14:paraId="609257A2"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SODIUM DINITRO-o-CRESOLATE, WETTED, with not less than 10% water by mass</w:t>
            </w:r>
          </w:p>
        </w:tc>
        <w:tc>
          <w:tcPr>
            <w:tcW w:w="993" w:type="dxa"/>
            <w:noWrap/>
            <w:vAlign w:val="bottom"/>
          </w:tcPr>
          <w:p w14:paraId="6938DC3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4564CED8"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3369</w:t>
            </w:r>
          </w:p>
        </w:tc>
        <w:tc>
          <w:tcPr>
            <w:tcW w:w="1417" w:type="dxa"/>
            <w:noWrap/>
            <w:vAlign w:val="bottom"/>
            <w:hideMark/>
          </w:tcPr>
          <w:p w14:paraId="47601C6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2083</w:t>
            </w:r>
          </w:p>
        </w:tc>
      </w:tr>
      <w:tr w:rsidR="00BA49B5" w:rsidRPr="00202885" w14:paraId="761CBAFF" w14:textId="77777777" w:rsidTr="00D44E8D">
        <w:trPr>
          <w:trHeight w:val="276"/>
        </w:trPr>
        <w:tc>
          <w:tcPr>
            <w:tcW w:w="4238" w:type="dxa"/>
            <w:vAlign w:val="bottom"/>
          </w:tcPr>
          <w:p w14:paraId="7E76DF58"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UREA NITRATE, WETTED, with not less than 10% water by mass</w:t>
            </w:r>
          </w:p>
        </w:tc>
        <w:tc>
          <w:tcPr>
            <w:tcW w:w="993" w:type="dxa"/>
            <w:noWrap/>
            <w:vAlign w:val="bottom"/>
          </w:tcPr>
          <w:p w14:paraId="31632144"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&lt;90</w:t>
            </w:r>
          </w:p>
        </w:tc>
        <w:tc>
          <w:tcPr>
            <w:tcW w:w="992" w:type="dxa"/>
            <w:noWrap/>
            <w:vAlign w:val="bottom"/>
            <w:hideMark/>
          </w:tcPr>
          <w:p w14:paraId="42FFEF91"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3370</w:t>
            </w:r>
          </w:p>
        </w:tc>
        <w:tc>
          <w:tcPr>
            <w:tcW w:w="1417" w:type="dxa"/>
            <w:noWrap/>
            <w:vAlign w:val="bottom"/>
            <w:hideMark/>
          </w:tcPr>
          <w:p w14:paraId="6F965A8D"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2892</w:t>
            </w:r>
          </w:p>
        </w:tc>
      </w:tr>
      <w:tr w:rsidR="00BA49B5" w:rsidRPr="00202885" w14:paraId="1A19B0FD" w14:textId="77777777" w:rsidTr="00D44E8D">
        <w:trPr>
          <w:trHeight w:val="276"/>
        </w:trPr>
        <w:tc>
          <w:tcPr>
            <w:tcW w:w="4238" w:type="dxa"/>
            <w:vAlign w:val="bottom"/>
          </w:tcPr>
          <w:p w14:paraId="473EB881"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4-NITROPHENYLHYDRAZINE, with not less than 30% water, by mass</w:t>
            </w:r>
          </w:p>
        </w:tc>
        <w:tc>
          <w:tcPr>
            <w:tcW w:w="993" w:type="dxa"/>
            <w:noWrap/>
            <w:vAlign w:val="bottom"/>
          </w:tcPr>
          <w:p w14:paraId="4C390E0B"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&lt;70</w:t>
            </w:r>
          </w:p>
        </w:tc>
        <w:tc>
          <w:tcPr>
            <w:tcW w:w="992" w:type="dxa"/>
            <w:noWrap/>
            <w:vAlign w:val="bottom"/>
            <w:hideMark/>
          </w:tcPr>
          <w:p w14:paraId="43DCAC63"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3376</w:t>
            </w:r>
          </w:p>
        </w:tc>
        <w:tc>
          <w:tcPr>
            <w:tcW w:w="1417" w:type="dxa"/>
            <w:noWrap/>
            <w:vAlign w:val="bottom"/>
            <w:hideMark/>
          </w:tcPr>
          <w:p w14:paraId="03CE3D7E"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1960</w:t>
            </w:r>
          </w:p>
        </w:tc>
      </w:tr>
      <w:tr w:rsidR="00BA49B5" w:rsidRPr="00202885" w14:paraId="6FB3D3F6" w14:textId="77777777" w:rsidTr="00D44E8D">
        <w:trPr>
          <w:trHeight w:val="552"/>
        </w:trPr>
        <w:tc>
          <w:tcPr>
            <w:tcW w:w="4238" w:type="dxa"/>
            <w:vAlign w:val="bottom"/>
          </w:tcPr>
          <w:p w14:paraId="66A7A5CF" w14:textId="77777777" w:rsidR="00BA49B5" w:rsidRPr="00202885" w:rsidRDefault="00BA49B5" w:rsidP="00D336FE">
            <w:pPr>
              <w:suppressAutoHyphens w:val="0"/>
              <w:spacing w:line="240" w:lineRule="auto"/>
              <w:rPr>
                <w:rFonts w:asciiTheme="majorBidi" w:hAnsiTheme="majorBidi" w:cstheme="majorBidi"/>
                <w:color w:val="000000"/>
                <w:lang w:val="de-DE" w:eastAsia="de-DE"/>
              </w:rPr>
            </w:pPr>
            <w:r w:rsidRPr="00202885">
              <w:rPr>
                <w:rFonts w:asciiTheme="majorBidi" w:hAnsiTheme="majorBidi" w:cstheme="majorBidi"/>
                <w:color w:val="000000"/>
              </w:rPr>
              <w:t>1-HYDROXYBENZOTRIAZOLE MONOHYDRATE</w:t>
            </w:r>
          </w:p>
        </w:tc>
        <w:tc>
          <w:tcPr>
            <w:tcW w:w="993" w:type="dxa"/>
            <w:noWrap/>
            <w:vAlign w:val="bottom"/>
          </w:tcPr>
          <w:p w14:paraId="4890F67A"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&lt;88</w:t>
            </w:r>
          </w:p>
        </w:tc>
        <w:tc>
          <w:tcPr>
            <w:tcW w:w="992" w:type="dxa"/>
            <w:noWrap/>
            <w:vAlign w:val="bottom"/>
            <w:hideMark/>
          </w:tcPr>
          <w:p w14:paraId="7C4C7EF5"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3474</w:t>
            </w:r>
          </w:p>
        </w:tc>
        <w:tc>
          <w:tcPr>
            <w:tcW w:w="1417" w:type="dxa"/>
            <w:noWrap/>
            <w:vAlign w:val="bottom"/>
            <w:hideMark/>
          </w:tcPr>
          <w:p w14:paraId="1DAF78A3"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1993</w:t>
            </w:r>
          </w:p>
        </w:tc>
      </w:tr>
      <w:tr w:rsidR="00BA49B5" w:rsidRPr="00202885" w14:paraId="33ADAF38" w14:textId="77777777" w:rsidTr="00D44E8D">
        <w:trPr>
          <w:trHeight w:val="552"/>
        </w:trPr>
        <w:tc>
          <w:tcPr>
            <w:tcW w:w="4238" w:type="dxa"/>
            <w:vAlign w:val="bottom"/>
          </w:tcPr>
          <w:p w14:paraId="60D780E5" w14:textId="77777777" w:rsidR="00BA49B5" w:rsidRPr="00202885" w:rsidRDefault="00BA49B5" w:rsidP="00D336FE">
            <w:pPr>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 xml:space="preserve">NITROGLYCERIN MIXTURE, DESENSITIZED, LIQUID, FLAMMABLE, N.O.S. with not more than 30% </w:t>
            </w:r>
            <w:proofErr w:type="spellStart"/>
            <w:r w:rsidRPr="00202885">
              <w:rPr>
                <w:rFonts w:asciiTheme="majorBidi" w:hAnsiTheme="majorBidi" w:cstheme="majorBidi"/>
                <w:color w:val="000000"/>
              </w:rPr>
              <w:t>nitroglycerin</w:t>
            </w:r>
            <w:proofErr w:type="spellEnd"/>
            <w:r w:rsidRPr="00202885">
              <w:rPr>
                <w:rFonts w:asciiTheme="majorBidi" w:hAnsiTheme="majorBidi" w:cstheme="majorBidi"/>
                <w:color w:val="000000"/>
              </w:rPr>
              <w:t>, by mass</w:t>
            </w:r>
          </w:p>
        </w:tc>
        <w:tc>
          <w:tcPr>
            <w:tcW w:w="993" w:type="dxa"/>
            <w:noWrap/>
            <w:vAlign w:val="bottom"/>
          </w:tcPr>
          <w:p w14:paraId="4678CD33"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&lt;30</w:t>
            </w:r>
          </w:p>
        </w:tc>
        <w:tc>
          <w:tcPr>
            <w:tcW w:w="992" w:type="dxa"/>
            <w:noWrap/>
            <w:vAlign w:val="bottom"/>
            <w:hideMark/>
          </w:tcPr>
          <w:p w14:paraId="2364E89C"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3343</w:t>
            </w:r>
          </w:p>
        </w:tc>
        <w:tc>
          <w:tcPr>
            <w:tcW w:w="1417" w:type="dxa"/>
            <w:noWrap/>
            <w:vAlign w:val="bottom"/>
            <w:hideMark/>
          </w:tcPr>
          <w:p w14:paraId="713C5C4B" w14:textId="77777777" w:rsidR="00BA49B5" w:rsidRPr="00202885" w:rsidRDefault="00BA49B5" w:rsidP="00D336FE">
            <w:pPr>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2003</w:t>
            </w:r>
          </w:p>
        </w:tc>
      </w:tr>
    </w:tbl>
    <w:p w14:paraId="2927C87E" w14:textId="77777777" w:rsidR="00BA49B5" w:rsidRDefault="00BA49B5" w:rsidP="00BA49B5">
      <w:pPr>
        <w:suppressAutoHyphens w:val="0"/>
        <w:spacing w:line="240" w:lineRule="auto"/>
        <w:rPr>
          <w:b/>
          <w:bCs/>
        </w:rPr>
      </w:pPr>
      <w:r>
        <w:rPr>
          <w:b/>
          <w:bCs/>
        </w:rPr>
        <w:br w:type="page"/>
      </w:r>
    </w:p>
    <w:p w14:paraId="764358BF" w14:textId="6403619C" w:rsidR="00BA49B5" w:rsidRPr="00202885" w:rsidRDefault="00BA49B5" w:rsidP="00BA49B5">
      <w:pPr>
        <w:pStyle w:val="ListParagraph"/>
        <w:spacing w:before="240" w:after="120"/>
        <w:ind w:left="1134" w:right="1134"/>
        <w:jc w:val="center"/>
        <w:rPr>
          <w:b/>
          <w:noProof/>
        </w:rPr>
      </w:pPr>
      <w:r w:rsidRPr="00202885">
        <w:rPr>
          <w:b/>
          <w:bCs/>
        </w:rPr>
        <w:lastRenderedPageBreak/>
        <w:t xml:space="preserve">Table </w:t>
      </w:r>
      <w:r w:rsidRPr="00202885">
        <w:rPr>
          <w:b/>
          <w:bCs/>
        </w:rPr>
        <w:fldChar w:fldCharType="begin"/>
      </w:r>
      <w:r w:rsidRPr="00202885">
        <w:rPr>
          <w:b/>
          <w:bCs/>
        </w:rPr>
        <w:instrText xml:space="preserve"> SEQ Table \* ARABIC </w:instrText>
      </w:r>
      <w:r w:rsidRPr="00202885">
        <w:rPr>
          <w:b/>
          <w:bCs/>
        </w:rPr>
        <w:fldChar w:fldCharType="separate"/>
      </w:r>
      <w:r>
        <w:rPr>
          <w:b/>
          <w:bCs/>
          <w:noProof/>
        </w:rPr>
        <w:t>5</w:t>
      </w:r>
      <w:r w:rsidRPr="00202885">
        <w:rPr>
          <w:b/>
          <w:bCs/>
        </w:rPr>
        <w:fldChar w:fldCharType="end"/>
      </w:r>
      <w:r w:rsidRPr="00202885">
        <w:rPr>
          <w:b/>
          <w:bCs/>
        </w:rPr>
        <w:t xml:space="preserve">: Decomposition energies of </w:t>
      </w:r>
      <w:r>
        <w:rPr>
          <w:b/>
          <w:bCs/>
        </w:rPr>
        <w:t xml:space="preserve">stable </w:t>
      </w:r>
      <w:r w:rsidRPr="00202885">
        <w:rPr>
          <w:b/>
          <w:bCs/>
        </w:rPr>
        <w:t>energetic compounds</w:t>
      </w:r>
      <w:r w:rsidRPr="00202885">
        <w:rPr>
          <w:b/>
          <w:noProof/>
        </w:rPr>
        <w:br/>
        <w:t xml:space="preserve">in Dangerous Goods List of </w:t>
      </w:r>
      <w:r w:rsidR="002A7A9F">
        <w:rPr>
          <w:b/>
          <w:noProof/>
        </w:rPr>
        <w:t xml:space="preserve">the </w:t>
      </w:r>
      <w:r w:rsidRPr="002A7A9F">
        <w:rPr>
          <w:b/>
          <w:i/>
          <w:iCs/>
          <w:noProof/>
        </w:rPr>
        <w:t>Model Regulations</w:t>
      </w:r>
    </w:p>
    <w:tbl>
      <w:tblPr>
        <w:tblStyle w:val="TableGrid"/>
        <w:tblW w:w="7356"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566"/>
        <w:gridCol w:w="1373"/>
        <w:gridCol w:w="1417"/>
      </w:tblGrid>
      <w:tr w:rsidR="00BA49B5" w:rsidRPr="00202885" w14:paraId="71B93A42" w14:textId="77777777" w:rsidTr="00D336FE">
        <w:trPr>
          <w:jc w:val="center"/>
        </w:trPr>
        <w:tc>
          <w:tcPr>
            <w:tcW w:w="4566" w:type="dxa"/>
            <w:hideMark/>
          </w:tcPr>
          <w:p w14:paraId="10B08276"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Name</w:t>
            </w:r>
          </w:p>
        </w:tc>
        <w:tc>
          <w:tcPr>
            <w:tcW w:w="1373" w:type="dxa"/>
            <w:hideMark/>
          </w:tcPr>
          <w:p w14:paraId="5E89B212"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UN generic entry</w:t>
            </w:r>
          </w:p>
        </w:tc>
        <w:tc>
          <w:tcPr>
            <w:tcW w:w="1417" w:type="dxa"/>
            <w:hideMark/>
          </w:tcPr>
          <w:p w14:paraId="63814822"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en-US" w:eastAsia="de-DE"/>
              </w:rPr>
            </w:pPr>
            <w:r w:rsidRPr="00202885">
              <w:rPr>
                <w:rFonts w:asciiTheme="majorBidi" w:hAnsiTheme="majorBidi" w:cstheme="majorBidi"/>
                <w:color w:val="000000"/>
                <w:lang w:val="en-US" w:eastAsia="de-DE"/>
              </w:rPr>
              <w:t>Decomposition energy (estimate) (J/g)</w:t>
            </w:r>
          </w:p>
        </w:tc>
      </w:tr>
      <w:tr w:rsidR="00BA49B5" w:rsidRPr="00202885" w14:paraId="5A114D69" w14:textId="77777777" w:rsidTr="00D336FE">
        <w:trPr>
          <w:jc w:val="center"/>
        </w:trPr>
        <w:tc>
          <w:tcPr>
            <w:tcW w:w="4566" w:type="dxa"/>
            <w:vAlign w:val="bottom"/>
          </w:tcPr>
          <w:p w14:paraId="69FCE41E"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DIMETHYLHYDRAZINE, UNSYMMETRICAL</w:t>
            </w:r>
          </w:p>
        </w:tc>
        <w:tc>
          <w:tcPr>
            <w:tcW w:w="1373" w:type="dxa"/>
            <w:noWrap/>
            <w:vAlign w:val="bottom"/>
            <w:hideMark/>
          </w:tcPr>
          <w:p w14:paraId="25C853B4"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1163</w:t>
            </w:r>
          </w:p>
        </w:tc>
        <w:tc>
          <w:tcPr>
            <w:tcW w:w="1417" w:type="dxa"/>
            <w:noWrap/>
            <w:vAlign w:val="bottom"/>
            <w:hideMark/>
          </w:tcPr>
          <w:p w14:paraId="113FDD16"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1148</w:t>
            </w:r>
          </w:p>
        </w:tc>
      </w:tr>
      <w:tr w:rsidR="00BA49B5" w:rsidRPr="00202885" w14:paraId="5D104705" w14:textId="77777777" w:rsidTr="00D336FE">
        <w:trPr>
          <w:jc w:val="center"/>
        </w:trPr>
        <w:tc>
          <w:tcPr>
            <w:tcW w:w="4566" w:type="dxa"/>
            <w:vAlign w:val="bottom"/>
          </w:tcPr>
          <w:p w14:paraId="64D3ACBA"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METHYLHYDRAZINE</w:t>
            </w:r>
          </w:p>
        </w:tc>
        <w:tc>
          <w:tcPr>
            <w:tcW w:w="1373" w:type="dxa"/>
            <w:noWrap/>
            <w:vAlign w:val="bottom"/>
            <w:hideMark/>
          </w:tcPr>
          <w:p w14:paraId="279657E1"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1244</w:t>
            </w:r>
          </w:p>
        </w:tc>
        <w:tc>
          <w:tcPr>
            <w:tcW w:w="1417" w:type="dxa"/>
            <w:noWrap/>
            <w:vAlign w:val="bottom"/>
            <w:hideMark/>
          </w:tcPr>
          <w:p w14:paraId="4DB61353"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2152</w:t>
            </w:r>
          </w:p>
        </w:tc>
      </w:tr>
      <w:tr w:rsidR="00BA49B5" w:rsidRPr="00202885" w14:paraId="29B9D68D" w14:textId="77777777" w:rsidTr="00D336FE">
        <w:trPr>
          <w:jc w:val="center"/>
        </w:trPr>
        <w:tc>
          <w:tcPr>
            <w:tcW w:w="4566" w:type="dxa"/>
            <w:vAlign w:val="bottom"/>
          </w:tcPr>
          <w:p w14:paraId="54816BEC"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NITROMETHANE</w:t>
            </w:r>
          </w:p>
        </w:tc>
        <w:tc>
          <w:tcPr>
            <w:tcW w:w="1373" w:type="dxa"/>
            <w:noWrap/>
            <w:vAlign w:val="bottom"/>
            <w:hideMark/>
          </w:tcPr>
          <w:p w14:paraId="0416262A"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1261</w:t>
            </w:r>
          </w:p>
        </w:tc>
        <w:tc>
          <w:tcPr>
            <w:tcW w:w="1417" w:type="dxa"/>
            <w:noWrap/>
            <w:vAlign w:val="bottom"/>
            <w:hideMark/>
          </w:tcPr>
          <w:p w14:paraId="60C2BC2C"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4811</w:t>
            </w:r>
          </w:p>
        </w:tc>
      </w:tr>
      <w:tr w:rsidR="00BA49B5" w:rsidRPr="00202885" w14:paraId="638DCCBA" w14:textId="77777777" w:rsidTr="00D336FE">
        <w:trPr>
          <w:jc w:val="center"/>
        </w:trPr>
        <w:tc>
          <w:tcPr>
            <w:tcW w:w="4566" w:type="dxa"/>
            <w:vAlign w:val="bottom"/>
          </w:tcPr>
          <w:p w14:paraId="5968AEA5"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p-NITROSODIMETHYLANILINE</w:t>
            </w:r>
          </w:p>
        </w:tc>
        <w:tc>
          <w:tcPr>
            <w:tcW w:w="1373" w:type="dxa"/>
            <w:noWrap/>
            <w:vAlign w:val="bottom"/>
            <w:hideMark/>
          </w:tcPr>
          <w:p w14:paraId="2000DE7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1369</w:t>
            </w:r>
          </w:p>
        </w:tc>
        <w:tc>
          <w:tcPr>
            <w:tcW w:w="1417" w:type="dxa"/>
            <w:noWrap/>
            <w:vAlign w:val="bottom"/>
            <w:hideMark/>
          </w:tcPr>
          <w:p w14:paraId="5C632BA2"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1931</w:t>
            </w:r>
          </w:p>
        </w:tc>
      </w:tr>
      <w:tr w:rsidR="00BA49B5" w:rsidRPr="00202885" w14:paraId="57206768" w14:textId="77777777" w:rsidTr="00D336FE">
        <w:trPr>
          <w:jc w:val="center"/>
        </w:trPr>
        <w:tc>
          <w:tcPr>
            <w:tcW w:w="4566" w:type="dxa"/>
            <w:vAlign w:val="bottom"/>
          </w:tcPr>
          <w:p w14:paraId="51F3E478"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GUANIDINE NITRATE</w:t>
            </w:r>
          </w:p>
        </w:tc>
        <w:tc>
          <w:tcPr>
            <w:tcW w:w="1373" w:type="dxa"/>
            <w:noWrap/>
            <w:vAlign w:val="bottom"/>
            <w:hideMark/>
          </w:tcPr>
          <w:p w14:paraId="1490B4D3"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1467</w:t>
            </w:r>
          </w:p>
        </w:tc>
        <w:tc>
          <w:tcPr>
            <w:tcW w:w="1417" w:type="dxa"/>
            <w:noWrap/>
            <w:vAlign w:val="bottom"/>
            <w:hideMark/>
          </w:tcPr>
          <w:p w14:paraId="0E75C558"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2449</w:t>
            </w:r>
          </w:p>
        </w:tc>
      </w:tr>
      <w:tr w:rsidR="00BA49B5" w:rsidRPr="00202885" w14:paraId="469ADB90" w14:textId="77777777" w:rsidTr="00D336FE">
        <w:trPr>
          <w:jc w:val="center"/>
        </w:trPr>
        <w:tc>
          <w:tcPr>
            <w:tcW w:w="4566" w:type="dxa"/>
            <w:vAlign w:val="bottom"/>
          </w:tcPr>
          <w:p w14:paraId="112BE197"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CHLORODINITROBENZENES, LIQUID</w:t>
            </w:r>
          </w:p>
        </w:tc>
        <w:tc>
          <w:tcPr>
            <w:tcW w:w="1373" w:type="dxa"/>
            <w:noWrap/>
            <w:vAlign w:val="bottom"/>
            <w:hideMark/>
          </w:tcPr>
          <w:p w14:paraId="5B7A2B68"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1577</w:t>
            </w:r>
          </w:p>
        </w:tc>
        <w:tc>
          <w:tcPr>
            <w:tcW w:w="1417" w:type="dxa"/>
            <w:noWrap/>
            <w:vAlign w:val="bottom"/>
            <w:hideMark/>
          </w:tcPr>
          <w:p w14:paraId="78E00E8B"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3209</w:t>
            </w:r>
          </w:p>
        </w:tc>
      </w:tr>
      <w:tr w:rsidR="00BA49B5" w:rsidRPr="00202885" w14:paraId="597E4F80" w14:textId="77777777" w:rsidTr="00D336FE">
        <w:trPr>
          <w:jc w:val="center"/>
        </w:trPr>
        <w:tc>
          <w:tcPr>
            <w:tcW w:w="4566" w:type="dxa"/>
            <w:vAlign w:val="bottom"/>
          </w:tcPr>
          <w:p w14:paraId="3DE600E6"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CHLORONITROBENZENES, SOLID</w:t>
            </w:r>
          </w:p>
        </w:tc>
        <w:tc>
          <w:tcPr>
            <w:tcW w:w="1373" w:type="dxa"/>
            <w:noWrap/>
            <w:vAlign w:val="bottom"/>
            <w:hideMark/>
          </w:tcPr>
          <w:p w14:paraId="3BBD4C60"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1578</w:t>
            </w:r>
          </w:p>
        </w:tc>
        <w:tc>
          <w:tcPr>
            <w:tcW w:w="1417" w:type="dxa"/>
            <w:noWrap/>
            <w:vAlign w:val="bottom"/>
            <w:hideMark/>
          </w:tcPr>
          <w:p w14:paraId="6827CA0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2063</w:t>
            </w:r>
          </w:p>
        </w:tc>
      </w:tr>
      <w:tr w:rsidR="00BA49B5" w:rsidRPr="00202885" w14:paraId="627CC0C2" w14:textId="77777777" w:rsidTr="00D336FE">
        <w:trPr>
          <w:jc w:val="center"/>
        </w:trPr>
        <w:tc>
          <w:tcPr>
            <w:tcW w:w="4566" w:type="dxa"/>
            <w:vAlign w:val="bottom"/>
          </w:tcPr>
          <w:p w14:paraId="5DBCBCFC"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CHLOROPICRIN</w:t>
            </w:r>
          </w:p>
        </w:tc>
        <w:tc>
          <w:tcPr>
            <w:tcW w:w="1373" w:type="dxa"/>
            <w:noWrap/>
            <w:vAlign w:val="bottom"/>
            <w:hideMark/>
          </w:tcPr>
          <w:p w14:paraId="2CAB076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1580</w:t>
            </w:r>
          </w:p>
        </w:tc>
        <w:tc>
          <w:tcPr>
            <w:tcW w:w="1417" w:type="dxa"/>
            <w:noWrap/>
            <w:vAlign w:val="bottom"/>
            <w:hideMark/>
          </w:tcPr>
          <w:p w14:paraId="3848F8C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1977</w:t>
            </w:r>
          </w:p>
        </w:tc>
      </w:tr>
      <w:tr w:rsidR="00BA49B5" w:rsidRPr="00202885" w14:paraId="561440DA" w14:textId="77777777" w:rsidTr="00D336FE">
        <w:trPr>
          <w:jc w:val="center"/>
        </w:trPr>
        <w:tc>
          <w:tcPr>
            <w:tcW w:w="4566" w:type="dxa"/>
            <w:vAlign w:val="bottom"/>
          </w:tcPr>
          <w:p w14:paraId="66FBC3D7"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DINITROANILINES</w:t>
            </w:r>
          </w:p>
        </w:tc>
        <w:tc>
          <w:tcPr>
            <w:tcW w:w="1373" w:type="dxa"/>
            <w:noWrap/>
            <w:vAlign w:val="bottom"/>
            <w:hideMark/>
          </w:tcPr>
          <w:p w14:paraId="6395087D"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1596</w:t>
            </w:r>
          </w:p>
        </w:tc>
        <w:tc>
          <w:tcPr>
            <w:tcW w:w="1417" w:type="dxa"/>
            <w:noWrap/>
            <w:vAlign w:val="bottom"/>
            <w:hideMark/>
          </w:tcPr>
          <w:p w14:paraId="67738723"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3331</w:t>
            </w:r>
          </w:p>
        </w:tc>
      </w:tr>
      <w:tr w:rsidR="00BA49B5" w:rsidRPr="00202885" w14:paraId="297C68E8" w14:textId="77777777" w:rsidTr="00D336FE">
        <w:trPr>
          <w:jc w:val="center"/>
        </w:trPr>
        <w:tc>
          <w:tcPr>
            <w:tcW w:w="4566" w:type="dxa"/>
            <w:vAlign w:val="bottom"/>
          </w:tcPr>
          <w:p w14:paraId="6208BDB1"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DINITROBENZENES, LIQUID</w:t>
            </w:r>
          </w:p>
        </w:tc>
        <w:tc>
          <w:tcPr>
            <w:tcW w:w="1373" w:type="dxa"/>
            <w:noWrap/>
            <w:vAlign w:val="bottom"/>
            <w:hideMark/>
          </w:tcPr>
          <w:p w14:paraId="0462089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1597</w:t>
            </w:r>
          </w:p>
        </w:tc>
        <w:tc>
          <w:tcPr>
            <w:tcW w:w="1417" w:type="dxa"/>
            <w:noWrap/>
            <w:vAlign w:val="bottom"/>
            <w:hideMark/>
          </w:tcPr>
          <w:p w14:paraId="3FF15CA8"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3510</w:t>
            </w:r>
          </w:p>
        </w:tc>
      </w:tr>
      <w:tr w:rsidR="00BA49B5" w:rsidRPr="00202885" w14:paraId="52F5EBAE" w14:textId="77777777" w:rsidTr="00D336FE">
        <w:trPr>
          <w:jc w:val="center"/>
        </w:trPr>
        <w:tc>
          <w:tcPr>
            <w:tcW w:w="4566" w:type="dxa"/>
            <w:vAlign w:val="bottom"/>
          </w:tcPr>
          <w:p w14:paraId="24D157E3"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DINITRO-o-CRESOL</w:t>
            </w:r>
          </w:p>
        </w:tc>
        <w:tc>
          <w:tcPr>
            <w:tcW w:w="1373" w:type="dxa"/>
            <w:noWrap/>
            <w:vAlign w:val="bottom"/>
            <w:hideMark/>
          </w:tcPr>
          <w:p w14:paraId="0E255D82"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1598</w:t>
            </w:r>
          </w:p>
        </w:tc>
        <w:tc>
          <w:tcPr>
            <w:tcW w:w="1417" w:type="dxa"/>
            <w:noWrap/>
            <w:vAlign w:val="bottom"/>
            <w:hideMark/>
          </w:tcPr>
          <w:p w14:paraId="4A8106FD"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3079</w:t>
            </w:r>
          </w:p>
        </w:tc>
      </w:tr>
      <w:tr w:rsidR="00BA49B5" w:rsidRPr="00202885" w14:paraId="4E7EC78F" w14:textId="77777777" w:rsidTr="00D336FE">
        <w:trPr>
          <w:jc w:val="center"/>
        </w:trPr>
        <w:tc>
          <w:tcPr>
            <w:tcW w:w="4566" w:type="dxa"/>
            <w:vAlign w:val="bottom"/>
          </w:tcPr>
          <w:p w14:paraId="3F5F4EE6"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DINITROTOLUENES, MOLTEN</w:t>
            </w:r>
          </w:p>
        </w:tc>
        <w:tc>
          <w:tcPr>
            <w:tcW w:w="1373" w:type="dxa"/>
            <w:noWrap/>
            <w:vAlign w:val="bottom"/>
            <w:hideMark/>
          </w:tcPr>
          <w:p w14:paraId="46629B7B"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1600</w:t>
            </w:r>
          </w:p>
        </w:tc>
        <w:tc>
          <w:tcPr>
            <w:tcW w:w="1417" w:type="dxa"/>
            <w:noWrap/>
            <w:vAlign w:val="bottom"/>
            <w:hideMark/>
          </w:tcPr>
          <w:p w14:paraId="4FF393ED"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3459</w:t>
            </w:r>
          </w:p>
        </w:tc>
      </w:tr>
      <w:tr w:rsidR="00BA49B5" w:rsidRPr="00202885" w14:paraId="350D188D" w14:textId="77777777" w:rsidTr="00D336FE">
        <w:trPr>
          <w:jc w:val="center"/>
        </w:trPr>
        <w:tc>
          <w:tcPr>
            <w:tcW w:w="4566" w:type="dxa"/>
            <w:vAlign w:val="bottom"/>
          </w:tcPr>
          <w:p w14:paraId="70BA9855"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NITROANILINES (o-, m-, p-)</w:t>
            </w:r>
          </w:p>
        </w:tc>
        <w:tc>
          <w:tcPr>
            <w:tcW w:w="1373" w:type="dxa"/>
            <w:noWrap/>
            <w:vAlign w:val="bottom"/>
            <w:hideMark/>
          </w:tcPr>
          <w:p w14:paraId="4172D77C"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1661</w:t>
            </w:r>
          </w:p>
        </w:tc>
        <w:tc>
          <w:tcPr>
            <w:tcW w:w="1417" w:type="dxa"/>
            <w:noWrap/>
            <w:vAlign w:val="bottom"/>
            <w:hideMark/>
          </w:tcPr>
          <w:p w14:paraId="6DC18B62"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2208</w:t>
            </w:r>
          </w:p>
        </w:tc>
      </w:tr>
      <w:tr w:rsidR="00BA49B5" w:rsidRPr="00202885" w14:paraId="24AB2AB1" w14:textId="77777777" w:rsidTr="00D336FE">
        <w:trPr>
          <w:jc w:val="center"/>
        </w:trPr>
        <w:tc>
          <w:tcPr>
            <w:tcW w:w="4566" w:type="dxa"/>
            <w:vAlign w:val="bottom"/>
          </w:tcPr>
          <w:p w14:paraId="5273AD11"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NITROBENZENE</w:t>
            </w:r>
          </w:p>
        </w:tc>
        <w:tc>
          <w:tcPr>
            <w:tcW w:w="1373" w:type="dxa"/>
            <w:noWrap/>
            <w:vAlign w:val="bottom"/>
            <w:hideMark/>
          </w:tcPr>
          <w:p w14:paraId="3AC348D5"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1662</w:t>
            </w:r>
          </w:p>
        </w:tc>
        <w:tc>
          <w:tcPr>
            <w:tcW w:w="1417" w:type="dxa"/>
            <w:noWrap/>
            <w:vAlign w:val="bottom"/>
            <w:hideMark/>
          </w:tcPr>
          <w:p w14:paraId="70CDDD2E"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2356</w:t>
            </w:r>
          </w:p>
        </w:tc>
      </w:tr>
      <w:tr w:rsidR="00BA49B5" w:rsidRPr="00202885" w14:paraId="74C9C3DE" w14:textId="77777777" w:rsidTr="00D336FE">
        <w:trPr>
          <w:jc w:val="center"/>
        </w:trPr>
        <w:tc>
          <w:tcPr>
            <w:tcW w:w="4566" w:type="dxa"/>
            <w:vAlign w:val="bottom"/>
          </w:tcPr>
          <w:p w14:paraId="5591A13D"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NITROPHENOLS (o-, m-, p-)</w:t>
            </w:r>
          </w:p>
        </w:tc>
        <w:tc>
          <w:tcPr>
            <w:tcW w:w="1373" w:type="dxa"/>
            <w:noWrap/>
            <w:vAlign w:val="bottom"/>
            <w:hideMark/>
          </w:tcPr>
          <w:p w14:paraId="4EE3924D"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1663</w:t>
            </w:r>
          </w:p>
        </w:tc>
        <w:tc>
          <w:tcPr>
            <w:tcW w:w="1417" w:type="dxa"/>
            <w:noWrap/>
            <w:vAlign w:val="bottom"/>
            <w:hideMark/>
          </w:tcPr>
          <w:p w14:paraId="0B707874"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2085</w:t>
            </w:r>
          </w:p>
        </w:tc>
      </w:tr>
      <w:tr w:rsidR="00BA49B5" w:rsidRPr="00202885" w14:paraId="0F78C51F" w14:textId="77777777" w:rsidTr="00D336FE">
        <w:trPr>
          <w:jc w:val="center"/>
        </w:trPr>
        <w:tc>
          <w:tcPr>
            <w:tcW w:w="4566" w:type="dxa"/>
            <w:vAlign w:val="bottom"/>
          </w:tcPr>
          <w:p w14:paraId="7B6C11A8"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NITROTOLUENES, LIQUID</w:t>
            </w:r>
          </w:p>
        </w:tc>
        <w:tc>
          <w:tcPr>
            <w:tcW w:w="1373" w:type="dxa"/>
            <w:noWrap/>
            <w:vAlign w:val="bottom"/>
            <w:hideMark/>
          </w:tcPr>
          <w:p w14:paraId="7BEE5D8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1664</w:t>
            </w:r>
          </w:p>
        </w:tc>
        <w:tc>
          <w:tcPr>
            <w:tcW w:w="1417" w:type="dxa"/>
            <w:noWrap/>
            <w:vAlign w:val="bottom"/>
            <w:hideMark/>
          </w:tcPr>
          <w:p w14:paraId="0286FBDB"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2297</w:t>
            </w:r>
          </w:p>
        </w:tc>
      </w:tr>
      <w:tr w:rsidR="00BA49B5" w:rsidRPr="00202885" w14:paraId="559FB59C" w14:textId="77777777" w:rsidTr="00D336FE">
        <w:trPr>
          <w:jc w:val="center"/>
        </w:trPr>
        <w:tc>
          <w:tcPr>
            <w:tcW w:w="4566" w:type="dxa"/>
            <w:vAlign w:val="bottom"/>
          </w:tcPr>
          <w:p w14:paraId="272EF176"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NITROXYLENES, LIQUID</w:t>
            </w:r>
          </w:p>
        </w:tc>
        <w:tc>
          <w:tcPr>
            <w:tcW w:w="1373" w:type="dxa"/>
            <w:noWrap/>
            <w:vAlign w:val="bottom"/>
            <w:hideMark/>
          </w:tcPr>
          <w:p w14:paraId="4EF1F304"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1665</w:t>
            </w:r>
          </w:p>
        </w:tc>
        <w:tc>
          <w:tcPr>
            <w:tcW w:w="1417" w:type="dxa"/>
            <w:noWrap/>
            <w:vAlign w:val="bottom"/>
            <w:hideMark/>
          </w:tcPr>
          <w:p w14:paraId="3304AE4E"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2084</w:t>
            </w:r>
          </w:p>
        </w:tc>
      </w:tr>
      <w:tr w:rsidR="00BA49B5" w:rsidRPr="00202885" w14:paraId="7B9BAF68" w14:textId="77777777" w:rsidTr="00D336FE">
        <w:trPr>
          <w:jc w:val="center"/>
        </w:trPr>
        <w:tc>
          <w:tcPr>
            <w:tcW w:w="4566" w:type="dxa"/>
            <w:vAlign w:val="bottom"/>
          </w:tcPr>
          <w:p w14:paraId="6B070241" w14:textId="77777777" w:rsidR="00BA49B5" w:rsidRPr="00D17118" w:rsidRDefault="00BA49B5" w:rsidP="00D336FE">
            <w:pPr>
              <w:tabs>
                <w:tab w:val="left" w:pos="1560"/>
              </w:tabs>
              <w:suppressAutoHyphens w:val="0"/>
              <w:spacing w:line="240" w:lineRule="auto"/>
              <w:rPr>
                <w:rFonts w:asciiTheme="majorBidi" w:hAnsiTheme="majorBidi" w:cstheme="majorBidi"/>
                <w:color w:val="000000"/>
                <w:lang w:val="es-ES"/>
              </w:rPr>
            </w:pPr>
            <w:r w:rsidRPr="00D17118">
              <w:rPr>
                <w:rFonts w:asciiTheme="majorBidi" w:hAnsiTheme="majorBidi" w:cstheme="majorBidi"/>
                <w:color w:val="000000"/>
                <w:lang w:val="es-ES"/>
              </w:rPr>
              <w:t>AMMONIUM DINITRO-o-CRESOLATE, SOLID</w:t>
            </w:r>
          </w:p>
        </w:tc>
        <w:tc>
          <w:tcPr>
            <w:tcW w:w="1373" w:type="dxa"/>
            <w:noWrap/>
            <w:vAlign w:val="bottom"/>
            <w:hideMark/>
          </w:tcPr>
          <w:p w14:paraId="06EE56A0"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1843</w:t>
            </w:r>
          </w:p>
        </w:tc>
        <w:tc>
          <w:tcPr>
            <w:tcW w:w="1417" w:type="dxa"/>
            <w:noWrap/>
            <w:vAlign w:val="bottom"/>
            <w:hideMark/>
          </w:tcPr>
          <w:p w14:paraId="007DF7E5"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2928</w:t>
            </w:r>
          </w:p>
        </w:tc>
      </w:tr>
      <w:tr w:rsidR="00BA49B5" w:rsidRPr="00202885" w14:paraId="2DC52449" w14:textId="77777777" w:rsidTr="00D336FE">
        <w:trPr>
          <w:jc w:val="center"/>
        </w:trPr>
        <w:tc>
          <w:tcPr>
            <w:tcW w:w="4566" w:type="dxa"/>
            <w:vAlign w:val="bottom"/>
          </w:tcPr>
          <w:p w14:paraId="1EA510DC"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HYDRAZINE, ANHYDROUS</w:t>
            </w:r>
          </w:p>
        </w:tc>
        <w:tc>
          <w:tcPr>
            <w:tcW w:w="1373" w:type="dxa"/>
            <w:noWrap/>
            <w:vAlign w:val="bottom"/>
            <w:hideMark/>
          </w:tcPr>
          <w:p w14:paraId="3D84927A"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2029</w:t>
            </w:r>
          </w:p>
        </w:tc>
        <w:tc>
          <w:tcPr>
            <w:tcW w:w="1417" w:type="dxa"/>
            <w:noWrap/>
            <w:vAlign w:val="bottom"/>
            <w:hideMark/>
          </w:tcPr>
          <w:p w14:paraId="21F421E5"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2340</w:t>
            </w:r>
          </w:p>
        </w:tc>
      </w:tr>
      <w:tr w:rsidR="00BA49B5" w:rsidRPr="00202885" w14:paraId="4AFE04A6" w14:textId="77777777" w:rsidTr="00D336FE">
        <w:trPr>
          <w:jc w:val="center"/>
        </w:trPr>
        <w:tc>
          <w:tcPr>
            <w:tcW w:w="4566" w:type="dxa"/>
            <w:vAlign w:val="bottom"/>
          </w:tcPr>
          <w:p w14:paraId="7F0DD30A"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DINITROTOLUENES, LIQUID</w:t>
            </w:r>
          </w:p>
        </w:tc>
        <w:tc>
          <w:tcPr>
            <w:tcW w:w="1373" w:type="dxa"/>
            <w:noWrap/>
            <w:vAlign w:val="bottom"/>
            <w:hideMark/>
          </w:tcPr>
          <w:p w14:paraId="5066349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2038</w:t>
            </w:r>
          </w:p>
        </w:tc>
        <w:tc>
          <w:tcPr>
            <w:tcW w:w="1417" w:type="dxa"/>
            <w:noWrap/>
            <w:vAlign w:val="bottom"/>
            <w:hideMark/>
          </w:tcPr>
          <w:p w14:paraId="7BFD99B1"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3459</w:t>
            </w:r>
          </w:p>
        </w:tc>
      </w:tr>
      <w:tr w:rsidR="00BA49B5" w:rsidRPr="00202885" w14:paraId="0071B2F5" w14:textId="77777777" w:rsidTr="00D336FE">
        <w:trPr>
          <w:jc w:val="center"/>
        </w:trPr>
        <w:tc>
          <w:tcPr>
            <w:tcW w:w="4566" w:type="dxa"/>
            <w:vAlign w:val="bottom"/>
          </w:tcPr>
          <w:p w14:paraId="0E053D22"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CHLORONITROANILINES</w:t>
            </w:r>
          </w:p>
        </w:tc>
        <w:tc>
          <w:tcPr>
            <w:tcW w:w="1373" w:type="dxa"/>
            <w:noWrap/>
            <w:vAlign w:val="bottom"/>
            <w:hideMark/>
          </w:tcPr>
          <w:p w14:paraId="7A06F93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2237</w:t>
            </w:r>
          </w:p>
        </w:tc>
        <w:tc>
          <w:tcPr>
            <w:tcW w:w="1417" w:type="dxa"/>
            <w:noWrap/>
            <w:vAlign w:val="bottom"/>
            <w:hideMark/>
          </w:tcPr>
          <w:p w14:paraId="7894D30E"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1767</w:t>
            </w:r>
          </w:p>
        </w:tc>
      </w:tr>
      <w:tr w:rsidR="00BA49B5" w:rsidRPr="00202885" w14:paraId="48FFDDD2" w14:textId="77777777" w:rsidTr="00D336FE">
        <w:trPr>
          <w:jc w:val="center"/>
        </w:trPr>
        <w:tc>
          <w:tcPr>
            <w:tcW w:w="4566" w:type="dxa"/>
            <w:vAlign w:val="bottom"/>
          </w:tcPr>
          <w:p w14:paraId="24EAFFA7"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NITROBENZENESULPHONIC ACID</w:t>
            </w:r>
          </w:p>
        </w:tc>
        <w:tc>
          <w:tcPr>
            <w:tcW w:w="1373" w:type="dxa"/>
            <w:noWrap/>
            <w:vAlign w:val="bottom"/>
            <w:hideMark/>
          </w:tcPr>
          <w:p w14:paraId="665E684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2305</w:t>
            </w:r>
          </w:p>
        </w:tc>
        <w:tc>
          <w:tcPr>
            <w:tcW w:w="1417" w:type="dxa"/>
            <w:noWrap/>
            <w:vAlign w:val="bottom"/>
            <w:hideMark/>
          </w:tcPr>
          <w:p w14:paraId="4ED47E58"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1723</w:t>
            </w:r>
          </w:p>
        </w:tc>
      </w:tr>
      <w:tr w:rsidR="00BA49B5" w:rsidRPr="00202885" w14:paraId="46A691B2" w14:textId="77777777" w:rsidTr="00D336FE">
        <w:trPr>
          <w:jc w:val="center"/>
        </w:trPr>
        <w:tc>
          <w:tcPr>
            <w:tcW w:w="4566" w:type="dxa"/>
            <w:vAlign w:val="bottom"/>
          </w:tcPr>
          <w:p w14:paraId="1AED91B1"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NITROBENZOTRIFLUORIDES, LIQUID</w:t>
            </w:r>
          </w:p>
        </w:tc>
        <w:tc>
          <w:tcPr>
            <w:tcW w:w="1373" w:type="dxa"/>
            <w:noWrap/>
            <w:vAlign w:val="bottom"/>
            <w:hideMark/>
          </w:tcPr>
          <w:p w14:paraId="26FAE2F5"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2306</w:t>
            </w:r>
          </w:p>
        </w:tc>
        <w:tc>
          <w:tcPr>
            <w:tcW w:w="1417" w:type="dxa"/>
            <w:noWrap/>
            <w:vAlign w:val="bottom"/>
            <w:hideMark/>
          </w:tcPr>
          <w:p w14:paraId="01E19891"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1596</w:t>
            </w:r>
          </w:p>
        </w:tc>
      </w:tr>
      <w:tr w:rsidR="00BA49B5" w:rsidRPr="00202885" w14:paraId="0889D62F" w14:textId="77777777" w:rsidTr="00D336FE">
        <w:trPr>
          <w:jc w:val="center"/>
        </w:trPr>
        <w:tc>
          <w:tcPr>
            <w:tcW w:w="4566" w:type="dxa"/>
            <w:vAlign w:val="bottom"/>
          </w:tcPr>
          <w:p w14:paraId="7F303B25"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3-NITRO-4-CHLOROBENZOTRIFLUORIDE</w:t>
            </w:r>
          </w:p>
        </w:tc>
        <w:tc>
          <w:tcPr>
            <w:tcW w:w="1373" w:type="dxa"/>
            <w:noWrap/>
            <w:vAlign w:val="bottom"/>
            <w:hideMark/>
          </w:tcPr>
          <w:p w14:paraId="7859F758"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2307</w:t>
            </w:r>
          </w:p>
        </w:tc>
        <w:tc>
          <w:tcPr>
            <w:tcW w:w="1417" w:type="dxa"/>
            <w:noWrap/>
            <w:vAlign w:val="bottom"/>
            <w:hideMark/>
          </w:tcPr>
          <w:p w14:paraId="2E72E361"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1352</w:t>
            </w:r>
          </w:p>
        </w:tc>
      </w:tr>
      <w:tr w:rsidR="00BA49B5" w:rsidRPr="00202885" w14:paraId="6371A5D7" w14:textId="77777777" w:rsidTr="00D336FE">
        <w:trPr>
          <w:jc w:val="center"/>
        </w:trPr>
        <w:tc>
          <w:tcPr>
            <w:tcW w:w="4566" w:type="dxa"/>
            <w:vAlign w:val="bottom"/>
          </w:tcPr>
          <w:p w14:paraId="2AEA89AA"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DIMETHYLHYDRAZINE, SYMMETRICAL</w:t>
            </w:r>
          </w:p>
        </w:tc>
        <w:tc>
          <w:tcPr>
            <w:tcW w:w="1373" w:type="dxa"/>
            <w:noWrap/>
            <w:vAlign w:val="bottom"/>
            <w:hideMark/>
          </w:tcPr>
          <w:p w14:paraId="02B00844"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2382</w:t>
            </w:r>
          </w:p>
        </w:tc>
        <w:tc>
          <w:tcPr>
            <w:tcW w:w="1417" w:type="dxa"/>
            <w:noWrap/>
            <w:vAlign w:val="bottom"/>
            <w:hideMark/>
          </w:tcPr>
          <w:p w14:paraId="3639D373"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1148</w:t>
            </w:r>
          </w:p>
        </w:tc>
      </w:tr>
      <w:tr w:rsidR="00BA49B5" w:rsidRPr="00202885" w14:paraId="5B574BC3" w14:textId="77777777" w:rsidTr="00D336FE">
        <w:trPr>
          <w:jc w:val="center"/>
        </w:trPr>
        <w:tc>
          <w:tcPr>
            <w:tcW w:w="4566" w:type="dxa"/>
            <w:vAlign w:val="bottom"/>
          </w:tcPr>
          <w:p w14:paraId="19F40964"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CHLORONITROTOLUENES, LIQUID</w:t>
            </w:r>
          </w:p>
        </w:tc>
        <w:tc>
          <w:tcPr>
            <w:tcW w:w="1373" w:type="dxa"/>
            <w:noWrap/>
            <w:vAlign w:val="bottom"/>
            <w:hideMark/>
          </w:tcPr>
          <w:p w14:paraId="4219047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2433</w:t>
            </w:r>
          </w:p>
        </w:tc>
        <w:tc>
          <w:tcPr>
            <w:tcW w:w="1417" w:type="dxa"/>
            <w:noWrap/>
            <w:vAlign w:val="bottom"/>
            <w:hideMark/>
          </w:tcPr>
          <w:p w14:paraId="54CD197A"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1836</w:t>
            </w:r>
          </w:p>
        </w:tc>
      </w:tr>
      <w:tr w:rsidR="00BA49B5" w:rsidRPr="00202885" w14:paraId="3A2130A5" w14:textId="77777777" w:rsidTr="00D336FE">
        <w:trPr>
          <w:jc w:val="center"/>
        </w:trPr>
        <w:tc>
          <w:tcPr>
            <w:tcW w:w="4566" w:type="dxa"/>
            <w:vAlign w:val="bottom"/>
          </w:tcPr>
          <w:p w14:paraId="3F026E01"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NITROCRESOLS, SOLID</w:t>
            </w:r>
          </w:p>
        </w:tc>
        <w:tc>
          <w:tcPr>
            <w:tcW w:w="1373" w:type="dxa"/>
            <w:noWrap/>
            <w:vAlign w:val="bottom"/>
            <w:hideMark/>
          </w:tcPr>
          <w:p w14:paraId="5B42E0F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2446</w:t>
            </w:r>
          </w:p>
        </w:tc>
        <w:tc>
          <w:tcPr>
            <w:tcW w:w="1417" w:type="dxa"/>
            <w:noWrap/>
            <w:vAlign w:val="bottom"/>
            <w:hideMark/>
          </w:tcPr>
          <w:p w14:paraId="2FBE7F2A"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1992</w:t>
            </w:r>
          </w:p>
        </w:tc>
      </w:tr>
      <w:tr w:rsidR="00BA49B5" w:rsidRPr="00202885" w14:paraId="467AE7B0" w14:textId="77777777" w:rsidTr="00D336FE">
        <w:trPr>
          <w:jc w:val="center"/>
        </w:trPr>
        <w:tc>
          <w:tcPr>
            <w:tcW w:w="4566" w:type="dxa"/>
            <w:vAlign w:val="bottom"/>
          </w:tcPr>
          <w:p w14:paraId="2654013C"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de-DE" w:eastAsia="de-DE"/>
              </w:rPr>
            </w:pPr>
            <w:r w:rsidRPr="00202885">
              <w:rPr>
                <w:rFonts w:asciiTheme="majorBidi" w:hAnsiTheme="majorBidi" w:cstheme="majorBidi"/>
                <w:color w:val="000000"/>
              </w:rPr>
              <w:t>NITROTOLUIDINES (MONO)</w:t>
            </w:r>
          </w:p>
        </w:tc>
        <w:tc>
          <w:tcPr>
            <w:tcW w:w="1373" w:type="dxa"/>
            <w:noWrap/>
            <w:vAlign w:val="bottom"/>
            <w:hideMark/>
          </w:tcPr>
          <w:p w14:paraId="7FC025B9"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2660</w:t>
            </w:r>
          </w:p>
        </w:tc>
        <w:tc>
          <w:tcPr>
            <w:tcW w:w="1417" w:type="dxa"/>
            <w:noWrap/>
            <w:vAlign w:val="bottom"/>
            <w:hideMark/>
          </w:tcPr>
          <w:p w14:paraId="09741CA0"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2005</w:t>
            </w:r>
          </w:p>
        </w:tc>
      </w:tr>
      <w:tr w:rsidR="00BA49B5" w:rsidRPr="00202885" w14:paraId="668DF4AA" w14:textId="77777777" w:rsidTr="00D336FE">
        <w:trPr>
          <w:jc w:val="center"/>
        </w:trPr>
        <w:tc>
          <w:tcPr>
            <w:tcW w:w="4566" w:type="dxa"/>
            <w:vAlign w:val="bottom"/>
          </w:tcPr>
          <w:p w14:paraId="7417224D" w14:textId="77777777" w:rsidR="00BA49B5" w:rsidRPr="00202885" w:rsidRDefault="00BA49B5" w:rsidP="00D336FE">
            <w:pPr>
              <w:tabs>
                <w:tab w:val="left" w:pos="1560"/>
              </w:tabs>
              <w:suppressAutoHyphens w:val="0"/>
              <w:spacing w:line="240" w:lineRule="auto"/>
              <w:rPr>
                <w:rFonts w:asciiTheme="majorBidi" w:hAnsiTheme="majorBidi" w:cstheme="majorBidi"/>
                <w:color w:val="000000"/>
                <w:lang w:val="en-US" w:eastAsia="de-DE"/>
              </w:rPr>
            </w:pPr>
            <w:r w:rsidRPr="00202885">
              <w:rPr>
                <w:rFonts w:asciiTheme="majorBidi" w:hAnsiTheme="majorBidi" w:cstheme="majorBidi"/>
                <w:color w:val="000000"/>
              </w:rPr>
              <w:t>NITROANISOLES, LIQUID</w:t>
            </w:r>
          </w:p>
        </w:tc>
        <w:tc>
          <w:tcPr>
            <w:tcW w:w="1373" w:type="dxa"/>
            <w:noWrap/>
            <w:vAlign w:val="bottom"/>
            <w:hideMark/>
          </w:tcPr>
          <w:p w14:paraId="368BDC3C"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2730</w:t>
            </w:r>
          </w:p>
        </w:tc>
        <w:tc>
          <w:tcPr>
            <w:tcW w:w="1417" w:type="dxa"/>
            <w:noWrap/>
            <w:vAlign w:val="bottom"/>
            <w:hideMark/>
          </w:tcPr>
          <w:p w14:paraId="2E8CB1CE"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lang w:val="de-DE" w:eastAsia="de-DE"/>
              </w:rPr>
            </w:pPr>
            <w:r w:rsidRPr="00202885">
              <w:rPr>
                <w:rFonts w:asciiTheme="majorBidi" w:hAnsiTheme="majorBidi" w:cstheme="majorBidi"/>
                <w:color w:val="000000"/>
              </w:rPr>
              <w:t>2057</w:t>
            </w:r>
          </w:p>
        </w:tc>
      </w:tr>
      <w:tr w:rsidR="00BA49B5" w:rsidRPr="00202885" w14:paraId="621652EA" w14:textId="77777777" w:rsidTr="00D336FE">
        <w:trPr>
          <w:jc w:val="center"/>
        </w:trPr>
        <w:tc>
          <w:tcPr>
            <w:tcW w:w="4566" w:type="dxa"/>
            <w:vAlign w:val="bottom"/>
          </w:tcPr>
          <w:p w14:paraId="6EF00CE0"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NITROBROMOBENZENES, LIQUID</w:t>
            </w:r>
          </w:p>
        </w:tc>
        <w:tc>
          <w:tcPr>
            <w:tcW w:w="1373" w:type="dxa"/>
            <w:noWrap/>
            <w:vAlign w:val="bottom"/>
          </w:tcPr>
          <w:p w14:paraId="0A2AD58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2732</w:t>
            </w:r>
          </w:p>
        </w:tc>
        <w:tc>
          <w:tcPr>
            <w:tcW w:w="1417" w:type="dxa"/>
            <w:noWrap/>
            <w:vAlign w:val="bottom"/>
          </w:tcPr>
          <w:p w14:paraId="284E621A"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1510</w:t>
            </w:r>
          </w:p>
        </w:tc>
      </w:tr>
      <w:tr w:rsidR="00BA49B5" w:rsidRPr="00202885" w14:paraId="24B80FEF" w14:textId="77777777" w:rsidTr="00D336FE">
        <w:trPr>
          <w:jc w:val="center"/>
        </w:trPr>
        <w:tc>
          <w:tcPr>
            <w:tcW w:w="4566" w:type="dxa"/>
            <w:vAlign w:val="bottom"/>
          </w:tcPr>
          <w:p w14:paraId="0D77C230"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NITROETHANE</w:t>
            </w:r>
          </w:p>
        </w:tc>
        <w:tc>
          <w:tcPr>
            <w:tcW w:w="1373" w:type="dxa"/>
            <w:noWrap/>
            <w:vAlign w:val="bottom"/>
          </w:tcPr>
          <w:p w14:paraId="4661637C"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2842</w:t>
            </w:r>
          </w:p>
        </w:tc>
        <w:tc>
          <w:tcPr>
            <w:tcW w:w="1417" w:type="dxa"/>
            <w:noWrap/>
            <w:vAlign w:val="bottom"/>
          </w:tcPr>
          <w:p w14:paraId="213260CB"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3930</w:t>
            </w:r>
          </w:p>
        </w:tc>
      </w:tr>
      <w:tr w:rsidR="00BA49B5" w:rsidRPr="00202885" w14:paraId="43F73685" w14:textId="77777777" w:rsidTr="00D336FE">
        <w:trPr>
          <w:jc w:val="center"/>
        </w:trPr>
        <w:tc>
          <w:tcPr>
            <w:tcW w:w="4566" w:type="dxa"/>
            <w:vAlign w:val="bottom"/>
          </w:tcPr>
          <w:p w14:paraId="4448028A"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AZODICARBONAMIDE</w:t>
            </w:r>
          </w:p>
        </w:tc>
        <w:tc>
          <w:tcPr>
            <w:tcW w:w="1373" w:type="dxa"/>
            <w:noWrap/>
            <w:vAlign w:val="bottom"/>
          </w:tcPr>
          <w:p w14:paraId="19964340"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3242</w:t>
            </w:r>
          </w:p>
        </w:tc>
        <w:tc>
          <w:tcPr>
            <w:tcW w:w="1417" w:type="dxa"/>
            <w:noWrap/>
            <w:vAlign w:val="bottom"/>
          </w:tcPr>
          <w:p w14:paraId="349E9CEE"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1400</w:t>
            </w:r>
          </w:p>
        </w:tc>
      </w:tr>
      <w:tr w:rsidR="00BA49B5" w:rsidRPr="00202885" w14:paraId="1FD78C44" w14:textId="77777777" w:rsidTr="00D336FE">
        <w:trPr>
          <w:jc w:val="center"/>
        </w:trPr>
        <w:tc>
          <w:tcPr>
            <w:tcW w:w="4566" w:type="dxa"/>
            <w:vAlign w:val="bottom"/>
          </w:tcPr>
          <w:p w14:paraId="7DF360E8"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ISOSORBIDE-5-MONONITRATE</w:t>
            </w:r>
          </w:p>
        </w:tc>
        <w:tc>
          <w:tcPr>
            <w:tcW w:w="1373" w:type="dxa"/>
            <w:noWrap/>
            <w:vAlign w:val="bottom"/>
          </w:tcPr>
          <w:p w14:paraId="7CD9A741"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3251</w:t>
            </w:r>
          </w:p>
        </w:tc>
        <w:tc>
          <w:tcPr>
            <w:tcW w:w="1417" w:type="dxa"/>
            <w:noWrap/>
            <w:vAlign w:val="bottom"/>
          </w:tcPr>
          <w:p w14:paraId="44F255E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1596</w:t>
            </w:r>
          </w:p>
        </w:tc>
      </w:tr>
      <w:tr w:rsidR="00BA49B5" w:rsidRPr="00202885" w14:paraId="47C57570" w14:textId="77777777" w:rsidTr="00D336FE">
        <w:trPr>
          <w:jc w:val="center"/>
        </w:trPr>
        <w:tc>
          <w:tcPr>
            <w:tcW w:w="4566" w:type="dxa"/>
            <w:vAlign w:val="bottom"/>
          </w:tcPr>
          <w:p w14:paraId="2B2CC966"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NITROBENZOTRIFLUORIDES, SOLID</w:t>
            </w:r>
          </w:p>
        </w:tc>
        <w:tc>
          <w:tcPr>
            <w:tcW w:w="1373" w:type="dxa"/>
            <w:noWrap/>
            <w:vAlign w:val="bottom"/>
          </w:tcPr>
          <w:p w14:paraId="70370679"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3431</w:t>
            </w:r>
          </w:p>
        </w:tc>
        <w:tc>
          <w:tcPr>
            <w:tcW w:w="1417" w:type="dxa"/>
            <w:noWrap/>
            <w:vAlign w:val="bottom"/>
          </w:tcPr>
          <w:p w14:paraId="0A00478C"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1596</w:t>
            </w:r>
          </w:p>
        </w:tc>
      </w:tr>
      <w:tr w:rsidR="00BA49B5" w:rsidRPr="00202885" w14:paraId="39751898" w14:textId="77777777" w:rsidTr="00D336FE">
        <w:trPr>
          <w:jc w:val="center"/>
        </w:trPr>
        <w:tc>
          <w:tcPr>
            <w:tcW w:w="4566" w:type="dxa"/>
            <w:vAlign w:val="bottom"/>
          </w:tcPr>
          <w:p w14:paraId="7D3730A3"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NITROCRESOLS, LIQUID</w:t>
            </w:r>
          </w:p>
        </w:tc>
        <w:tc>
          <w:tcPr>
            <w:tcW w:w="1373" w:type="dxa"/>
            <w:noWrap/>
            <w:vAlign w:val="bottom"/>
          </w:tcPr>
          <w:p w14:paraId="4951CD15"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3434</w:t>
            </w:r>
          </w:p>
        </w:tc>
        <w:tc>
          <w:tcPr>
            <w:tcW w:w="1417" w:type="dxa"/>
            <w:noWrap/>
            <w:vAlign w:val="bottom"/>
          </w:tcPr>
          <w:p w14:paraId="62357FC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1992</w:t>
            </w:r>
          </w:p>
        </w:tc>
      </w:tr>
      <w:tr w:rsidR="00BA49B5" w:rsidRPr="00202885" w14:paraId="1E0A38EF" w14:textId="77777777" w:rsidTr="00D336FE">
        <w:trPr>
          <w:jc w:val="center"/>
        </w:trPr>
        <w:tc>
          <w:tcPr>
            <w:tcW w:w="4566" w:type="dxa"/>
            <w:vAlign w:val="bottom"/>
          </w:tcPr>
          <w:p w14:paraId="5C3D4460"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DINITROBENZENES, SOLID</w:t>
            </w:r>
          </w:p>
        </w:tc>
        <w:tc>
          <w:tcPr>
            <w:tcW w:w="1373" w:type="dxa"/>
            <w:noWrap/>
            <w:vAlign w:val="bottom"/>
          </w:tcPr>
          <w:p w14:paraId="357509D1"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3443</w:t>
            </w:r>
          </w:p>
        </w:tc>
        <w:tc>
          <w:tcPr>
            <w:tcW w:w="1417" w:type="dxa"/>
            <w:noWrap/>
            <w:vAlign w:val="bottom"/>
          </w:tcPr>
          <w:p w14:paraId="660662D3"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3510</w:t>
            </w:r>
          </w:p>
        </w:tc>
      </w:tr>
      <w:tr w:rsidR="00BA49B5" w:rsidRPr="00202885" w14:paraId="5B0DADDC" w14:textId="77777777" w:rsidTr="00D336FE">
        <w:trPr>
          <w:jc w:val="center"/>
        </w:trPr>
        <w:tc>
          <w:tcPr>
            <w:tcW w:w="4566" w:type="dxa"/>
            <w:tcBorders>
              <w:bottom w:val="single" w:sz="4" w:space="0" w:color="auto"/>
            </w:tcBorders>
            <w:vAlign w:val="bottom"/>
          </w:tcPr>
          <w:p w14:paraId="0936DB1B"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NITROTOLUENES, SOLID</w:t>
            </w:r>
          </w:p>
        </w:tc>
        <w:tc>
          <w:tcPr>
            <w:tcW w:w="1373" w:type="dxa"/>
            <w:tcBorders>
              <w:bottom w:val="single" w:sz="4" w:space="0" w:color="auto"/>
            </w:tcBorders>
            <w:noWrap/>
            <w:vAlign w:val="bottom"/>
          </w:tcPr>
          <w:p w14:paraId="188049B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3446</w:t>
            </w:r>
          </w:p>
        </w:tc>
        <w:tc>
          <w:tcPr>
            <w:tcW w:w="1417" w:type="dxa"/>
            <w:tcBorders>
              <w:bottom w:val="single" w:sz="4" w:space="0" w:color="auto"/>
            </w:tcBorders>
            <w:noWrap/>
            <w:vAlign w:val="bottom"/>
          </w:tcPr>
          <w:p w14:paraId="0C98C015"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2297</w:t>
            </w:r>
          </w:p>
        </w:tc>
      </w:tr>
      <w:tr w:rsidR="00BA49B5" w:rsidRPr="00202885" w14:paraId="53F13407" w14:textId="77777777" w:rsidTr="00D336FE">
        <w:trPr>
          <w:jc w:val="center"/>
        </w:trPr>
        <w:tc>
          <w:tcPr>
            <w:tcW w:w="4566" w:type="dxa"/>
            <w:tcBorders>
              <w:top w:val="single" w:sz="4" w:space="0" w:color="auto"/>
              <w:bottom w:val="single" w:sz="4" w:space="0" w:color="auto"/>
            </w:tcBorders>
            <w:vAlign w:val="bottom"/>
          </w:tcPr>
          <w:p w14:paraId="36D3AEA8"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NITROXYLENES, SOLID</w:t>
            </w:r>
          </w:p>
        </w:tc>
        <w:tc>
          <w:tcPr>
            <w:tcW w:w="1373" w:type="dxa"/>
            <w:tcBorders>
              <w:top w:val="single" w:sz="4" w:space="0" w:color="auto"/>
              <w:bottom w:val="single" w:sz="4" w:space="0" w:color="auto"/>
            </w:tcBorders>
            <w:noWrap/>
            <w:vAlign w:val="bottom"/>
          </w:tcPr>
          <w:p w14:paraId="71E045C9"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3447</w:t>
            </w:r>
          </w:p>
        </w:tc>
        <w:tc>
          <w:tcPr>
            <w:tcW w:w="1417" w:type="dxa"/>
            <w:tcBorders>
              <w:top w:val="single" w:sz="4" w:space="0" w:color="auto"/>
              <w:bottom w:val="single" w:sz="4" w:space="0" w:color="auto"/>
            </w:tcBorders>
            <w:noWrap/>
            <w:vAlign w:val="bottom"/>
          </w:tcPr>
          <w:p w14:paraId="43E2194B"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2084</w:t>
            </w:r>
          </w:p>
        </w:tc>
      </w:tr>
      <w:tr w:rsidR="00BA49B5" w:rsidRPr="00202885" w14:paraId="0D4F53C7" w14:textId="77777777" w:rsidTr="00D336FE">
        <w:trPr>
          <w:jc w:val="center"/>
        </w:trPr>
        <w:tc>
          <w:tcPr>
            <w:tcW w:w="4566" w:type="dxa"/>
            <w:tcBorders>
              <w:top w:val="single" w:sz="4" w:space="0" w:color="auto"/>
              <w:bottom w:val="single" w:sz="4" w:space="0" w:color="auto"/>
            </w:tcBorders>
            <w:vAlign w:val="bottom"/>
          </w:tcPr>
          <w:p w14:paraId="6765CBF4"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DINITROTOLUENES, SOLID</w:t>
            </w:r>
          </w:p>
        </w:tc>
        <w:tc>
          <w:tcPr>
            <w:tcW w:w="1373" w:type="dxa"/>
            <w:tcBorders>
              <w:top w:val="single" w:sz="4" w:space="0" w:color="auto"/>
              <w:bottom w:val="single" w:sz="4" w:space="0" w:color="auto"/>
            </w:tcBorders>
            <w:noWrap/>
            <w:vAlign w:val="bottom"/>
          </w:tcPr>
          <w:p w14:paraId="474E408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3454</w:t>
            </w:r>
          </w:p>
        </w:tc>
        <w:tc>
          <w:tcPr>
            <w:tcW w:w="1417" w:type="dxa"/>
            <w:tcBorders>
              <w:top w:val="single" w:sz="4" w:space="0" w:color="auto"/>
              <w:bottom w:val="single" w:sz="4" w:space="0" w:color="auto"/>
            </w:tcBorders>
            <w:noWrap/>
            <w:vAlign w:val="bottom"/>
          </w:tcPr>
          <w:p w14:paraId="200F7D86"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3459</w:t>
            </w:r>
          </w:p>
        </w:tc>
      </w:tr>
      <w:tr w:rsidR="00BA49B5" w:rsidRPr="00202885" w14:paraId="4A0734D4" w14:textId="77777777" w:rsidTr="00D336FE">
        <w:trPr>
          <w:jc w:val="center"/>
        </w:trPr>
        <w:tc>
          <w:tcPr>
            <w:tcW w:w="4566" w:type="dxa"/>
            <w:tcBorders>
              <w:top w:val="single" w:sz="4" w:space="0" w:color="auto"/>
            </w:tcBorders>
            <w:vAlign w:val="bottom"/>
          </w:tcPr>
          <w:p w14:paraId="374DA175"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CHLORONITROTOLUENES, SOLID</w:t>
            </w:r>
          </w:p>
        </w:tc>
        <w:tc>
          <w:tcPr>
            <w:tcW w:w="1373" w:type="dxa"/>
            <w:tcBorders>
              <w:top w:val="single" w:sz="4" w:space="0" w:color="auto"/>
            </w:tcBorders>
            <w:noWrap/>
            <w:vAlign w:val="bottom"/>
          </w:tcPr>
          <w:p w14:paraId="3837C6C4"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3457</w:t>
            </w:r>
          </w:p>
        </w:tc>
        <w:tc>
          <w:tcPr>
            <w:tcW w:w="1417" w:type="dxa"/>
            <w:tcBorders>
              <w:top w:val="single" w:sz="4" w:space="0" w:color="auto"/>
            </w:tcBorders>
            <w:noWrap/>
            <w:vAlign w:val="bottom"/>
          </w:tcPr>
          <w:p w14:paraId="4ED12F0F"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1836</w:t>
            </w:r>
          </w:p>
        </w:tc>
      </w:tr>
      <w:tr w:rsidR="00BA49B5" w:rsidRPr="00202885" w14:paraId="04E1252E" w14:textId="77777777" w:rsidTr="00D336FE">
        <w:trPr>
          <w:jc w:val="center"/>
        </w:trPr>
        <w:tc>
          <w:tcPr>
            <w:tcW w:w="4566" w:type="dxa"/>
            <w:vAlign w:val="bottom"/>
          </w:tcPr>
          <w:p w14:paraId="118295D1"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NITROANISOLES, SOLID</w:t>
            </w:r>
          </w:p>
        </w:tc>
        <w:tc>
          <w:tcPr>
            <w:tcW w:w="1373" w:type="dxa"/>
            <w:noWrap/>
            <w:vAlign w:val="bottom"/>
          </w:tcPr>
          <w:p w14:paraId="59BA1C82"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3458</w:t>
            </w:r>
          </w:p>
        </w:tc>
        <w:tc>
          <w:tcPr>
            <w:tcW w:w="1417" w:type="dxa"/>
            <w:noWrap/>
            <w:vAlign w:val="bottom"/>
          </w:tcPr>
          <w:p w14:paraId="53E4A029"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2057</w:t>
            </w:r>
          </w:p>
        </w:tc>
      </w:tr>
      <w:tr w:rsidR="00BA49B5" w:rsidRPr="00202885" w14:paraId="3F0463EB" w14:textId="77777777" w:rsidTr="00D336FE">
        <w:trPr>
          <w:jc w:val="center"/>
        </w:trPr>
        <w:tc>
          <w:tcPr>
            <w:tcW w:w="4566" w:type="dxa"/>
            <w:vAlign w:val="bottom"/>
          </w:tcPr>
          <w:p w14:paraId="4C5C18D9" w14:textId="77777777" w:rsidR="00BA49B5" w:rsidRPr="00202885" w:rsidRDefault="00BA49B5" w:rsidP="00D336FE">
            <w:pPr>
              <w:tabs>
                <w:tab w:val="left" w:pos="1560"/>
              </w:tabs>
              <w:suppressAutoHyphens w:val="0"/>
              <w:spacing w:line="240" w:lineRule="auto"/>
              <w:rPr>
                <w:rFonts w:asciiTheme="majorBidi" w:hAnsiTheme="majorBidi" w:cstheme="majorBidi"/>
                <w:color w:val="000000"/>
              </w:rPr>
            </w:pPr>
            <w:r w:rsidRPr="00202885">
              <w:rPr>
                <w:rFonts w:asciiTheme="majorBidi" w:hAnsiTheme="majorBidi" w:cstheme="majorBidi"/>
                <w:color w:val="000000"/>
              </w:rPr>
              <w:t>NITROBROMOBENZENES, SOLID</w:t>
            </w:r>
          </w:p>
        </w:tc>
        <w:tc>
          <w:tcPr>
            <w:tcW w:w="1373" w:type="dxa"/>
            <w:noWrap/>
            <w:vAlign w:val="bottom"/>
          </w:tcPr>
          <w:p w14:paraId="04320D16"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3459</w:t>
            </w:r>
          </w:p>
        </w:tc>
        <w:tc>
          <w:tcPr>
            <w:tcW w:w="1417" w:type="dxa"/>
            <w:noWrap/>
            <w:vAlign w:val="bottom"/>
          </w:tcPr>
          <w:p w14:paraId="0F2CA6B7" w14:textId="77777777" w:rsidR="00BA49B5" w:rsidRPr="00202885" w:rsidRDefault="00BA49B5" w:rsidP="00D336FE">
            <w:pPr>
              <w:tabs>
                <w:tab w:val="left" w:pos="1560"/>
              </w:tabs>
              <w:suppressAutoHyphens w:val="0"/>
              <w:spacing w:line="240" w:lineRule="auto"/>
              <w:jc w:val="center"/>
              <w:rPr>
                <w:rFonts w:asciiTheme="majorBidi" w:hAnsiTheme="majorBidi" w:cstheme="majorBidi"/>
                <w:color w:val="000000"/>
              </w:rPr>
            </w:pPr>
            <w:r w:rsidRPr="00202885">
              <w:rPr>
                <w:rFonts w:asciiTheme="majorBidi" w:hAnsiTheme="majorBidi" w:cstheme="majorBidi"/>
                <w:color w:val="000000"/>
              </w:rPr>
              <w:t>1510</w:t>
            </w:r>
          </w:p>
        </w:tc>
      </w:tr>
    </w:tbl>
    <w:p w14:paraId="7384E603" w14:textId="15F5BB8B" w:rsidR="00845DC2" w:rsidRPr="00BA49B5" w:rsidRDefault="00BA49B5" w:rsidP="00BA49B5">
      <w:pPr>
        <w:spacing w:before="240"/>
        <w:jc w:val="center"/>
        <w:rPr>
          <w:u w:val="single"/>
          <w:lang w:val="en-US"/>
        </w:rPr>
      </w:pPr>
      <w:r>
        <w:rPr>
          <w:u w:val="single"/>
          <w:lang w:val="en-US"/>
        </w:rPr>
        <w:tab/>
      </w:r>
      <w:r>
        <w:rPr>
          <w:u w:val="single"/>
          <w:lang w:val="en-US"/>
        </w:rPr>
        <w:tab/>
      </w:r>
      <w:r>
        <w:rPr>
          <w:u w:val="single"/>
          <w:lang w:val="en-US"/>
        </w:rPr>
        <w:tab/>
      </w:r>
    </w:p>
    <w:sectPr w:rsidR="00845DC2" w:rsidRPr="00BA49B5" w:rsidSect="00B657A1">
      <w:headerReference w:type="even" r:id="rId18"/>
      <w:headerReference w:type="default" r:id="rId19"/>
      <w:footerReference w:type="even" r:id="rId20"/>
      <w:footerReference w:type="defaul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59D7" w14:textId="77777777" w:rsidR="0002039B" w:rsidRDefault="0002039B"/>
  </w:endnote>
  <w:endnote w:type="continuationSeparator" w:id="0">
    <w:p w14:paraId="2FEC7EB0" w14:textId="77777777" w:rsidR="0002039B" w:rsidRDefault="0002039B"/>
  </w:endnote>
  <w:endnote w:type="continuationNotice" w:id="1">
    <w:p w14:paraId="070B21AB" w14:textId="77777777" w:rsidR="0002039B" w:rsidRDefault="00020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72BD" w14:textId="77777777" w:rsidR="0002039B" w:rsidRPr="000B175B" w:rsidRDefault="0002039B" w:rsidP="000B175B">
      <w:pPr>
        <w:tabs>
          <w:tab w:val="right" w:pos="2155"/>
        </w:tabs>
        <w:spacing w:after="80"/>
        <w:ind w:left="680"/>
        <w:rPr>
          <w:u w:val="single"/>
        </w:rPr>
      </w:pPr>
      <w:r>
        <w:rPr>
          <w:u w:val="single"/>
        </w:rPr>
        <w:tab/>
      </w:r>
    </w:p>
  </w:footnote>
  <w:footnote w:type="continuationSeparator" w:id="0">
    <w:p w14:paraId="20DBC2C2" w14:textId="77777777" w:rsidR="0002039B" w:rsidRPr="00FC68B7" w:rsidRDefault="0002039B" w:rsidP="00FC68B7">
      <w:pPr>
        <w:tabs>
          <w:tab w:val="left" w:pos="2155"/>
        </w:tabs>
        <w:spacing w:after="80"/>
        <w:ind w:left="680"/>
        <w:rPr>
          <w:u w:val="single"/>
        </w:rPr>
      </w:pPr>
      <w:r>
        <w:rPr>
          <w:u w:val="single"/>
        </w:rPr>
        <w:tab/>
      </w:r>
    </w:p>
  </w:footnote>
  <w:footnote w:type="continuationNotice" w:id="1">
    <w:p w14:paraId="79B9B343" w14:textId="77777777" w:rsidR="0002039B" w:rsidRDefault="00020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1E604016"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BA49B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4F9DB6D6" w:rsidR="006C0DC6" w:rsidRPr="0099001C" w:rsidRDefault="006C0DC6" w:rsidP="00447D77">
    <w:pPr>
      <w:pStyle w:val="Header"/>
      <w:jc w:val="right"/>
    </w:pPr>
    <w:r>
      <w:t>UN/SCE</w:t>
    </w:r>
    <w:r w:rsidR="00C01A22">
      <w:t>TDG</w:t>
    </w:r>
    <w:r>
      <w:t>/</w:t>
    </w:r>
    <w:r w:rsidR="00C83CA0">
      <w:t>6</w:t>
    </w:r>
    <w:r w:rsidR="00E350F4">
      <w:t>3</w:t>
    </w:r>
    <w:r w:rsidR="00C07F9E">
      <w:t>/</w:t>
    </w:r>
    <w:r>
      <w:t>INF.</w:t>
    </w:r>
    <w:r w:rsidR="00BA49B5">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ing9"/>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27469"/>
    <w:multiLevelType w:val="hybridMultilevel"/>
    <w:tmpl w:val="6D30530E"/>
    <w:lvl w:ilvl="0" w:tplc="0409000F">
      <w:start w:val="1"/>
      <w:numFmt w:val="decimal"/>
      <w:lvlText w:val="%1."/>
      <w:lvlJc w:val="left"/>
      <w:pPr>
        <w:ind w:left="1854" w:hanging="360"/>
      </w:pPr>
    </w:lvl>
    <w:lvl w:ilvl="1" w:tplc="F0DCCFB0">
      <w:start w:val="1"/>
      <w:numFmt w:val="lowerLetter"/>
      <w:lvlText w:val="(%2)"/>
      <w:lvlJc w:val="left"/>
      <w:pPr>
        <w:ind w:left="2574" w:hanging="360"/>
      </w:pPr>
      <w:rPr>
        <w:rFonts w:hint="default"/>
      </w:rPr>
    </w:lvl>
    <w:lvl w:ilvl="2" w:tplc="C1F8BC24">
      <w:start w:val="2"/>
      <w:numFmt w:val="bullet"/>
      <w:lvlText w:val="-"/>
      <w:lvlJc w:val="left"/>
      <w:pPr>
        <w:ind w:left="3474" w:hanging="360"/>
      </w:pPr>
      <w:rPr>
        <w:rFonts w:ascii="Times New Roman" w:eastAsia="Times New Roman" w:hAnsi="Times New Roman"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9D32B8"/>
    <w:multiLevelType w:val="hybridMultilevel"/>
    <w:tmpl w:val="3CD889FE"/>
    <w:lvl w:ilvl="0" w:tplc="4664D14E">
      <w:start w:val="3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0CEE27E3"/>
    <w:multiLevelType w:val="multilevel"/>
    <w:tmpl w:val="3FB448EA"/>
    <w:styleLink w:val="Style1"/>
    <w:lvl w:ilvl="0">
      <w:start w:val="3"/>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54A6171"/>
    <w:multiLevelType w:val="hybridMultilevel"/>
    <w:tmpl w:val="F572D808"/>
    <w:lvl w:ilvl="0" w:tplc="001C8B80">
      <w:start w:val="1"/>
      <w:numFmt w:val="lowerRoman"/>
      <w:lvlText w:val="(%1)"/>
      <w:lvlJc w:val="left"/>
      <w:pPr>
        <w:ind w:left="1854" w:hanging="360"/>
      </w:pPr>
      <w:rPr>
        <w:rFonts w:hint="default"/>
      </w:rPr>
    </w:lvl>
    <w:lvl w:ilvl="1" w:tplc="F0DCCFB0">
      <w:start w:val="1"/>
      <w:numFmt w:val="lowerLetter"/>
      <w:lvlText w:val="(%2)"/>
      <w:lvlJc w:val="left"/>
      <w:pPr>
        <w:ind w:left="2574" w:hanging="360"/>
      </w:pPr>
      <w:rPr>
        <w:rFonts w:hint="default"/>
      </w:rPr>
    </w:lvl>
    <w:lvl w:ilvl="2" w:tplc="C1F8BC24">
      <w:start w:val="2"/>
      <w:numFmt w:val="bullet"/>
      <w:lvlText w:val="-"/>
      <w:lvlJc w:val="left"/>
      <w:pPr>
        <w:ind w:left="3474" w:hanging="360"/>
      </w:pPr>
      <w:rPr>
        <w:rFonts w:ascii="Times New Roman" w:eastAsia="Times New Roman" w:hAnsi="Times New Roman"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16DF1450"/>
    <w:multiLevelType w:val="hybridMultilevel"/>
    <w:tmpl w:val="9AFAD11A"/>
    <w:lvl w:ilvl="0" w:tplc="4240DF22">
      <w:start w:val="9"/>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8" w15:restartNumberingAfterBreak="0">
    <w:nsid w:val="1E5B44A4"/>
    <w:multiLevelType w:val="hybridMultilevel"/>
    <w:tmpl w:val="08C83D7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1B70E0"/>
    <w:multiLevelType w:val="multilevel"/>
    <w:tmpl w:val="6248C25C"/>
    <w:lvl w:ilvl="0">
      <w:start w:val="1"/>
      <w:numFmt w:val="decimal"/>
      <w:lvlText w:val="%1."/>
      <w:lvlJc w:val="left"/>
      <w:pPr>
        <w:ind w:left="360" w:hanging="360"/>
      </w:pPr>
    </w:lvl>
    <w:lvl w:ilvl="1">
      <w:start w:val="1"/>
      <w:numFmt w:val="decimal"/>
      <w:lvlText w:val="%1.%2."/>
      <w:lvlJc w:val="left"/>
      <w:pPr>
        <w:ind w:left="792" w:hanging="432"/>
      </w:pPr>
      <w:rPr>
        <w:color w:val="0070C0"/>
        <w:sz w:val="22"/>
        <w:szCs w:val="22"/>
      </w:rPr>
    </w:lvl>
    <w:lvl w:ilvl="2">
      <w:start w:val="1"/>
      <w:numFmt w:val="decimal"/>
      <w:lvlText w:val="%1.%2.%3."/>
      <w:lvlJc w:val="left"/>
      <w:pPr>
        <w:ind w:left="504" w:hanging="504"/>
      </w:pPr>
      <w:rPr>
        <w:b/>
        <w:bCs/>
        <w:sz w:val="22"/>
        <w:szCs w:val="22"/>
      </w:rPr>
    </w:lvl>
    <w:lvl w:ilvl="3">
      <w:start w:val="1"/>
      <w:numFmt w:val="decimal"/>
      <w:lvlText w:val="%1.%2.%3.%4."/>
      <w:lvlJc w:val="left"/>
      <w:pPr>
        <w:ind w:left="1728" w:hanging="648"/>
      </w:pPr>
      <w:rPr>
        <w:rFonts w:asciiTheme="minorHAnsi" w:hAnsiTheme="minorHAnsi" w:cstheme="minorHAnsi" w:hint="default"/>
        <w:b/>
        <w:bCs/>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2A1CED"/>
    <w:multiLevelType w:val="hybridMultilevel"/>
    <w:tmpl w:val="C4B6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E7F5F"/>
    <w:multiLevelType w:val="hybridMultilevel"/>
    <w:tmpl w:val="BAF4C720"/>
    <w:lvl w:ilvl="0" w:tplc="CE20592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29722265"/>
    <w:multiLevelType w:val="hybridMultilevel"/>
    <w:tmpl w:val="55668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8F191A"/>
    <w:multiLevelType w:val="hybridMultilevel"/>
    <w:tmpl w:val="2B1ADD9E"/>
    <w:lvl w:ilvl="0" w:tplc="B8BCB884">
      <w:start w:val="9"/>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4" w15:restartNumberingAfterBreak="0">
    <w:nsid w:val="2D541F15"/>
    <w:multiLevelType w:val="hybridMultilevel"/>
    <w:tmpl w:val="34983152"/>
    <w:lvl w:ilvl="0" w:tplc="023E744E">
      <w:start w:val="1"/>
      <w:numFmt w:val="decimal"/>
      <w:pStyle w:val="Nummerierung1"/>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8A14934"/>
    <w:multiLevelType w:val="hybridMultilevel"/>
    <w:tmpl w:val="6D30530E"/>
    <w:lvl w:ilvl="0" w:tplc="0409000F">
      <w:start w:val="1"/>
      <w:numFmt w:val="decimal"/>
      <w:lvlText w:val="%1."/>
      <w:lvlJc w:val="left"/>
      <w:pPr>
        <w:ind w:left="1854" w:hanging="360"/>
      </w:pPr>
    </w:lvl>
    <w:lvl w:ilvl="1" w:tplc="F0DCCFB0">
      <w:start w:val="1"/>
      <w:numFmt w:val="lowerLetter"/>
      <w:lvlText w:val="(%2)"/>
      <w:lvlJc w:val="left"/>
      <w:pPr>
        <w:ind w:left="2574" w:hanging="360"/>
      </w:pPr>
      <w:rPr>
        <w:rFonts w:hint="default"/>
      </w:rPr>
    </w:lvl>
    <w:lvl w:ilvl="2" w:tplc="C1F8BC24">
      <w:start w:val="2"/>
      <w:numFmt w:val="bullet"/>
      <w:lvlText w:val="-"/>
      <w:lvlJc w:val="left"/>
      <w:pPr>
        <w:ind w:left="3474" w:hanging="360"/>
      </w:pPr>
      <w:rPr>
        <w:rFonts w:ascii="Times New Roman" w:eastAsia="Times New Roman" w:hAnsi="Times New Roman"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416A37CA"/>
    <w:multiLevelType w:val="hybridMultilevel"/>
    <w:tmpl w:val="E640A2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6744FD"/>
    <w:multiLevelType w:val="hybridMultilevel"/>
    <w:tmpl w:val="458EA582"/>
    <w:lvl w:ilvl="0" w:tplc="5C20D42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4ABE1E11"/>
    <w:multiLevelType w:val="hybridMultilevel"/>
    <w:tmpl w:val="367EF882"/>
    <w:lvl w:ilvl="0" w:tplc="C59A5018">
      <w:start w:val="9"/>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4B8157A2"/>
    <w:multiLevelType w:val="hybridMultilevel"/>
    <w:tmpl w:val="748E0422"/>
    <w:lvl w:ilvl="0" w:tplc="001C8B80">
      <w:start w:val="1"/>
      <w:numFmt w:val="lowerRoman"/>
      <w:lvlText w:val="(%1)"/>
      <w:lvlJc w:val="left"/>
      <w:pPr>
        <w:ind w:left="2934" w:hanging="360"/>
      </w:pPr>
      <w:rPr>
        <w:rFonts w:hint="default"/>
      </w:rPr>
    </w:lvl>
    <w:lvl w:ilvl="1" w:tplc="04070019" w:tentative="1">
      <w:start w:val="1"/>
      <w:numFmt w:val="lowerLetter"/>
      <w:lvlText w:val="%2."/>
      <w:lvlJc w:val="left"/>
      <w:pPr>
        <w:ind w:left="3654" w:hanging="360"/>
      </w:pPr>
    </w:lvl>
    <w:lvl w:ilvl="2" w:tplc="0407001B" w:tentative="1">
      <w:start w:val="1"/>
      <w:numFmt w:val="lowerRoman"/>
      <w:lvlText w:val="%3."/>
      <w:lvlJc w:val="right"/>
      <w:pPr>
        <w:ind w:left="4374" w:hanging="180"/>
      </w:pPr>
    </w:lvl>
    <w:lvl w:ilvl="3" w:tplc="0407000F" w:tentative="1">
      <w:start w:val="1"/>
      <w:numFmt w:val="decimal"/>
      <w:lvlText w:val="%4."/>
      <w:lvlJc w:val="left"/>
      <w:pPr>
        <w:ind w:left="5094" w:hanging="360"/>
      </w:pPr>
    </w:lvl>
    <w:lvl w:ilvl="4" w:tplc="04070019" w:tentative="1">
      <w:start w:val="1"/>
      <w:numFmt w:val="lowerLetter"/>
      <w:lvlText w:val="%5."/>
      <w:lvlJc w:val="left"/>
      <w:pPr>
        <w:ind w:left="5814" w:hanging="360"/>
      </w:pPr>
    </w:lvl>
    <w:lvl w:ilvl="5" w:tplc="0407001B" w:tentative="1">
      <w:start w:val="1"/>
      <w:numFmt w:val="lowerRoman"/>
      <w:lvlText w:val="%6."/>
      <w:lvlJc w:val="right"/>
      <w:pPr>
        <w:ind w:left="6534" w:hanging="180"/>
      </w:pPr>
    </w:lvl>
    <w:lvl w:ilvl="6" w:tplc="0407000F" w:tentative="1">
      <w:start w:val="1"/>
      <w:numFmt w:val="decimal"/>
      <w:lvlText w:val="%7."/>
      <w:lvlJc w:val="left"/>
      <w:pPr>
        <w:ind w:left="7254" w:hanging="360"/>
      </w:pPr>
    </w:lvl>
    <w:lvl w:ilvl="7" w:tplc="04070019" w:tentative="1">
      <w:start w:val="1"/>
      <w:numFmt w:val="lowerLetter"/>
      <w:lvlText w:val="%8."/>
      <w:lvlJc w:val="left"/>
      <w:pPr>
        <w:ind w:left="7974" w:hanging="360"/>
      </w:pPr>
    </w:lvl>
    <w:lvl w:ilvl="8" w:tplc="0407001B" w:tentative="1">
      <w:start w:val="1"/>
      <w:numFmt w:val="lowerRoman"/>
      <w:lvlText w:val="%9."/>
      <w:lvlJc w:val="right"/>
      <w:pPr>
        <w:ind w:left="8694" w:hanging="180"/>
      </w:pPr>
    </w:lvl>
  </w:abstractNum>
  <w:abstractNum w:abstractNumId="30" w15:restartNumberingAfterBreak="0">
    <w:nsid w:val="4CA517BD"/>
    <w:multiLevelType w:val="multilevel"/>
    <w:tmpl w:val="6D30530E"/>
    <w:lvl w:ilvl="0">
      <w:start w:val="1"/>
      <w:numFmt w:val="decimal"/>
      <w:lvlText w:val="%1."/>
      <w:lvlJc w:val="left"/>
      <w:pPr>
        <w:ind w:left="1854" w:hanging="360"/>
      </w:pPr>
    </w:lvl>
    <w:lvl w:ilvl="1">
      <w:start w:val="1"/>
      <w:numFmt w:val="lowerLetter"/>
      <w:lvlText w:val="(%2)"/>
      <w:lvlJc w:val="left"/>
      <w:pPr>
        <w:ind w:left="2574" w:hanging="360"/>
      </w:pPr>
      <w:rPr>
        <w:rFonts w:hint="default"/>
      </w:rPr>
    </w:lvl>
    <w:lvl w:ilvl="2">
      <w:start w:val="2"/>
      <w:numFmt w:val="bullet"/>
      <w:lvlText w:val="-"/>
      <w:lvlJc w:val="left"/>
      <w:pPr>
        <w:ind w:left="3474" w:hanging="360"/>
      </w:pPr>
      <w:rPr>
        <w:rFonts w:ascii="Times New Roman" w:eastAsia="Times New Roman" w:hAnsi="Times New Roman" w:cs="Times New Roman" w:hint="default"/>
      </w:r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4E76534F"/>
    <w:multiLevelType w:val="hybridMultilevel"/>
    <w:tmpl w:val="A572AA9C"/>
    <w:lvl w:ilvl="0" w:tplc="F0DCCFB0">
      <w:start w:val="1"/>
      <w:numFmt w:val="lowerLetter"/>
      <w:lvlText w:val="(%1)"/>
      <w:lvlJc w:val="left"/>
      <w:pPr>
        <w:ind w:left="257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0911BE"/>
    <w:multiLevelType w:val="hybridMultilevel"/>
    <w:tmpl w:val="A67C97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183062"/>
    <w:multiLevelType w:val="hybridMultilevel"/>
    <w:tmpl w:val="FC8067FE"/>
    <w:lvl w:ilvl="0" w:tplc="ED043DCA">
      <w:start w:val="1"/>
      <w:numFmt w:val="bullet"/>
      <w:lvlText w:val=""/>
      <w:lvlJc w:val="left"/>
      <w:pPr>
        <w:ind w:left="360" w:hanging="360"/>
      </w:pPr>
      <w:rPr>
        <w:rFonts w:ascii="Symbol" w:hAnsi="Symbol" w:hint="default"/>
      </w:rPr>
    </w:lvl>
    <w:lvl w:ilvl="1" w:tplc="C6CAAB4A">
      <w:start w:val="1"/>
      <w:numFmt w:val="bullet"/>
      <w:lvlText w:val="o"/>
      <w:lvlJc w:val="left"/>
      <w:pPr>
        <w:ind w:left="1080" w:hanging="360"/>
      </w:pPr>
      <w:rPr>
        <w:rFonts w:ascii="Courier New" w:hAnsi="Courier New" w:hint="default"/>
      </w:rPr>
    </w:lvl>
    <w:lvl w:ilvl="2" w:tplc="A85C6CDE">
      <w:start w:val="1"/>
      <w:numFmt w:val="bullet"/>
      <w:lvlText w:val=""/>
      <w:lvlJc w:val="left"/>
      <w:pPr>
        <w:ind w:left="1800" w:hanging="360"/>
      </w:pPr>
      <w:rPr>
        <w:rFonts w:ascii="Wingdings" w:hAnsi="Wingdings" w:hint="default"/>
      </w:rPr>
    </w:lvl>
    <w:lvl w:ilvl="3" w:tplc="0A76D32E">
      <w:start w:val="1"/>
      <w:numFmt w:val="bullet"/>
      <w:lvlText w:val=""/>
      <w:lvlJc w:val="left"/>
      <w:pPr>
        <w:ind w:left="2520" w:hanging="360"/>
      </w:pPr>
      <w:rPr>
        <w:rFonts w:ascii="Symbol" w:hAnsi="Symbol" w:hint="default"/>
      </w:rPr>
    </w:lvl>
    <w:lvl w:ilvl="4" w:tplc="03AE93D8">
      <w:start w:val="1"/>
      <w:numFmt w:val="bullet"/>
      <w:lvlText w:val="o"/>
      <w:lvlJc w:val="left"/>
      <w:pPr>
        <w:ind w:left="3240" w:hanging="360"/>
      </w:pPr>
      <w:rPr>
        <w:rFonts w:ascii="Courier New" w:hAnsi="Courier New" w:hint="default"/>
      </w:rPr>
    </w:lvl>
    <w:lvl w:ilvl="5" w:tplc="62248312">
      <w:start w:val="1"/>
      <w:numFmt w:val="bullet"/>
      <w:lvlText w:val=""/>
      <w:lvlJc w:val="left"/>
      <w:pPr>
        <w:ind w:left="3960" w:hanging="360"/>
      </w:pPr>
      <w:rPr>
        <w:rFonts w:ascii="Wingdings" w:hAnsi="Wingdings" w:hint="default"/>
      </w:rPr>
    </w:lvl>
    <w:lvl w:ilvl="6" w:tplc="C174385A">
      <w:start w:val="1"/>
      <w:numFmt w:val="bullet"/>
      <w:lvlText w:val=""/>
      <w:lvlJc w:val="left"/>
      <w:pPr>
        <w:ind w:left="4680" w:hanging="360"/>
      </w:pPr>
      <w:rPr>
        <w:rFonts w:ascii="Symbol" w:hAnsi="Symbol" w:hint="default"/>
      </w:rPr>
    </w:lvl>
    <w:lvl w:ilvl="7" w:tplc="1E46E7E0">
      <w:start w:val="1"/>
      <w:numFmt w:val="bullet"/>
      <w:lvlText w:val="o"/>
      <w:lvlJc w:val="left"/>
      <w:pPr>
        <w:ind w:left="5400" w:hanging="360"/>
      </w:pPr>
      <w:rPr>
        <w:rFonts w:ascii="Courier New" w:hAnsi="Courier New" w:hint="default"/>
      </w:rPr>
    </w:lvl>
    <w:lvl w:ilvl="8" w:tplc="047EC464">
      <w:start w:val="1"/>
      <w:numFmt w:val="bullet"/>
      <w:lvlText w:val=""/>
      <w:lvlJc w:val="left"/>
      <w:pPr>
        <w:ind w:left="6120" w:hanging="360"/>
      </w:pPr>
      <w:rPr>
        <w:rFonts w:ascii="Wingdings" w:hAnsi="Wingdings" w:hint="default"/>
      </w:rPr>
    </w:lvl>
  </w:abstractNum>
  <w:abstractNum w:abstractNumId="34" w15:restartNumberingAfterBreak="0">
    <w:nsid w:val="5CCD703C"/>
    <w:multiLevelType w:val="hybridMultilevel"/>
    <w:tmpl w:val="F27C0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183B89"/>
    <w:multiLevelType w:val="hybridMultilevel"/>
    <w:tmpl w:val="784C617C"/>
    <w:lvl w:ilvl="0" w:tplc="6ED68F92">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2EC3770"/>
    <w:multiLevelType w:val="multilevel"/>
    <w:tmpl w:val="3FB448EA"/>
    <w:numStyleLink w:val="Style1"/>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FD1"/>
    <w:multiLevelType w:val="hybridMultilevel"/>
    <w:tmpl w:val="6D30530E"/>
    <w:lvl w:ilvl="0" w:tplc="0409000F">
      <w:start w:val="1"/>
      <w:numFmt w:val="decimal"/>
      <w:lvlText w:val="%1."/>
      <w:lvlJc w:val="left"/>
      <w:pPr>
        <w:ind w:left="1854" w:hanging="360"/>
      </w:pPr>
    </w:lvl>
    <w:lvl w:ilvl="1" w:tplc="F0DCCFB0">
      <w:start w:val="1"/>
      <w:numFmt w:val="lowerLetter"/>
      <w:lvlText w:val="(%2)"/>
      <w:lvlJc w:val="left"/>
      <w:pPr>
        <w:ind w:left="2574" w:hanging="360"/>
      </w:pPr>
      <w:rPr>
        <w:rFonts w:hint="default"/>
      </w:rPr>
    </w:lvl>
    <w:lvl w:ilvl="2" w:tplc="C1F8BC24">
      <w:start w:val="2"/>
      <w:numFmt w:val="bullet"/>
      <w:lvlText w:val="-"/>
      <w:lvlJc w:val="left"/>
      <w:pPr>
        <w:ind w:left="3474" w:hanging="360"/>
      </w:pPr>
      <w:rPr>
        <w:rFonts w:ascii="Times New Roman" w:eastAsia="Times New Roman" w:hAnsi="Times New Roman"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735F448C"/>
    <w:multiLevelType w:val="hybridMultilevel"/>
    <w:tmpl w:val="55BC5F40"/>
    <w:lvl w:ilvl="0" w:tplc="0409000F">
      <w:start w:val="1"/>
      <w:numFmt w:val="decimal"/>
      <w:lvlText w:val="%1."/>
      <w:lvlJc w:val="left"/>
      <w:pPr>
        <w:ind w:left="2062" w:hanging="360"/>
      </w:pPr>
    </w:lvl>
    <w:lvl w:ilvl="1" w:tplc="F0DCCFB0">
      <w:start w:val="1"/>
      <w:numFmt w:val="lowerLetter"/>
      <w:lvlText w:val="(%2)"/>
      <w:lvlJc w:val="left"/>
      <w:pPr>
        <w:ind w:left="2574" w:hanging="360"/>
      </w:pPr>
      <w:rPr>
        <w:rFonts w:hint="default"/>
      </w:rPr>
    </w:lvl>
    <w:lvl w:ilvl="2" w:tplc="C1F8BC24">
      <w:start w:val="2"/>
      <w:numFmt w:val="bullet"/>
      <w:lvlText w:val="-"/>
      <w:lvlJc w:val="left"/>
      <w:pPr>
        <w:ind w:left="3474" w:hanging="360"/>
      </w:pPr>
      <w:rPr>
        <w:rFonts w:ascii="Times New Roman" w:eastAsia="Times New Roman" w:hAnsi="Times New Roman" w:cs="Times New Roman" w:hint="default"/>
      </w:rPr>
    </w:lvl>
    <w:lvl w:ilvl="3" w:tplc="ACE6750A">
      <w:start w:val="3"/>
      <w:numFmt w:val="lowerRoman"/>
      <w:lvlText w:val="(%4)"/>
      <w:lvlJc w:val="left"/>
      <w:pPr>
        <w:ind w:left="4374" w:hanging="72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232A02"/>
    <w:multiLevelType w:val="hybridMultilevel"/>
    <w:tmpl w:val="6D30530E"/>
    <w:lvl w:ilvl="0" w:tplc="0409000F">
      <w:start w:val="1"/>
      <w:numFmt w:val="decimal"/>
      <w:lvlText w:val="%1."/>
      <w:lvlJc w:val="left"/>
      <w:pPr>
        <w:ind w:left="1854" w:hanging="360"/>
      </w:pPr>
    </w:lvl>
    <w:lvl w:ilvl="1" w:tplc="F0DCCFB0">
      <w:start w:val="1"/>
      <w:numFmt w:val="lowerLetter"/>
      <w:lvlText w:val="(%2)"/>
      <w:lvlJc w:val="left"/>
      <w:pPr>
        <w:ind w:left="2574" w:hanging="360"/>
      </w:pPr>
      <w:rPr>
        <w:rFonts w:hint="default"/>
      </w:rPr>
    </w:lvl>
    <w:lvl w:ilvl="2" w:tplc="C1F8BC24">
      <w:start w:val="2"/>
      <w:numFmt w:val="bullet"/>
      <w:lvlText w:val="-"/>
      <w:lvlJc w:val="left"/>
      <w:pPr>
        <w:ind w:left="3474" w:hanging="360"/>
      </w:pPr>
      <w:rPr>
        <w:rFonts w:ascii="Times New Roman" w:eastAsia="Times New Roman" w:hAnsi="Times New Roman"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15:restartNumberingAfterBreak="0">
    <w:nsid w:val="7F302CBB"/>
    <w:multiLevelType w:val="hybridMultilevel"/>
    <w:tmpl w:val="FBF8F0E2"/>
    <w:lvl w:ilvl="0" w:tplc="9ABA736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94792902">
    <w:abstractNumId w:val="11"/>
  </w:num>
  <w:num w:numId="2" w16cid:durableId="782774792">
    <w:abstractNumId w:val="39"/>
  </w:num>
  <w:num w:numId="3" w16cid:durableId="1421026477">
    <w:abstractNumId w:val="36"/>
  </w:num>
  <w:num w:numId="4" w16cid:durableId="980497882">
    <w:abstractNumId w:val="43"/>
  </w:num>
  <w:num w:numId="5" w16cid:durableId="412092140">
    <w:abstractNumId w:val="15"/>
  </w:num>
  <w:num w:numId="6" w16cid:durableId="527067517">
    <w:abstractNumId w:val="18"/>
  </w:num>
  <w:num w:numId="7" w16cid:durableId="1086536412">
    <w:abstractNumId w:val="33"/>
  </w:num>
  <w:num w:numId="8" w16cid:durableId="1329214993">
    <w:abstractNumId w:val="22"/>
  </w:num>
  <w:num w:numId="9" w16cid:durableId="1756318055">
    <w:abstractNumId w:val="37"/>
  </w:num>
  <w:num w:numId="10" w16cid:durableId="1137141715">
    <w:abstractNumId w:val="14"/>
  </w:num>
  <w:num w:numId="11" w16cid:durableId="1637832749">
    <w:abstractNumId w:val="34"/>
  </w:num>
  <w:num w:numId="12" w16cid:durableId="1909340116">
    <w:abstractNumId w:val="32"/>
  </w:num>
  <w:num w:numId="13" w16cid:durableId="1500999612">
    <w:abstractNumId w:val="20"/>
  </w:num>
  <w:num w:numId="14" w16cid:durableId="916327653">
    <w:abstractNumId w:val="26"/>
  </w:num>
  <w:num w:numId="15" w16cid:durableId="1530751858">
    <w:abstractNumId w:val="19"/>
  </w:num>
  <w:num w:numId="16" w16cid:durableId="1550067775">
    <w:abstractNumId w:val="1"/>
  </w:num>
  <w:num w:numId="17" w16cid:durableId="1082799556">
    <w:abstractNumId w:val="0"/>
  </w:num>
  <w:num w:numId="18" w16cid:durableId="1841895500">
    <w:abstractNumId w:val="2"/>
  </w:num>
  <w:num w:numId="19" w16cid:durableId="1494832261">
    <w:abstractNumId w:val="3"/>
  </w:num>
  <w:num w:numId="20" w16cid:durableId="903839055">
    <w:abstractNumId w:val="8"/>
  </w:num>
  <w:num w:numId="21" w16cid:durableId="389770968">
    <w:abstractNumId w:val="9"/>
  </w:num>
  <w:num w:numId="22" w16cid:durableId="706024708">
    <w:abstractNumId w:val="7"/>
  </w:num>
  <w:num w:numId="23" w16cid:durableId="1943952728">
    <w:abstractNumId w:val="6"/>
  </w:num>
  <w:num w:numId="24" w16cid:durableId="1376857979">
    <w:abstractNumId w:val="5"/>
  </w:num>
  <w:num w:numId="25" w16cid:durableId="1352338033">
    <w:abstractNumId w:val="4"/>
  </w:num>
  <w:num w:numId="26" w16cid:durableId="1031221157">
    <w:abstractNumId w:val="12"/>
  </w:num>
  <w:num w:numId="27" w16cid:durableId="438642727">
    <w:abstractNumId w:val="38"/>
  </w:num>
  <w:num w:numId="28" w16cid:durableId="147867148">
    <w:abstractNumId w:val="42"/>
  </w:num>
  <w:num w:numId="29" w16cid:durableId="150877864">
    <w:abstractNumId w:val="24"/>
  </w:num>
  <w:num w:numId="30" w16cid:durableId="372847821">
    <w:abstractNumId w:val="41"/>
  </w:num>
  <w:num w:numId="31" w16cid:durableId="1208101817">
    <w:abstractNumId w:val="16"/>
  </w:num>
  <w:num w:numId="32" w16cid:durableId="529687663">
    <w:abstractNumId w:val="28"/>
  </w:num>
  <w:num w:numId="33" w16cid:durableId="1251506662">
    <w:abstractNumId w:val="40"/>
  </w:num>
  <w:num w:numId="34" w16cid:durableId="1299218304">
    <w:abstractNumId w:val="44"/>
  </w:num>
  <w:num w:numId="35" w16cid:durableId="433601605">
    <w:abstractNumId w:val="25"/>
  </w:num>
  <w:num w:numId="36" w16cid:durableId="1372801033">
    <w:abstractNumId w:val="30"/>
  </w:num>
  <w:num w:numId="37" w16cid:durableId="1177764629">
    <w:abstractNumId w:val="29"/>
  </w:num>
  <w:num w:numId="38" w16cid:durableId="799222730">
    <w:abstractNumId w:val="31"/>
  </w:num>
  <w:num w:numId="39" w16cid:durableId="289828780">
    <w:abstractNumId w:val="10"/>
  </w:num>
  <w:num w:numId="40" w16cid:durableId="1504934728">
    <w:abstractNumId w:val="17"/>
  </w:num>
  <w:num w:numId="41" w16cid:durableId="1362433533">
    <w:abstractNumId w:val="13"/>
  </w:num>
  <w:num w:numId="42" w16cid:durableId="833185215">
    <w:abstractNumId w:val="23"/>
  </w:num>
  <w:num w:numId="43" w16cid:durableId="1666590521">
    <w:abstractNumId w:val="21"/>
  </w:num>
  <w:num w:numId="44" w16cid:durableId="585460611">
    <w:abstractNumId w:val="45"/>
  </w:num>
  <w:num w:numId="45" w16cid:durableId="2135784350">
    <w:abstractNumId w:val="27"/>
  </w:num>
  <w:num w:numId="46" w16cid:durableId="179937416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126D2"/>
    <w:rsid w:val="00012767"/>
    <w:rsid w:val="000137FF"/>
    <w:rsid w:val="00013D99"/>
    <w:rsid w:val="000170CB"/>
    <w:rsid w:val="00017986"/>
    <w:rsid w:val="0002039B"/>
    <w:rsid w:val="000204EA"/>
    <w:rsid w:val="0002214E"/>
    <w:rsid w:val="00025C33"/>
    <w:rsid w:val="0003123C"/>
    <w:rsid w:val="00031CBB"/>
    <w:rsid w:val="00033B3D"/>
    <w:rsid w:val="00034E80"/>
    <w:rsid w:val="00042311"/>
    <w:rsid w:val="00042858"/>
    <w:rsid w:val="00042DC9"/>
    <w:rsid w:val="00043E1A"/>
    <w:rsid w:val="0004433E"/>
    <w:rsid w:val="0004441E"/>
    <w:rsid w:val="000448F5"/>
    <w:rsid w:val="00050F6B"/>
    <w:rsid w:val="00051214"/>
    <w:rsid w:val="00052AC5"/>
    <w:rsid w:val="00054C58"/>
    <w:rsid w:val="00055014"/>
    <w:rsid w:val="0005512E"/>
    <w:rsid w:val="00056270"/>
    <w:rsid w:val="00057F51"/>
    <w:rsid w:val="000604EC"/>
    <w:rsid w:val="000609DB"/>
    <w:rsid w:val="0006446B"/>
    <w:rsid w:val="000668CB"/>
    <w:rsid w:val="0006754E"/>
    <w:rsid w:val="000723E7"/>
    <w:rsid w:val="00072C8C"/>
    <w:rsid w:val="00076279"/>
    <w:rsid w:val="00076E62"/>
    <w:rsid w:val="000778B2"/>
    <w:rsid w:val="000803B3"/>
    <w:rsid w:val="00081647"/>
    <w:rsid w:val="00081F44"/>
    <w:rsid w:val="00083694"/>
    <w:rsid w:val="00083C33"/>
    <w:rsid w:val="000877CA"/>
    <w:rsid w:val="00090A51"/>
    <w:rsid w:val="00092EFC"/>
    <w:rsid w:val="000931C0"/>
    <w:rsid w:val="0009390A"/>
    <w:rsid w:val="0009481C"/>
    <w:rsid w:val="00096CD4"/>
    <w:rsid w:val="000A0664"/>
    <w:rsid w:val="000A0F8C"/>
    <w:rsid w:val="000A18E8"/>
    <w:rsid w:val="000A22EE"/>
    <w:rsid w:val="000A2372"/>
    <w:rsid w:val="000A3E88"/>
    <w:rsid w:val="000A5146"/>
    <w:rsid w:val="000B175B"/>
    <w:rsid w:val="000B293A"/>
    <w:rsid w:val="000B3A0F"/>
    <w:rsid w:val="000B4AAF"/>
    <w:rsid w:val="000B4C96"/>
    <w:rsid w:val="000C0B5E"/>
    <w:rsid w:val="000C0C81"/>
    <w:rsid w:val="000C0CCF"/>
    <w:rsid w:val="000C1589"/>
    <w:rsid w:val="000C25B7"/>
    <w:rsid w:val="000C38D0"/>
    <w:rsid w:val="000C5B0B"/>
    <w:rsid w:val="000C6544"/>
    <w:rsid w:val="000C6A00"/>
    <w:rsid w:val="000D14AA"/>
    <w:rsid w:val="000D191F"/>
    <w:rsid w:val="000D39F8"/>
    <w:rsid w:val="000D3AEA"/>
    <w:rsid w:val="000D3B0C"/>
    <w:rsid w:val="000D6604"/>
    <w:rsid w:val="000D7DB6"/>
    <w:rsid w:val="000E0415"/>
    <w:rsid w:val="000E0B46"/>
    <w:rsid w:val="000E1ED2"/>
    <w:rsid w:val="000E45CC"/>
    <w:rsid w:val="000E51CE"/>
    <w:rsid w:val="000E66BC"/>
    <w:rsid w:val="000F2CE1"/>
    <w:rsid w:val="000F368C"/>
    <w:rsid w:val="000F3DDC"/>
    <w:rsid w:val="000F6C7B"/>
    <w:rsid w:val="001007F0"/>
    <w:rsid w:val="00100A9D"/>
    <w:rsid w:val="00102373"/>
    <w:rsid w:val="001035FB"/>
    <w:rsid w:val="00107042"/>
    <w:rsid w:val="00110386"/>
    <w:rsid w:val="0011098D"/>
    <w:rsid w:val="00110DF6"/>
    <w:rsid w:val="00111F3F"/>
    <w:rsid w:val="00114F7C"/>
    <w:rsid w:val="0011793B"/>
    <w:rsid w:val="00120412"/>
    <w:rsid w:val="001220B8"/>
    <w:rsid w:val="001235BE"/>
    <w:rsid w:val="00123D08"/>
    <w:rsid w:val="001240C5"/>
    <w:rsid w:val="00126AA6"/>
    <w:rsid w:val="00126D35"/>
    <w:rsid w:val="0013106B"/>
    <w:rsid w:val="00132EE2"/>
    <w:rsid w:val="0013397C"/>
    <w:rsid w:val="00134971"/>
    <w:rsid w:val="001362CB"/>
    <w:rsid w:val="0013641F"/>
    <w:rsid w:val="001373F3"/>
    <w:rsid w:val="00137D36"/>
    <w:rsid w:val="001413E6"/>
    <w:rsid w:val="00144078"/>
    <w:rsid w:val="001547CA"/>
    <w:rsid w:val="00156F3C"/>
    <w:rsid w:val="001608BE"/>
    <w:rsid w:val="00162389"/>
    <w:rsid w:val="00162BF7"/>
    <w:rsid w:val="00163012"/>
    <w:rsid w:val="00163D0D"/>
    <w:rsid w:val="00165823"/>
    <w:rsid w:val="0016583F"/>
    <w:rsid w:val="001661FA"/>
    <w:rsid w:val="001706D8"/>
    <w:rsid w:val="00172643"/>
    <w:rsid w:val="00172AF7"/>
    <w:rsid w:val="00175196"/>
    <w:rsid w:val="00177B5E"/>
    <w:rsid w:val="001806E6"/>
    <w:rsid w:val="00184ED4"/>
    <w:rsid w:val="00190AEA"/>
    <w:rsid w:val="001913D8"/>
    <w:rsid w:val="001968A3"/>
    <w:rsid w:val="00196CD0"/>
    <w:rsid w:val="001A1B3F"/>
    <w:rsid w:val="001A289F"/>
    <w:rsid w:val="001A2C53"/>
    <w:rsid w:val="001A3CE1"/>
    <w:rsid w:val="001A42F3"/>
    <w:rsid w:val="001A6CE5"/>
    <w:rsid w:val="001B1308"/>
    <w:rsid w:val="001B1F42"/>
    <w:rsid w:val="001B4B04"/>
    <w:rsid w:val="001B7FE6"/>
    <w:rsid w:val="001C0BFF"/>
    <w:rsid w:val="001C6663"/>
    <w:rsid w:val="001C7895"/>
    <w:rsid w:val="001D1865"/>
    <w:rsid w:val="001D1E09"/>
    <w:rsid w:val="001D1E2A"/>
    <w:rsid w:val="001D26DF"/>
    <w:rsid w:val="001D5B87"/>
    <w:rsid w:val="001D6D9F"/>
    <w:rsid w:val="001E47FD"/>
    <w:rsid w:val="001E4C75"/>
    <w:rsid w:val="001E55E1"/>
    <w:rsid w:val="001E58EE"/>
    <w:rsid w:val="001E5A79"/>
    <w:rsid w:val="001E710B"/>
    <w:rsid w:val="001F20EB"/>
    <w:rsid w:val="001F262C"/>
    <w:rsid w:val="001F3237"/>
    <w:rsid w:val="001F6343"/>
    <w:rsid w:val="00205370"/>
    <w:rsid w:val="0020556E"/>
    <w:rsid w:val="00206DE0"/>
    <w:rsid w:val="00207368"/>
    <w:rsid w:val="0021004F"/>
    <w:rsid w:val="002110AE"/>
    <w:rsid w:val="00211ADF"/>
    <w:rsid w:val="00211D0D"/>
    <w:rsid w:val="00211E0B"/>
    <w:rsid w:val="0021247E"/>
    <w:rsid w:val="00214734"/>
    <w:rsid w:val="00220F34"/>
    <w:rsid w:val="00222983"/>
    <w:rsid w:val="00226D5F"/>
    <w:rsid w:val="00226D9D"/>
    <w:rsid w:val="00231986"/>
    <w:rsid w:val="00234380"/>
    <w:rsid w:val="002348F4"/>
    <w:rsid w:val="0023564D"/>
    <w:rsid w:val="00236AC7"/>
    <w:rsid w:val="00236E81"/>
    <w:rsid w:val="002401EF"/>
    <w:rsid w:val="00240479"/>
    <w:rsid w:val="002405A7"/>
    <w:rsid w:val="00244673"/>
    <w:rsid w:val="00245A12"/>
    <w:rsid w:val="00245F5C"/>
    <w:rsid w:val="0024624B"/>
    <w:rsid w:val="002505DA"/>
    <w:rsid w:val="002517DF"/>
    <w:rsid w:val="0025679D"/>
    <w:rsid w:val="002570BC"/>
    <w:rsid w:val="00257E45"/>
    <w:rsid w:val="00260792"/>
    <w:rsid w:val="002615FA"/>
    <w:rsid w:val="00262488"/>
    <w:rsid w:val="00263372"/>
    <w:rsid w:val="00263951"/>
    <w:rsid w:val="00265671"/>
    <w:rsid w:val="00266898"/>
    <w:rsid w:val="0027313E"/>
    <w:rsid w:val="002754AA"/>
    <w:rsid w:val="00275D77"/>
    <w:rsid w:val="002772D1"/>
    <w:rsid w:val="00284A54"/>
    <w:rsid w:val="00285613"/>
    <w:rsid w:val="00286659"/>
    <w:rsid w:val="002869C6"/>
    <w:rsid w:val="00286F27"/>
    <w:rsid w:val="00290ADF"/>
    <w:rsid w:val="002966BB"/>
    <w:rsid w:val="00296DEC"/>
    <w:rsid w:val="002A26BE"/>
    <w:rsid w:val="002A4DFC"/>
    <w:rsid w:val="002A537C"/>
    <w:rsid w:val="002A5947"/>
    <w:rsid w:val="002A5A2D"/>
    <w:rsid w:val="002A7047"/>
    <w:rsid w:val="002A7A9F"/>
    <w:rsid w:val="002B079A"/>
    <w:rsid w:val="002B18C9"/>
    <w:rsid w:val="002B1E40"/>
    <w:rsid w:val="002B3993"/>
    <w:rsid w:val="002B4916"/>
    <w:rsid w:val="002B66EE"/>
    <w:rsid w:val="002B670E"/>
    <w:rsid w:val="002B6A44"/>
    <w:rsid w:val="002C133E"/>
    <w:rsid w:val="002C1386"/>
    <w:rsid w:val="002C21E5"/>
    <w:rsid w:val="002C22EC"/>
    <w:rsid w:val="002C267E"/>
    <w:rsid w:val="002C347A"/>
    <w:rsid w:val="002C710D"/>
    <w:rsid w:val="002D14CB"/>
    <w:rsid w:val="002D4449"/>
    <w:rsid w:val="002D59D3"/>
    <w:rsid w:val="002E0624"/>
    <w:rsid w:val="002E08AE"/>
    <w:rsid w:val="002E2225"/>
    <w:rsid w:val="002E45CB"/>
    <w:rsid w:val="002E6284"/>
    <w:rsid w:val="002E716A"/>
    <w:rsid w:val="002E7C49"/>
    <w:rsid w:val="002F1024"/>
    <w:rsid w:val="002F1089"/>
    <w:rsid w:val="002F247E"/>
    <w:rsid w:val="002F3DFA"/>
    <w:rsid w:val="002F793D"/>
    <w:rsid w:val="002F7D86"/>
    <w:rsid w:val="00303D11"/>
    <w:rsid w:val="00305C3C"/>
    <w:rsid w:val="003073F4"/>
    <w:rsid w:val="003107FA"/>
    <w:rsid w:val="003118D4"/>
    <w:rsid w:val="003127A2"/>
    <w:rsid w:val="00313239"/>
    <w:rsid w:val="003140CE"/>
    <w:rsid w:val="00316807"/>
    <w:rsid w:val="00316C4E"/>
    <w:rsid w:val="003171BC"/>
    <w:rsid w:val="00320D6F"/>
    <w:rsid w:val="003217B0"/>
    <w:rsid w:val="00321878"/>
    <w:rsid w:val="003229D8"/>
    <w:rsid w:val="00323004"/>
    <w:rsid w:val="00323B61"/>
    <w:rsid w:val="0032442E"/>
    <w:rsid w:val="0032489E"/>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55D3"/>
    <w:rsid w:val="00346381"/>
    <w:rsid w:val="00350692"/>
    <w:rsid w:val="003506B8"/>
    <w:rsid w:val="00351974"/>
    <w:rsid w:val="00352E14"/>
    <w:rsid w:val="00353DBA"/>
    <w:rsid w:val="003565E5"/>
    <w:rsid w:val="00356C2E"/>
    <w:rsid w:val="00360834"/>
    <w:rsid w:val="0036192E"/>
    <w:rsid w:val="00363EAF"/>
    <w:rsid w:val="00364E58"/>
    <w:rsid w:val="00366CA7"/>
    <w:rsid w:val="0037088A"/>
    <w:rsid w:val="0037249C"/>
    <w:rsid w:val="00372AA1"/>
    <w:rsid w:val="00373BDC"/>
    <w:rsid w:val="003769FF"/>
    <w:rsid w:val="003819B1"/>
    <w:rsid w:val="0038414C"/>
    <w:rsid w:val="003841B8"/>
    <w:rsid w:val="00385DF6"/>
    <w:rsid w:val="003864F3"/>
    <w:rsid w:val="0038656E"/>
    <w:rsid w:val="00387A81"/>
    <w:rsid w:val="00390529"/>
    <w:rsid w:val="00392174"/>
    <w:rsid w:val="0039277A"/>
    <w:rsid w:val="00393753"/>
    <w:rsid w:val="003937A6"/>
    <w:rsid w:val="0039574B"/>
    <w:rsid w:val="003972E0"/>
    <w:rsid w:val="003A26B0"/>
    <w:rsid w:val="003A402E"/>
    <w:rsid w:val="003A4B23"/>
    <w:rsid w:val="003A5D05"/>
    <w:rsid w:val="003B14B9"/>
    <w:rsid w:val="003B232F"/>
    <w:rsid w:val="003B39CC"/>
    <w:rsid w:val="003B4269"/>
    <w:rsid w:val="003B5C5C"/>
    <w:rsid w:val="003B7321"/>
    <w:rsid w:val="003B7434"/>
    <w:rsid w:val="003C278A"/>
    <w:rsid w:val="003C2CC4"/>
    <w:rsid w:val="003C32AD"/>
    <w:rsid w:val="003C3936"/>
    <w:rsid w:val="003C4B7F"/>
    <w:rsid w:val="003C7292"/>
    <w:rsid w:val="003C72DD"/>
    <w:rsid w:val="003D02C2"/>
    <w:rsid w:val="003D1EA9"/>
    <w:rsid w:val="003D4B23"/>
    <w:rsid w:val="003D621B"/>
    <w:rsid w:val="003D7BE7"/>
    <w:rsid w:val="003E117E"/>
    <w:rsid w:val="003E1216"/>
    <w:rsid w:val="003E1B5B"/>
    <w:rsid w:val="003E351E"/>
    <w:rsid w:val="003F0752"/>
    <w:rsid w:val="003F144C"/>
    <w:rsid w:val="003F18A0"/>
    <w:rsid w:val="003F1ED3"/>
    <w:rsid w:val="003F29E4"/>
    <w:rsid w:val="003F4CBA"/>
    <w:rsid w:val="003F5048"/>
    <w:rsid w:val="003F5E77"/>
    <w:rsid w:val="003F668F"/>
    <w:rsid w:val="003F6DAE"/>
    <w:rsid w:val="003F7973"/>
    <w:rsid w:val="003F7A75"/>
    <w:rsid w:val="00400C8E"/>
    <w:rsid w:val="00401917"/>
    <w:rsid w:val="00405396"/>
    <w:rsid w:val="0040598C"/>
    <w:rsid w:val="00405B36"/>
    <w:rsid w:val="00406BC0"/>
    <w:rsid w:val="00410733"/>
    <w:rsid w:val="00412844"/>
    <w:rsid w:val="00415CD3"/>
    <w:rsid w:val="004160C6"/>
    <w:rsid w:val="004160EA"/>
    <w:rsid w:val="004206EC"/>
    <w:rsid w:val="004230C0"/>
    <w:rsid w:val="0042588C"/>
    <w:rsid w:val="00426C3A"/>
    <w:rsid w:val="00426C9C"/>
    <w:rsid w:val="00431377"/>
    <w:rsid w:val="00431C5B"/>
    <w:rsid w:val="00431EFF"/>
    <w:rsid w:val="0043214F"/>
    <w:rsid w:val="004325CB"/>
    <w:rsid w:val="004368C0"/>
    <w:rsid w:val="0043783F"/>
    <w:rsid w:val="00437EFC"/>
    <w:rsid w:val="00440258"/>
    <w:rsid w:val="00440DC8"/>
    <w:rsid w:val="0044151A"/>
    <w:rsid w:val="00441D9D"/>
    <w:rsid w:val="004458CC"/>
    <w:rsid w:val="00446DE4"/>
    <w:rsid w:val="00447D77"/>
    <w:rsid w:val="00451562"/>
    <w:rsid w:val="00452766"/>
    <w:rsid w:val="0045333F"/>
    <w:rsid w:val="00455859"/>
    <w:rsid w:val="00455D72"/>
    <w:rsid w:val="00455DB6"/>
    <w:rsid w:val="00457447"/>
    <w:rsid w:val="00457B08"/>
    <w:rsid w:val="00460DD9"/>
    <w:rsid w:val="0046228F"/>
    <w:rsid w:val="00462C6B"/>
    <w:rsid w:val="004657ED"/>
    <w:rsid w:val="00466986"/>
    <w:rsid w:val="0046790F"/>
    <w:rsid w:val="00467927"/>
    <w:rsid w:val="00467C48"/>
    <w:rsid w:val="0047074F"/>
    <w:rsid w:val="004750BF"/>
    <w:rsid w:val="004750F2"/>
    <w:rsid w:val="004774B9"/>
    <w:rsid w:val="00480EB6"/>
    <w:rsid w:val="0048291A"/>
    <w:rsid w:val="004901B7"/>
    <w:rsid w:val="0049119A"/>
    <w:rsid w:val="0049427E"/>
    <w:rsid w:val="00494847"/>
    <w:rsid w:val="00494B5D"/>
    <w:rsid w:val="0049647C"/>
    <w:rsid w:val="00497707"/>
    <w:rsid w:val="00497A7B"/>
    <w:rsid w:val="004A0596"/>
    <w:rsid w:val="004A0F75"/>
    <w:rsid w:val="004A18AA"/>
    <w:rsid w:val="004A26AA"/>
    <w:rsid w:val="004A2EA2"/>
    <w:rsid w:val="004A3F42"/>
    <w:rsid w:val="004A41CA"/>
    <w:rsid w:val="004A5A26"/>
    <w:rsid w:val="004A6072"/>
    <w:rsid w:val="004A6265"/>
    <w:rsid w:val="004A6319"/>
    <w:rsid w:val="004A6C6E"/>
    <w:rsid w:val="004A707C"/>
    <w:rsid w:val="004A7239"/>
    <w:rsid w:val="004B0E57"/>
    <w:rsid w:val="004B2DC9"/>
    <w:rsid w:val="004B334F"/>
    <w:rsid w:val="004B6733"/>
    <w:rsid w:val="004C012B"/>
    <w:rsid w:val="004C4CD5"/>
    <w:rsid w:val="004C7AF7"/>
    <w:rsid w:val="004D16C5"/>
    <w:rsid w:val="004D25A5"/>
    <w:rsid w:val="004D40EA"/>
    <w:rsid w:val="004D5A7E"/>
    <w:rsid w:val="004D5CB2"/>
    <w:rsid w:val="004D6E91"/>
    <w:rsid w:val="004D7EFA"/>
    <w:rsid w:val="004E09B1"/>
    <w:rsid w:val="004E33E3"/>
    <w:rsid w:val="004E3926"/>
    <w:rsid w:val="004E4625"/>
    <w:rsid w:val="004E478E"/>
    <w:rsid w:val="004E5083"/>
    <w:rsid w:val="004E6690"/>
    <w:rsid w:val="004E674C"/>
    <w:rsid w:val="004E76F6"/>
    <w:rsid w:val="004E7DE6"/>
    <w:rsid w:val="004F1932"/>
    <w:rsid w:val="004F3C20"/>
    <w:rsid w:val="004F43E6"/>
    <w:rsid w:val="004F4B24"/>
    <w:rsid w:val="004F5202"/>
    <w:rsid w:val="004F65C1"/>
    <w:rsid w:val="00501115"/>
    <w:rsid w:val="00501D18"/>
    <w:rsid w:val="00503228"/>
    <w:rsid w:val="00503516"/>
    <w:rsid w:val="00505384"/>
    <w:rsid w:val="00505932"/>
    <w:rsid w:val="00506AB0"/>
    <w:rsid w:val="0050790D"/>
    <w:rsid w:val="0051049E"/>
    <w:rsid w:val="00512E8B"/>
    <w:rsid w:val="00515387"/>
    <w:rsid w:val="00515AB9"/>
    <w:rsid w:val="00516318"/>
    <w:rsid w:val="0051748D"/>
    <w:rsid w:val="00517A1B"/>
    <w:rsid w:val="00521E28"/>
    <w:rsid w:val="00525275"/>
    <w:rsid w:val="0052543F"/>
    <w:rsid w:val="005255CD"/>
    <w:rsid w:val="00526E8A"/>
    <w:rsid w:val="00527173"/>
    <w:rsid w:val="00532EF8"/>
    <w:rsid w:val="005356FB"/>
    <w:rsid w:val="00537DE9"/>
    <w:rsid w:val="00540DD6"/>
    <w:rsid w:val="005420F2"/>
    <w:rsid w:val="005433C8"/>
    <w:rsid w:val="005441FE"/>
    <w:rsid w:val="00545150"/>
    <w:rsid w:val="00545F1A"/>
    <w:rsid w:val="005504B6"/>
    <w:rsid w:val="00551AB9"/>
    <w:rsid w:val="00551FC6"/>
    <w:rsid w:val="00553222"/>
    <w:rsid w:val="00553A3D"/>
    <w:rsid w:val="00554D1D"/>
    <w:rsid w:val="00562548"/>
    <w:rsid w:val="00562694"/>
    <w:rsid w:val="00564193"/>
    <w:rsid w:val="00564EC3"/>
    <w:rsid w:val="00565F03"/>
    <w:rsid w:val="0056627E"/>
    <w:rsid w:val="005664D0"/>
    <w:rsid w:val="00567BC7"/>
    <w:rsid w:val="0057024D"/>
    <w:rsid w:val="00570364"/>
    <w:rsid w:val="00570CC4"/>
    <w:rsid w:val="00571FB2"/>
    <w:rsid w:val="005725E4"/>
    <w:rsid w:val="00572B36"/>
    <w:rsid w:val="00572BD0"/>
    <w:rsid w:val="0057476B"/>
    <w:rsid w:val="00575F30"/>
    <w:rsid w:val="005777F3"/>
    <w:rsid w:val="00577EE1"/>
    <w:rsid w:val="00580000"/>
    <w:rsid w:val="00584698"/>
    <w:rsid w:val="0058529D"/>
    <w:rsid w:val="00585897"/>
    <w:rsid w:val="00585A18"/>
    <w:rsid w:val="00586F4A"/>
    <w:rsid w:val="005900D3"/>
    <w:rsid w:val="00592D34"/>
    <w:rsid w:val="00592FDB"/>
    <w:rsid w:val="00593CED"/>
    <w:rsid w:val="00597743"/>
    <w:rsid w:val="005A0344"/>
    <w:rsid w:val="005A0903"/>
    <w:rsid w:val="005A0EAD"/>
    <w:rsid w:val="005A1E22"/>
    <w:rsid w:val="005A1FCA"/>
    <w:rsid w:val="005A23B7"/>
    <w:rsid w:val="005A503C"/>
    <w:rsid w:val="005A73F2"/>
    <w:rsid w:val="005A79B8"/>
    <w:rsid w:val="005B054C"/>
    <w:rsid w:val="005B1390"/>
    <w:rsid w:val="005B1B47"/>
    <w:rsid w:val="005B1E71"/>
    <w:rsid w:val="005B1F1B"/>
    <w:rsid w:val="005B1F57"/>
    <w:rsid w:val="005B2C89"/>
    <w:rsid w:val="005B2F2E"/>
    <w:rsid w:val="005B3DB3"/>
    <w:rsid w:val="005B408C"/>
    <w:rsid w:val="005B4167"/>
    <w:rsid w:val="005B5BFD"/>
    <w:rsid w:val="005B7D9A"/>
    <w:rsid w:val="005B7DB1"/>
    <w:rsid w:val="005C185C"/>
    <w:rsid w:val="005C22AD"/>
    <w:rsid w:val="005C4858"/>
    <w:rsid w:val="005C4B74"/>
    <w:rsid w:val="005C53DB"/>
    <w:rsid w:val="005C7453"/>
    <w:rsid w:val="005D33AB"/>
    <w:rsid w:val="005D425A"/>
    <w:rsid w:val="005D43CD"/>
    <w:rsid w:val="005D4725"/>
    <w:rsid w:val="005D4B75"/>
    <w:rsid w:val="005D529D"/>
    <w:rsid w:val="005E1401"/>
    <w:rsid w:val="005E27AB"/>
    <w:rsid w:val="005E3329"/>
    <w:rsid w:val="005E37E7"/>
    <w:rsid w:val="005E46D3"/>
    <w:rsid w:val="005E4965"/>
    <w:rsid w:val="005E667D"/>
    <w:rsid w:val="005E6C37"/>
    <w:rsid w:val="005E70E6"/>
    <w:rsid w:val="005E743D"/>
    <w:rsid w:val="005F2648"/>
    <w:rsid w:val="005F6E92"/>
    <w:rsid w:val="00600487"/>
    <w:rsid w:val="006022FB"/>
    <w:rsid w:val="00602EE8"/>
    <w:rsid w:val="00602FF5"/>
    <w:rsid w:val="006034C6"/>
    <w:rsid w:val="00603E59"/>
    <w:rsid w:val="00605576"/>
    <w:rsid w:val="006055EE"/>
    <w:rsid w:val="00606679"/>
    <w:rsid w:val="0061125F"/>
    <w:rsid w:val="00611FC4"/>
    <w:rsid w:val="006133E0"/>
    <w:rsid w:val="006176FB"/>
    <w:rsid w:val="006218CD"/>
    <w:rsid w:val="00623353"/>
    <w:rsid w:val="006241C1"/>
    <w:rsid w:val="00624260"/>
    <w:rsid w:val="00626A24"/>
    <w:rsid w:val="0062753C"/>
    <w:rsid w:val="00627ED0"/>
    <w:rsid w:val="00633ED0"/>
    <w:rsid w:val="00634702"/>
    <w:rsid w:val="006349D0"/>
    <w:rsid w:val="00640B26"/>
    <w:rsid w:val="00640FD5"/>
    <w:rsid w:val="00641CED"/>
    <w:rsid w:val="00641F8E"/>
    <w:rsid w:val="00642000"/>
    <w:rsid w:val="00642B1E"/>
    <w:rsid w:val="006435B3"/>
    <w:rsid w:val="00643E18"/>
    <w:rsid w:val="0064479D"/>
    <w:rsid w:val="00651B40"/>
    <w:rsid w:val="006545BA"/>
    <w:rsid w:val="0065541D"/>
    <w:rsid w:val="00655B27"/>
    <w:rsid w:val="00660D97"/>
    <w:rsid w:val="00661F7A"/>
    <w:rsid w:val="006632CE"/>
    <w:rsid w:val="00665595"/>
    <w:rsid w:val="006666F6"/>
    <w:rsid w:val="006743E5"/>
    <w:rsid w:val="00676886"/>
    <w:rsid w:val="0068043C"/>
    <w:rsid w:val="00681B17"/>
    <w:rsid w:val="006822E7"/>
    <w:rsid w:val="00682F59"/>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0ECD"/>
    <w:rsid w:val="006A42E8"/>
    <w:rsid w:val="006A6EE8"/>
    <w:rsid w:val="006A7392"/>
    <w:rsid w:val="006A7757"/>
    <w:rsid w:val="006B0029"/>
    <w:rsid w:val="006B2C0F"/>
    <w:rsid w:val="006B4842"/>
    <w:rsid w:val="006B4E5D"/>
    <w:rsid w:val="006B533E"/>
    <w:rsid w:val="006B5E68"/>
    <w:rsid w:val="006B61A3"/>
    <w:rsid w:val="006B6CC2"/>
    <w:rsid w:val="006B761B"/>
    <w:rsid w:val="006B79E3"/>
    <w:rsid w:val="006B7E03"/>
    <w:rsid w:val="006C0DC6"/>
    <w:rsid w:val="006C241B"/>
    <w:rsid w:val="006C2471"/>
    <w:rsid w:val="006C36AA"/>
    <w:rsid w:val="006C3F77"/>
    <w:rsid w:val="006C41F5"/>
    <w:rsid w:val="006C52B9"/>
    <w:rsid w:val="006C5BA1"/>
    <w:rsid w:val="006D144B"/>
    <w:rsid w:val="006D1551"/>
    <w:rsid w:val="006D2106"/>
    <w:rsid w:val="006D36D1"/>
    <w:rsid w:val="006D383D"/>
    <w:rsid w:val="006D633D"/>
    <w:rsid w:val="006E191D"/>
    <w:rsid w:val="006E1F42"/>
    <w:rsid w:val="006E20C4"/>
    <w:rsid w:val="006E2A58"/>
    <w:rsid w:val="006E2CE0"/>
    <w:rsid w:val="006E41A2"/>
    <w:rsid w:val="006E41F6"/>
    <w:rsid w:val="006E564B"/>
    <w:rsid w:val="006E6B36"/>
    <w:rsid w:val="006E7306"/>
    <w:rsid w:val="006E762C"/>
    <w:rsid w:val="006E76E2"/>
    <w:rsid w:val="006E7CEF"/>
    <w:rsid w:val="006F17B5"/>
    <w:rsid w:val="006F2413"/>
    <w:rsid w:val="006F4E35"/>
    <w:rsid w:val="00700E12"/>
    <w:rsid w:val="00702B6B"/>
    <w:rsid w:val="00702BA6"/>
    <w:rsid w:val="007037A7"/>
    <w:rsid w:val="00706D51"/>
    <w:rsid w:val="007077BB"/>
    <w:rsid w:val="00711A8E"/>
    <w:rsid w:val="00713019"/>
    <w:rsid w:val="0071349F"/>
    <w:rsid w:val="00715C33"/>
    <w:rsid w:val="007164EC"/>
    <w:rsid w:val="00717B83"/>
    <w:rsid w:val="00717E07"/>
    <w:rsid w:val="007202AF"/>
    <w:rsid w:val="00720DEB"/>
    <w:rsid w:val="00720E11"/>
    <w:rsid w:val="0072251B"/>
    <w:rsid w:val="007230EC"/>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61D0"/>
    <w:rsid w:val="007468B8"/>
    <w:rsid w:val="007473A2"/>
    <w:rsid w:val="0074768C"/>
    <w:rsid w:val="00752A06"/>
    <w:rsid w:val="00752BD5"/>
    <w:rsid w:val="0075458D"/>
    <w:rsid w:val="00754EE1"/>
    <w:rsid w:val="00756AAE"/>
    <w:rsid w:val="0075725D"/>
    <w:rsid w:val="0075737C"/>
    <w:rsid w:val="00760E59"/>
    <w:rsid w:val="00763C11"/>
    <w:rsid w:val="00766D93"/>
    <w:rsid w:val="0077406B"/>
    <w:rsid w:val="007750C3"/>
    <w:rsid w:val="0077541D"/>
    <w:rsid w:val="00776A1E"/>
    <w:rsid w:val="00780296"/>
    <w:rsid w:val="00781A60"/>
    <w:rsid w:val="00781E95"/>
    <w:rsid w:val="00783117"/>
    <w:rsid w:val="00783AF2"/>
    <w:rsid w:val="00783AF8"/>
    <w:rsid w:val="00783F74"/>
    <w:rsid w:val="0078417F"/>
    <w:rsid w:val="00786A3A"/>
    <w:rsid w:val="00787C77"/>
    <w:rsid w:val="00790122"/>
    <w:rsid w:val="0079022E"/>
    <w:rsid w:val="00792728"/>
    <w:rsid w:val="00792ECE"/>
    <w:rsid w:val="007955EA"/>
    <w:rsid w:val="007A3FBD"/>
    <w:rsid w:val="007A4977"/>
    <w:rsid w:val="007A5788"/>
    <w:rsid w:val="007A62D5"/>
    <w:rsid w:val="007A6A94"/>
    <w:rsid w:val="007B0262"/>
    <w:rsid w:val="007B07EF"/>
    <w:rsid w:val="007B0FAE"/>
    <w:rsid w:val="007B4E53"/>
    <w:rsid w:val="007B6BA5"/>
    <w:rsid w:val="007B7FB2"/>
    <w:rsid w:val="007C025B"/>
    <w:rsid w:val="007C3390"/>
    <w:rsid w:val="007C41AF"/>
    <w:rsid w:val="007C4279"/>
    <w:rsid w:val="007C4F4B"/>
    <w:rsid w:val="007C6044"/>
    <w:rsid w:val="007D6D82"/>
    <w:rsid w:val="007D7676"/>
    <w:rsid w:val="007E1073"/>
    <w:rsid w:val="007E18A9"/>
    <w:rsid w:val="007E47A5"/>
    <w:rsid w:val="007E5203"/>
    <w:rsid w:val="007E5261"/>
    <w:rsid w:val="007E6124"/>
    <w:rsid w:val="007F025F"/>
    <w:rsid w:val="007F0B83"/>
    <w:rsid w:val="007F48EF"/>
    <w:rsid w:val="007F4FCD"/>
    <w:rsid w:val="007F572B"/>
    <w:rsid w:val="007F6611"/>
    <w:rsid w:val="00806235"/>
    <w:rsid w:val="00812CCE"/>
    <w:rsid w:val="008151D2"/>
    <w:rsid w:val="00816933"/>
    <w:rsid w:val="00816BD1"/>
    <w:rsid w:val="0081720F"/>
    <w:rsid w:val="0081732C"/>
    <w:rsid w:val="008175E9"/>
    <w:rsid w:val="00817A63"/>
    <w:rsid w:val="00820370"/>
    <w:rsid w:val="0082231C"/>
    <w:rsid w:val="0082396E"/>
    <w:rsid w:val="00823FFB"/>
    <w:rsid w:val="008242D7"/>
    <w:rsid w:val="008259DF"/>
    <w:rsid w:val="00826EFF"/>
    <w:rsid w:val="00827E05"/>
    <w:rsid w:val="008311A3"/>
    <w:rsid w:val="00831D35"/>
    <w:rsid w:val="0083230A"/>
    <w:rsid w:val="00832795"/>
    <w:rsid w:val="008349EC"/>
    <w:rsid w:val="00834D4E"/>
    <w:rsid w:val="00835B77"/>
    <w:rsid w:val="00836AF7"/>
    <w:rsid w:val="0084210A"/>
    <w:rsid w:val="00843D81"/>
    <w:rsid w:val="008440DF"/>
    <w:rsid w:val="00845DC2"/>
    <w:rsid w:val="00847D11"/>
    <w:rsid w:val="0085028A"/>
    <w:rsid w:val="00855CD0"/>
    <w:rsid w:val="00856CA5"/>
    <w:rsid w:val="0086000D"/>
    <w:rsid w:val="008606C3"/>
    <w:rsid w:val="00862284"/>
    <w:rsid w:val="00864659"/>
    <w:rsid w:val="00864759"/>
    <w:rsid w:val="00865565"/>
    <w:rsid w:val="008656DC"/>
    <w:rsid w:val="00865A21"/>
    <w:rsid w:val="0086612E"/>
    <w:rsid w:val="00867604"/>
    <w:rsid w:val="00870D13"/>
    <w:rsid w:val="00871FD5"/>
    <w:rsid w:val="0087209B"/>
    <w:rsid w:val="00872B97"/>
    <w:rsid w:val="00872DF7"/>
    <w:rsid w:val="00874FB8"/>
    <w:rsid w:val="00882090"/>
    <w:rsid w:val="008852E3"/>
    <w:rsid w:val="00886089"/>
    <w:rsid w:val="0088746F"/>
    <w:rsid w:val="00887755"/>
    <w:rsid w:val="0089033B"/>
    <w:rsid w:val="00890B04"/>
    <w:rsid w:val="0089113D"/>
    <w:rsid w:val="0089166C"/>
    <w:rsid w:val="00892DC9"/>
    <w:rsid w:val="0089306E"/>
    <w:rsid w:val="00896186"/>
    <w:rsid w:val="00897025"/>
    <w:rsid w:val="008979B1"/>
    <w:rsid w:val="00897BD7"/>
    <w:rsid w:val="008A1DE8"/>
    <w:rsid w:val="008A6B25"/>
    <w:rsid w:val="008A6C1B"/>
    <w:rsid w:val="008A6C4F"/>
    <w:rsid w:val="008A7319"/>
    <w:rsid w:val="008A7477"/>
    <w:rsid w:val="008A7F3B"/>
    <w:rsid w:val="008B40B7"/>
    <w:rsid w:val="008B52E8"/>
    <w:rsid w:val="008B6E26"/>
    <w:rsid w:val="008C0DD5"/>
    <w:rsid w:val="008C1C90"/>
    <w:rsid w:val="008C3353"/>
    <w:rsid w:val="008C34B0"/>
    <w:rsid w:val="008C3FFB"/>
    <w:rsid w:val="008C4250"/>
    <w:rsid w:val="008C6F50"/>
    <w:rsid w:val="008C759B"/>
    <w:rsid w:val="008D02E6"/>
    <w:rsid w:val="008D232C"/>
    <w:rsid w:val="008D314A"/>
    <w:rsid w:val="008D3785"/>
    <w:rsid w:val="008D3F4B"/>
    <w:rsid w:val="008E0E46"/>
    <w:rsid w:val="008E0FB3"/>
    <w:rsid w:val="008E1F9C"/>
    <w:rsid w:val="008E4640"/>
    <w:rsid w:val="008E4C4C"/>
    <w:rsid w:val="008E4F84"/>
    <w:rsid w:val="008E573F"/>
    <w:rsid w:val="008E64AE"/>
    <w:rsid w:val="008F02B0"/>
    <w:rsid w:val="008F29C1"/>
    <w:rsid w:val="008F3CB0"/>
    <w:rsid w:val="008F4B84"/>
    <w:rsid w:val="008F583E"/>
    <w:rsid w:val="0090052B"/>
    <w:rsid w:val="00902BF1"/>
    <w:rsid w:val="0090431C"/>
    <w:rsid w:val="0090763F"/>
    <w:rsid w:val="00907AD2"/>
    <w:rsid w:val="00910260"/>
    <w:rsid w:val="00911047"/>
    <w:rsid w:val="009122AB"/>
    <w:rsid w:val="00912C0E"/>
    <w:rsid w:val="009134D8"/>
    <w:rsid w:val="009147C7"/>
    <w:rsid w:val="00917321"/>
    <w:rsid w:val="00920324"/>
    <w:rsid w:val="00921DF8"/>
    <w:rsid w:val="0092451E"/>
    <w:rsid w:val="00926384"/>
    <w:rsid w:val="00927819"/>
    <w:rsid w:val="00927E1D"/>
    <w:rsid w:val="00930308"/>
    <w:rsid w:val="00931073"/>
    <w:rsid w:val="00933D9F"/>
    <w:rsid w:val="00935120"/>
    <w:rsid w:val="0093545E"/>
    <w:rsid w:val="00936565"/>
    <w:rsid w:val="0094040C"/>
    <w:rsid w:val="00940847"/>
    <w:rsid w:val="0094386E"/>
    <w:rsid w:val="009440D4"/>
    <w:rsid w:val="009449FD"/>
    <w:rsid w:val="00946F0A"/>
    <w:rsid w:val="00951778"/>
    <w:rsid w:val="00952BE3"/>
    <w:rsid w:val="0095480E"/>
    <w:rsid w:val="009567AD"/>
    <w:rsid w:val="00956805"/>
    <w:rsid w:val="00956B99"/>
    <w:rsid w:val="00957170"/>
    <w:rsid w:val="00957AD6"/>
    <w:rsid w:val="009612BF"/>
    <w:rsid w:val="00963CBA"/>
    <w:rsid w:val="00965DC9"/>
    <w:rsid w:val="00965E06"/>
    <w:rsid w:val="0096659B"/>
    <w:rsid w:val="00966CD7"/>
    <w:rsid w:val="00966D29"/>
    <w:rsid w:val="00971571"/>
    <w:rsid w:val="009715EE"/>
    <w:rsid w:val="00971679"/>
    <w:rsid w:val="00971D20"/>
    <w:rsid w:val="00971DF1"/>
    <w:rsid w:val="00973246"/>
    <w:rsid w:val="00973E03"/>
    <w:rsid w:val="00973EB4"/>
    <w:rsid w:val="00974146"/>
    <w:rsid w:val="0097449D"/>
    <w:rsid w:val="00974A8D"/>
    <w:rsid w:val="00974ABE"/>
    <w:rsid w:val="00974C60"/>
    <w:rsid w:val="00974F4C"/>
    <w:rsid w:val="009773C6"/>
    <w:rsid w:val="00980021"/>
    <w:rsid w:val="0098016B"/>
    <w:rsid w:val="00980FCE"/>
    <w:rsid w:val="00980FDB"/>
    <w:rsid w:val="009846AD"/>
    <w:rsid w:val="00987072"/>
    <w:rsid w:val="0098707E"/>
    <w:rsid w:val="0099001C"/>
    <w:rsid w:val="00991261"/>
    <w:rsid w:val="00991D01"/>
    <w:rsid w:val="00993084"/>
    <w:rsid w:val="00997A54"/>
    <w:rsid w:val="009A0D5F"/>
    <w:rsid w:val="009A1082"/>
    <w:rsid w:val="009A1FAD"/>
    <w:rsid w:val="009A527C"/>
    <w:rsid w:val="009A5B4A"/>
    <w:rsid w:val="009A6445"/>
    <w:rsid w:val="009B43E1"/>
    <w:rsid w:val="009B4939"/>
    <w:rsid w:val="009B55EC"/>
    <w:rsid w:val="009B6D3A"/>
    <w:rsid w:val="009B71F3"/>
    <w:rsid w:val="009C0AED"/>
    <w:rsid w:val="009C135B"/>
    <w:rsid w:val="009C17AC"/>
    <w:rsid w:val="009C1FAD"/>
    <w:rsid w:val="009C31E7"/>
    <w:rsid w:val="009C36B5"/>
    <w:rsid w:val="009C4571"/>
    <w:rsid w:val="009C7A27"/>
    <w:rsid w:val="009C7F4E"/>
    <w:rsid w:val="009D0EC7"/>
    <w:rsid w:val="009D0FA6"/>
    <w:rsid w:val="009D1B37"/>
    <w:rsid w:val="009D2627"/>
    <w:rsid w:val="009D49A6"/>
    <w:rsid w:val="009D49D7"/>
    <w:rsid w:val="009D5096"/>
    <w:rsid w:val="009D5955"/>
    <w:rsid w:val="009D623C"/>
    <w:rsid w:val="009D6C74"/>
    <w:rsid w:val="009D772B"/>
    <w:rsid w:val="009D7CE5"/>
    <w:rsid w:val="009E5D46"/>
    <w:rsid w:val="009E72B5"/>
    <w:rsid w:val="009E7885"/>
    <w:rsid w:val="009F16FB"/>
    <w:rsid w:val="009F3106"/>
    <w:rsid w:val="009F3A17"/>
    <w:rsid w:val="009F6CAF"/>
    <w:rsid w:val="00A01F79"/>
    <w:rsid w:val="00A047C4"/>
    <w:rsid w:val="00A1355C"/>
    <w:rsid w:val="00A1427D"/>
    <w:rsid w:val="00A1647D"/>
    <w:rsid w:val="00A1649D"/>
    <w:rsid w:val="00A20AEB"/>
    <w:rsid w:val="00A229D5"/>
    <w:rsid w:val="00A25163"/>
    <w:rsid w:val="00A257FA"/>
    <w:rsid w:val="00A25BA6"/>
    <w:rsid w:val="00A263B9"/>
    <w:rsid w:val="00A3044A"/>
    <w:rsid w:val="00A3227A"/>
    <w:rsid w:val="00A32B06"/>
    <w:rsid w:val="00A3359A"/>
    <w:rsid w:val="00A3498A"/>
    <w:rsid w:val="00A35008"/>
    <w:rsid w:val="00A35AE8"/>
    <w:rsid w:val="00A40A6E"/>
    <w:rsid w:val="00A40D2C"/>
    <w:rsid w:val="00A429E3"/>
    <w:rsid w:val="00A463F1"/>
    <w:rsid w:val="00A47C34"/>
    <w:rsid w:val="00A52B4E"/>
    <w:rsid w:val="00A530ED"/>
    <w:rsid w:val="00A53911"/>
    <w:rsid w:val="00A5477E"/>
    <w:rsid w:val="00A55FB2"/>
    <w:rsid w:val="00A5714E"/>
    <w:rsid w:val="00A65AC2"/>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A4"/>
    <w:rsid w:val="00A91158"/>
    <w:rsid w:val="00A94669"/>
    <w:rsid w:val="00A94CB3"/>
    <w:rsid w:val="00A958C8"/>
    <w:rsid w:val="00A970FB"/>
    <w:rsid w:val="00AA1094"/>
    <w:rsid w:val="00AA332B"/>
    <w:rsid w:val="00AA33FF"/>
    <w:rsid w:val="00AA3B23"/>
    <w:rsid w:val="00AA496B"/>
    <w:rsid w:val="00AA5028"/>
    <w:rsid w:val="00AA63F2"/>
    <w:rsid w:val="00AB0D93"/>
    <w:rsid w:val="00AB1332"/>
    <w:rsid w:val="00AB16DB"/>
    <w:rsid w:val="00AB3FD6"/>
    <w:rsid w:val="00AB4960"/>
    <w:rsid w:val="00AB5CA7"/>
    <w:rsid w:val="00AB6319"/>
    <w:rsid w:val="00AB720C"/>
    <w:rsid w:val="00AC05A0"/>
    <w:rsid w:val="00AC1071"/>
    <w:rsid w:val="00AC1F45"/>
    <w:rsid w:val="00AC35ED"/>
    <w:rsid w:val="00AC3764"/>
    <w:rsid w:val="00AC4E2F"/>
    <w:rsid w:val="00AC54CC"/>
    <w:rsid w:val="00AD046A"/>
    <w:rsid w:val="00AD0A81"/>
    <w:rsid w:val="00AD18C5"/>
    <w:rsid w:val="00AD4754"/>
    <w:rsid w:val="00AD605D"/>
    <w:rsid w:val="00AE3607"/>
    <w:rsid w:val="00AE3D8F"/>
    <w:rsid w:val="00AE487E"/>
    <w:rsid w:val="00AE73C4"/>
    <w:rsid w:val="00AE77FC"/>
    <w:rsid w:val="00AE793D"/>
    <w:rsid w:val="00AE7DC6"/>
    <w:rsid w:val="00AF07A0"/>
    <w:rsid w:val="00AF22E6"/>
    <w:rsid w:val="00AF475E"/>
    <w:rsid w:val="00AF6194"/>
    <w:rsid w:val="00B016B0"/>
    <w:rsid w:val="00B04217"/>
    <w:rsid w:val="00B07503"/>
    <w:rsid w:val="00B10465"/>
    <w:rsid w:val="00B10CA2"/>
    <w:rsid w:val="00B1260D"/>
    <w:rsid w:val="00B12909"/>
    <w:rsid w:val="00B1509D"/>
    <w:rsid w:val="00B15A93"/>
    <w:rsid w:val="00B172A6"/>
    <w:rsid w:val="00B17BBD"/>
    <w:rsid w:val="00B17E1A"/>
    <w:rsid w:val="00B30179"/>
    <w:rsid w:val="00B325A9"/>
    <w:rsid w:val="00B339D3"/>
    <w:rsid w:val="00B33EC0"/>
    <w:rsid w:val="00B33FCC"/>
    <w:rsid w:val="00B34697"/>
    <w:rsid w:val="00B36BD5"/>
    <w:rsid w:val="00B36DAC"/>
    <w:rsid w:val="00B47909"/>
    <w:rsid w:val="00B47B0C"/>
    <w:rsid w:val="00B47D1B"/>
    <w:rsid w:val="00B514F1"/>
    <w:rsid w:val="00B51709"/>
    <w:rsid w:val="00B520B9"/>
    <w:rsid w:val="00B520F8"/>
    <w:rsid w:val="00B523F6"/>
    <w:rsid w:val="00B52E4E"/>
    <w:rsid w:val="00B53CBD"/>
    <w:rsid w:val="00B56CC7"/>
    <w:rsid w:val="00B5742C"/>
    <w:rsid w:val="00B577F4"/>
    <w:rsid w:val="00B60474"/>
    <w:rsid w:val="00B61246"/>
    <w:rsid w:val="00B647CA"/>
    <w:rsid w:val="00B64D4B"/>
    <w:rsid w:val="00B657A1"/>
    <w:rsid w:val="00B66E5A"/>
    <w:rsid w:val="00B70B1D"/>
    <w:rsid w:val="00B74353"/>
    <w:rsid w:val="00B74FD7"/>
    <w:rsid w:val="00B762D3"/>
    <w:rsid w:val="00B77F59"/>
    <w:rsid w:val="00B804CB"/>
    <w:rsid w:val="00B80A98"/>
    <w:rsid w:val="00B81E12"/>
    <w:rsid w:val="00B827CE"/>
    <w:rsid w:val="00B83093"/>
    <w:rsid w:val="00B83964"/>
    <w:rsid w:val="00B839A7"/>
    <w:rsid w:val="00B845D6"/>
    <w:rsid w:val="00B85329"/>
    <w:rsid w:val="00B8628B"/>
    <w:rsid w:val="00B866EC"/>
    <w:rsid w:val="00B87183"/>
    <w:rsid w:val="00B87CF1"/>
    <w:rsid w:val="00B90AC5"/>
    <w:rsid w:val="00B90C56"/>
    <w:rsid w:val="00B91D03"/>
    <w:rsid w:val="00B96314"/>
    <w:rsid w:val="00B963B2"/>
    <w:rsid w:val="00B968A0"/>
    <w:rsid w:val="00BA045B"/>
    <w:rsid w:val="00BA233A"/>
    <w:rsid w:val="00BA49B5"/>
    <w:rsid w:val="00BA4B52"/>
    <w:rsid w:val="00BA515F"/>
    <w:rsid w:val="00BA62A1"/>
    <w:rsid w:val="00BB129E"/>
    <w:rsid w:val="00BB4A8B"/>
    <w:rsid w:val="00BB5D03"/>
    <w:rsid w:val="00BB60D4"/>
    <w:rsid w:val="00BB659A"/>
    <w:rsid w:val="00BB6799"/>
    <w:rsid w:val="00BC096F"/>
    <w:rsid w:val="00BC2AC9"/>
    <w:rsid w:val="00BC3830"/>
    <w:rsid w:val="00BC5C60"/>
    <w:rsid w:val="00BC6B7B"/>
    <w:rsid w:val="00BC7496"/>
    <w:rsid w:val="00BC74E9"/>
    <w:rsid w:val="00BD138D"/>
    <w:rsid w:val="00BD2146"/>
    <w:rsid w:val="00BD48C8"/>
    <w:rsid w:val="00BD4FD9"/>
    <w:rsid w:val="00BD6280"/>
    <w:rsid w:val="00BD6FCD"/>
    <w:rsid w:val="00BE232B"/>
    <w:rsid w:val="00BE37C1"/>
    <w:rsid w:val="00BE4C32"/>
    <w:rsid w:val="00BE4F74"/>
    <w:rsid w:val="00BE6017"/>
    <w:rsid w:val="00BE618E"/>
    <w:rsid w:val="00BE62C1"/>
    <w:rsid w:val="00BE6BC5"/>
    <w:rsid w:val="00BF0BE9"/>
    <w:rsid w:val="00BF0F7E"/>
    <w:rsid w:val="00BF2169"/>
    <w:rsid w:val="00BF3D59"/>
    <w:rsid w:val="00BF5A7C"/>
    <w:rsid w:val="00BF7B4E"/>
    <w:rsid w:val="00C0137B"/>
    <w:rsid w:val="00C019B8"/>
    <w:rsid w:val="00C01A22"/>
    <w:rsid w:val="00C02990"/>
    <w:rsid w:val="00C030C9"/>
    <w:rsid w:val="00C04DFB"/>
    <w:rsid w:val="00C05ACF"/>
    <w:rsid w:val="00C07F9E"/>
    <w:rsid w:val="00C10DD8"/>
    <w:rsid w:val="00C116A7"/>
    <w:rsid w:val="00C118EC"/>
    <w:rsid w:val="00C11B7B"/>
    <w:rsid w:val="00C127CB"/>
    <w:rsid w:val="00C133DE"/>
    <w:rsid w:val="00C16E1A"/>
    <w:rsid w:val="00C17485"/>
    <w:rsid w:val="00C17699"/>
    <w:rsid w:val="00C1778D"/>
    <w:rsid w:val="00C17AA5"/>
    <w:rsid w:val="00C2005D"/>
    <w:rsid w:val="00C225E1"/>
    <w:rsid w:val="00C22E56"/>
    <w:rsid w:val="00C23A6D"/>
    <w:rsid w:val="00C24684"/>
    <w:rsid w:val="00C25DDD"/>
    <w:rsid w:val="00C27AA0"/>
    <w:rsid w:val="00C27D6E"/>
    <w:rsid w:val="00C31CDC"/>
    <w:rsid w:val="00C32D7F"/>
    <w:rsid w:val="00C32E0D"/>
    <w:rsid w:val="00C35408"/>
    <w:rsid w:val="00C37443"/>
    <w:rsid w:val="00C41A28"/>
    <w:rsid w:val="00C44676"/>
    <w:rsid w:val="00C463DD"/>
    <w:rsid w:val="00C505B2"/>
    <w:rsid w:val="00C527B3"/>
    <w:rsid w:val="00C55437"/>
    <w:rsid w:val="00C55A7E"/>
    <w:rsid w:val="00C564FA"/>
    <w:rsid w:val="00C56E7F"/>
    <w:rsid w:val="00C600A9"/>
    <w:rsid w:val="00C626BE"/>
    <w:rsid w:val="00C62F49"/>
    <w:rsid w:val="00C63480"/>
    <w:rsid w:val="00C6468A"/>
    <w:rsid w:val="00C67158"/>
    <w:rsid w:val="00C67B25"/>
    <w:rsid w:val="00C7172A"/>
    <w:rsid w:val="00C7240C"/>
    <w:rsid w:val="00C745C3"/>
    <w:rsid w:val="00C74908"/>
    <w:rsid w:val="00C766BF"/>
    <w:rsid w:val="00C76A06"/>
    <w:rsid w:val="00C777EC"/>
    <w:rsid w:val="00C80C9A"/>
    <w:rsid w:val="00C83CA0"/>
    <w:rsid w:val="00C84186"/>
    <w:rsid w:val="00C8548B"/>
    <w:rsid w:val="00C86B34"/>
    <w:rsid w:val="00C900CD"/>
    <w:rsid w:val="00C91417"/>
    <w:rsid w:val="00C97261"/>
    <w:rsid w:val="00CA1321"/>
    <w:rsid w:val="00CA2E75"/>
    <w:rsid w:val="00CA2E8B"/>
    <w:rsid w:val="00CA2F88"/>
    <w:rsid w:val="00CA390E"/>
    <w:rsid w:val="00CA56FF"/>
    <w:rsid w:val="00CA73A2"/>
    <w:rsid w:val="00CA797A"/>
    <w:rsid w:val="00CA7F4B"/>
    <w:rsid w:val="00CB1281"/>
    <w:rsid w:val="00CB40A9"/>
    <w:rsid w:val="00CB42E3"/>
    <w:rsid w:val="00CB5F96"/>
    <w:rsid w:val="00CB70D1"/>
    <w:rsid w:val="00CC1344"/>
    <w:rsid w:val="00CC2BC7"/>
    <w:rsid w:val="00CC44E0"/>
    <w:rsid w:val="00CC4AD6"/>
    <w:rsid w:val="00CC57A3"/>
    <w:rsid w:val="00CD0707"/>
    <w:rsid w:val="00CD1B40"/>
    <w:rsid w:val="00CD37FC"/>
    <w:rsid w:val="00CE2D05"/>
    <w:rsid w:val="00CE3324"/>
    <w:rsid w:val="00CE48C7"/>
    <w:rsid w:val="00CE4A8F"/>
    <w:rsid w:val="00CE4B9D"/>
    <w:rsid w:val="00CF2085"/>
    <w:rsid w:val="00CF2FA9"/>
    <w:rsid w:val="00CF5B9E"/>
    <w:rsid w:val="00CF6EE8"/>
    <w:rsid w:val="00D00141"/>
    <w:rsid w:val="00D008DB"/>
    <w:rsid w:val="00D0304A"/>
    <w:rsid w:val="00D030E1"/>
    <w:rsid w:val="00D067AA"/>
    <w:rsid w:val="00D06CD2"/>
    <w:rsid w:val="00D0737E"/>
    <w:rsid w:val="00D07B72"/>
    <w:rsid w:val="00D07F07"/>
    <w:rsid w:val="00D1186A"/>
    <w:rsid w:val="00D137EF"/>
    <w:rsid w:val="00D1722D"/>
    <w:rsid w:val="00D17E6C"/>
    <w:rsid w:val="00D2031B"/>
    <w:rsid w:val="00D21980"/>
    <w:rsid w:val="00D24347"/>
    <w:rsid w:val="00D25FE2"/>
    <w:rsid w:val="00D279BB"/>
    <w:rsid w:val="00D317BB"/>
    <w:rsid w:val="00D3192B"/>
    <w:rsid w:val="00D31A35"/>
    <w:rsid w:val="00D33667"/>
    <w:rsid w:val="00D341D6"/>
    <w:rsid w:val="00D35D8F"/>
    <w:rsid w:val="00D417A5"/>
    <w:rsid w:val="00D42106"/>
    <w:rsid w:val="00D42EC6"/>
    <w:rsid w:val="00D43252"/>
    <w:rsid w:val="00D44E8D"/>
    <w:rsid w:val="00D45103"/>
    <w:rsid w:val="00D45C2F"/>
    <w:rsid w:val="00D525A5"/>
    <w:rsid w:val="00D5284C"/>
    <w:rsid w:val="00D52856"/>
    <w:rsid w:val="00D53B47"/>
    <w:rsid w:val="00D54AB1"/>
    <w:rsid w:val="00D54E5F"/>
    <w:rsid w:val="00D57892"/>
    <w:rsid w:val="00D60093"/>
    <w:rsid w:val="00D61666"/>
    <w:rsid w:val="00D62BF5"/>
    <w:rsid w:val="00D637C6"/>
    <w:rsid w:val="00D63AF3"/>
    <w:rsid w:val="00D63CC4"/>
    <w:rsid w:val="00D655D5"/>
    <w:rsid w:val="00D66932"/>
    <w:rsid w:val="00D71971"/>
    <w:rsid w:val="00D71974"/>
    <w:rsid w:val="00D73A96"/>
    <w:rsid w:val="00D74E9A"/>
    <w:rsid w:val="00D76795"/>
    <w:rsid w:val="00D76E2A"/>
    <w:rsid w:val="00D77993"/>
    <w:rsid w:val="00D81879"/>
    <w:rsid w:val="00D81A2B"/>
    <w:rsid w:val="00D83937"/>
    <w:rsid w:val="00D91C9C"/>
    <w:rsid w:val="00D943F1"/>
    <w:rsid w:val="00D95F86"/>
    <w:rsid w:val="00D96A1C"/>
    <w:rsid w:val="00D978C6"/>
    <w:rsid w:val="00DA2989"/>
    <w:rsid w:val="00DA3054"/>
    <w:rsid w:val="00DA3E74"/>
    <w:rsid w:val="00DA4AC8"/>
    <w:rsid w:val="00DA5C98"/>
    <w:rsid w:val="00DA67AD"/>
    <w:rsid w:val="00DB066A"/>
    <w:rsid w:val="00DB2A67"/>
    <w:rsid w:val="00DB2BED"/>
    <w:rsid w:val="00DB349A"/>
    <w:rsid w:val="00DB579F"/>
    <w:rsid w:val="00DB5D0F"/>
    <w:rsid w:val="00DC050C"/>
    <w:rsid w:val="00DC2836"/>
    <w:rsid w:val="00DC3156"/>
    <w:rsid w:val="00DC3242"/>
    <w:rsid w:val="00DC410C"/>
    <w:rsid w:val="00DC7D1E"/>
    <w:rsid w:val="00DD37C8"/>
    <w:rsid w:val="00DD5F36"/>
    <w:rsid w:val="00DD6DB6"/>
    <w:rsid w:val="00DD738F"/>
    <w:rsid w:val="00DD76E4"/>
    <w:rsid w:val="00DE057D"/>
    <w:rsid w:val="00DE0580"/>
    <w:rsid w:val="00DE0645"/>
    <w:rsid w:val="00DE0710"/>
    <w:rsid w:val="00DE1E0A"/>
    <w:rsid w:val="00DE7C9F"/>
    <w:rsid w:val="00DF0533"/>
    <w:rsid w:val="00DF0A29"/>
    <w:rsid w:val="00DF12D5"/>
    <w:rsid w:val="00DF12F7"/>
    <w:rsid w:val="00DF1FBC"/>
    <w:rsid w:val="00DF2C64"/>
    <w:rsid w:val="00DF2C81"/>
    <w:rsid w:val="00DF30CC"/>
    <w:rsid w:val="00DF545B"/>
    <w:rsid w:val="00DF64B4"/>
    <w:rsid w:val="00DF6813"/>
    <w:rsid w:val="00E00759"/>
    <w:rsid w:val="00E01030"/>
    <w:rsid w:val="00E0120E"/>
    <w:rsid w:val="00E01220"/>
    <w:rsid w:val="00E012D2"/>
    <w:rsid w:val="00E01575"/>
    <w:rsid w:val="00E023E0"/>
    <w:rsid w:val="00E027C0"/>
    <w:rsid w:val="00E02BA9"/>
    <w:rsid w:val="00E02C81"/>
    <w:rsid w:val="00E0362D"/>
    <w:rsid w:val="00E06EAB"/>
    <w:rsid w:val="00E07263"/>
    <w:rsid w:val="00E108C8"/>
    <w:rsid w:val="00E10F7C"/>
    <w:rsid w:val="00E130AB"/>
    <w:rsid w:val="00E13A8A"/>
    <w:rsid w:val="00E14309"/>
    <w:rsid w:val="00E16CF4"/>
    <w:rsid w:val="00E200B9"/>
    <w:rsid w:val="00E26913"/>
    <w:rsid w:val="00E322DE"/>
    <w:rsid w:val="00E329E0"/>
    <w:rsid w:val="00E33E37"/>
    <w:rsid w:val="00E33F8C"/>
    <w:rsid w:val="00E350F4"/>
    <w:rsid w:val="00E369CA"/>
    <w:rsid w:val="00E405EE"/>
    <w:rsid w:val="00E40D18"/>
    <w:rsid w:val="00E4125F"/>
    <w:rsid w:val="00E41B04"/>
    <w:rsid w:val="00E42928"/>
    <w:rsid w:val="00E43A7D"/>
    <w:rsid w:val="00E43B33"/>
    <w:rsid w:val="00E443CE"/>
    <w:rsid w:val="00E465EA"/>
    <w:rsid w:val="00E51AB6"/>
    <w:rsid w:val="00E54483"/>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80865"/>
    <w:rsid w:val="00E80F5F"/>
    <w:rsid w:val="00E811C3"/>
    <w:rsid w:val="00E81951"/>
    <w:rsid w:val="00E826C0"/>
    <w:rsid w:val="00E828B8"/>
    <w:rsid w:val="00E82C26"/>
    <w:rsid w:val="00E85856"/>
    <w:rsid w:val="00E85ED4"/>
    <w:rsid w:val="00E87921"/>
    <w:rsid w:val="00E87EC4"/>
    <w:rsid w:val="00E9006B"/>
    <w:rsid w:val="00E903D0"/>
    <w:rsid w:val="00E91DE2"/>
    <w:rsid w:val="00E91FE4"/>
    <w:rsid w:val="00E934F9"/>
    <w:rsid w:val="00E959F0"/>
    <w:rsid w:val="00E96630"/>
    <w:rsid w:val="00E96D11"/>
    <w:rsid w:val="00E97278"/>
    <w:rsid w:val="00E97F8A"/>
    <w:rsid w:val="00EA0243"/>
    <w:rsid w:val="00EA0F7B"/>
    <w:rsid w:val="00EA264E"/>
    <w:rsid w:val="00EA2D43"/>
    <w:rsid w:val="00EA3A41"/>
    <w:rsid w:val="00EA4029"/>
    <w:rsid w:val="00EA4CA3"/>
    <w:rsid w:val="00EA5AB5"/>
    <w:rsid w:val="00EA634C"/>
    <w:rsid w:val="00EA677C"/>
    <w:rsid w:val="00EA7F49"/>
    <w:rsid w:val="00EB132F"/>
    <w:rsid w:val="00EB1FE7"/>
    <w:rsid w:val="00EB3339"/>
    <w:rsid w:val="00EB430E"/>
    <w:rsid w:val="00EB4811"/>
    <w:rsid w:val="00EB5C99"/>
    <w:rsid w:val="00EB7905"/>
    <w:rsid w:val="00EC066A"/>
    <w:rsid w:val="00EC1A72"/>
    <w:rsid w:val="00EC2105"/>
    <w:rsid w:val="00EC232F"/>
    <w:rsid w:val="00EC24F9"/>
    <w:rsid w:val="00EC326B"/>
    <w:rsid w:val="00EC3AE0"/>
    <w:rsid w:val="00EC48A8"/>
    <w:rsid w:val="00EC5C86"/>
    <w:rsid w:val="00EC65A6"/>
    <w:rsid w:val="00ED3697"/>
    <w:rsid w:val="00ED5C86"/>
    <w:rsid w:val="00ED7A2A"/>
    <w:rsid w:val="00EE1FD6"/>
    <w:rsid w:val="00EE4BFE"/>
    <w:rsid w:val="00EF09B7"/>
    <w:rsid w:val="00EF0A24"/>
    <w:rsid w:val="00EF193A"/>
    <w:rsid w:val="00EF1D7F"/>
    <w:rsid w:val="00EF3A31"/>
    <w:rsid w:val="00EF7CDC"/>
    <w:rsid w:val="00F04D0A"/>
    <w:rsid w:val="00F05659"/>
    <w:rsid w:val="00F108B4"/>
    <w:rsid w:val="00F10E8A"/>
    <w:rsid w:val="00F11288"/>
    <w:rsid w:val="00F14F1C"/>
    <w:rsid w:val="00F15F3D"/>
    <w:rsid w:val="00F17440"/>
    <w:rsid w:val="00F2102B"/>
    <w:rsid w:val="00F2229D"/>
    <w:rsid w:val="00F22733"/>
    <w:rsid w:val="00F23051"/>
    <w:rsid w:val="00F244D5"/>
    <w:rsid w:val="00F244F1"/>
    <w:rsid w:val="00F26CE9"/>
    <w:rsid w:val="00F31334"/>
    <w:rsid w:val="00F31D6C"/>
    <w:rsid w:val="00F32177"/>
    <w:rsid w:val="00F3320E"/>
    <w:rsid w:val="00F34768"/>
    <w:rsid w:val="00F352C2"/>
    <w:rsid w:val="00F359EF"/>
    <w:rsid w:val="00F36089"/>
    <w:rsid w:val="00F3643A"/>
    <w:rsid w:val="00F366BF"/>
    <w:rsid w:val="00F36C4A"/>
    <w:rsid w:val="00F377FC"/>
    <w:rsid w:val="00F429EB"/>
    <w:rsid w:val="00F44963"/>
    <w:rsid w:val="00F45C47"/>
    <w:rsid w:val="00F5061F"/>
    <w:rsid w:val="00F52A98"/>
    <w:rsid w:val="00F52B1B"/>
    <w:rsid w:val="00F53A2D"/>
    <w:rsid w:val="00F53EDA"/>
    <w:rsid w:val="00F55EC3"/>
    <w:rsid w:val="00F5718D"/>
    <w:rsid w:val="00F61158"/>
    <w:rsid w:val="00F618D8"/>
    <w:rsid w:val="00F63562"/>
    <w:rsid w:val="00F65F0D"/>
    <w:rsid w:val="00F66BB0"/>
    <w:rsid w:val="00F70182"/>
    <w:rsid w:val="00F70533"/>
    <w:rsid w:val="00F707E4"/>
    <w:rsid w:val="00F70F95"/>
    <w:rsid w:val="00F73A93"/>
    <w:rsid w:val="00F75508"/>
    <w:rsid w:val="00F7753D"/>
    <w:rsid w:val="00F800CA"/>
    <w:rsid w:val="00F811D5"/>
    <w:rsid w:val="00F822D3"/>
    <w:rsid w:val="00F82703"/>
    <w:rsid w:val="00F82767"/>
    <w:rsid w:val="00F8280A"/>
    <w:rsid w:val="00F82B74"/>
    <w:rsid w:val="00F83255"/>
    <w:rsid w:val="00F85337"/>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E4A"/>
    <w:rsid w:val="00FB171A"/>
    <w:rsid w:val="00FB213D"/>
    <w:rsid w:val="00FB2412"/>
    <w:rsid w:val="00FB48D5"/>
    <w:rsid w:val="00FB5541"/>
    <w:rsid w:val="00FB583B"/>
    <w:rsid w:val="00FB6CD1"/>
    <w:rsid w:val="00FC2EF5"/>
    <w:rsid w:val="00FC3D2E"/>
    <w:rsid w:val="00FC4669"/>
    <w:rsid w:val="00FC4ECC"/>
    <w:rsid w:val="00FC4F4B"/>
    <w:rsid w:val="00FC68B7"/>
    <w:rsid w:val="00FC68E5"/>
    <w:rsid w:val="00FC6DE3"/>
    <w:rsid w:val="00FD02AA"/>
    <w:rsid w:val="00FD0419"/>
    <w:rsid w:val="00FD4F7E"/>
    <w:rsid w:val="00FD7BF6"/>
    <w:rsid w:val="00FE57F9"/>
    <w:rsid w:val="00FE5818"/>
    <w:rsid w:val="00FE6FC6"/>
    <w:rsid w:val="00FE7DCB"/>
    <w:rsid w:val="00FF0A40"/>
    <w:rsid w:val="00FF2267"/>
    <w:rsid w:val="00FF2BB3"/>
    <w:rsid w:val="00FF3AE6"/>
    <w:rsid w:val="00FF4544"/>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6BC5E79B-7B87-4C03-A101-22157840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503228"/>
    <w:pPr>
      <w:tabs>
        <w:tab w:val="num" w:pos="1209"/>
      </w:tabs>
      <w:spacing w:after="0" w:line="240" w:lineRule="auto"/>
      <w:ind w:left="1209" w:right="0" w:hanging="360"/>
      <w:jc w:val="left"/>
      <w:outlineLvl w:val="0"/>
    </w:pPr>
  </w:style>
  <w:style w:type="paragraph" w:styleId="Heading2">
    <w:name w:val="heading 2"/>
    <w:basedOn w:val="Normal"/>
    <w:next w:val="Normal"/>
    <w:link w:val="Heading2Char"/>
    <w:qFormat/>
    <w:rsid w:val="00503228"/>
    <w:pPr>
      <w:numPr>
        <w:ilvl w:val="1"/>
        <w:numId w:val="16"/>
      </w:numPr>
      <w:spacing w:line="240" w:lineRule="auto"/>
      <w:outlineLvl w:val="1"/>
    </w:pPr>
  </w:style>
  <w:style w:type="paragraph" w:styleId="Heading3">
    <w:name w:val="heading 3"/>
    <w:basedOn w:val="Normal"/>
    <w:next w:val="Normal"/>
    <w:link w:val="Heading3Char"/>
    <w:qFormat/>
    <w:rsid w:val="00503228"/>
    <w:pPr>
      <w:numPr>
        <w:ilvl w:val="2"/>
        <w:numId w:val="16"/>
      </w:numPr>
      <w:spacing w:line="240" w:lineRule="auto"/>
      <w:outlineLvl w:val="2"/>
    </w:pPr>
  </w:style>
  <w:style w:type="paragraph" w:styleId="Heading4">
    <w:name w:val="heading 4"/>
    <w:basedOn w:val="Normal"/>
    <w:next w:val="Normal"/>
    <w:link w:val="Heading4Char"/>
    <w:qFormat/>
    <w:rsid w:val="00503228"/>
    <w:pPr>
      <w:numPr>
        <w:ilvl w:val="3"/>
        <w:numId w:val="16"/>
      </w:numPr>
      <w:spacing w:line="240" w:lineRule="auto"/>
      <w:outlineLvl w:val="3"/>
    </w:pPr>
  </w:style>
  <w:style w:type="paragraph" w:styleId="Heading5">
    <w:name w:val="heading 5"/>
    <w:basedOn w:val="Normal"/>
    <w:next w:val="Normal"/>
    <w:link w:val="Heading5Char"/>
    <w:qFormat/>
    <w:rsid w:val="00503228"/>
    <w:pPr>
      <w:numPr>
        <w:ilvl w:val="4"/>
        <w:numId w:val="16"/>
      </w:numPr>
      <w:spacing w:line="240" w:lineRule="auto"/>
      <w:outlineLvl w:val="4"/>
    </w:pPr>
  </w:style>
  <w:style w:type="paragraph" w:styleId="Heading6">
    <w:name w:val="heading 6"/>
    <w:basedOn w:val="Normal"/>
    <w:next w:val="Normal"/>
    <w:link w:val="Heading6Char"/>
    <w:qFormat/>
    <w:rsid w:val="00503228"/>
    <w:pPr>
      <w:numPr>
        <w:ilvl w:val="5"/>
        <w:numId w:val="16"/>
      </w:numPr>
      <w:spacing w:line="240" w:lineRule="auto"/>
      <w:outlineLvl w:val="5"/>
    </w:pPr>
  </w:style>
  <w:style w:type="paragraph" w:styleId="Heading7">
    <w:name w:val="heading 7"/>
    <w:basedOn w:val="Normal"/>
    <w:next w:val="Normal"/>
    <w:link w:val="Heading7Char"/>
    <w:qFormat/>
    <w:rsid w:val="00503228"/>
    <w:pPr>
      <w:numPr>
        <w:ilvl w:val="6"/>
        <w:numId w:val="16"/>
      </w:numPr>
      <w:spacing w:line="240" w:lineRule="auto"/>
      <w:outlineLvl w:val="6"/>
    </w:pPr>
  </w:style>
  <w:style w:type="paragraph" w:styleId="Heading8">
    <w:name w:val="heading 8"/>
    <w:basedOn w:val="Normal"/>
    <w:next w:val="Normal"/>
    <w:link w:val="Heading8Char"/>
    <w:qFormat/>
    <w:rsid w:val="00503228"/>
    <w:pPr>
      <w:numPr>
        <w:ilvl w:val="7"/>
        <w:numId w:val="16"/>
      </w:numPr>
      <w:spacing w:line="240" w:lineRule="auto"/>
      <w:outlineLvl w:val="7"/>
    </w:pPr>
  </w:style>
  <w:style w:type="paragraph" w:styleId="Heading9">
    <w:name w:val="heading 9"/>
    <w:basedOn w:val="Normal"/>
    <w:next w:val="Normal"/>
    <w:link w:val="Heading9Char"/>
    <w:qFormat/>
    <w:rsid w:val="00503228"/>
    <w:pPr>
      <w:numPr>
        <w:ilvl w:val="8"/>
        <w:numId w:val="1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5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unhideWhenUsed/>
    <w:rsid w:val="00EF193A"/>
    <w:pPr>
      <w:spacing w:line="240" w:lineRule="auto"/>
    </w:pPr>
  </w:style>
  <w:style w:type="character" w:customStyle="1" w:styleId="CommentTextChar">
    <w:name w:val="Comment Text Char"/>
    <w:basedOn w:val="DefaultParagraphFont"/>
    <w:link w:val="CommentText"/>
    <w:rsid w:val="00EF193A"/>
    <w:rPr>
      <w:lang w:eastAsia="en-US"/>
    </w:rPr>
  </w:style>
  <w:style w:type="paragraph" w:styleId="CommentSubject">
    <w:name w:val="annotation subject"/>
    <w:basedOn w:val="CommentText"/>
    <w:next w:val="CommentText"/>
    <w:link w:val="CommentSubjectChar"/>
    <w:unhideWhenUsed/>
    <w:rsid w:val="00EF193A"/>
    <w:rPr>
      <w:b/>
      <w:bCs/>
    </w:rPr>
  </w:style>
  <w:style w:type="character" w:customStyle="1" w:styleId="CommentSubjectChar">
    <w:name w:val="Comment Subject Char"/>
    <w:basedOn w:val="CommentTextChar"/>
    <w:link w:val="CommentSubject"/>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1"/>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uiPriority w:val="99"/>
    <w:rsid w:val="001A289F"/>
    <w:rPr>
      <w:sz w:val="16"/>
      <w:lang w:eastAsia="en-US"/>
    </w:rPr>
  </w:style>
  <w:style w:type="paragraph" w:customStyle="1" w:styleId="GHS1stline">
    <w:name w:val="GHS_1st line"/>
    <w:basedOn w:val="Normal"/>
    <w:qFormat/>
    <w:rsid w:val="00BB4A8B"/>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erChar">
    <w:name w:val="Header Char"/>
    <w:aliases w:val="6_G Char"/>
    <w:basedOn w:val="DefaultParagraphFont"/>
    <w:link w:val="Header"/>
    <w:rsid w:val="00980021"/>
    <w:rPr>
      <w:b/>
      <w:sz w:val="18"/>
      <w:lang w:eastAsia="en-US"/>
    </w:rPr>
  </w:style>
  <w:style w:type="paragraph" w:customStyle="1" w:styleId="ParNoG">
    <w:name w:val="_ParNo_G"/>
    <w:basedOn w:val="SingleTxtG"/>
    <w:qFormat/>
    <w:rsid w:val="002966BB"/>
    <w:pPr>
      <w:numPr>
        <w:numId w:val="5"/>
      </w:numPr>
      <w:suppressAutoHyphens w:val="0"/>
    </w:pPr>
    <w:rPr>
      <w:lang w:eastAsia="zh-CN"/>
    </w:rPr>
  </w:style>
  <w:style w:type="numbering" w:styleId="111111">
    <w:name w:val="Outline List 2"/>
    <w:basedOn w:val="NoList"/>
    <w:semiHidden/>
    <w:rsid w:val="002966BB"/>
    <w:pPr>
      <w:numPr>
        <w:numId w:val="3"/>
      </w:numPr>
    </w:pPr>
  </w:style>
  <w:style w:type="numbering" w:styleId="1ai">
    <w:name w:val="Outline List 1"/>
    <w:basedOn w:val="NoList"/>
    <w:semiHidden/>
    <w:rsid w:val="002966BB"/>
    <w:pPr>
      <w:numPr>
        <w:numId w:val="4"/>
      </w:numPr>
    </w:pPr>
  </w:style>
  <w:style w:type="character" w:customStyle="1" w:styleId="EndnoteTextChar">
    <w:name w:val="Endnote Text Char"/>
    <w:aliases w:val="2_G Char"/>
    <w:basedOn w:val="DefaultParagraphFont"/>
    <w:link w:val="EndnoteText"/>
    <w:rsid w:val="002966BB"/>
    <w:rPr>
      <w:sz w:val="18"/>
      <w:lang w:eastAsia="en-US"/>
    </w:rPr>
  </w:style>
  <w:style w:type="character" w:customStyle="1" w:styleId="Heading1Char">
    <w:name w:val="Heading 1 Char"/>
    <w:aliases w:val="Table_G Char"/>
    <w:basedOn w:val="DefaultParagraphFont"/>
    <w:link w:val="Heading1"/>
    <w:uiPriority w:val="1"/>
    <w:rsid w:val="002966BB"/>
    <w:rPr>
      <w:lang w:eastAsia="en-US"/>
    </w:rPr>
  </w:style>
  <w:style w:type="character" w:customStyle="1" w:styleId="Heading2Char">
    <w:name w:val="Heading 2 Char"/>
    <w:basedOn w:val="DefaultParagraphFont"/>
    <w:link w:val="Heading2"/>
    <w:rsid w:val="002966BB"/>
    <w:rPr>
      <w:lang w:eastAsia="en-US"/>
    </w:rPr>
  </w:style>
  <w:style w:type="character" w:customStyle="1" w:styleId="Heading3Char">
    <w:name w:val="Heading 3 Char"/>
    <w:basedOn w:val="DefaultParagraphFont"/>
    <w:link w:val="Heading3"/>
    <w:rsid w:val="002966BB"/>
    <w:rPr>
      <w:lang w:eastAsia="en-US"/>
    </w:rPr>
  </w:style>
  <w:style w:type="character" w:customStyle="1" w:styleId="Heading4Char">
    <w:name w:val="Heading 4 Char"/>
    <w:basedOn w:val="DefaultParagraphFont"/>
    <w:link w:val="Heading4"/>
    <w:rsid w:val="002966BB"/>
    <w:rPr>
      <w:lang w:eastAsia="en-US"/>
    </w:rPr>
  </w:style>
  <w:style w:type="character" w:customStyle="1" w:styleId="Heading5Char">
    <w:name w:val="Heading 5 Char"/>
    <w:basedOn w:val="DefaultParagraphFont"/>
    <w:link w:val="Heading5"/>
    <w:rsid w:val="002966BB"/>
    <w:rPr>
      <w:lang w:eastAsia="en-US"/>
    </w:rPr>
  </w:style>
  <w:style w:type="character" w:customStyle="1" w:styleId="Heading6Char">
    <w:name w:val="Heading 6 Char"/>
    <w:basedOn w:val="DefaultParagraphFont"/>
    <w:link w:val="Heading6"/>
    <w:rsid w:val="002966BB"/>
    <w:rPr>
      <w:lang w:eastAsia="en-US"/>
    </w:rPr>
  </w:style>
  <w:style w:type="character" w:customStyle="1" w:styleId="Heading7Char">
    <w:name w:val="Heading 7 Char"/>
    <w:basedOn w:val="DefaultParagraphFont"/>
    <w:link w:val="Heading7"/>
    <w:rsid w:val="002966BB"/>
    <w:rPr>
      <w:lang w:eastAsia="en-US"/>
    </w:rPr>
  </w:style>
  <w:style w:type="character" w:customStyle="1" w:styleId="Heading8Char">
    <w:name w:val="Heading 8 Char"/>
    <w:basedOn w:val="DefaultParagraphFont"/>
    <w:link w:val="Heading8"/>
    <w:rsid w:val="002966BB"/>
    <w:rPr>
      <w:lang w:eastAsia="en-US"/>
    </w:rPr>
  </w:style>
  <w:style w:type="character" w:customStyle="1" w:styleId="Heading9Char">
    <w:name w:val="Heading 9 Char"/>
    <w:basedOn w:val="DefaultParagraphFont"/>
    <w:link w:val="Heading9"/>
    <w:rsid w:val="002966BB"/>
    <w:rPr>
      <w:lang w:eastAsia="en-US"/>
    </w:rPr>
  </w:style>
  <w:style w:type="paragraph" w:styleId="Title">
    <w:name w:val="Title"/>
    <w:basedOn w:val="Normal"/>
    <w:next w:val="Normal"/>
    <w:link w:val="TitleChar"/>
    <w:qFormat/>
    <w:rsid w:val="002966BB"/>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B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2966BB"/>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semiHidden/>
    <w:unhideWhenUsed/>
    <w:rsid w:val="002966BB"/>
    <w:pPr>
      <w:kinsoku w:val="0"/>
      <w:overflowPunct w:val="0"/>
      <w:autoSpaceDE w:val="0"/>
      <w:autoSpaceDN w:val="0"/>
      <w:adjustRightInd w:val="0"/>
      <w:snapToGrid w:val="0"/>
      <w:spacing w:after="100"/>
      <w:ind w:left="200"/>
    </w:pPr>
    <w:rPr>
      <w:rFonts w:eastAsia="SimSun"/>
      <w:lang w:eastAsia="zh-CN"/>
    </w:rPr>
  </w:style>
  <w:style w:type="paragraph" w:styleId="TOC3">
    <w:name w:val="toc 3"/>
    <w:basedOn w:val="Normal"/>
    <w:next w:val="Normal"/>
    <w:autoRedefine/>
    <w:uiPriority w:val="39"/>
    <w:semiHidden/>
    <w:unhideWhenUsed/>
    <w:rsid w:val="002966BB"/>
    <w:pPr>
      <w:kinsoku w:val="0"/>
      <w:overflowPunct w:val="0"/>
      <w:autoSpaceDE w:val="0"/>
      <w:autoSpaceDN w:val="0"/>
      <w:adjustRightInd w:val="0"/>
      <w:snapToGrid w:val="0"/>
      <w:spacing w:after="100"/>
      <w:ind w:left="400"/>
    </w:pPr>
    <w:rPr>
      <w:rFonts w:eastAsia="SimSun"/>
      <w:lang w:eastAsia="zh-CN"/>
    </w:rPr>
  </w:style>
  <w:style w:type="numbering" w:customStyle="1" w:styleId="Style1">
    <w:name w:val="Style1"/>
    <w:uiPriority w:val="99"/>
    <w:rsid w:val="002966BB"/>
    <w:pPr>
      <w:numPr>
        <w:numId w:val="10"/>
      </w:numPr>
    </w:pPr>
  </w:style>
  <w:style w:type="paragraph" w:styleId="BodyText">
    <w:name w:val="Body Text"/>
    <w:basedOn w:val="Normal"/>
    <w:next w:val="Normal"/>
    <w:link w:val="BodyTextChar"/>
    <w:semiHidden/>
    <w:rsid w:val="00BA49B5"/>
  </w:style>
  <w:style w:type="character" w:customStyle="1" w:styleId="BodyTextChar">
    <w:name w:val="Body Text Char"/>
    <w:basedOn w:val="DefaultParagraphFont"/>
    <w:link w:val="BodyText"/>
    <w:semiHidden/>
    <w:rsid w:val="00BA49B5"/>
    <w:rPr>
      <w:lang w:eastAsia="en-US"/>
    </w:rPr>
  </w:style>
  <w:style w:type="paragraph" w:styleId="BodyTextIndent">
    <w:name w:val="Body Text Indent"/>
    <w:basedOn w:val="Normal"/>
    <w:link w:val="BodyTextIndentChar"/>
    <w:semiHidden/>
    <w:rsid w:val="00BA49B5"/>
    <w:pPr>
      <w:spacing w:after="120"/>
      <w:ind w:left="283"/>
    </w:pPr>
  </w:style>
  <w:style w:type="character" w:customStyle="1" w:styleId="BodyTextIndentChar">
    <w:name w:val="Body Text Indent Char"/>
    <w:basedOn w:val="DefaultParagraphFont"/>
    <w:link w:val="BodyTextIndent"/>
    <w:semiHidden/>
    <w:rsid w:val="00BA49B5"/>
    <w:rPr>
      <w:lang w:eastAsia="en-US"/>
    </w:rPr>
  </w:style>
  <w:style w:type="paragraph" w:styleId="BlockText">
    <w:name w:val="Block Text"/>
    <w:basedOn w:val="Normal"/>
    <w:semiHidden/>
    <w:rsid w:val="00BA49B5"/>
    <w:pPr>
      <w:ind w:left="1440" w:right="1440"/>
    </w:pPr>
  </w:style>
  <w:style w:type="character" w:styleId="LineNumber">
    <w:name w:val="line number"/>
    <w:semiHidden/>
    <w:rsid w:val="00BA49B5"/>
    <w:rPr>
      <w:sz w:val="14"/>
    </w:rPr>
  </w:style>
  <w:style w:type="numbering" w:styleId="ArticleSection">
    <w:name w:val="Outline List 3"/>
    <w:basedOn w:val="NoList"/>
    <w:semiHidden/>
    <w:rsid w:val="00BA49B5"/>
    <w:pPr>
      <w:numPr>
        <w:numId w:val="26"/>
      </w:numPr>
    </w:pPr>
  </w:style>
  <w:style w:type="paragraph" w:styleId="BodyText2">
    <w:name w:val="Body Text 2"/>
    <w:basedOn w:val="Normal"/>
    <w:link w:val="BodyText2Char"/>
    <w:semiHidden/>
    <w:rsid w:val="00BA49B5"/>
    <w:pPr>
      <w:spacing w:after="120" w:line="480" w:lineRule="auto"/>
    </w:pPr>
  </w:style>
  <w:style w:type="character" w:customStyle="1" w:styleId="BodyText2Char">
    <w:name w:val="Body Text 2 Char"/>
    <w:basedOn w:val="DefaultParagraphFont"/>
    <w:link w:val="BodyText2"/>
    <w:semiHidden/>
    <w:rsid w:val="00BA49B5"/>
    <w:rPr>
      <w:lang w:eastAsia="en-US"/>
    </w:rPr>
  </w:style>
  <w:style w:type="paragraph" w:styleId="BodyText3">
    <w:name w:val="Body Text 3"/>
    <w:basedOn w:val="Normal"/>
    <w:link w:val="BodyText3Char"/>
    <w:semiHidden/>
    <w:rsid w:val="00BA49B5"/>
    <w:pPr>
      <w:spacing w:after="120"/>
    </w:pPr>
    <w:rPr>
      <w:sz w:val="16"/>
      <w:szCs w:val="16"/>
    </w:rPr>
  </w:style>
  <w:style w:type="character" w:customStyle="1" w:styleId="BodyText3Char">
    <w:name w:val="Body Text 3 Char"/>
    <w:basedOn w:val="DefaultParagraphFont"/>
    <w:link w:val="BodyText3"/>
    <w:semiHidden/>
    <w:rsid w:val="00BA49B5"/>
    <w:rPr>
      <w:sz w:val="16"/>
      <w:szCs w:val="16"/>
      <w:lang w:eastAsia="en-US"/>
    </w:rPr>
  </w:style>
  <w:style w:type="paragraph" w:styleId="BodyTextFirstIndent">
    <w:name w:val="Body Text First Indent"/>
    <w:basedOn w:val="BodyText"/>
    <w:link w:val="BodyTextFirstIndentChar"/>
    <w:rsid w:val="00BA49B5"/>
    <w:pPr>
      <w:spacing w:after="120"/>
      <w:ind w:firstLine="210"/>
    </w:pPr>
  </w:style>
  <w:style w:type="character" w:customStyle="1" w:styleId="BodyTextFirstIndentChar">
    <w:name w:val="Body Text First Indent Char"/>
    <w:basedOn w:val="BodyTextChar"/>
    <w:link w:val="BodyTextFirstIndent"/>
    <w:rsid w:val="00BA49B5"/>
    <w:rPr>
      <w:lang w:eastAsia="en-US"/>
    </w:rPr>
  </w:style>
  <w:style w:type="paragraph" w:styleId="BodyTextFirstIndent2">
    <w:name w:val="Body Text First Indent 2"/>
    <w:basedOn w:val="BodyTextIndent"/>
    <w:link w:val="BodyTextFirstIndent2Char"/>
    <w:semiHidden/>
    <w:rsid w:val="00BA49B5"/>
    <w:pPr>
      <w:ind w:firstLine="210"/>
    </w:pPr>
  </w:style>
  <w:style w:type="character" w:customStyle="1" w:styleId="BodyTextFirstIndent2Char">
    <w:name w:val="Body Text First Indent 2 Char"/>
    <w:basedOn w:val="BodyTextIndentChar"/>
    <w:link w:val="BodyTextFirstIndent2"/>
    <w:semiHidden/>
    <w:rsid w:val="00BA49B5"/>
    <w:rPr>
      <w:lang w:eastAsia="en-US"/>
    </w:rPr>
  </w:style>
  <w:style w:type="paragraph" w:styleId="BodyTextIndent2">
    <w:name w:val="Body Text Indent 2"/>
    <w:basedOn w:val="Normal"/>
    <w:link w:val="BodyTextIndent2Char"/>
    <w:semiHidden/>
    <w:rsid w:val="00BA49B5"/>
    <w:pPr>
      <w:spacing w:after="120" w:line="480" w:lineRule="auto"/>
      <w:ind w:left="283"/>
    </w:pPr>
  </w:style>
  <w:style w:type="character" w:customStyle="1" w:styleId="BodyTextIndent2Char">
    <w:name w:val="Body Text Indent 2 Char"/>
    <w:basedOn w:val="DefaultParagraphFont"/>
    <w:link w:val="BodyTextIndent2"/>
    <w:semiHidden/>
    <w:rsid w:val="00BA49B5"/>
    <w:rPr>
      <w:lang w:eastAsia="en-US"/>
    </w:rPr>
  </w:style>
  <w:style w:type="paragraph" w:styleId="BodyTextIndent3">
    <w:name w:val="Body Text Indent 3"/>
    <w:basedOn w:val="Normal"/>
    <w:link w:val="BodyTextIndent3Char"/>
    <w:semiHidden/>
    <w:rsid w:val="00BA49B5"/>
    <w:pPr>
      <w:spacing w:after="120"/>
      <w:ind w:left="283"/>
    </w:pPr>
    <w:rPr>
      <w:sz w:val="16"/>
      <w:szCs w:val="16"/>
    </w:rPr>
  </w:style>
  <w:style w:type="character" w:customStyle="1" w:styleId="BodyTextIndent3Char">
    <w:name w:val="Body Text Indent 3 Char"/>
    <w:basedOn w:val="DefaultParagraphFont"/>
    <w:link w:val="BodyTextIndent3"/>
    <w:semiHidden/>
    <w:rsid w:val="00BA49B5"/>
    <w:rPr>
      <w:sz w:val="16"/>
      <w:szCs w:val="16"/>
      <w:lang w:eastAsia="en-US"/>
    </w:rPr>
  </w:style>
  <w:style w:type="paragraph" w:styleId="Closing">
    <w:name w:val="Closing"/>
    <w:basedOn w:val="Normal"/>
    <w:link w:val="ClosingChar"/>
    <w:semiHidden/>
    <w:rsid w:val="00BA49B5"/>
    <w:pPr>
      <w:ind w:left="4252"/>
    </w:pPr>
  </w:style>
  <w:style w:type="character" w:customStyle="1" w:styleId="ClosingChar">
    <w:name w:val="Closing Char"/>
    <w:basedOn w:val="DefaultParagraphFont"/>
    <w:link w:val="Closing"/>
    <w:semiHidden/>
    <w:rsid w:val="00BA49B5"/>
    <w:rPr>
      <w:lang w:eastAsia="en-US"/>
    </w:rPr>
  </w:style>
  <w:style w:type="paragraph" w:styleId="Date">
    <w:name w:val="Date"/>
    <w:basedOn w:val="Normal"/>
    <w:next w:val="Normal"/>
    <w:link w:val="DateChar"/>
    <w:rsid w:val="00BA49B5"/>
  </w:style>
  <w:style w:type="character" w:customStyle="1" w:styleId="DateChar">
    <w:name w:val="Date Char"/>
    <w:basedOn w:val="DefaultParagraphFont"/>
    <w:link w:val="Date"/>
    <w:rsid w:val="00BA49B5"/>
    <w:rPr>
      <w:lang w:eastAsia="en-US"/>
    </w:rPr>
  </w:style>
  <w:style w:type="paragraph" w:styleId="E-mailSignature">
    <w:name w:val="E-mail Signature"/>
    <w:basedOn w:val="Normal"/>
    <w:link w:val="E-mailSignatureChar"/>
    <w:semiHidden/>
    <w:rsid w:val="00BA49B5"/>
  </w:style>
  <w:style w:type="character" w:customStyle="1" w:styleId="E-mailSignatureChar">
    <w:name w:val="E-mail Signature Char"/>
    <w:basedOn w:val="DefaultParagraphFont"/>
    <w:link w:val="E-mailSignature"/>
    <w:semiHidden/>
    <w:rsid w:val="00BA49B5"/>
    <w:rPr>
      <w:lang w:eastAsia="en-US"/>
    </w:rPr>
  </w:style>
  <w:style w:type="character" w:styleId="Emphasis">
    <w:name w:val="Emphasis"/>
    <w:qFormat/>
    <w:rsid w:val="00BA49B5"/>
    <w:rPr>
      <w:i/>
      <w:iCs/>
    </w:rPr>
  </w:style>
  <w:style w:type="paragraph" w:styleId="EnvelopeReturn">
    <w:name w:val="envelope return"/>
    <w:basedOn w:val="Normal"/>
    <w:semiHidden/>
    <w:rsid w:val="00BA49B5"/>
    <w:rPr>
      <w:rFonts w:ascii="Arial" w:hAnsi="Arial" w:cs="Arial"/>
    </w:rPr>
  </w:style>
  <w:style w:type="character" w:styleId="HTMLAcronym">
    <w:name w:val="HTML Acronym"/>
    <w:basedOn w:val="DefaultParagraphFont"/>
    <w:semiHidden/>
    <w:rsid w:val="00BA49B5"/>
  </w:style>
  <w:style w:type="paragraph" w:styleId="HTMLAddress">
    <w:name w:val="HTML Address"/>
    <w:basedOn w:val="Normal"/>
    <w:link w:val="HTMLAddressChar"/>
    <w:semiHidden/>
    <w:rsid w:val="00BA49B5"/>
    <w:rPr>
      <w:i/>
      <w:iCs/>
    </w:rPr>
  </w:style>
  <w:style w:type="character" w:customStyle="1" w:styleId="HTMLAddressChar">
    <w:name w:val="HTML Address Char"/>
    <w:basedOn w:val="DefaultParagraphFont"/>
    <w:link w:val="HTMLAddress"/>
    <w:semiHidden/>
    <w:rsid w:val="00BA49B5"/>
    <w:rPr>
      <w:i/>
      <w:iCs/>
      <w:lang w:eastAsia="en-US"/>
    </w:rPr>
  </w:style>
  <w:style w:type="character" w:styleId="HTMLCite">
    <w:name w:val="HTML Cite"/>
    <w:semiHidden/>
    <w:rsid w:val="00BA49B5"/>
    <w:rPr>
      <w:i/>
      <w:iCs/>
    </w:rPr>
  </w:style>
  <w:style w:type="character" w:styleId="HTMLCode">
    <w:name w:val="HTML Code"/>
    <w:semiHidden/>
    <w:rsid w:val="00BA49B5"/>
    <w:rPr>
      <w:rFonts w:ascii="Courier New" w:hAnsi="Courier New" w:cs="Courier New"/>
      <w:sz w:val="20"/>
      <w:szCs w:val="20"/>
    </w:rPr>
  </w:style>
  <w:style w:type="character" w:styleId="HTMLDefinition">
    <w:name w:val="HTML Definition"/>
    <w:semiHidden/>
    <w:rsid w:val="00BA49B5"/>
    <w:rPr>
      <w:i/>
      <w:iCs/>
    </w:rPr>
  </w:style>
  <w:style w:type="character" w:styleId="HTMLKeyboard">
    <w:name w:val="HTML Keyboard"/>
    <w:semiHidden/>
    <w:rsid w:val="00BA49B5"/>
    <w:rPr>
      <w:rFonts w:ascii="Courier New" w:hAnsi="Courier New" w:cs="Courier New"/>
      <w:sz w:val="20"/>
      <w:szCs w:val="20"/>
    </w:rPr>
  </w:style>
  <w:style w:type="paragraph" w:styleId="HTMLPreformatted">
    <w:name w:val="HTML Preformatted"/>
    <w:basedOn w:val="Normal"/>
    <w:link w:val="HTMLPreformattedChar"/>
    <w:semiHidden/>
    <w:rsid w:val="00BA49B5"/>
    <w:rPr>
      <w:rFonts w:ascii="Courier New" w:hAnsi="Courier New" w:cs="Courier New"/>
    </w:rPr>
  </w:style>
  <w:style w:type="character" w:customStyle="1" w:styleId="HTMLPreformattedChar">
    <w:name w:val="HTML Preformatted Char"/>
    <w:basedOn w:val="DefaultParagraphFont"/>
    <w:link w:val="HTMLPreformatted"/>
    <w:semiHidden/>
    <w:rsid w:val="00BA49B5"/>
    <w:rPr>
      <w:rFonts w:ascii="Courier New" w:hAnsi="Courier New" w:cs="Courier New"/>
      <w:lang w:eastAsia="en-US"/>
    </w:rPr>
  </w:style>
  <w:style w:type="character" w:styleId="HTMLSample">
    <w:name w:val="HTML Sample"/>
    <w:semiHidden/>
    <w:rsid w:val="00BA49B5"/>
    <w:rPr>
      <w:rFonts w:ascii="Courier New" w:hAnsi="Courier New" w:cs="Courier New"/>
    </w:rPr>
  </w:style>
  <w:style w:type="character" w:styleId="HTMLTypewriter">
    <w:name w:val="HTML Typewriter"/>
    <w:semiHidden/>
    <w:rsid w:val="00BA49B5"/>
    <w:rPr>
      <w:rFonts w:ascii="Courier New" w:hAnsi="Courier New" w:cs="Courier New"/>
      <w:sz w:val="20"/>
      <w:szCs w:val="20"/>
    </w:rPr>
  </w:style>
  <w:style w:type="character" w:styleId="HTMLVariable">
    <w:name w:val="HTML Variable"/>
    <w:semiHidden/>
    <w:rsid w:val="00BA49B5"/>
    <w:rPr>
      <w:i/>
      <w:iCs/>
    </w:rPr>
  </w:style>
  <w:style w:type="paragraph" w:styleId="List">
    <w:name w:val="List"/>
    <w:basedOn w:val="Normal"/>
    <w:semiHidden/>
    <w:rsid w:val="00BA49B5"/>
    <w:pPr>
      <w:ind w:left="283" w:hanging="283"/>
    </w:pPr>
  </w:style>
  <w:style w:type="paragraph" w:styleId="List2">
    <w:name w:val="List 2"/>
    <w:basedOn w:val="Normal"/>
    <w:semiHidden/>
    <w:rsid w:val="00BA49B5"/>
    <w:pPr>
      <w:ind w:left="566" w:hanging="283"/>
    </w:pPr>
  </w:style>
  <w:style w:type="paragraph" w:styleId="List3">
    <w:name w:val="List 3"/>
    <w:basedOn w:val="Normal"/>
    <w:semiHidden/>
    <w:rsid w:val="00BA49B5"/>
    <w:pPr>
      <w:ind w:left="849" w:hanging="283"/>
    </w:pPr>
  </w:style>
  <w:style w:type="paragraph" w:styleId="List4">
    <w:name w:val="List 4"/>
    <w:basedOn w:val="Normal"/>
    <w:rsid w:val="00BA49B5"/>
    <w:pPr>
      <w:ind w:left="1132" w:hanging="283"/>
    </w:pPr>
  </w:style>
  <w:style w:type="paragraph" w:styleId="List5">
    <w:name w:val="List 5"/>
    <w:basedOn w:val="Normal"/>
    <w:rsid w:val="00BA49B5"/>
    <w:pPr>
      <w:ind w:left="1415" w:hanging="283"/>
    </w:pPr>
  </w:style>
  <w:style w:type="paragraph" w:styleId="ListBullet">
    <w:name w:val="List Bullet"/>
    <w:basedOn w:val="Normal"/>
    <w:semiHidden/>
    <w:rsid w:val="00BA49B5"/>
    <w:pPr>
      <w:numPr>
        <w:numId w:val="21"/>
      </w:numPr>
    </w:pPr>
  </w:style>
  <w:style w:type="paragraph" w:styleId="ListBullet2">
    <w:name w:val="List Bullet 2"/>
    <w:basedOn w:val="Normal"/>
    <w:semiHidden/>
    <w:rsid w:val="00BA49B5"/>
    <w:pPr>
      <w:numPr>
        <w:numId w:val="22"/>
      </w:numPr>
    </w:pPr>
  </w:style>
  <w:style w:type="paragraph" w:styleId="ListBullet3">
    <w:name w:val="List Bullet 3"/>
    <w:basedOn w:val="Normal"/>
    <w:semiHidden/>
    <w:rsid w:val="00BA49B5"/>
    <w:pPr>
      <w:numPr>
        <w:numId w:val="23"/>
      </w:numPr>
    </w:pPr>
  </w:style>
  <w:style w:type="paragraph" w:styleId="ListBullet4">
    <w:name w:val="List Bullet 4"/>
    <w:basedOn w:val="Normal"/>
    <w:semiHidden/>
    <w:rsid w:val="00BA49B5"/>
    <w:pPr>
      <w:numPr>
        <w:numId w:val="24"/>
      </w:numPr>
    </w:pPr>
  </w:style>
  <w:style w:type="paragraph" w:styleId="ListBullet5">
    <w:name w:val="List Bullet 5"/>
    <w:basedOn w:val="Normal"/>
    <w:semiHidden/>
    <w:rsid w:val="00BA49B5"/>
    <w:pPr>
      <w:numPr>
        <w:numId w:val="25"/>
      </w:numPr>
    </w:pPr>
  </w:style>
  <w:style w:type="paragraph" w:styleId="ListContinue">
    <w:name w:val="List Continue"/>
    <w:basedOn w:val="Normal"/>
    <w:semiHidden/>
    <w:rsid w:val="00BA49B5"/>
    <w:pPr>
      <w:spacing w:after="120"/>
      <w:ind w:left="283"/>
    </w:pPr>
  </w:style>
  <w:style w:type="paragraph" w:styleId="ListContinue2">
    <w:name w:val="List Continue 2"/>
    <w:basedOn w:val="Normal"/>
    <w:semiHidden/>
    <w:rsid w:val="00BA49B5"/>
    <w:pPr>
      <w:spacing w:after="120"/>
      <w:ind w:left="566"/>
    </w:pPr>
  </w:style>
  <w:style w:type="paragraph" w:styleId="ListContinue3">
    <w:name w:val="List Continue 3"/>
    <w:basedOn w:val="Normal"/>
    <w:semiHidden/>
    <w:rsid w:val="00BA49B5"/>
    <w:pPr>
      <w:spacing w:after="120"/>
      <w:ind w:left="849"/>
    </w:pPr>
  </w:style>
  <w:style w:type="paragraph" w:styleId="ListContinue4">
    <w:name w:val="List Continue 4"/>
    <w:basedOn w:val="Normal"/>
    <w:semiHidden/>
    <w:rsid w:val="00BA49B5"/>
    <w:pPr>
      <w:spacing w:after="120"/>
      <w:ind w:left="1132"/>
    </w:pPr>
  </w:style>
  <w:style w:type="paragraph" w:styleId="ListContinue5">
    <w:name w:val="List Continue 5"/>
    <w:basedOn w:val="Normal"/>
    <w:semiHidden/>
    <w:rsid w:val="00BA49B5"/>
    <w:pPr>
      <w:spacing w:after="120"/>
      <w:ind w:left="1415"/>
    </w:pPr>
  </w:style>
  <w:style w:type="paragraph" w:styleId="ListNumber">
    <w:name w:val="List Number"/>
    <w:basedOn w:val="Normal"/>
    <w:rsid w:val="00BA49B5"/>
    <w:pPr>
      <w:numPr>
        <w:numId w:val="20"/>
      </w:numPr>
    </w:pPr>
  </w:style>
  <w:style w:type="paragraph" w:styleId="ListNumber2">
    <w:name w:val="List Number 2"/>
    <w:basedOn w:val="Normal"/>
    <w:semiHidden/>
    <w:rsid w:val="00BA49B5"/>
    <w:pPr>
      <w:numPr>
        <w:numId w:val="19"/>
      </w:numPr>
    </w:pPr>
  </w:style>
  <w:style w:type="paragraph" w:styleId="ListNumber3">
    <w:name w:val="List Number 3"/>
    <w:basedOn w:val="Normal"/>
    <w:semiHidden/>
    <w:rsid w:val="00BA49B5"/>
    <w:pPr>
      <w:numPr>
        <w:numId w:val="18"/>
      </w:numPr>
    </w:pPr>
  </w:style>
  <w:style w:type="paragraph" w:styleId="ListNumber4">
    <w:name w:val="List Number 4"/>
    <w:basedOn w:val="Normal"/>
    <w:semiHidden/>
    <w:rsid w:val="00BA49B5"/>
    <w:pPr>
      <w:tabs>
        <w:tab w:val="num" w:pos="1209"/>
      </w:tabs>
      <w:ind w:left="1209" w:hanging="360"/>
    </w:pPr>
  </w:style>
  <w:style w:type="paragraph" w:styleId="ListNumber5">
    <w:name w:val="List Number 5"/>
    <w:basedOn w:val="Normal"/>
    <w:semiHidden/>
    <w:rsid w:val="00BA49B5"/>
    <w:pPr>
      <w:numPr>
        <w:numId w:val="17"/>
      </w:numPr>
    </w:pPr>
  </w:style>
  <w:style w:type="paragraph" w:styleId="MessageHeader">
    <w:name w:val="Message Header"/>
    <w:basedOn w:val="Normal"/>
    <w:link w:val="MessageHeaderChar"/>
    <w:semiHidden/>
    <w:rsid w:val="00BA49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A49B5"/>
    <w:rPr>
      <w:rFonts w:ascii="Arial" w:hAnsi="Arial" w:cs="Arial"/>
      <w:sz w:val="24"/>
      <w:szCs w:val="24"/>
      <w:shd w:val="pct20" w:color="auto" w:fill="auto"/>
      <w:lang w:eastAsia="en-US"/>
    </w:rPr>
  </w:style>
  <w:style w:type="paragraph" w:styleId="NormalWeb">
    <w:name w:val="Normal (Web)"/>
    <w:basedOn w:val="Normal"/>
    <w:semiHidden/>
    <w:rsid w:val="00BA49B5"/>
    <w:rPr>
      <w:sz w:val="24"/>
      <w:szCs w:val="24"/>
    </w:rPr>
  </w:style>
  <w:style w:type="paragraph" w:styleId="NormalIndent">
    <w:name w:val="Normal Indent"/>
    <w:basedOn w:val="Normal"/>
    <w:semiHidden/>
    <w:rsid w:val="00BA49B5"/>
    <w:pPr>
      <w:ind w:left="567"/>
    </w:pPr>
  </w:style>
  <w:style w:type="paragraph" w:styleId="NoteHeading">
    <w:name w:val="Note Heading"/>
    <w:basedOn w:val="Normal"/>
    <w:next w:val="Normal"/>
    <w:link w:val="NoteHeadingChar"/>
    <w:semiHidden/>
    <w:rsid w:val="00BA49B5"/>
  </w:style>
  <w:style w:type="character" w:customStyle="1" w:styleId="NoteHeadingChar">
    <w:name w:val="Note Heading Char"/>
    <w:basedOn w:val="DefaultParagraphFont"/>
    <w:link w:val="NoteHeading"/>
    <w:semiHidden/>
    <w:rsid w:val="00BA49B5"/>
    <w:rPr>
      <w:lang w:eastAsia="en-US"/>
    </w:rPr>
  </w:style>
  <w:style w:type="paragraph" w:styleId="Salutation">
    <w:name w:val="Salutation"/>
    <w:basedOn w:val="Normal"/>
    <w:next w:val="Normal"/>
    <w:link w:val="SalutationChar"/>
    <w:rsid w:val="00BA49B5"/>
  </w:style>
  <w:style w:type="character" w:customStyle="1" w:styleId="SalutationChar">
    <w:name w:val="Salutation Char"/>
    <w:basedOn w:val="DefaultParagraphFont"/>
    <w:link w:val="Salutation"/>
    <w:rsid w:val="00BA49B5"/>
    <w:rPr>
      <w:lang w:eastAsia="en-US"/>
    </w:rPr>
  </w:style>
  <w:style w:type="paragraph" w:styleId="Signature">
    <w:name w:val="Signature"/>
    <w:basedOn w:val="Normal"/>
    <w:link w:val="SignatureChar"/>
    <w:semiHidden/>
    <w:rsid w:val="00BA49B5"/>
    <w:pPr>
      <w:ind w:left="4252"/>
    </w:pPr>
  </w:style>
  <w:style w:type="character" w:customStyle="1" w:styleId="SignatureChar">
    <w:name w:val="Signature Char"/>
    <w:basedOn w:val="DefaultParagraphFont"/>
    <w:link w:val="Signature"/>
    <w:semiHidden/>
    <w:rsid w:val="00BA49B5"/>
    <w:rPr>
      <w:lang w:eastAsia="en-US"/>
    </w:rPr>
  </w:style>
  <w:style w:type="character" w:styleId="Strong">
    <w:name w:val="Strong"/>
    <w:qFormat/>
    <w:rsid w:val="00BA49B5"/>
    <w:rPr>
      <w:b/>
      <w:bCs/>
    </w:rPr>
  </w:style>
  <w:style w:type="paragraph" w:styleId="Subtitle">
    <w:name w:val="Subtitle"/>
    <w:basedOn w:val="Normal"/>
    <w:link w:val="SubtitleChar"/>
    <w:qFormat/>
    <w:rsid w:val="00BA49B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A49B5"/>
    <w:rPr>
      <w:rFonts w:ascii="Arial" w:hAnsi="Arial" w:cs="Arial"/>
      <w:sz w:val="24"/>
      <w:szCs w:val="24"/>
      <w:lang w:eastAsia="en-US"/>
    </w:rPr>
  </w:style>
  <w:style w:type="table" w:styleId="Table3Deffects1">
    <w:name w:val="Table 3D effects 1"/>
    <w:basedOn w:val="TableNormal"/>
    <w:semiHidden/>
    <w:rsid w:val="00BA49B5"/>
    <w:pPr>
      <w:suppressAutoHyphens/>
      <w:spacing w:line="240" w:lineRule="atLeast"/>
    </w:pPr>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9B5"/>
    <w:pPr>
      <w:suppressAutoHyphens/>
      <w:spacing w:line="240" w:lineRule="atLeast"/>
    </w:pPr>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9B5"/>
    <w:pPr>
      <w:suppressAutoHyphens/>
      <w:spacing w:line="240" w:lineRule="atLeast"/>
    </w:pPr>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9B5"/>
    <w:pPr>
      <w:suppressAutoHyphens/>
      <w:spacing w:line="240" w:lineRule="atLeast"/>
    </w:pPr>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9B5"/>
    <w:pPr>
      <w:suppressAutoHyphens/>
      <w:spacing w:line="240" w:lineRule="atLeast"/>
    </w:pPr>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9B5"/>
    <w:pPr>
      <w:suppressAutoHyphens/>
      <w:spacing w:line="240" w:lineRule="atLeast"/>
    </w:pPr>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9B5"/>
    <w:pPr>
      <w:suppressAutoHyphens/>
      <w:spacing w:line="240" w:lineRule="atLeast"/>
    </w:pPr>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9B5"/>
    <w:pPr>
      <w:suppressAutoHyphens/>
      <w:spacing w:line="240" w:lineRule="atLeast"/>
    </w:pPr>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9B5"/>
    <w:pPr>
      <w:suppressAutoHyphens/>
      <w:spacing w:line="240" w:lineRule="atLeast"/>
    </w:pPr>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9B5"/>
    <w:pPr>
      <w:suppressAutoHyphens/>
      <w:spacing w:line="240" w:lineRule="atLeast"/>
    </w:pPr>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9B5"/>
    <w:pPr>
      <w:suppressAutoHyphens/>
      <w:spacing w:line="240" w:lineRule="atLeast"/>
    </w:pPr>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9B5"/>
    <w:pPr>
      <w:suppressAutoHyphens/>
      <w:spacing w:line="240" w:lineRule="atLeast"/>
    </w:pPr>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9B5"/>
    <w:pPr>
      <w:suppressAutoHyphens/>
      <w:spacing w:line="240" w:lineRule="atLeast"/>
    </w:pPr>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9B5"/>
    <w:pPr>
      <w:suppressAutoHyphens/>
      <w:spacing w:line="240" w:lineRule="atLeast"/>
    </w:pPr>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9B5"/>
    <w:pPr>
      <w:suppressAutoHyphens/>
      <w:spacing w:line="240" w:lineRule="atLeast"/>
    </w:pPr>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9B5"/>
    <w:pPr>
      <w:suppressAutoHyphens/>
      <w:spacing w:line="240" w:lineRule="atLeast"/>
    </w:pPr>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9B5"/>
    <w:pPr>
      <w:suppressAutoHyphens/>
      <w:spacing w:line="240" w:lineRule="atLeast"/>
    </w:pPr>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9B5"/>
    <w:pPr>
      <w:suppressAutoHyphens/>
      <w:spacing w:line="240" w:lineRule="atLeast"/>
    </w:pPr>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9B5"/>
    <w:pPr>
      <w:suppressAutoHyphens/>
      <w:spacing w:line="240" w:lineRule="atLeast"/>
    </w:pPr>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9B5"/>
    <w:pPr>
      <w:suppressAutoHyphens/>
      <w:spacing w:line="240" w:lineRule="atLeast"/>
    </w:pPr>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49B5"/>
    <w:pPr>
      <w:suppressAutoHyphens/>
      <w:spacing w:line="240" w:lineRule="atLeast"/>
    </w:pPr>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9B5"/>
    <w:pPr>
      <w:suppressAutoHyphens/>
      <w:spacing w:line="240" w:lineRule="atLeast"/>
    </w:pPr>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9B5"/>
    <w:pPr>
      <w:suppressAutoHyphens/>
      <w:spacing w:line="240" w:lineRule="atLeast"/>
    </w:pPr>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9B5"/>
    <w:pPr>
      <w:suppressAutoHyphens/>
      <w:spacing w:line="240" w:lineRule="atLeast"/>
    </w:pPr>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9B5"/>
    <w:pPr>
      <w:suppressAutoHyphens/>
      <w:spacing w:line="240" w:lineRule="atLeast"/>
    </w:pPr>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9B5"/>
    <w:pPr>
      <w:suppressAutoHyphens/>
      <w:spacing w:line="240" w:lineRule="atLeast"/>
    </w:pPr>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49B5"/>
    <w:pPr>
      <w:suppressAutoHyphens/>
      <w:spacing w:line="240" w:lineRule="atLeast"/>
    </w:pPr>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9B5"/>
    <w:pPr>
      <w:suppressAutoHyphens/>
      <w:spacing w:line="240" w:lineRule="atLeast"/>
    </w:pPr>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49B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49B5"/>
    <w:pPr>
      <w:suppressAutoHyphens/>
      <w:spacing w:line="240" w:lineRule="atLeast"/>
    </w:pPr>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9B5"/>
    <w:pPr>
      <w:suppressAutoHyphens/>
      <w:spacing w:line="240" w:lineRule="atLeast"/>
    </w:pPr>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9B5"/>
    <w:pPr>
      <w:suppressAutoHyphens/>
      <w:spacing w:line="240" w:lineRule="atLeast"/>
    </w:pPr>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BA49B5"/>
    <w:pPr>
      <w:framePr w:w="7920" w:h="1980" w:hRule="exact" w:hSpace="180" w:wrap="auto" w:hAnchor="page" w:xAlign="center" w:yAlign="bottom"/>
      <w:ind w:left="2880"/>
    </w:pPr>
    <w:rPr>
      <w:rFonts w:ascii="Arial" w:hAnsi="Arial" w:cs="Arial"/>
      <w:sz w:val="24"/>
      <w:szCs w:val="24"/>
    </w:rPr>
  </w:style>
  <w:style w:type="paragraph" w:customStyle="1" w:styleId="Nummerierung1">
    <w:name w:val="Nummerierung 1"/>
    <w:basedOn w:val="Normal"/>
    <w:rsid w:val="00BA49B5"/>
    <w:pPr>
      <w:numPr>
        <w:numId w:val="29"/>
      </w:numPr>
      <w:suppressAutoHyphens w:val="0"/>
      <w:spacing w:line="240" w:lineRule="auto"/>
      <w:jc w:val="both"/>
    </w:pPr>
    <w:rPr>
      <w:sz w:val="24"/>
      <w:szCs w:val="24"/>
      <w:lang w:val="en-US"/>
    </w:rPr>
  </w:style>
  <w:style w:type="paragraph" w:customStyle="1" w:styleId="Normalcentr">
    <w:name w:val="Normal centré"/>
    <w:basedOn w:val="Normal"/>
    <w:rsid w:val="00BA49B5"/>
    <w:pPr>
      <w:spacing w:line="240" w:lineRule="auto"/>
      <w:ind w:left="-567" w:right="282"/>
      <w:jc w:val="both"/>
    </w:pPr>
    <w:rPr>
      <w:bCs/>
      <w:sz w:val="24"/>
      <w:lang w:eastAsia="ar-SA"/>
    </w:rPr>
  </w:style>
  <w:style w:type="character" w:customStyle="1" w:styleId="zzmpTrailerItem">
    <w:name w:val="zzmpTrailerItem"/>
    <w:rsid w:val="00BA49B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erChar1">
    <w:name w:val="Footer Char1"/>
    <w:aliases w:val="3_G Char1"/>
    <w:uiPriority w:val="99"/>
    <w:locked/>
    <w:rsid w:val="00BA49B5"/>
    <w:rPr>
      <w:sz w:val="16"/>
      <w:lang w:eastAsia="en-US"/>
    </w:rPr>
  </w:style>
  <w:style w:type="paragraph" w:customStyle="1" w:styleId="TableParagraph">
    <w:name w:val="Table Paragraph"/>
    <w:basedOn w:val="Normal"/>
    <w:uiPriority w:val="1"/>
    <w:qFormat/>
    <w:rsid w:val="00BA49B5"/>
    <w:pPr>
      <w:widowControl w:val="0"/>
      <w:suppressAutoHyphens w:val="0"/>
      <w:autoSpaceDE w:val="0"/>
      <w:autoSpaceDN w:val="0"/>
      <w:spacing w:line="240" w:lineRule="auto"/>
      <w:jc w:val="center"/>
    </w:pPr>
    <w:rPr>
      <w:sz w:val="22"/>
      <w:szCs w:val="22"/>
      <w:lang w:val="en-US"/>
    </w:rPr>
  </w:style>
  <w:style w:type="paragraph" w:styleId="Caption">
    <w:name w:val="caption"/>
    <w:basedOn w:val="Normal"/>
    <w:next w:val="Normal"/>
    <w:unhideWhenUsed/>
    <w:qFormat/>
    <w:rsid w:val="00BA49B5"/>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bayergroup-my.sharepoint.com/personal/dieter_heitkamp_bayer_com/Documents/Personal%20Data/United%20Nations/2019/Distribution%20energetic%20substanc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6.1504596408207587E-2"/>
          <c:y val="0"/>
          <c:w val="0.57529549094375243"/>
          <c:h val="1"/>
        </c:manualLayout>
      </c:layout>
      <c:pieChart>
        <c:varyColors val="1"/>
        <c:ser>
          <c:idx val="0"/>
          <c:order val="0"/>
          <c:spPr>
            <a:solidFill>
              <a:srgbClr val="92D050"/>
            </a:solidFill>
            <a:ln>
              <a:noFill/>
            </a:ln>
          </c:spPr>
          <c:explosion val="40"/>
          <c:dPt>
            <c:idx val="0"/>
            <c:bubble3D val="0"/>
            <c:spPr>
              <a:solidFill>
                <a:srgbClr val="FF0000"/>
              </a:solidFill>
              <a:ln>
                <a:solidFill>
                  <a:srgbClr val="FF0000"/>
                </a:solidFill>
              </a:ln>
            </c:spPr>
            <c:extLst>
              <c:ext xmlns:c16="http://schemas.microsoft.com/office/drawing/2014/chart" uri="{C3380CC4-5D6E-409C-BE32-E72D297353CC}">
                <c16:uniqueId val="{00000001-539F-44C5-BE03-77274A0C3643}"/>
              </c:ext>
            </c:extLst>
          </c:dPt>
          <c:dPt>
            <c:idx val="1"/>
            <c:bubble3D val="0"/>
            <c:spPr>
              <a:solidFill>
                <a:srgbClr val="FFC000"/>
              </a:solidFill>
              <a:ln>
                <a:solidFill>
                  <a:srgbClr val="FFC000"/>
                </a:solidFill>
              </a:ln>
            </c:spPr>
            <c:extLst>
              <c:ext xmlns:c16="http://schemas.microsoft.com/office/drawing/2014/chart" uri="{C3380CC4-5D6E-409C-BE32-E72D297353CC}">
                <c16:uniqueId val="{00000003-539F-44C5-BE03-77274A0C3643}"/>
              </c:ext>
            </c:extLst>
          </c:dPt>
          <c:dPt>
            <c:idx val="2"/>
            <c:bubble3D val="0"/>
            <c:spPr>
              <a:solidFill>
                <a:srgbClr val="92D050"/>
              </a:solidFill>
              <a:ln>
                <a:solidFill>
                  <a:srgbClr val="92D050"/>
                </a:solidFill>
              </a:ln>
            </c:spPr>
            <c:extLst>
              <c:ext xmlns:c16="http://schemas.microsoft.com/office/drawing/2014/chart" uri="{C3380CC4-5D6E-409C-BE32-E72D297353CC}">
                <c16:uniqueId val="{00000005-539F-44C5-BE03-77274A0C3643}"/>
              </c:ext>
            </c:extLst>
          </c:dPt>
          <c:dPt>
            <c:idx val="3"/>
            <c:bubble3D val="0"/>
            <c:explosion val="23"/>
            <c:spPr>
              <a:solidFill>
                <a:srgbClr val="00B0F0"/>
              </a:solidFill>
              <a:ln>
                <a:solidFill>
                  <a:srgbClr val="00B0F0"/>
                </a:solidFill>
              </a:ln>
            </c:spPr>
            <c:extLst>
              <c:ext xmlns:c16="http://schemas.microsoft.com/office/drawing/2014/chart" uri="{C3380CC4-5D6E-409C-BE32-E72D297353CC}">
                <c16:uniqueId val="{00000007-539F-44C5-BE03-77274A0C3643}"/>
              </c:ext>
            </c:extLst>
          </c:dPt>
          <c:cat>
            <c:strRef>
              <c:f>Tabelle1!$A$4:$A$7</c:f>
              <c:strCache>
                <c:ptCount val="4"/>
                <c:pt idx="0">
                  <c:v>Explosive</c:v>
                </c:pt>
                <c:pt idx="1">
                  <c:v>Self-reactive type C to F</c:v>
                </c:pt>
                <c:pt idx="2">
                  <c:v>Not energetic (&lt; 300 J/g)</c:v>
                </c:pt>
                <c:pt idx="3">
                  <c:v>Stable Energetics</c:v>
                </c:pt>
              </c:strCache>
            </c:strRef>
          </c:cat>
          <c:val>
            <c:numRef>
              <c:f>Tabelle1!$B$4:$B$7</c:f>
              <c:numCache>
                <c:formatCode>General</c:formatCode>
                <c:ptCount val="4"/>
                <c:pt idx="0">
                  <c:v>0.1</c:v>
                </c:pt>
                <c:pt idx="1">
                  <c:v>4</c:v>
                </c:pt>
                <c:pt idx="2">
                  <c:v>6</c:v>
                </c:pt>
                <c:pt idx="3">
                  <c:v>95.9</c:v>
                </c:pt>
              </c:numCache>
            </c:numRef>
          </c:val>
          <c:extLst>
            <c:ext xmlns:c16="http://schemas.microsoft.com/office/drawing/2014/chart" uri="{C3380CC4-5D6E-409C-BE32-E72D297353CC}">
              <c16:uniqueId val="{00000008-539F-44C5-BE03-77274A0C3643}"/>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000" baseline="0">
                <a:latin typeface="Arial Narrow" panose="020B0606020202030204" pitchFamily="34" charset="0"/>
              </a:defRPr>
            </a:pPr>
            <a:endParaRPr lang="en-US"/>
          </a:p>
        </c:txPr>
      </c:legendEntry>
      <c:layout>
        <c:manualLayout>
          <c:xMode val="edge"/>
          <c:yMode val="edge"/>
          <c:x val="0.54590274814786077"/>
          <c:y val="0.20683390082996386"/>
          <c:w val="0.39784969243317503"/>
          <c:h val="0.67732637773512849"/>
        </c:manualLayout>
      </c:layout>
      <c:overlay val="0"/>
      <c:txPr>
        <a:bodyPr/>
        <a:lstStyle/>
        <a:p>
          <a:pPr>
            <a:defRPr sz="1000">
              <a:latin typeface="Arial Narrow" panose="020B0606020202030204"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11AC8-661A-4DE6-8DC5-37F7F8D8D5E0}">
  <ds:schemaRefs>
    <ds:schemaRef ds:uri="http://schemas.openxmlformats.org/package/2006/metadata/core-properties"/>
    <ds:schemaRef ds:uri="4b4a1c0d-4a69-4996-a84a-fc699b9f49de"/>
    <ds:schemaRef ds:uri="http://schemas.microsoft.com/office/infopath/2007/PartnerControls"/>
    <ds:schemaRef ds:uri="http://purl.org/dc/terms/"/>
    <ds:schemaRef ds:uri="http://schemas.microsoft.com/office/2006/documentManagement/types"/>
    <ds:schemaRef ds:uri="985ec44e-1bab-4c0b-9df0-6ba128686fc9"/>
    <ds:schemaRef ds:uri="http://purl.org/dc/elements/1.1/"/>
    <ds:schemaRef ds:uri="http://schemas.microsoft.com/office/2006/metadata/propertie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3.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4.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74</TotalTime>
  <Pages>16</Pages>
  <Words>5135</Words>
  <Characters>29274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UN/SCETDG/62/INF.19</vt:lpstr>
    </vt:vector>
  </TitlesOfParts>
  <Company>CSD</Company>
  <LinksUpToDate>false</LinksUpToDate>
  <CharactersWithSpaces>34341</CharactersWithSpaces>
  <SharedDoc>false</SharedDoc>
  <HLinks>
    <vt:vector size="12" baseType="variant">
      <vt:variant>
        <vt:i4>6094932</vt:i4>
      </vt:variant>
      <vt:variant>
        <vt:i4>3</vt:i4>
      </vt:variant>
      <vt:variant>
        <vt:i4>0</vt:i4>
      </vt:variant>
      <vt:variant>
        <vt:i4>5</vt:i4>
      </vt:variant>
      <vt:variant>
        <vt:lpwstr>https://www.bsu-bund.de/SharedDocs/pdf/EN/Investigation_Report/2014/Investigation_Report_255_12.pdf?__blob=publicationFile</vt:lpwstr>
      </vt:variant>
      <vt:variant>
        <vt:lpwstr/>
      </vt:variant>
      <vt:variant>
        <vt:i4>6094932</vt:i4>
      </vt:variant>
      <vt:variant>
        <vt:i4>0</vt:i4>
      </vt:variant>
      <vt:variant>
        <vt:i4>0</vt:i4>
      </vt:variant>
      <vt:variant>
        <vt:i4>5</vt:i4>
      </vt:variant>
      <vt:variant>
        <vt:lpwstr>https://www.bsu-bund.de/SharedDocs/pdf/EN/Investigation_Report/2014/Investigation_Report_255_12.pdf?__blob=publicationFile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UN/SCETDG/62/INF.20</dc:title>
  <dc:subject/>
  <dc:creator>Garcia_Couto</dc:creator>
  <cp:keywords/>
  <cp:lastModifiedBy>Romain Hubert</cp:lastModifiedBy>
  <cp:revision>69</cp:revision>
  <cp:lastPrinted>2019-06-28T15:05:00Z</cp:lastPrinted>
  <dcterms:created xsi:type="dcterms:W3CDTF">2023-11-08T15:53:00Z</dcterms:created>
  <dcterms:modified xsi:type="dcterms:W3CDTF">2023-11-08T21:43:00Z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