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164115" w:rsidRPr="0099001C" w14:paraId="0BBDF9CA" w14:textId="77777777" w:rsidTr="00C81840">
        <w:trPr>
          <w:cantSplit/>
          <w:trHeight w:hRule="exact" w:val="851"/>
        </w:trPr>
        <w:tc>
          <w:tcPr>
            <w:tcW w:w="9639" w:type="dxa"/>
            <w:tcBorders>
              <w:bottom w:val="single" w:sz="4" w:space="0" w:color="auto"/>
            </w:tcBorders>
            <w:vAlign w:val="bottom"/>
          </w:tcPr>
          <w:p w14:paraId="6EC4B76E" w14:textId="6D1CD5D5" w:rsidR="00164115" w:rsidRPr="0099001C" w:rsidRDefault="00164115" w:rsidP="00AE4666">
            <w:pPr>
              <w:jc w:val="right"/>
              <w:rPr>
                <w:b/>
                <w:sz w:val="40"/>
                <w:szCs w:val="40"/>
              </w:rPr>
            </w:pPr>
            <w:r w:rsidRPr="0099001C">
              <w:rPr>
                <w:b/>
                <w:sz w:val="40"/>
                <w:szCs w:val="40"/>
              </w:rPr>
              <w:t>UN/SCEGHS/</w:t>
            </w:r>
            <w:r w:rsidR="007E797B">
              <w:rPr>
                <w:b/>
                <w:sz w:val="40"/>
                <w:szCs w:val="40"/>
              </w:rPr>
              <w:t>4</w:t>
            </w:r>
            <w:r w:rsidR="00A1536C">
              <w:rPr>
                <w:b/>
                <w:sz w:val="40"/>
                <w:szCs w:val="40"/>
              </w:rPr>
              <w:t>5</w:t>
            </w:r>
            <w:r w:rsidRPr="0099001C">
              <w:rPr>
                <w:b/>
                <w:sz w:val="40"/>
                <w:szCs w:val="40"/>
              </w:rPr>
              <w:t>/INF.</w:t>
            </w:r>
            <w:r w:rsidR="004266E1">
              <w:rPr>
                <w:b/>
                <w:sz w:val="40"/>
                <w:szCs w:val="40"/>
              </w:rPr>
              <w:t>18</w:t>
            </w:r>
          </w:p>
        </w:tc>
      </w:tr>
      <w:tr w:rsidR="00164115" w14:paraId="4D07D853" w14:textId="77777777" w:rsidTr="00C81840">
        <w:trPr>
          <w:cantSplit/>
          <w:trHeight w:hRule="exact" w:val="3114"/>
        </w:trPr>
        <w:tc>
          <w:tcPr>
            <w:tcW w:w="9639" w:type="dxa"/>
            <w:tcBorders>
              <w:top w:val="single" w:sz="4" w:space="0" w:color="auto"/>
            </w:tcBorders>
          </w:tcPr>
          <w:p w14:paraId="1224738E" w14:textId="77777777" w:rsidR="00164115" w:rsidRPr="00691F20" w:rsidRDefault="00164115" w:rsidP="00E970FF">
            <w:pPr>
              <w:spacing w:before="120"/>
              <w:rPr>
                <w:b/>
                <w:sz w:val="24"/>
                <w:szCs w:val="24"/>
                <w:lang w:val="en-US"/>
              </w:rPr>
            </w:pPr>
            <w:r w:rsidRPr="00691F20">
              <w:rPr>
                <w:b/>
                <w:sz w:val="24"/>
                <w:szCs w:val="24"/>
                <w:lang w:val="en-US"/>
              </w:rPr>
              <w:t>Committee of Experts on the Transport of Dangerous Goods</w:t>
            </w:r>
            <w:r w:rsidRPr="00691F20">
              <w:rPr>
                <w:b/>
                <w:sz w:val="24"/>
                <w:szCs w:val="24"/>
                <w:lang w:val="en-US"/>
              </w:rPr>
              <w:br/>
              <w:t>and on the Globally Harmonized System of Classification</w:t>
            </w:r>
            <w:r w:rsidRPr="00691F20">
              <w:rPr>
                <w:b/>
                <w:sz w:val="24"/>
                <w:szCs w:val="24"/>
                <w:lang w:val="en-US"/>
              </w:rPr>
              <w:br/>
              <w:t>and Labelling of Chemicals</w:t>
            </w:r>
          </w:p>
          <w:p w14:paraId="1B71D8C4" w14:textId="2D241FE6" w:rsidR="00164115" w:rsidRPr="009F0F06" w:rsidRDefault="00164115" w:rsidP="005A3E43">
            <w:pPr>
              <w:tabs>
                <w:tab w:val="right" w:pos="9300"/>
              </w:tabs>
              <w:spacing w:before="120"/>
              <w:rPr>
                <w:rFonts w:ascii="Helv" w:hAnsi="Helv" w:cs="Helv"/>
                <w:b/>
                <w:color w:val="000000"/>
                <w:lang w:val="en-US"/>
              </w:rPr>
            </w:pPr>
            <w:r w:rsidRPr="00691F20">
              <w:rPr>
                <w:b/>
                <w:lang w:val="en-US"/>
              </w:rPr>
              <w:t>Sub-Committee of Experts on the Globally Harmonized</w:t>
            </w:r>
            <w:r w:rsidRPr="00691F20">
              <w:rPr>
                <w:b/>
                <w:lang w:val="en-US"/>
              </w:rPr>
              <w:br/>
              <w:t>System of Classification and Labelling of Chemicals</w:t>
            </w:r>
            <w:r w:rsidR="00137D32">
              <w:rPr>
                <w:b/>
                <w:lang w:val="en-US"/>
              </w:rPr>
              <w:tab/>
            </w:r>
            <w:r w:rsidR="004C2E30">
              <w:rPr>
                <w:b/>
                <w:lang w:val="en-US"/>
              </w:rPr>
              <w:t>2</w:t>
            </w:r>
            <w:r w:rsidR="00195B15">
              <w:rPr>
                <w:b/>
                <w:lang w:val="en-US"/>
              </w:rPr>
              <w:t>3</w:t>
            </w:r>
            <w:r w:rsidR="00507BEE">
              <w:rPr>
                <w:b/>
                <w:lang w:val="en-US"/>
              </w:rPr>
              <w:t xml:space="preserve"> November</w:t>
            </w:r>
            <w:r w:rsidR="007E797B">
              <w:rPr>
                <w:b/>
                <w:lang w:val="en-US"/>
              </w:rPr>
              <w:t xml:space="preserve"> 2023</w:t>
            </w:r>
          </w:p>
          <w:p w14:paraId="7995AA4C" w14:textId="77777777" w:rsidR="00164115" w:rsidRDefault="00164115" w:rsidP="00E970FF">
            <w:pPr>
              <w:jc w:val="both"/>
              <w:rPr>
                <w:b/>
              </w:rPr>
            </w:pPr>
          </w:p>
          <w:p w14:paraId="7DB3104E" w14:textId="14231DEB" w:rsidR="00164115" w:rsidRPr="007E797B" w:rsidRDefault="00AE4666" w:rsidP="00E970FF">
            <w:pPr>
              <w:jc w:val="both"/>
            </w:pPr>
            <w:r w:rsidRPr="007E797B">
              <w:rPr>
                <w:b/>
              </w:rPr>
              <w:t>Forty-</w:t>
            </w:r>
            <w:r w:rsidR="004C2E30">
              <w:rPr>
                <w:b/>
              </w:rPr>
              <w:t>fifth</w:t>
            </w:r>
            <w:r w:rsidR="004C2E30" w:rsidRPr="007E797B">
              <w:rPr>
                <w:b/>
              </w:rPr>
              <w:t xml:space="preserve"> </w:t>
            </w:r>
            <w:r w:rsidR="00164115" w:rsidRPr="007E797B">
              <w:rPr>
                <w:b/>
              </w:rPr>
              <w:t>session</w:t>
            </w:r>
            <w:r w:rsidR="00164115" w:rsidRPr="007E797B">
              <w:t xml:space="preserve"> </w:t>
            </w:r>
          </w:p>
          <w:p w14:paraId="5985735A" w14:textId="223F7CD7" w:rsidR="00164115" w:rsidRPr="007E797B" w:rsidRDefault="00164115" w:rsidP="00E970FF">
            <w:pPr>
              <w:jc w:val="both"/>
            </w:pPr>
            <w:r w:rsidRPr="007E797B">
              <w:t xml:space="preserve">Geneva, </w:t>
            </w:r>
            <w:r w:rsidR="004C2E30">
              <w:t>6-8 December</w:t>
            </w:r>
            <w:r w:rsidR="007E797B" w:rsidRPr="007E797B">
              <w:t xml:space="preserve"> 2023</w:t>
            </w:r>
          </w:p>
          <w:p w14:paraId="32657468" w14:textId="6AFC794F" w:rsidR="007E797B" w:rsidRDefault="007E797B" w:rsidP="00E970FF">
            <w:pPr>
              <w:spacing w:line="240" w:lineRule="exact"/>
            </w:pPr>
            <w:r>
              <w:t>Item 2 (</w:t>
            </w:r>
            <w:r w:rsidR="00507BEE">
              <w:t>g</w:t>
            </w:r>
            <w:r>
              <w:t>) of the provisional agenda</w:t>
            </w:r>
          </w:p>
          <w:p w14:paraId="058B3E42" w14:textId="77777777" w:rsidR="004266E1" w:rsidRDefault="007E797B" w:rsidP="00E970FF">
            <w:pPr>
              <w:spacing w:line="240" w:lineRule="exact"/>
              <w:rPr>
                <w:b/>
                <w:bCs/>
              </w:rPr>
            </w:pPr>
            <w:r w:rsidRPr="00F3258E">
              <w:rPr>
                <w:b/>
                <w:bCs/>
              </w:rPr>
              <w:t xml:space="preserve">Work on the Globally Harmonized System of Classification </w:t>
            </w:r>
          </w:p>
          <w:p w14:paraId="2807C471" w14:textId="746ADBE3" w:rsidR="00164115" w:rsidRPr="00C47D66" w:rsidRDefault="007E797B" w:rsidP="004266E1">
            <w:pPr>
              <w:spacing w:line="240" w:lineRule="exact"/>
              <w:rPr>
                <w:b/>
                <w:bCs/>
              </w:rPr>
            </w:pPr>
            <w:r w:rsidRPr="00F3258E">
              <w:rPr>
                <w:b/>
                <w:bCs/>
              </w:rPr>
              <w:t>and Labelling of Chemicals:</w:t>
            </w:r>
            <w:r w:rsidRPr="007E797B">
              <w:rPr>
                <w:b/>
                <w:bCs/>
              </w:rPr>
              <w:t xml:space="preserve"> </w:t>
            </w:r>
            <w:r w:rsidR="00507BEE">
              <w:rPr>
                <w:b/>
                <w:bCs/>
              </w:rPr>
              <w:t>Nanomaterials</w:t>
            </w:r>
          </w:p>
        </w:tc>
      </w:tr>
    </w:tbl>
    <w:p w14:paraId="22A504C2" w14:textId="1328E56F" w:rsidR="000D1812" w:rsidRPr="003B342C" w:rsidRDefault="000D1812" w:rsidP="000D1812">
      <w:pPr>
        <w:pStyle w:val="HChG"/>
        <w:spacing w:before="240"/>
        <w:rPr>
          <w:rFonts w:eastAsia="MS Mincho"/>
          <w:lang w:eastAsia="ja-JP"/>
        </w:rPr>
      </w:pPr>
      <w:r w:rsidRPr="009E7ABD">
        <w:rPr>
          <w:rFonts w:eastAsia="MS Mincho"/>
          <w:lang w:val="en-US" w:eastAsia="ja-JP"/>
        </w:rPr>
        <w:tab/>
      </w:r>
      <w:r>
        <w:rPr>
          <w:rFonts w:eastAsia="MS Mincho"/>
          <w:lang w:val="en-US" w:eastAsia="ja-JP"/>
        </w:rPr>
        <w:tab/>
      </w:r>
      <w:r w:rsidR="00507BEE">
        <w:t>Latest developments in the European Union on nanomaterials</w:t>
      </w:r>
    </w:p>
    <w:p w14:paraId="2FB45740" w14:textId="78A50DFB" w:rsidR="000D1812" w:rsidRDefault="000D1812" w:rsidP="000D1812">
      <w:pPr>
        <w:pStyle w:val="H1G"/>
        <w:spacing w:before="240"/>
      </w:pPr>
      <w:r w:rsidRPr="003C265A">
        <w:rPr>
          <w:rFonts w:eastAsia="MS Mincho"/>
        </w:rPr>
        <w:tab/>
      </w:r>
      <w:r w:rsidRPr="003C265A">
        <w:rPr>
          <w:rFonts w:eastAsia="MS Mincho"/>
        </w:rPr>
        <w:tab/>
      </w:r>
      <w:r w:rsidRPr="003C265A">
        <w:t>Transmitted by t</w:t>
      </w:r>
      <w:r w:rsidRPr="00E337C6">
        <w:t>he European Union</w:t>
      </w:r>
      <w:r>
        <w:t xml:space="preserve"> </w:t>
      </w:r>
    </w:p>
    <w:p w14:paraId="348404BF" w14:textId="77777777" w:rsidR="000D1812" w:rsidRDefault="000D1812" w:rsidP="000D1812">
      <w:pPr>
        <w:pStyle w:val="HChG"/>
      </w:pPr>
      <w:r>
        <w:tab/>
      </w:r>
      <w:r>
        <w:tab/>
        <w:t>Background</w:t>
      </w:r>
    </w:p>
    <w:p w14:paraId="6AD7324E" w14:textId="4F862F35" w:rsidR="000E7117" w:rsidRPr="0099466C" w:rsidRDefault="004266E1" w:rsidP="00477C55">
      <w:pPr>
        <w:pStyle w:val="SingleTxtG"/>
        <w:tabs>
          <w:tab w:val="left" w:pos="1701"/>
        </w:tabs>
      </w:pPr>
      <w:r w:rsidRPr="0099466C">
        <w:t>1.</w:t>
      </w:r>
      <w:r w:rsidRPr="0099466C">
        <w:tab/>
      </w:r>
      <w:r w:rsidR="000E7117" w:rsidRPr="0099466C">
        <w:t>At its twenty-sixth session</w:t>
      </w:r>
      <w:r w:rsidR="0011530B" w:rsidRPr="0099466C">
        <w:t xml:space="preserve"> in 2</w:t>
      </w:r>
      <w:r w:rsidR="004C2E30" w:rsidRPr="0099466C">
        <w:t>013</w:t>
      </w:r>
      <w:r w:rsidR="000E7117" w:rsidRPr="0099466C">
        <w:t>, the GHS Sub-Committee agreed on the creation of an informal correspondence group (ICG) on reviewing the applicability of GHS to nanomaterials</w:t>
      </w:r>
      <w:r w:rsidR="000E7117" w:rsidRPr="0099466C">
        <w:rPr>
          <w:rStyle w:val="FootnoteReference"/>
          <w:sz w:val="20"/>
        </w:rPr>
        <w:footnoteReference w:id="2"/>
      </w:r>
      <w:r w:rsidR="000E7117" w:rsidRPr="0099466C">
        <w:t>.</w:t>
      </w:r>
    </w:p>
    <w:p w14:paraId="048C6BEE" w14:textId="76CDC832" w:rsidR="000E7117" w:rsidRPr="0099466C" w:rsidRDefault="004266E1" w:rsidP="00477C55">
      <w:pPr>
        <w:pStyle w:val="SingleTxtG"/>
        <w:tabs>
          <w:tab w:val="left" w:pos="1701"/>
        </w:tabs>
      </w:pPr>
      <w:r w:rsidRPr="0099466C">
        <w:t>2.</w:t>
      </w:r>
      <w:r w:rsidRPr="0099466C">
        <w:tab/>
      </w:r>
      <w:r w:rsidR="000E7117" w:rsidRPr="0099466C">
        <w:t xml:space="preserve">The terms of reference of this ICG </w:t>
      </w:r>
      <w:r w:rsidR="00A92473" w:rsidRPr="0099466C">
        <w:t>have been</w:t>
      </w:r>
      <w:r w:rsidR="000E7117" w:rsidRPr="0099466C">
        <w:t>:</w:t>
      </w:r>
    </w:p>
    <w:p w14:paraId="1A152B08" w14:textId="2011F229" w:rsidR="000E7117" w:rsidRPr="0099466C" w:rsidRDefault="0099466C" w:rsidP="00477C55">
      <w:pPr>
        <w:pStyle w:val="SingleTxtG"/>
        <w:ind w:left="2268" w:hanging="567"/>
      </w:pPr>
      <w:r>
        <w:t>(</w:t>
      </w:r>
      <w:r w:rsidR="004266E1" w:rsidRPr="0099466C">
        <w:t>a</w:t>
      </w:r>
      <w:r>
        <w:t>)</w:t>
      </w:r>
      <w:r w:rsidR="004266E1" w:rsidRPr="0099466C">
        <w:tab/>
      </w:r>
      <w:r w:rsidR="000E7117" w:rsidRPr="0099466C">
        <w:t>To establish whether there is a need to amend the GHS to make clear that nano-forms of a substance are within scope of the GHS;</w:t>
      </w:r>
    </w:p>
    <w:p w14:paraId="392093C5" w14:textId="1360B2F1" w:rsidR="000E7117" w:rsidRPr="0099466C" w:rsidRDefault="0099466C" w:rsidP="00477C55">
      <w:pPr>
        <w:pStyle w:val="SingleTxtG"/>
        <w:ind w:left="2268" w:hanging="567"/>
      </w:pPr>
      <w:r>
        <w:t>(</w:t>
      </w:r>
      <w:r w:rsidR="004266E1" w:rsidRPr="0099466C">
        <w:t>b</w:t>
      </w:r>
      <w:r>
        <w:t>)</w:t>
      </w:r>
      <w:r w:rsidR="004266E1" w:rsidRPr="0099466C">
        <w:tab/>
      </w:r>
      <w:r w:rsidR="000E7117" w:rsidRPr="0099466C">
        <w:t>To review the classification and labelling criteria in the GHS to establish whether they are appropriate for nano</w:t>
      </w:r>
      <w:r w:rsidR="0011530B" w:rsidRPr="0099466C">
        <w:t>-</w:t>
      </w:r>
      <w:r w:rsidR="000E7117" w:rsidRPr="0099466C">
        <w:t>, as well as bulk-forms of a substance;</w:t>
      </w:r>
    </w:p>
    <w:p w14:paraId="31D1B972" w14:textId="123A36E9" w:rsidR="000E7117" w:rsidRPr="0099466C" w:rsidRDefault="0099466C" w:rsidP="00477C55">
      <w:pPr>
        <w:pStyle w:val="SingleTxtG"/>
        <w:ind w:left="2268" w:hanging="567"/>
      </w:pPr>
      <w:r>
        <w:t>(c)</w:t>
      </w:r>
      <w:r w:rsidR="004266E1" w:rsidRPr="0099466C">
        <w:tab/>
      </w:r>
      <w:r w:rsidR="000E7117" w:rsidRPr="0099466C">
        <w:t>To review the content of safety data sheets set out in the GHS in terms of their applicability to nano-forms of a substance;</w:t>
      </w:r>
    </w:p>
    <w:p w14:paraId="26C4AE9D" w14:textId="67A45AB3" w:rsidR="000E7117" w:rsidRPr="0099466C" w:rsidRDefault="0099466C" w:rsidP="00477C55">
      <w:pPr>
        <w:pStyle w:val="SingleTxtG"/>
        <w:ind w:left="2268" w:hanging="567"/>
      </w:pPr>
      <w:r>
        <w:t>(</w:t>
      </w:r>
      <w:r w:rsidR="004266E1" w:rsidRPr="0099466C">
        <w:t>d</w:t>
      </w:r>
      <w:r>
        <w:t>)</w:t>
      </w:r>
      <w:r w:rsidR="004266E1" w:rsidRPr="0099466C">
        <w:tab/>
      </w:r>
      <w:r w:rsidR="000E7117" w:rsidRPr="0099466C">
        <w:t>To report back to the Sub-Committee on the outcomes of (a) to (c) and to propose further work, as appropriate.</w:t>
      </w:r>
    </w:p>
    <w:p w14:paraId="63221A43" w14:textId="7435F6D5" w:rsidR="000E7117" w:rsidRPr="005E5E05" w:rsidRDefault="004266E1" w:rsidP="00477C55">
      <w:pPr>
        <w:pStyle w:val="SingleTxtG"/>
        <w:tabs>
          <w:tab w:val="left" w:pos="1701"/>
        </w:tabs>
      </w:pPr>
      <w:r w:rsidRPr="005E5E05">
        <w:t>3.</w:t>
      </w:r>
      <w:r w:rsidRPr="005E5E05">
        <w:tab/>
      </w:r>
      <w:r w:rsidR="002A4962" w:rsidRPr="005E5E05">
        <w:t>During the following sessions, the GHS Sub-Committee has been informed of the advancement of the work until the thirty-eight session</w:t>
      </w:r>
      <w:r w:rsidR="002A4962" w:rsidRPr="005E5E05">
        <w:rPr>
          <w:rStyle w:val="FootnoteReference"/>
          <w:sz w:val="20"/>
        </w:rPr>
        <w:footnoteReference w:id="3"/>
      </w:r>
      <w:r w:rsidR="002A4962" w:rsidRPr="005E5E05">
        <w:t xml:space="preserve">. At that time, the expert from leading country reported that they were no longer </w:t>
      </w:r>
      <w:r w:rsidR="00A155A1" w:rsidRPr="005E5E05">
        <w:t>able</w:t>
      </w:r>
      <w:r w:rsidR="002A4962" w:rsidRPr="005E5E05">
        <w:t xml:space="preserve"> to continue leading this work without the help of other delegations. There was a call for expression</w:t>
      </w:r>
      <w:r w:rsidR="0011530B" w:rsidRPr="005E5E05">
        <w:t>s</w:t>
      </w:r>
      <w:r w:rsidR="002A4962" w:rsidRPr="005E5E05">
        <w:t xml:space="preserve"> of interest from other delegations to lead the work on </w:t>
      </w:r>
      <w:r w:rsidR="00141DB5" w:rsidRPr="005E5E05">
        <w:t>nanomaterials,</w:t>
      </w:r>
      <w:r w:rsidR="002A4962" w:rsidRPr="005E5E05">
        <w:t xml:space="preserve"> but no delegation has been able to take the role. Nonetheless, the GHS Sub-Committee has kept the agenda item in its programme of work for the following biennia. </w:t>
      </w:r>
    </w:p>
    <w:p w14:paraId="501F2063" w14:textId="50053E5B" w:rsidR="002A4962" w:rsidRPr="005E5E05" w:rsidRDefault="004266E1" w:rsidP="00477C55">
      <w:pPr>
        <w:pStyle w:val="SingleTxtG"/>
        <w:tabs>
          <w:tab w:val="left" w:pos="1701"/>
        </w:tabs>
      </w:pPr>
      <w:r w:rsidRPr="005E5E05">
        <w:t>4.</w:t>
      </w:r>
      <w:r w:rsidRPr="005E5E05">
        <w:tab/>
      </w:r>
      <w:r w:rsidR="00A155A1" w:rsidRPr="005E5E05">
        <w:t>This document</w:t>
      </w:r>
      <w:r w:rsidR="002A4962" w:rsidRPr="005E5E05">
        <w:t xml:space="preserve"> presents the latest developments on the matter</w:t>
      </w:r>
      <w:r w:rsidR="0011530B" w:rsidRPr="005E5E05">
        <w:t>, at the E</w:t>
      </w:r>
      <w:r w:rsidR="004C2E30" w:rsidRPr="005E5E05">
        <w:t>uropean Union</w:t>
      </w:r>
      <w:r w:rsidR="0011530B" w:rsidRPr="005E5E05">
        <w:t xml:space="preserve"> level</w:t>
      </w:r>
      <w:r w:rsidR="002A4962" w:rsidRPr="005E5E05">
        <w:t xml:space="preserve">. </w:t>
      </w:r>
    </w:p>
    <w:p w14:paraId="27E13696" w14:textId="4D62B436" w:rsidR="000D1812" w:rsidRDefault="000D1812" w:rsidP="000D1812">
      <w:pPr>
        <w:pStyle w:val="HChG"/>
        <w:rPr>
          <w:rFonts w:eastAsia="MS Mincho"/>
        </w:rPr>
      </w:pPr>
      <w:r>
        <w:tab/>
      </w:r>
      <w:r>
        <w:tab/>
      </w:r>
      <w:r w:rsidR="00AC5183">
        <w:t xml:space="preserve">European </w:t>
      </w:r>
      <w:r w:rsidR="00AC5183" w:rsidRPr="00AC5183">
        <w:rPr>
          <w:rFonts w:eastAsia="MS Mincho"/>
        </w:rPr>
        <w:t>Commission</w:t>
      </w:r>
      <w:r w:rsidR="00AC5183">
        <w:rPr>
          <w:rFonts w:eastAsia="MS Mincho"/>
        </w:rPr>
        <w:t>’s</w:t>
      </w:r>
      <w:r w:rsidR="00AC5183" w:rsidRPr="00AC5183">
        <w:rPr>
          <w:rFonts w:eastAsia="MS Mincho"/>
        </w:rPr>
        <w:t xml:space="preserve"> </w:t>
      </w:r>
      <w:r w:rsidR="00462E13">
        <w:rPr>
          <w:rFonts w:eastAsia="MS Mincho"/>
        </w:rPr>
        <w:t>r</w:t>
      </w:r>
      <w:r w:rsidR="00AC5183" w:rsidRPr="00AC5183">
        <w:rPr>
          <w:rFonts w:eastAsia="MS Mincho"/>
        </w:rPr>
        <w:t>ecommendation on the definition of nanomaterial</w:t>
      </w:r>
    </w:p>
    <w:p w14:paraId="6845861E" w14:textId="1FFD35CA" w:rsidR="00B35F7D" w:rsidRPr="005E5E05" w:rsidRDefault="004266E1" w:rsidP="00477C55">
      <w:pPr>
        <w:pStyle w:val="SingleTxtG"/>
        <w:tabs>
          <w:tab w:val="left" w:pos="1701"/>
        </w:tabs>
        <w:rPr>
          <w:rFonts w:eastAsiaTheme="minorEastAsia"/>
        </w:rPr>
      </w:pPr>
      <w:r w:rsidRPr="005E5E05">
        <w:rPr>
          <w:rFonts w:eastAsiaTheme="minorEastAsia"/>
        </w:rPr>
        <w:t>5.</w:t>
      </w:r>
      <w:r w:rsidRPr="005E5E05">
        <w:rPr>
          <w:rFonts w:eastAsiaTheme="minorEastAsia"/>
        </w:rPr>
        <w:tab/>
      </w:r>
      <w:r w:rsidR="00061994" w:rsidRPr="005E5E05">
        <w:t>On 10 June 2022, the European Commission adopted a new recommendation on the definition of nanomaterial</w:t>
      </w:r>
      <w:r w:rsidR="00061994" w:rsidRPr="005E5E05">
        <w:rPr>
          <w:rStyle w:val="FootnoteReference"/>
          <w:sz w:val="20"/>
        </w:rPr>
        <w:footnoteReference w:id="4"/>
      </w:r>
      <w:r w:rsidR="00061994" w:rsidRPr="005E5E05">
        <w:t xml:space="preserve"> that updates the previously existing definition from 2011.</w:t>
      </w:r>
    </w:p>
    <w:p w14:paraId="633739BE" w14:textId="02293EE8" w:rsidR="00061994" w:rsidRPr="005E5E05" w:rsidRDefault="004266E1" w:rsidP="00477C55">
      <w:pPr>
        <w:pStyle w:val="SingleTxtG"/>
        <w:tabs>
          <w:tab w:val="left" w:pos="1701"/>
        </w:tabs>
      </w:pPr>
      <w:r w:rsidRPr="005E5E05">
        <w:lastRenderedPageBreak/>
        <w:t>6.</w:t>
      </w:r>
      <w:r w:rsidRPr="005E5E05">
        <w:tab/>
      </w:r>
      <w:r w:rsidR="005E5E05">
        <w:t>“</w:t>
      </w:r>
      <w:r w:rsidR="00061994" w:rsidRPr="005E5E05">
        <w:t>Nanomaterial</w:t>
      </w:r>
      <w:r w:rsidR="005E5E05">
        <w:t>”</w:t>
      </w:r>
      <w:r w:rsidR="00061994" w:rsidRPr="005E5E05">
        <w:t xml:space="preserve"> means a natural, incidental or manufactured material consisting of solid particles</w:t>
      </w:r>
      <w:r w:rsidR="002C281A" w:rsidRPr="005E5E05">
        <w:rPr>
          <w:rStyle w:val="FootnoteReference"/>
          <w:sz w:val="20"/>
        </w:rPr>
        <w:footnoteReference w:id="5"/>
      </w:r>
      <w:r w:rsidR="00061994" w:rsidRPr="005E5E05">
        <w:t xml:space="preserve"> that are present, either on their own or as identifiable constituent particles in aggregates</w:t>
      </w:r>
      <w:r w:rsidR="002C281A" w:rsidRPr="005E5E05">
        <w:rPr>
          <w:rStyle w:val="FootnoteReference"/>
          <w:sz w:val="20"/>
        </w:rPr>
        <w:footnoteReference w:id="6"/>
      </w:r>
      <w:r w:rsidR="00061994" w:rsidRPr="005E5E05">
        <w:rPr>
          <w:vertAlign w:val="superscript"/>
        </w:rPr>
        <w:t xml:space="preserve"> </w:t>
      </w:r>
      <w:r w:rsidR="00061994" w:rsidRPr="005E5E05">
        <w:t>or agglomerates</w:t>
      </w:r>
      <w:r w:rsidR="002C281A" w:rsidRPr="005E5E05">
        <w:rPr>
          <w:rStyle w:val="FootnoteReference"/>
          <w:sz w:val="20"/>
        </w:rPr>
        <w:footnoteReference w:id="7"/>
      </w:r>
      <w:r w:rsidR="00061994" w:rsidRPr="005E5E05">
        <w:t>, and where 50 % or more of these particles in the number-based size distribution fulfil at least one of the following conditions:</w:t>
      </w:r>
    </w:p>
    <w:p w14:paraId="5F959645" w14:textId="404B107E" w:rsidR="00061994" w:rsidRDefault="00180311" w:rsidP="00477C55">
      <w:pPr>
        <w:pStyle w:val="SingleTxtG"/>
        <w:ind w:left="2268" w:hanging="567"/>
      </w:pPr>
      <w:r>
        <w:t>(</w:t>
      </w:r>
      <w:r w:rsidR="004266E1">
        <w:t>a</w:t>
      </w:r>
      <w:r>
        <w:t>)</w:t>
      </w:r>
      <w:r w:rsidR="004266E1">
        <w:tab/>
      </w:r>
      <w:r w:rsidR="002C281A">
        <w:t>O</w:t>
      </w:r>
      <w:r w:rsidR="00061994">
        <w:t>ne or more external dimensions of the particle are in the size range 1 nm to 100 nm;</w:t>
      </w:r>
    </w:p>
    <w:p w14:paraId="62A6D93A" w14:textId="089EAB60" w:rsidR="00061994" w:rsidRDefault="00180311" w:rsidP="00477C55">
      <w:pPr>
        <w:pStyle w:val="SingleTxtG"/>
        <w:ind w:left="2268" w:hanging="567"/>
      </w:pPr>
      <w:r>
        <w:t>(</w:t>
      </w:r>
      <w:r w:rsidR="004266E1">
        <w:t>b</w:t>
      </w:r>
      <w:r>
        <w:t>)</w:t>
      </w:r>
      <w:r w:rsidR="004266E1">
        <w:tab/>
      </w:r>
      <w:r w:rsidR="002C281A">
        <w:t>T</w:t>
      </w:r>
      <w:r w:rsidR="00061994">
        <w:t>he particle has an elongated shape, such as a rod, fibre or tube, where two external dimensions are smaller than 1 nm and the other dimension is larger than 100 nm;</w:t>
      </w:r>
    </w:p>
    <w:p w14:paraId="3400570F" w14:textId="246B6E52" w:rsidR="00061994" w:rsidRDefault="00180311" w:rsidP="00477C55">
      <w:pPr>
        <w:pStyle w:val="SingleTxtG"/>
        <w:ind w:left="2268" w:hanging="567"/>
      </w:pPr>
      <w:r>
        <w:t>(c)</w:t>
      </w:r>
      <w:r w:rsidR="004266E1">
        <w:tab/>
      </w:r>
      <w:r w:rsidR="002C281A">
        <w:t>T</w:t>
      </w:r>
      <w:r w:rsidR="00061994">
        <w:t>he particle has a plate-like shape, where one external dimension is smaller than 1 nm and the other dimensions are larger than 100 nm.</w:t>
      </w:r>
    </w:p>
    <w:p w14:paraId="3DFA1603" w14:textId="080CDD47" w:rsidR="000D1812" w:rsidRPr="00180311" w:rsidRDefault="004266E1" w:rsidP="00477C55">
      <w:pPr>
        <w:pStyle w:val="SingleTxtG"/>
        <w:tabs>
          <w:tab w:val="left" w:pos="1701"/>
        </w:tabs>
      </w:pPr>
      <w:r w:rsidRPr="00180311">
        <w:t>7.</w:t>
      </w:r>
      <w:r w:rsidRPr="00180311">
        <w:tab/>
      </w:r>
      <w:r w:rsidR="00061994" w:rsidRPr="00180311">
        <w:t>In the determination of the particle number-based size distribution, particles with at least two orthogonal external dimensions larger than 100 μm need not be considered. However, a material with a specific surface area by volume of &lt;</w:t>
      </w:r>
      <w:r w:rsidR="00EA4BF2">
        <w:t> </w:t>
      </w:r>
      <w:r w:rsidR="00061994" w:rsidRPr="00180311">
        <w:t>6 m</w:t>
      </w:r>
      <w:r w:rsidR="00061994" w:rsidRPr="00180311">
        <w:rPr>
          <w:vertAlign w:val="superscript"/>
        </w:rPr>
        <w:t>2</w:t>
      </w:r>
      <w:r w:rsidR="00061994" w:rsidRPr="00180311">
        <w:t>/cm</w:t>
      </w:r>
      <w:r w:rsidR="00061994" w:rsidRPr="00180311">
        <w:rPr>
          <w:vertAlign w:val="superscript"/>
        </w:rPr>
        <w:t>3</w:t>
      </w:r>
      <w:r w:rsidR="00EA4BF2">
        <w:t> </w:t>
      </w:r>
      <w:r w:rsidR="00061994" w:rsidRPr="00180311">
        <w:t>shall not be considered a nanomaterial.</w:t>
      </w:r>
    </w:p>
    <w:p w14:paraId="32F49B07" w14:textId="55E4E52E" w:rsidR="002C281A" w:rsidRPr="00180311" w:rsidRDefault="004266E1" w:rsidP="00477C55">
      <w:pPr>
        <w:pStyle w:val="SingleTxtG"/>
        <w:tabs>
          <w:tab w:val="left" w:pos="1701"/>
        </w:tabs>
      </w:pPr>
      <w:r w:rsidRPr="00180311">
        <w:t>8.</w:t>
      </w:r>
      <w:r w:rsidRPr="00180311">
        <w:tab/>
      </w:r>
      <w:r w:rsidR="002C281A" w:rsidRPr="00180311">
        <w:t>It is recommended to use such definition when addressing materials or issues concerning products of nanotechnologies:</w:t>
      </w:r>
    </w:p>
    <w:p w14:paraId="523F88C6" w14:textId="1145E907" w:rsidR="002C281A" w:rsidRPr="00180311" w:rsidRDefault="00180311" w:rsidP="00477C55">
      <w:pPr>
        <w:pStyle w:val="SingleTxtG"/>
        <w:ind w:left="2268" w:hanging="567"/>
      </w:pPr>
      <w:r>
        <w:t>(</w:t>
      </w:r>
      <w:r w:rsidR="004266E1" w:rsidRPr="00180311">
        <w:t>a</w:t>
      </w:r>
      <w:r>
        <w:t>)</w:t>
      </w:r>
      <w:r w:rsidR="004266E1" w:rsidRPr="00180311">
        <w:tab/>
      </w:r>
      <w:r w:rsidR="002C281A" w:rsidRPr="00180311">
        <w:t>by the European Commission, when preparing legislation, policy programmes or research programmes and when implementing such legislation or programmes also with other Union institutions and agencies;</w:t>
      </w:r>
    </w:p>
    <w:p w14:paraId="479820B9" w14:textId="4522D930" w:rsidR="002C281A" w:rsidRPr="00180311" w:rsidRDefault="00180311" w:rsidP="00477C55">
      <w:pPr>
        <w:pStyle w:val="SingleTxtG"/>
        <w:ind w:left="2268" w:hanging="567"/>
      </w:pPr>
      <w:r>
        <w:t>(</w:t>
      </w:r>
      <w:r w:rsidR="004266E1" w:rsidRPr="00180311">
        <w:t>b</w:t>
      </w:r>
      <w:r>
        <w:t>)</w:t>
      </w:r>
      <w:r w:rsidR="004266E1" w:rsidRPr="00180311">
        <w:tab/>
      </w:r>
      <w:r w:rsidR="002C281A" w:rsidRPr="00180311">
        <w:t>by Member States of the European Union, when preparing legislation, policy programmes or research programmes and when implementing such legislation or programmes;</w:t>
      </w:r>
    </w:p>
    <w:p w14:paraId="03CEEB1A" w14:textId="74988032" w:rsidR="00061994" w:rsidRPr="00180311" w:rsidRDefault="00180311" w:rsidP="00477C55">
      <w:pPr>
        <w:pStyle w:val="SingleTxtG"/>
        <w:ind w:left="2268" w:hanging="567"/>
      </w:pPr>
      <w:r>
        <w:t>(</w:t>
      </w:r>
      <w:r w:rsidR="004266E1" w:rsidRPr="00180311">
        <w:t>c</w:t>
      </w:r>
      <w:r>
        <w:t>)</w:t>
      </w:r>
      <w:r w:rsidR="004266E1" w:rsidRPr="00180311">
        <w:tab/>
      </w:r>
      <w:r w:rsidR="002C281A" w:rsidRPr="00180311">
        <w:t>by economic operators, when preparing and conducting their own policies and research.</w:t>
      </w:r>
    </w:p>
    <w:p w14:paraId="66C2F1F6" w14:textId="7A49BAA5" w:rsidR="002C281A" w:rsidRPr="00FF0BDB" w:rsidRDefault="004266E1" w:rsidP="00477C55">
      <w:pPr>
        <w:pStyle w:val="SingleTxtG"/>
        <w:tabs>
          <w:tab w:val="left" w:pos="1701"/>
        </w:tabs>
      </w:pPr>
      <w:r w:rsidRPr="00FF0BDB">
        <w:t>9.</w:t>
      </w:r>
      <w:r w:rsidRPr="00FF0BDB">
        <w:tab/>
      </w:r>
      <w:r w:rsidR="002C281A" w:rsidRPr="00FF0BDB">
        <w:t>From a legislative perspective, the definition is used in different European regulations to harmonise how nanomaterials are defined</w:t>
      </w:r>
      <w:r w:rsidR="000101BE" w:rsidRPr="00FF0BDB">
        <w:t xml:space="preserve"> in different European regulations</w:t>
      </w:r>
      <w:r w:rsidR="00F905E0" w:rsidRPr="00FF0BDB">
        <w:t xml:space="preserve"> where such status may trigger specific</w:t>
      </w:r>
      <w:r w:rsidR="00C61E5B" w:rsidRPr="00FF0BDB">
        <w:t>/additional</w:t>
      </w:r>
      <w:r w:rsidR="00F905E0" w:rsidRPr="00FF0BDB">
        <w:t xml:space="preserve"> provisions</w:t>
      </w:r>
      <w:r w:rsidR="002C281A" w:rsidRPr="00FF0BDB">
        <w:t xml:space="preserve">. </w:t>
      </w:r>
      <w:r w:rsidR="00C632FD" w:rsidRPr="00FF0BDB">
        <w:t>Under REACH</w:t>
      </w:r>
      <w:r w:rsidR="00141DB5" w:rsidRPr="00FF0BDB">
        <w:rPr>
          <w:rStyle w:val="FootnoteReference"/>
          <w:sz w:val="20"/>
        </w:rPr>
        <w:footnoteReference w:id="8"/>
      </w:r>
      <w:r w:rsidR="00C632FD" w:rsidRPr="00FF0BDB">
        <w:t xml:space="preserve">, </w:t>
      </w:r>
      <w:r w:rsidR="00C554F1" w:rsidRPr="00FF0BDB">
        <w:t xml:space="preserve">forms of a </w:t>
      </w:r>
      <w:r w:rsidR="00826149" w:rsidRPr="00FF0BDB">
        <w:t xml:space="preserve">substance </w:t>
      </w:r>
      <w:r w:rsidR="00C554F1" w:rsidRPr="00FF0BDB">
        <w:t xml:space="preserve">fulfilling the definition </w:t>
      </w:r>
      <w:r w:rsidR="00A17B3D" w:rsidRPr="00FF0BDB">
        <w:t>of nanomaterial</w:t>
      </w:r>
      <w:r w:rsidR="001401D5" w:rsidRPr="00EA4BF2">
        <w:rPr>
          <w:rStyle w:val="FootnoteReference"/>
          <w:sz w:val="20"/>
        </w:rPr>
        <w:footnoteReference w:id="9"/>
      </w:r>
      <w:r w:rsidR="002034F6" w:rsidRPr="00EA4BF2">
        <w:rPr>
          <w:vertAlign w:val="superscript"/>
        </w:rPr>
        <w:t xml:space="preserve"> </w:t>
      </w:r>
      <w:r w:rsidR="002034F6" w:rsidRPr="00FF0BDB">
        <w:t>are called nanoforms</w:t>
      </w:r>
      <w:r w:rsidR="00DF00AB" w:rsidRPr="00FF0BDB">
        <w:t>.</w:t>
      </w:r>
      <w:r w:rsidR="002C281A" w:rsidRPr="00FF0BDB">
        <w:t xml:space="preserve"> In </w:t>
      </w:r>
      <w:r w:rsidR="00B22C58" w:rsidRPr="00FF0BDB">
        <w:t>particular</w:t>
      </w:r>
      <w:r w:rsidR="002C281A" w:rsidRPr="00FF0BDB">
        <w:t xml:space="preserve">, </w:t>
      </w:r>
      <w:r w:rsidR="00E26521" w:rsidRPr="00FF0BDB">
        <w:t>nanoforms of a substance</w:t>
      </w:r>
      <w:r w:rsidR="002C281A" w:rsidRPr="00FF0BDB">
        <w:t xml:space="preserve"> fall under the existing REACH</w:t>
      </w:r>
      <w:r w:rsidR="00141DB5" w:rsidRPr="00FF0BDB">
        <w:t xml:space="preserve"> </w:t>
      </w:r>
      <w:r w:rsidR="002C281A" w:rsidRPr="00FF0BDB">
        <w:t>and CLP</w:t>
      </w:r>
      <w:r w:rsidR="002C281A" w:rsidRPr="00EA4BF2">
        <w:rPr>
          <w:rStyle w:val="FootnoteReference"/>
          <w:sz w:val="20"/>
        </w:rPr>
        <w:footnoteReference w:id="10"/>
      </w:r>
      <w:r w:rsidR="002C281A" w:rsidRPr="00FF0BDB">
        <w:t xml:space="preserve"> definition of a substance, and provisions set by both regulations apply.</w:t>
      </w:r>
    </w:p>
    <w:p w14:paraId="6546998E" w14:textId="2ACB740C" w:rsidR="002C281A" w:rsidRPr="00EA4BF2" w:rsidRDefault="004266E1" w:rsidP="00477C55">
      <w:pPr>
        <w:pStyle w:val="SingleTxtG"/>
        <w:tabs>
          <w:tab w:val="left" w:pos="1701"/>
        </w:tabs>
      </w:pPr>
      <w:r w:rsidRPr="00EA4BF2">
        <w:t>10.</w:t>
      </w:r>
      <w:r w:rsidR="00477C55">
        <w:tab/>
      </w:r>
      <w:r w:rsidR="002C281A" w:rsidRPr="00EA4BF2">
        <w:t>As of 1 January 2020</w:t>
      </w:r>
      <w:r w:rsidR="000178DC" w:rsidRPr="00EA4BF2">
        <w:t xml:space="preserve"> (and</w:t>
      </w:r>
      <w:r w:rsidR="00B47FA6" w:rsidRPr="00EA4BF2">
        <w:t xml:space="preserve"> changes to the </w:t>
      </w:r>
      <w:r w:rsidR="000B3A7C" w:rsidRPr="00EA4BF2">
        <w:t xml:space="preserve">requirements </w:t>
      </w:r>
      <w:r w:rsidR="00AB46B2" w:rsidRPr="00EA4BF2">
        <w:t xml:space="preserve">regarding new </w:t>
      </w:r>
      <w:r w:rsidR="00B47FA6" w:rsidRPr="00EA4BF2">
        <w:t xml:space="preserve">Safety Data Sheets </w:t>
      </w:r>
      <w:r w:rsidR="00883FA6" w:rsidRPr="00EA4BF2">
        <w:t>since 1 January 2021</w:t>
      </w:r>
      <w:r w:rsidR="00AB46B2" w:rsidRPr="00EA4BF2">
        <w:t xml:space="preserve"> and for existing datasheets since 31 December 2022</w:t>
      </w:r>
      <w:r w:rsidR="00883FA6" w:rsidRPr="00EA4BF2">
        <w:t>)</w:t>
      </w:r>
      <w:r w:rsidR="002C281A" w:rsidRPr="00EA4BF2">
        <w:t>, explicit legal requirements under REACH apply for companies that manufacture or import nanoforms</w:t>
      </w:r>
      <w:r w:rsidR="00351B87" w:rsidRPr="00EA4BF2">
        <w:t xml:space="preserve"> as well as for t</w:t>
      </w:r>
      <w:r w:rsidR="00411520" w:rsidRPr="00EA4BF2">
        <w:t>he downstream users</w:t>
      </w:r>
      <w:r w:rsidR="002C281A" w:rsidRPr="00EA4BF2">
        <w:t xml:space="preserve">. These reporting obligations address specific information requirements, outlined in revised annexes to the REACH regulation: </w:t>
      </w:r>
    </w:p>
    <w:p w14:paraId="607DCF73" w14:textId="5A26580A" w:rsidR="002C281A" w:rsidRDefault="00477C55" w:rsidP="003364BD">
      <w:pPr>
        <w:pStyle w:val="SingleTxtG"/>
        <w:tabs>
          <w:tab w:val="left" w:pos="1701"/>
        </w:tabs>
        <w:ind w:left="2268" w:hanging="567"/>
      </w:pPr>
      <w:r>
        <w:t>(</w:t>
      </w:r>
      <w:r w:rsidR="004266E1">
        <w:t>a</w:t>
      </w:r>
      <w:r>
        <w:t>)</w:t>
      </w:r>
      <w:r w:rsidR="004266E1">
        <w:tab/>
      </w:r>
      <w:r w:rsidR="00141DB5">
        <w:t>C</w:t>
      </w:r>
      <w:r w:rsidR="002C281A">
        <w:t>haracterisation of nanoforms or sets of nanoforms covered by the registration (Annex VI);</w:t>
      </w:r>
    </w:p>
    <w:p w14:paraId="558C5A13" w14:textId="4C89F5C2" w:rsidR="002C281A" w:rsidRDefault="00477C55" w:rsidP="003364BD">
      <w:pPr>
        <w:pStyle w:val="SingleTxtG"/>
        <w:tabs>
          <w:tab w:val="left" w:pos="1701"/>
        </w:tabs>
        <w:ind w:left="2268" w:hanging="567"/>
      </w:pPr>
      <w:r>
        <w:t>(</w:t>
      </w:r>
      <w:r w:rsidR="004266E1">
        <w:t>b</w:t>
      </w:r>
      <w:r>
        <w:t>)</w:t>
      </w:r>
      <w:r w:rsidR="004266E1">
        <w:tab/>
      </w:r>
      <w:r w:rsidR="00141DB5">
        <w:t>C</w:t>
      </w:r>
      <w:r w:rsidR="002C281A">
        <w:t>hemical safety assessment (Annex I);</w:t>
      </w:r>
    </w:p>
    <w:p w14:paraId="5F309BBE" w14:textId="2161EAC2" w:rsidR="00636D88" w:rsidRDefault="003364BD" w:rsidP="003364BD">
      <w:pPr>
        <w:pStyle w:val="SingleTxtG"/>
        <w:tabs>
          <w:tab w:val="left" w:pos="1701"/>
        </w:tabs>
        <w:ind w:left="2268" w:hanging="567"/>
      </w:pPr>
      <w:r>
        <w:lastRenderedPageBreak/>
        <w:t>(c)</w:t>
      </w:r>
      <w:r w:rsidR="004266E1">
        <w:tab/>
      </w:r>
      <w:r w:rsidR="00141DB5">
        <w:t>R</w:t>
      </w:r>
      <w:r w:rsidR="00D46054">
        <w:t>equirements for the compilation of Safety Data Sheets (Annex II)</w:t>
      </w:r>
    </w:p>
    <w:p w14:paraId="046868F1" w14:textId="35B4EAA9" w:rsidR="002C281A" w:rsidRDefault="003364BD" w:rsidP="003364BD">
      <w:pPr>
        <w:pStyle w:val="SingleTxtG"/>
        <w:tabs>
          <w:tab w:val="left" w:pos="1701"/>
        </w:tabs>
        <w:ind w:left="2268" w:hanging="567"/>
      </w:pPr>
      <w:r>
        <w:t>(</w:t>
      </w:r>
      <w:r w:rsidR="004266E1">
        <w:t>d</w:t>
      </w:r>
      <w:r>
        <w:t>)</w:t>
      </w:r>
      <w:r w:rsidR="004266E1">
        <w:tab/>
      </w:r>
      <w:r w:rsidR="00141DB5">
        <w:t>R</w:t>
      </w:r>
      <w:r w:rsidR="002C281A">
        <w:t>egistration information requirements (Annexes III and VII-XI); and</w:t>
      </w:r>
    </w:p>
    <w:p w14:paraId="348E9774" w14:textId="086BBE73" w:rsidR="002C281A" w:rsidRDefault="003364BD" w:rsidP="003364BD">
      <w:pPr>
        <w:pStyle w:val="SingleTxtG"/>
        <w:tabs>
          <w:tab w:val="left" w:pos="1701"/>
        </w:tabs>
        <w:ind w:left="2268" w:hanging="567"/>
      </w:pPr>
      <w:r>
        <w:t>(e)</w:t>
      </w:r>
      <w:r w:rsidR="004266E1">
        <w:tab/>
      </w:r>
      <w:r w:rsidR="00141DB5">
        <w:t>D</w:t>
      </w:r>
      <w:r w:rsidR="002C281A">
        <w:t>ownstream user obligations (Annex XII).</w:t>
      </w:r>
    </w:p>
    <w:p w14:paraId="1A774268" w14:textId="3A2B6E34" w:rsidR="002C281A" w:rsidRDefault="004266E1" w:rsidP="004266E1">
      <w:pPr>
        <w:pStyle w:val="SingleTxtG"/>
        <w:tabs>
          <w:tab w:val="left" w:pos="1701"/>
        </w:tabs>
        <w:ind w:left="1710" w:hanging="576"/>
      </w:pPr>
      <w:r>
        <w:t>11.</w:t>
      </w:r>
      <w:r>
        <w:tab/>
      </w:r>
      <w:r w:rsidR="002C281A">
        <w:t>The amendments apply to all new and existing registrations covering nanoforms.</w:t>
      </w:r>
    </w:p>
    <w:p w14:paraId="50766989" w14:textId="543AF92B" w:rsidR="00A155A1" w:rsidRPr="003364BD" w:rsidRDefault="00A155A1" w:rsidP="003364BD">
      <w:pPr>
        <w:pStyle w:val="HChG"/>
        <w:rPr>
          <w:rFonts w:eastAsia="MS Mincho"/>
        </w:rPr>
      </w:pPr>
      <w:r>
        <w:tab/>
      </w:r>
      <w:r>
        <w:tab/>
      </w:r>
      <w:r w:rsidR="00AC5183" w:rsidRPr="003364BD">
        <w:rPr>
          <w:rFonts w:eastAsia="MS Mincho"/>
        </w:rPr>
        <w:t>Guidance on the implementation of the Commission Recommendation</w:t>
      </w:r>
    </w:p>
    <w:p w14:paraId="7CE26FE4" w14:textId="29FF173E" w:rsidR="00AC5183" w:rsidRPr="003364BD" w:rsidRDefault="004266E1" w:rsidP="003364BD">
      <w:pPr>
        <w:pStyle w:val="SingleTxtG"/>
        <w:tabs>
          <w:tab w:val="left" w:pos="1701"/>
        </w:tabs>
        <w:rPr>
          <w:rFonts w:eastAsiaTheme="minorEastAsia"/>
        </w:rPr>
      </w:pPr>
      <w:r w:rsidRPr="003364BD">
        <w:rPr>
          <w:rFonts w:eastAsiaTheme="minorEastAsia"/>
        </w:rPr>
        <w:t>12.</w:t>
      </w:r>
      <w:r w:rsidRPr="003364BD">
        <w:rPr>
          <w:rFonts w:eastAsiaTheme="minorEastAsia"/>
        </w:rPr>
        <w:tab/>
      </w:r>
      <w:r w:rsidR="00AC5183" w:rsidRPr="003364BD">
        <w:t xml:space="preserve">Following the adoption of the 2022 Recommendation by the European Commission; the Joint Research Centre of the European Commission (JRC) published a </w:t>
      </w:r>
      <w:r w:rsidR="00E26521" w:rsidRPr="003364BD">
        <w:t xml:space="preserve">new, revised </w:t>
      </w:r>
      <w:r w:rsidR="00AC5183" w:rsidRPr="003364BD">
        <w:t>guidance on the implementation of the Commission Recommendation 2022/C</w:t>
      </w:r>
      <w:r w:rsidR="00E26521" w:rsidRPr="003364BD">
        <w:t> </w:t>
      </w:r>
      <w:r w:rsidR="00AC5183" w:rsidRPr="003364BD">
        <w:t>229/01 on the definition of nanomaterial</w:t>
      </w:r>
      <w:r w:rsidR="00AC5183" w:rsidRPr="003364BD">
        <w:rPr>
          <w:rStyle w:val="FootnoteReference"/>
          <w:sz w:val="20"/>
        </w:rPr>
        <w:footnoteReference w:id="11"/>
      </w:r>
      <w:r w:rsidR="00AC5183" w:rsidRPr="003364BD">
        <w:t>;</w:t>
      </w:r>
    </w:p>
    <w:p w14:paraId="01D53453" w14:textId="408F4F36" w:rsidR="00061994" w:rsidRPr="00061994" w:rsidRDefault="004266E1" w:rsidP="003364BD">
      <w:pPr>
        <w:pStyle w:val="SingleTxtG"/>
        <w:tabs>
          <w:tab w:val="left" w:pos="1701"/>
        </w:tabs>
        <w:rPr>
          <w:rFonts w:eastAsiaTheme="minorEastAsia"/>
          <w:lang w:val="en-US"/>
        </w:rPr>
      </w:pPr>
      <w:r w:rsidRPr="00061994">
        <w:rPr>
          <w:rFonts w:eastAsiaTheme="minorEastAsia"/>
          <w:lang w:val="en-US"/>
        </w:rPr>
        <w:t>13.</w:t>
      </w:r>
      <w:r w:rsidRPr="00061994">
        <w:rPr>
          <w:rFonts w:eastAsiaTheme="minorEastAsia"/>
          <w:lang w:val="en-US"/>
        </w:rPr>
        <w:tab/>
      </w:r>
      <w:r w:rsidR="00AC5183">
        <w:t>The</w:t>
      </w:r>
      <w:r w:rsidR="00AC5183" w:rsidRPr="00AC5183">
        <w:t xml:space="preserve"> guidance builds upon the two JRC Science for Policy Reports</w:t>
      </w:r>
      <w:r w:rsidR="00061994">
        <w:t>: “</w:t>
      </w:r>
      <w:hyperlink r:id="rId11" w:history="1">
        <w:r w:rsidR="00061994" w:rsidRPr="00061994">
          <w:rPr>
            <w:rStyle w:val="Hyperlink"/>
          </w:rPr>
          <w:t>An overview of concepts and terms used in the European Commission's definition of nanomaterial</w:t>
        </w:r>
      </w:hyperlink>
      <w:r w:rsidR="00061994">
        <w:t>” and “</w:t>
      </w:r>
      <w:hyperlink r:id="rId12" w:history="1">
        <w:r w:rsidR="00061994" w:rsidRPr="00061994">
          <w:rPr>
            <w:rStyle w:val="Hyperlink"/>
          </w:rPr>
          <w:t>Identification of nanomaterials through measurements</w:t>
        </w:r>
      </w:hyperlink>
      <w:r w:rsidR="00061994">
        <w:t>” from 2019</w:t>
      </w:r>
      <w:r w:rsidR="00AC5183" w:rsidRPr="00AC5183">
        <w:t xml:space="preserve">. </w:t>
      </w:r>
    </w:p>
    <w:p w14:paraId="0AF30408" w14:textId="480D47FB" w:rsidR="00061994" w:rsidRPr="003364BD" w:rsidRDefault="004266E1" w:rsidP="003364BD">
      <w:pPr>
        <w:pStyle w:val="SingleTxtG"/>
        <w:tabs>
          <w:tab w:val="left" w:pos="1701"/>
        </w:tabs>
        <w:rPr>
          <w:rFonts w:eastAsiaTheme="minorEastAsia"/>
        </w:rPr>
      </w:pPr>
      <w:r w:rsidRPr="003364BD">
        <w:rPr>
          <w:rFonts w:eastAsiaTheme="minorEastAsia"/>
        </w:rPr>
        <w:t>14.</w:t>
      </w:r>
      <w:r w:rsidRPr="003364BD">
        <w:rPr>
          <w:rFonts w:eastAsiaTheme="minorEastAsia"/>
        </w:rPr>
        <w:tab/>
      </w:r>
      <w:r w:rsidR="00061994" w:rsidRPr="003364BD">
        <w:t>It</w:t>
      </w:r>
      <w:r w:rsidR="00AC5183" w:rsidRPr="003364BD">
        <w:t xml:space="preserve"> gives an overview of the key terminology and concepts, provides a decision tree to identify nanomaterials and addresses identification of nanomaterials through measurements for the Recommendation on the definition of nanomaterial (2022/C</w:t>
      </w:r>
      <w:r w:rsidR="00E26521" w:rsidRPr="003364BD">
        <w:t> </w:t>
      </w:r>
      <w:r w:rsidR="00AC5183" w:rsidRPr="003364BD">
        <w:t xml:space="preserve">229/01). </w:t>
      </w:r>
    </w:p>
    <w:p w14:paraId="0A253532" w14:textId="6CA9C591" w:rsidR="00A155A1" w:rsidRPr="003364BD" w:rsidRDefault="004266E1" w:rsidP="003364BD">
      <w:pPr>
        <w:pStyle w:val="SingleTxtG"/>
        <w:tabs>
          <w:tab w:val="left" w:pos="1701"/>
        </w:tabs>
        <w:rPr>
          <w:rFonts w:eastAsiaTheme="minorEastAsia"/>
        </w:rPr>
      </w:pPr>
      <w:r w:rsidRPr="003364BD">
        <w:rPr>
          <w:rFonts w:eastAsiaTheme="minorEastAsia"/>
        </w:rPr>
        <w:t>15.</w:t>
      </w:r>
      <w:r w:rsidRPr="003364BD">
        <w:rPr>
          <w:rFonts w:eastAsiaTheme="minorEastAsia"/>
        </w:rPr>
        <w:tab/>
      </w:r>
      <w:r w:rsidR="00AC5183" w:rsidRPr="003364BD">
        <w:t xml:space="preserve">Furthermore, an </w:t>
      </w:r>
      <w:r w:rsidR="00141DB5" w:rsidRPr="003364BD">
        <w:t>a</w:t>
      </w:r>
      <w:r w:rsidR="00AC5183" w:rsidRPr="003364BD">
        <w:t xml:space="preserve">nnex </w:t>
      </w:r>
      <w:r w:rsidR="00061994" w:rsidRPr="003364BD">
        <w:t xml:space="preserve">was added that </w:t>
      </w:r>
      <w:r w:rsidR="00AC5183" w:rsidRPr="003364BD">
        <w:t>list</w:t>
      </w:r>
      <w:r w:rsidR="00061994" w:rsidRPr="003364BD">
        <w:t>s</w:t>
      </w:r>
      <w:r w:rsidR="00AC5183" w:rsidRPr="003364BD">
        <w:t xml:space="preserve"> documentary standards relevant for a harmonised and coherent regulatory implementation of the definition of nanomaterial at European Union and national level.</w:t>
      </w:r>
    </w:p>
    <w:p w14:paraId="3E2B37AC" w14:textId="2A904E96" w:rsidR="000D1812" w:rsidRPr="008936E7" w:rsidRDefault="000D1812" w:rsidP="000D1812">
      <w:pPr>
        <w:pStyle w:val="HChG"/>
        <w:rPr>
          <w:rFonts w:eastAsia="MS Mincho"/>
          <w:color w:val="000000" w:themeColor="text1"/>
        </w:rPr>
      </w:pPr>
      <w:r>
        <w:rPr>
          <w:rFonts w:eastAsia="MS Mincho"/>
        </w:rPr>
        <w:tab/>
      </w:r>
      <w:r>
        <w:rPr>
          <w:rFonts w:eastAsia="MS Mincho"/>
        </w:rPr>
        <w:tab/>
      </w:r>
      <w:r w:rsidR="00B35F7D">
        <w:rPr>
          <w:rFonts w:eastAsia="MS Mincho"/>
          <w:color w:val="000000" w:themeColor="text1"/>
        </w:rPr>
        <w:t>Conclusion</w:t>
      </w:r>
    </w:p>
    <w:p w14:paraId="34C5A253" w14:textId="375FAE2D" w:rsidR="00B35F7D" w:rsidRPr="006104EC" w:rsidRDefault="004266E1" w:rsidP="006104EC">
      <w:pPr>
        <w:pStyle w:val="SingleTxtG"/>
        <w:tabs>
          <w:tab w:val="left" w:pos="1701"/>
        </w:tabs>
        <w:rPr>
          <w:rFonts w:eastAsiaTheme="minorEastAsia"/>
        </w:rPr>
      </w:pPr>
      <w:r w:rsidRPr="006104EC">
        <w:rPr>
          <w:rFonts w:eastAsiaTheme="minorEastAsia"/>
        </w:rPr>
        <w:t>16.</w:t>
      </w:r>
      <w:r w:rsidRPr="006104EC">
        <w:rPr>
          <w:rFonts w:eastAsiaTheme="minorEastAsia"/>
        </w:rPr>
        <w:tab/>
      </w:r>
      <w:r w:rsidR="00A155A1" w:rsidRPr="006104EC">
        <w:t xml:space="preserve">The Sub-Committee is invited to take note and comment on the information provided. </w:t>
      </w:r>
    </w:p>
    <w:p w14:paraId="75E13457" w14:textId="4672EC09" w:rsidR="00B35F7D" w:rsidRDefault="00B35F7D" w:rsidP="00B35F7D">
      <w:pPr>
        <w:pStyle w:val="SingleTxtG"/>
        <w:tabs>
          <w:tab w:val="left" w:pos="1701"/>
        </w:tabs>
        <w:ind w:left="0"/>
        <w:rPr>
          <w:color w:val="000000" w:themeColor="text1"/>
        </w:rPr>
      </w:pPr>
    </w:p>
    <w:p w14:paraId="17A52408" w14:textId="3B5F3AF9" w:rsidR="002A4962" w:rsidRDefault="002A4962">
      <w:pPr>
        <w:suppressAutoHyphens w:val="0"/>
        <w:spacing w:after="160" w:line="259" w:lineRule="auto"/>
        <w:rPr>
          <w:color w:val="000000" w:themeColor="text1"/>
        </w:rPr>
      </w:pPr>
      <w:r>
        <w:rPr>
          <w:color w:val="000000" w:themeColor="text1"/>
        </w:rPr>
        <w:br w:type="page"/>
      </w:r>
    </w:p>
    <w:p w14:paraId="3CB317F2" w14:textId="77777777" w:rsidR="006104EC" w:rsidRDefault="002A4962" w:rsidP="002A4962">
      <w:pPr>
        <w:pStyle w:val="HChG"/>
      </w:pPr>
      <w:r>
        <w:lastRenderedPageBreak/>
        <w:t>Annex I</w:t>
      </w:r>
    </w:p>
    <w:p w14:paraId="4F66272A" w14:textId="3DAA6845" w:rsidR="00B35F7D" w:rsidRPr="00B35F7D" w:rsidRDefault="00E057A8" w:rsidP="002A4962">
      <w:pPr>
        <w:pStyle w:val="HChG"/>
      </w:pPr>
      <w:r>
        <w:t>Summary</w:t>
      </w:r>
      <w:r w:rsidR="002A4962">
        <w:t xml:space="preserve"> of </w:t>
      </w:r>
      <w:r>
        <w:t xml:space="preserve">Informal Correspondence Group’ </w:t>
      </w:r>
      <w:r w:rsidR="002A4962">
        <w:t>status of work</w:t>
      </w:r>
    </w:p>
    <w:tbl>
      <w:tblPr>
        <w:tblStyle w:val="TableGrid"/>
        <w:tblW w:w="0" w:type="auto"/>
        <w:tblLayout w:type="fixed"/>
        <w:tblLook w:val="04A0" w:firstRow="1" w:lastRow="0" w:firstColumn="1" w:lastColumn="0" w:noHBand="0" w:noVBand="1"/>
      </w:tblPr>
      <w:tblGrid>
        <w:gridCol w:w="805"/>
        <w:gridCol w:w="6561"/>
        <w:gridCol w:w="2263"/>
      </w:tblGrid>
      <w:tr w:rsidR="002A4962" w:rsidRPr="00D87FE6" w14:paraId="17882A3B" w14:textId="30F9BC03" w:rsidTr="00D87FE6">
        <w:trPr>
          <w:tblHeader/>
        </w:trPr>
        <w:tc>
          <w:tcPr>
            <w:tcW w:w="805" w:type="dxa"/>
          </w:tcPr>
          <w:p w14:paraId="75421CC7" w14:textId="4278E0E1" w:rsidR="002A4962" w:rsidRPr="00D87FE6" w:rsidRDefault="009A3FC6" w:rsidP="002A4962">
            <w:pPr>
              <w:spacing w:before="120" w:after="120"/>
              <w:jc w:val="center"/>
              <w:rPr>
                <w:b/>
                <w:bCs/>
                <w:sz w:val="18"/>
                <w:szCs w:val="18"/>
              </w:rPr>
            </w:pPr>
            <w:r w:rsidRPr="00D87FE6">
              <w:rPr>
                <w:b/>
                <w:bCs/>
                <w:sz w:val="18"/>
                <w:szCs w:val="18"/>
              </w:rPr>
              <w:t xml:space="preserve">GHS </w:t>
            </w:r>
            <w:r w:rsidR="00153CB1" w:rsidRPr="00D87FE6">
              <w:rPr>
                <w:b/>
                <w:bCs/>
                <w:sz w:val="18"/>
                <w:szCs w:val="18"/>
              </w:rPr>
              <w:t>S</w:t>
            </w:r>
            <w:r w:rsidR="002A4962" w:rsidRPr="00D87FE6">
              <w:rPr>
                <w:b/>
                <w:bCs/>
                <w:sz w:val="18"/>
                <w:szCs w:val="18"/>
              </w:rPr>
              <w:t>ession</w:t>
            </w:r>
          </w:p>
        </w:tc>
        <w:tc>
          <w:tcPr>
            <w:tcW w:w="6561" w:type="dxa"/>
          </w:tcPr>
          <w:p w14:paraId="0456F881" w14:textId="26360BEF" w:rsidR="002A4962" w:rsidRPr="00D87FE6" w:rsidRDefault="002A4962" w:rsidP="002A4962">
            <w:pPr>
              <w:spacing w:before="120" w:after="120"/>
              <w:jc w:val="center"/>
              <w:rPr>
                <w:b/>
                <w:bCs/>
                <w:sz w:val="18"/>
                <w:szCs w:val="18"/>
              </w:rPr>
            </w:pPr>
            <w:r w:rsidRPr="00D87FE6">
              <w:rPr>
                <w:b/>
                <w:bCs/>
                <w:sz w:val="18"/>
                <w:szCs w:val="18"/>
              </w:rPr>
              <w:t>Summary of status of work</w:t>
            </w:r>
          </w:p>
        </w:tc>
        <w:tc>
          <w:tcPr>
            <w:tcW w:w="2263" w:type="dxa"/>
          </w:tcPr>
          <w:p w14:paraId="77AE90D5" w14:textId="227B9774" w:rsidR="002A4962" w:rsidRPr="00D87FE6" w:rsidRDefault="002A4962" w:rsidP="002A4962">
            <w:pPr>
              <w:spacing w:before="120" w:after="120"/>
              <w:jc w:val="center"/>
              <w:rPr>
                <w:b/>
                <w:bCs/>
                <w:sz w:val="18"/>
                <w:szCs w:val="18"/>
              </w:rPr>
            </w:pPr>
            <w:r w:rsidRPr="00D87FE6">
              <w:rPr>
                <w:b/>
                <w:bCs/>
                <w:sz w:val="18"/>
                <w:szCs w:val="18"/>
              </w:rPr>
              <w:t>Reference</w:t>
            </w:r>
          </w:p>
        </w:tc>
      </w:tr>
      <w:tr w:rsidR="00141DB5" w:rsidRPr="00153CB1" w14:paraId="67E42C40" w14:textId="77777777" w:rsidTr="00141DB5">
        <w:tc>
          <w:tcPr>
            <w:tcW w:w="805" w:type="dxa"/>
          </w:tcPr>
          <w:p w14:paraId="7857EBDA" w14:textId="162E8B49" w:rsidR="00141DB5" w:rsidRPr="00153CB1" w:rsidRDefault="00141DB5" w:rsidP="002A4962">
            <w:pPr>
              <w:spacing w:before="120" w:after="120"/>
              <w:jc w:val="center"/>
              <w:rPr>
                <w:sz w:val="18"/>
                <w:szCs w:val="18"/>
              </w:rPr>
            </w:pPr>
            <w:r>
              <w:rPr>
                <w:sz w:val="18"/>
                <w:szCs w:val="18"/>
              </w:rPr>
              <w:t>26</w:t>
            </w:r>
            <w:r w:rsidRPr="00141DB5">
              <w:rPr>
                <w:sz w:val="18"/>
                <w:szCs w:val="18"/>
                <w:vertAlign w:val="superscript"/>
              </w:rPr>
              <w:t>th</w:t>
            </w:r>
            <w:r>
              <w:rPr>
                <w:sz w:val="18"/>
                <w:szCs w:val="18"/>
              </w:rPr>
              <w:t xml:space="preserve"> </w:t>
            </w:r>
          </w:p>
        </w:tc>
        <w:tc>
          <w:tcPr>
            <w:tcW w:w="6561" w:type="dxa"/>
          </w:tcPr>
          <w:p w14:paraId="60000ED1" w14:textId="420A1FB9" w:rsidR="00141DB5" w:rsidRPr="00153CB1" w:rsidRDefault="00141DB5" w:rsidP="00E057A8">
            <w:pPr>
              <w:spacing w:before="120" w:after="120"/>
              <w:rPr>
                <w:sz w:val="18"/>
                <w:szCs w:val="18"/>
              </w:rPr>
            </w:pPr>
            <w:r w:rsidRPr="00141DB5">
              <w:rPr>
                <w:sz w:val="18"/>
                <w:szCs w:val="18"/>
              </w:rPr>
              <w:t>The Sub-Committee adopted the terms of reference for the work of the informal group on the basis of the proposal in INF.29, with a minor editorial change to subparagraphs (a), (b) and (c) (see Annex II</w:t>
            </w:r>
            <w:r>
              <w:rPr>
                <w:sz w:val="18"/>
                <w:szCs w:val="18"/>
              </w:rPr>
              <w:t xml:space="preserve"> of the Final Report</w:t>
            </w:r>
            <w:r w:rsidRPr="00141DB5">
              <w:rPr>
                <w:sz w:val="18"/>
                <w:szCs w:val="18"/>
              </w:rPr>
              <w:t>)</w:t>
            </w:r>
          </w:p>
        </w:tc>
        <w:tc>
          <w:tcPr>
            <w:tcW w:w="2263" w:type="dxa"/>
          </w:tcPr>
          <w:p w14:paraId="7D45553E" w14:textId="47CE65C7" w:rsidR="00141DB5" w:rsidRPr="00153CB1" w:rsidRDefault="00141DB5" w:rsidP="002A4962">
            <w:pPr>
              <w:spacing w:before="120" w:after="120"/>
              <w:jc w:val="center"/>
              <w:rPr>
                <w:sz w:val="18"/>
                <w:szCs w:val="18"/>
              </w:rPr>
            </w:pPr>
            <w:r w:rsidRPr="00141DB5">
              <w:rPr>
                <w:sz w:val="18"/>
                <w:szCs w:val="18"/>
              </w:rPr>
              <w:t>ST/SG/AC.10/C.4/52</w:t>
            </w:r>
          </w:p>
        </w:tc>
      </w:tr>
      <w:tr w:rsidR="00141DB5" w:rsidRPr="00153CB1" w14:paraId="69703076" w14:textId="77777777" w:rsidTr="00141DB5">
        <w:tc>
          <w:tcPr>
            <w:tcW w:w="805" w:type="dxa"/>
          </w:tcPr>
          <w:p w14:paraId="586F38BA" w14:textId="476DB0E6" w:rsidR="00141DB5" w:rsidRPr="00153CB1" w:rsidRDefault="00141DB5" w:rsidP="00141DB5">
            <w:pPr>
              <w:spacing w:before="120" w:after="120"/>
              <w:jc w:val="center"/>
              <w:rPr>
                <w:sz w:val="18"/>
                <w:szCs w:val="18"/>
              </w:rPr>
            </w:pPr>
            <w:r>
              <w:rPr>
                <w:sz w:val="18"/>
                <w:szCs w:val="18"/>
              </w:rPr>
              <w:t>27</w:t>
            </w:r>
            <w:r w:rsidRPr="00141DB5">
              <w:rPr>
                <w:sz w:val="18"/>
                <w:szCs w:val="18"/>
                <w:vertAlign w:val="superscript"/>
              </w:rPr>
              <w:t>th</w:t>
            </w:r>
            <w:r>
              <w:rPr>
                <w:sz w:val="18"/>
                <w:szCs w:val="18"/>
              </w:rPr>
              <w:t xml:space="preserve"> </w:t>
            </w:r>
          </w:p>
        </w:tc>
        <w:tc>
          <w:tcPr>
            <w:tcW w:w="6561" w:type="dxa"/>
          </w:tcPr>
          <w:p w14:paraId="3DE02112" w14:textId="3257E3F1" w:rsidR="00141DB5" w:rsidRPr="00153CB1" w:rsidRDefault="00141DB5" w:rsidP="00141DB5">
            <w:pPr>
              <w:spacing w:before="120" w:after="120"/>
              <w:rPr>
                <w:sz w:val="18"/>
                <w:szCs w:val="18"/>
              </w:rPr>
            </w:pPr>
            <w:r w:rsidRPr="00141DB5">
              <w:rPr>
                <w:sz w:val="18"/>
                <w:szCs w:val="18"/>
              </w:rPr>
              <w:t>The Sub-Committee noted that the</w:t>
            </w:r>
            <w:r>
              <w:rPr>
                <w:sz w:val="18"/>
                <w:szCs w:val="18"/>
              </w:rPr>
              <w:t xml:space="preserve"> ICG</w:t>
            </w:r>
            <w:r w:rsidRPr="00141DB5">
              <w:rPr>
                <w:sz w:val="18"/>
                <w:szCs w:val="18"/>
              </w:rPr>
              <w:t xml:space="preserve"> had identified a small number of nanomaterials for which data were available and intended to assess the applicability of GHS criteria for their classification. The expert from France also informed the Sub-Committee that the informal group would continue the discussions on on-going work related to classification of these materials in other international, regional or national bodies.</w:t>
            </w:r>
          </w:p>
        </w:tc>
        <w:tc>
          <w:tcPr>
            <w:tcW w:w="2263" w:type="dxa"/>
          </w:tcPr>
          <w:p w14:paraId="5A617FC9" w14:textId="37C0EB72" w:rsidR="00141DB5" w:rsidRPr="00153CB1" w:rsidRDefault="00141DB5" w:rsidP="00141DB5">
            <w:pPr>
              <w:spacing w:before="120" w:after="120"/>
              <w:jc w:val="center"/>
              <w:rPr>
                <w:sz w:val="18"/>
                <w:szCs w:val="18"/>
              </w:rPr>
            </w:pPr>
            <w:r w:rsidRPr="00141DB5">
              <w:rPr>
                <w:sz w:val="18"/>
                <w:szCs w:val="18"/>
              </w:rPr>
              <w:t>ST/SG/AC.10/C.4/2014/9</w:t>
            </w:r>
            <w:r>
              <w:rPr>
                <w:sz w:val="18"/>
                <w:szCs w:val="18"/>
              </w:rPr>
              <w:t xml:space="preserve"> and </w:t>
            </w:r>
            <w:r w:rsidRPr="00141DB5">
              <w:rPr>
                <w:sz w:val="18"/>
                <w:szCs w:val="18"/>
              </w:rPr>
              <w:t>ST/SG/AC.10/C.4/5</w:t>
            </w:r>
            <w:r>
              <w:rPr>
                <w:sz w:val="18"/>
                <w:szCs w:val="18"/>
              </w:rPr>
              <w:t>4</w:t>
            </w:r>
          </w:p>
        </w:tc>
      </w:tr>
      <w:tr w:rsidR="00141DB5" w:rsidRPr="00153CB1" w14:paraId="040F8FD3" w14:textId="77777777" w:rsidTr="00141DB5">
        <w:tc>
          <w:tcPr>
            <w:tcW w:w="805" w:type="dxa"/>
          </w:tcPr>
          <w:p w14:paraId="1BE5320E" w14:textId="1FB58603" w:rsidR="00141DB5" w:rsidRPr="00153CB1" w:rsidRDefault="00141DB5" w:rsidP="00141DB5">
            <w:pPr>
              <w:spacing w:before="120" w:after="120"/>
              <w:jc w:val="center"/>
              <w:rPr>
                <w:sz w:val="18"/>
                <w:szCs w:val="18"/>
              </w:rPr>
            </w:pPr>
            <w:r>
              <w:rPr>
                <w:sz w:val="18"/>
                <w:szCs w:val="18"/>
              </w:rPr>
              <w:t>28</w:t>
            </w:r>
            <w:r w:rsidRPr="00141DB5">
              <w:rPr>
                <w:sz w:val="18"/>
                <w:szCs w:val="18"/>
                <w:vertAlign w:val="superscript"/>
              </w:rPr>
              <w:t>th</w:t>
            </w:r>
            <w:r>
              <w:rPr>
                <w:sz w:val="18"/>
                <w:szCs w:val="18"/>
              </w:rPr>
              <w:t xml:space="preserve"> </w:t>
            </w:r>
          </w:p>
        </w:tc>
        <w:tc>
          <w:tcPr>
            <w:tcW w:w="6561" w:type="dxa"/>
          </w:tcPr>
          <w:p w14:paraId="634BAC0A" w14:textId="1777C38B" w:rsidR="00141DB5" w:rsidRDefault="00141DB5" w:rsidP="00141DB5">
            <w:pPr>
              <w:spacing w:before="120" w:after="120"/>
              <w:rPr>
                <w:sz w:val="18"/>
                <w:szCs w:val="18"/>
              </w:rPr>
            </w:pPr>
            <w:r w:rsidRPr="00141DB5">
              <w:rPr>
                <w:sz w:val="18"/>
                <w:szCs w:val="18"/>
              </w:rPr>
              <w:t xml:space="preserve">The Sub-Committee noted that the </w:t>
            </w:r>
            <w:r>
              <w:rPr>
                <w:sz w:val="18"/>
                <w:szCs w:val="18"/>
              </w:rPr>
              <w:t xml:space="preserve">ICG </w:t>
            </w:r>
            <w:r w:rsidRPr="00141DB5">
              <w:rPr>
                <w:sz w:val="18"/>
                <w:szCs w:val="18"/>
              </w:rPr>
              <w:t xml:space="preserve">would focus its work on the classification of some selected nanomaterial substances. The informal group stressed the importance of exchanging information with OECD on available classification data. </w:t>
            </w:r>
          </w:p>
          <w:p w14:paraId="42BE0459" w14:textId="498278ED" w:rsidR="00141DB5" w:rsidRPr="00153CB1" w:rsidRDefault="00141DB5" w:rsidP="00141DB5">
            <w:pPr>
              <w:spacing w:before="120" w:after="120"/>
              <w:rPr>
                <w:sz w:val="18"/>
                <w:szCs w:val="18"/>
              </w:rPr>
            </w:pPr>
            <w:r w:rsidRPr="00141DB5">
              <w:rPr>
                <w:sz w:val="18"/>
                <w:szCs w:val="18"/>
              </w:rPr>
              <w:t>The Sub-Committee agreed to keep this item in its programme of work for the next biennium. The terms of reference for the work of the group agreed by the Sub-Committee at its 26</w:t>
            </w:r>
            <w:r w:rsidRPr="00141DB5">
              <w:rPr>
                <w:sz w:val="18"/>
                <w:szCs w:val="18"/>
                <w:vertAlign w:val="superscript"/>
              </w:rPr>
              <w:t>th</w:t>
            </w:r>
            <w:r>
              <w:rPr>
                <w:sz w:val="18"/>
                <w:szCs w:val="18"/>
              </w:rPr>
              <w:t xml:space="preserve"> </w:t>
            </w:r>
            <w:r w:rsidRPr="00141DB5">
              <w:rPr>
                <w:sz w:val="18"/>
                <w:szCs w:val="18"/>
              </w:rPr>
              <w:t>session remained unchanged (see annex III).</w:t>
            </w:r>
          </w:p>
        </w:tc>
        <w:tc>
          <w:tcPr>
            <w:tcW w:w="2263" w:type="dxa"/>
          </w:tcPr>
          <w:p w14:paraId="0EB9AC31" w14:textId="765672C2" w:rsidR="00141DB5" w:rsidRPr="00153CB1" w:rsidRDefault="00141DB5" w:rsidP="00141DB5">
            <w:pPr>
              <w:spacing w:before="120" w:after="120"/>
              <w:jc w:val="center"/>
              <w:rPr>
                <w:sz w:val="18"/>
                <w:szCs w:val="18"/>
              </w:rPr>
            </w:pPr>
            <w:r w:rsidRPr="00141DB5">
              <w:rPr>
                <w:sz w:val="18"/>
                <w:szCs w:val="18"/>
              </w:rPr>
              <w:t>ST/SG/AC.10/C.4/2014/25</w:t>
            </w:r>
            <w:r>
              <w:rPr>
                <w:sz w:val="18"/>
                <w:szCs w:val="18"/>
              </w:rPr>
              <w:t xml:space="preserve">, </w:t>
            </w:r>
            <w:r w:rsidRPr="00153CB1">
              <w:rPr>
                <w:sz w:val="18"/>
                <w:szCs w:val="18"/>
              </w:rPr>
              <w:t>UN/SCEGHS/</w:t>
            </w:r>
            <w:r>
              <w:rPr>
                <w:sz w:val="18"/>
                <w:szCs w:val="18"/>
              </w:rPr>
              <w:t>28</w:t>
            </w:r>
            <w:r w:rsidRPr="00153CB1">
              <w:rPr>
                <w:sz w:val="18"/>
                <w:szCs w:val="18"/>
              </w:rPr>
              <w:t>/INF.</w:t>
            </w:r>
            <w:r>
              <w:rPr>
                <w:sz w:val="18"/>
                <w:szCs w:val="18"/>
              </w:rPr>
              <w:t xml:space="preserve">28 and </w:t>
            </w:r>
            <w:r w:rsidRPr="00141DB5">
              <w:rPr>
                <w:sz w:val="18"/>
                <w:szCs w:val="18"/>
              </w:rPr>
              <w:t>ST/SG/AC.10/C.4/5</w:t>
            </w:r>
            <w:r>
              <w:rPr>
                <w:sz w:val="18"/>
                <w:szCs w:val="18"/>
              </w:rPr>
              <w:t>6</w:t>
            </w:r>
          </w:p>
        </w:tc>
      </w:tr>
      <w:tr w:rsidR="00141DB5" w:rsidRPr="00153CB1" w14:paraId="67F3E23D" w14:textId="77777777" w:rsidTr="00141DB5">
        <w:tc>
          <w:tcPr>
            <w:tcW w:w="805" w:type="dxa"/>
          </w:tcPr>
          <w:p w14:paraId="723ACF8A" w14:textId="5B4C6667" w:rsidR="00141DB5" w:rsidRPr="00153CB1" w:rsidRDefault="00141DB5" w:rsidP="00141DB5">
            <w:pPr>
              <w:spacing w:before="120" w:after="120"/>
              <w:jc w:val="center"/>
              <w:rPr>
                <w:sz w:val="18"/>
                <w:szCs w:val="18"/>
              </w:rPr>
            </w:pPr>
            <w:r>
              <w:rPr>
                <w:sz w:val="18"/>
                <w:szCs w:val="18"/>
              </w:rPr>
              <w:t>29</w:t>
            </w:r>
            <w:r w:rsidRPr="00141DB5">
              <w:rPr>
                <w:sz w:val="18"/>
                <w:szCs w:val="18"/>
                <w:vertAlign w:val="superscript"/>
              </w:rPr>
              <w:t>th</w:t>
            </w:r>
            <w:r>
              <w:rPr>
                <w:sz w:val="18"/>
                <w:szCs w:val="18"/>
              </w:rPr>
              <w:t xml:space="preserve"> </w:t>
            </w:r>
          </w:p>
        </w:tc>
        <w:tc>
          <w:tcPr>
            <w:tcW w:w="6561" w:type="dxa"/>
          </w:tcPr>
          <w:p w14:paraId="54359918" w14:textId="592E9095" w:rsidR="009A3FC6" w:rsidRDefault="009A3FC6" w:rsidP="00141DB5">
            <w:pPr>
              <w:spacing w:before="120" w:after="120"/>
              <w:rPr>
                <w:sz w:val="18"/>
                <w:szCs w:val="18"/>
              </w:rPr>
            </w:pPr>
            <w:r w:rsidRPr="009A3FC6">
              <w:rPr>
                <w:sz w:val="18"/>
                <w:szCs w:val="18"/>
              </w:rPr>
              <w:t xml:space="preserve">France initiated a classification exercise of some selected manufactured nanomaterials at national level with a possible proposal of a harmonised classification at EU level for one of them. </w:t>
            </w:r>
          </w:p>
          <w:p w14:paraId="5538D2DF" w14:textId="372968DA" w:rsidR="00141DB5" w:rsidRPr="00153CB1" w:rsidRDefault="009A3FC6" w:rsidP="00141DB5">
            <w:pPr>
              <w:spacing w:before="120" w:after="120"/>
              <w:rPr>
                <w:sz w:val="18"/>
                <w:szCs w:val="18"/>
              </w:rPr>
            </w:pPr>
            <w:r w:rsidRPr="009A3FC6">
              <w:rPr>
                <w:sz w:val="18"/>
                <w:szCs w:val="18"/>
              </w:rPr>
              <w:t>The Sub-Committee also noted the update provided by Finland on the classification for environmental hazards made by the group.</w:t>
            </w:r>
            <w:r>
              <w:rPr>
                <w:sz w:val="18"/>
                <w:szCs w:val="18"/>
              </w:rPr>
              <w:t xml:space="preserve"> </w:t>
            </w:r>
          </w:p>
        </w:tc>
        <w:tc>
          <w:tcPr>
            <w:tcW w:w="2263" w:type="dxa"/>
          </w:tcPr>
          <w:p w14:paraId="7FFEAB05" w14:textId="17E14A85" w:rsidR="00141DB5" w:rsidRPr="00153CB1" w:rsidRDefault="00141DB5" w:rsidP="00141DB5">
            <w:pPr>
              <w:spacing w:before="120" w:after="120"/>
              <w:jc w:val="center"/>
              <w:rPr>
                <w:sz w:val="18"/>
                <w:szCs w:val="18"/>
              </w:rPr>
            </w:pPr>
            <w:r w:rsidRPr="00141DB5">
              <w:rPr>
                <w:sz w:val="18"/>
                <w:szCs w:val="18"/>
              </w:rPr>
              <w:t>ST/SG/AC.10/C.4/5</w:t>
            </w:r>
            <w:r>
              <w:rPr>
                <w:sz w:val="18"/>
                <w:szCs w:val="18"/>
              </w:rPr>
              <w:t>8</w:t>
            </w:r>
          </w:p>
        </w:tc>
      </w:tr>
      <w:tr w:rsidR="00141DB5" w:rsidRPr="00153CB1" w14:paraId="7AC017C2" w14:textId="77777777" w:rsidTr="00141DB5">
        <w:tc>
          <w:tcPr>
            <w:tcW w:w="805" w:type="dxa"/>
          </w:tcPr>
          <w:p w14:paraId="6B15AAAC" w14:textId="15E82190" w:rsidR="00141DB5" w:rsidRPr="00153CB1" w:rsidRDefault="00141DB5" w:rsidP="00141DB5">
            <w:pPr>
              <w:spacing w:before="120" w:after="120"/>
              <w:jc w:val="center"/>
              <w:rPr>
                <w:sz w:val="18"/>
                <w:szCs w:val="18"/>
              </w:rPr>
            </w:pPr>
            <w:r>
              <w:rPr>
                <w:sz w:val="18"/>
                <w:szCs w:val="18"/>
              </w:rPr>
              <w:t>30</w:t>
            </w:r>
            <w:r w:rsidRPr="00141DB5">
              <w:rPr>
                <w:sz w:val="18"/>
                <w:szCs w:val="18"/>
                <w:vertAlign w:val="superscript"/>
              </w:rPr>
              <w:t>th</w:t>
            </w:r>
            <w:r>
              <w:rPr>
                <w:sz w:val="18"/>
                <w:szCs w:val="18"/>
              </w:rPr>
              <w:t xml:space="preserve"> </w:t>
            </w:r>
          </w:p>
        </w:tc>
        <w:tc>
          <w:tcPr>
            <w:tcW w:w="6561" w:type="dxa"/>
          </w:tcPr>
          <w:p w14:paraId="06286AB2" w14:textId="77777777" w:rsidR="009A3FC6" w:rsidRDefault="009A3FC6" w:rsidP="00141DB5">
            <w:pPr>
              <w:spacing w:before="120" w:after="120"/>
              <w:rPr>
                <w:sz w:val="18"/>
                <w:szCs w:val="18"/>
              </w:rPr>
            </w:pPr>
            <w:r w:rsidRPr="009A3FC6">
              <w:rPr>
                <w:sz w:val="18"/>
                <w:szCs w:val="18"/>
              </w:rPr>
              <w:t xml:space="preserve">The </w:t>
            </w:r>
            <w:r>
              <w:rPr>
                <w:sz w:val="18"/>
                <w:szCs w:val="18"/>
              </w:rPr>
              <w:t>informal group</w:t>
            </w:r>
            <w:r w:rsidRPr="009A3FC6">
              <w:rPr>
                <w:sz w:val="18"/>
                <w:szCs w:val="18"/>
              </w:rPr>
              <w:t xml:space="preserve"> examined the results of a classification exercise for environmental hazards conducted by Finland using data on carbon nanotubes and titanium dioxide and had considered some issues identified by France relating to testing of nanomaterials for physical hazards, and evaluation of the carcinogenic properties of titanium dioxide. </w:t>
            </w:r>
          </w:p>
          <w:p w14:paraId="348B43AA" w14:textId="393EBEC5" w:rsidR="009A3FC6" w:rsidRDefault="009A3FC6" w:rsidP="00141DB5">
            <w:pPr>
              <w:spacing w:before="120" w:after="120"/>
              <w:rPr>
                <w:sz w:val="18"/>
                <w:szCs w:val="18"/>
              </w:rPr>
            </w:pPr>
            <w:r>
              <w:rPr>
                <w:sz w:val="18"/>
                <w:szCs w:val="18"/>
              </w:rPr>
              <w:t>B</w:t>
            </w:r>
            <w:r w:rsidRPr="009A3FC6">
              <w:rPr>
                <w:sz w:val="18"/>
                <w:szCs w:val="18"/>
              </w:rPr>
              <w:t xml:space="preserve">ased on the work undertaken so far, the group </w:t>
            </w:r>
            <w:r>
              <w:rPr>
                <w:sz w:val="18"/>
                <w:szCs w:val="18"/>
              </w:rPr>
              <w:t>concluded</w:t>
            </w:r>
            <w:r w:rsidRPr="009A3FC6">
              <w:rPr>
                <w:sz w:val="18"/>
                <w:szCs w:val="18"/>
              </w:rPr>
              <w:t xml:space="preserve"> that GHS criteria can be applied to some extent for classification of nanomaterials and that some technical aspects of the classification might need to be addressed to OECD.   </w:t>
            </w:r>
          </w:p>
          <w:p w14:paraId="394169F8" w14:textId="119C4EE4" w:rsidR="00141DB5" w:rsidRPr="00153CB1" w:rsidRDefault="009A3FC6" w:rsidP="00141DB5">
            <w:pPr>
              <w:spacing w:before="120" w:after="120"/>
              <w:rPr>
                <w:sz w:val="18"/>
                <w:szCs w:val="18"/>
              </w:rPr>
            </w:pPr>
            <w:r w:rsidRPr="009A3FC6">
              <w:rPr>
                <w:sz w:val="18"/>
                <w:szCs w:val="18"/>
              </w:rPr>
              <w:t>Regarding the applicability of test methods for physical hazard characterization of nanomaterials, the expert from France indicated that some shortcomings had been identified, such as the need for a minimum particle size to perform some tests or the impossibility to apply the test conditions to nanomaterials.</w:t>
            </w:r>
          </w:p>
        </w:tc>
        <w:tc>
          <w:tcPr>
            <w:tcW w:w="2263" w:type="dxa"/>
          </w:tcPr>
          <w:p w14:paraId="1D8B0EB6" w14:textId="50D173BB" w:rsidR="00141DB5" w:rsidRPr="00141DB5" w:rsidRDefault="009A3FC6" w:rsidP="00141DB5">
            <w:pPr>
              <w:spacing w:before="120" w:after="120"/>
              <w:jc w:val="center"/>
              <w:rPr>
                <w:sz w:val="18"/>
                <w:szCs w:val="18"/>
              </w:rPr>
            </w:pPr>
            <w:r w:rsidRPr="00153CB1">
              <w:rPr>
                <w:sz w:val="18"/>
                <w:szCs w:val="18"/>
              </w:rPr>
              <w:t>UN/SCEGHS/</w:t>
            </w:r>
            <w:r>
              <w:rPr>
                <w:sz w:val="18"/>
                <w:szCs w:val="18"/>
              </w:rPr>
              <w:t>30</w:t>
            </w:r>
            <w:r w:rsidRPr="00153CB1">
              <w:rPr>
                <w:sz w:val="18"/>
                <w:szCs w:val="18"/>
              </w:rPr>
              <w:t>/INF.</w:t>
            </w:r>
            <w:r>
              <w:rPr>
                <w:sz w:val="18"/>
                <w:szCs w:val="18"/>
              </w:rPr>
              <w:t xml:space="preserve">20, </w:t>
            </w:r>
            <w:r w:rsidRPr="00153CB1">
              <w:rPr>
                <w:sz w:val="18"/>
                <w:szCs w:val="18"/>
              </w:rPr>
              <w:t>UN/SCEGHS/</w:t>
            </w:r>
            <w:r>
              <w:rPr>
                <w:sz w:val="18"/>
                <w:szCs w:val="18"/>
              </w:rPr>
              <w:t>30</w:t>
            </w:r>
            <w:r w:rsidRPr="00153CB1">
              <w:rPr>
                <w:sz w:val="18"/>
                <w:szCs w:val="18"/>
              </w:rPr>
              <w:t>/INF.</w:t>
            </w:r>
            <w:r>
              <w:rPr>
                <w:sz w:val="18"/>
                <w:szCs w:val="18"/>
              </w:rPr>
              <w:t xml:space="preserve">30 – issue 14 and </w:t>
            </w:r>
            <w:r w:rsidR="00141DB5" w:rsidRPr="00141DB5">
              <w:rPr>
                <w:sz w:val="18"/>
                <w:szCs w:val="18"/>
              </w:rPr>
              <w:t>ST/SG/AC.10/C.4/</w:t>
            </w:r>
            <w:r w:rsidR="00141DB5">
              <w:rPr>
                <w:sz w:val="18"/>
                <w:szCs w:val="18"/>
              </w:rPr>
              <w:t>60</w:t>
            </w:r>
          </w:p>
        </w:tc>
      </w:tr>
      <w:tr w:rsidR="00141DB5" w:rsidRPr="00153CB1" w14:paraId="12944067" w14:textId="77777777" w:rsidTr="00141DB5">
        <w:tc>
          <w:tcPr>
            <w:tcW w:w="805" w:type="dxa"/>
          </w:tcPr>
          <w:p w14:paraId="5D294EE7" w14:textId="5EC763FD" w:rsidR="00141DB5" w:rsidRPr="00153CB1" w:rsidRDefault="00141DB5" w:rsidP="00141DB5">
            <w:pPr>
              <w:spacing w:before="120" w:after="120"/>
              <w:jc w:val="center"/>
              <w:rPr>
                <w:sz w:val="18"/>
                <w:szCs w:val="18"/>
              </w:rPr>
            </w:pPr>
            <w:r>
              <w:rPr>
                <w:sz w:val="18"/>
                <w:szCs w:val="18"/>
              </w:rPr>
              <w:t>31</w:t>
            </w:r>
            <w:r w:rsidRPr="00141DB5">
              <w:rPr>
                <w:sz w:val="18"/>
                <w:szCs w:val="18"/>
                <w:vertAlign w:val="superscript"/>
              </w:rPr>
              <w:t>st</w:t>
            </w:r>
            <w:r>
              <w:rPr>
                <w:sz w:val="18"/>
                <w:szCs w:val="18"/>
              </w:rPr>
              <w:t xml:space="preserve"> </w:t>
            </w:r>
          </w:p>
        </w:tc>
        <w:tc>
          <w:tcPr>
            <w:tcW w:w="6561" w:type="dxa"/>
          </w:tcPr>
          <w:p w14:paraId="14C4D1BB" w14:textId="3A9FCF03" w:rsidR="00141DB5" w:rsidRPr="00153CB1" w:rsidRDefault="009A3FC6" w:rsidP="00141DB5">
            <w:pPr>
              <w:spacing w:before="120" w:after="120"/>
              <w:rPr>
                <w:sz w:val="18"/>
                <w:szCs w:val="18"/>
              </w:rPr>
            </w:pPr>
            <w:r>
              <w:rPr>
                <w:sz w:val="18"/>
                <w:szCs w:val="18"/>
              </w:rPr>
              <w:t xml:space="preserve">No discussion </w:t>
            </w:r>
          </w:p>
        </w:tc>
        <w:tc>
          <w:tcPr>
            <w:tcW w:w="2263" w:type="dxa"/>
          </w:tcPr>
          <w:p w14:paraId="5DAEB64B" w14:textId="3F8B9249" w:rsidR="00141DB5" w:rsidRPr="00141DB5" w:rsidRDefault="00141DB5" w:rsidP="00141DB5">
            <w:pPr>
              <w:spacing w:before="120" w:after="120"/>
              <w:jc w:val="center"/>
              <w:rPr>
                <w:sz w:val="18"/>
                <w:szCs w:val="18"/>
              </w:rPr>
            </w:pPr>
            <w:r w:rsidRPr="00141DB5">
              <w:rPr>
                <w:sz w:val="18"/>
                <w:szCs w:val="18"/>
              </w:rPr>
              <w:t>ST/SG/AC.10/C.4/</w:t>
            </w:r>
            <w:r>
              <w:rPr>
                <w:sz w:val="18"/>
                <w:szCs w:val="18"/>
              </w:rPr>
              <w:t>6</w:t>
            </w:r>
            <w:r w:rsidRPr="00141DB5">
              <w:rPr>
                <w:sz w:val="18"/>
                <w:szCs w:val="18"/>
              </w:rPr>
              <w:t>2</w:t>
            </w:r>
          </w:p>
        </w:tc>
      </w:tr>
      <w:tr w:rsidR="00141DB5" w:rsidRPr="00153CB1" w14:paraId="14283011" w14:textId="7EF74219" w:rsidTr="00141DB5">
        <w:tc>
          <w:tcPr>
            <w:tcW w:w="805" w:type="dxa"/>
          </w:tcPr>
          <w:p w14:paraId="5DC8EA34" w14:textId="12885B65" w:rsidR="00141DB5" w:rsidRPr="00153CB1" w:rsidRDefault="00141DB5" w:rsidP="00141DB5">
            <w:pPr>
              <w:spacing w:before="120" w:after="120"/>
              <w:jc w:val="center"/>
              <w:rPr>
                <w:sz w:val="18"/>
                <w:szCs w:val="18"/>
              </w:rPr>
            </w:pPr>
            <w:r w:rsidRPr="00153CB1">
              <w:rPr>
                <w:sz w:val="18"/>
                <w:szCs w:val="18"/>
              </w:rPr>
              <w:t>32</w:t>
            </w:r>
            <w:r w:rsidRPr="00153CB1">
              <w:rPr>
                <w:sz w:val="18"/>
                <w:szCs w:val="18"/>
                <w:vertAlign w:val="superscript"/>
              </w:rPr>
              <w:t>nd</w:t>
            </w:r>
          </w:p>
        </w:tc>
        <w:tc>
          <w:tcPr>
            <w:tcW w:w="6561" w:type="dxa"/>
          </w:tcPr>
          <w:p w14:paraId="1E24CBC9" w14:textId="69164274" w:rsidR="00141DB5" w:rsidRPr="00153CB1" w:rsidRDefault="00141DB5" w:rsidP="00141DB5">
            <w:pPr>
              <w:spacing w:before="120" w:after="120"/>
              <w:rPr>
                <w:sz w:val="18"/>
                <w:szCs w:val="18"/>
              </w:rPr>
            </w:pPr>
            <w:r w:rsidRPr="00153CB1">
              <w:rPr>
                <w:sz w:val="18"/>
                <w:szCs w:val="18"/>
              </w:rPr>
              <w:t xml:space="preserve">The Sub-Committee noted the information on the progress made by the informal correspondence group (ICG) and agreed to the programme of work for the next biennium proposed in paragraph 9 of </w:t>
            </w:r>
            <w:hyperlink r:id="rId13" w:history="1">
              <w:r w:rsidRPr="00153CB1">
                <w:rPr>
                  <w:rStyle w:val="Hyperlink"/>
                  <w:sz w:val="18"/>
                  <w:szCs w:val="18"/>
                </w:rPr>
                <w:t>INF.27 (thirty-second)</w:t>
              </w:r>
            </w:hyperlink>
            <w:r w:rsidRPr="00153CB1">
              <w:rPr>
                <w:sz w:val="18"/>
                <w:szCs w:val="18"/>
              </w:rPr>
              <w:t>; i.e.:</w:t>
            </w:r>
          </w:p>
          <w:p w14:paraId="7C8605E0" w14:textId="4B2DCEB4" w:rsidR="00141DB5" w:rsidRPr="00153CB1" w:rsidRDefault="004266E1" w:rsidP="004266E1">
            <w:pPr>
              <w:pStyle w:val="Default"/>
              <w:spacing w:before="60" w:after="60"/>
              <w:ind w:left="714" w:hanging="357"/>
              <w:rPr>
                <w:sz w:val="18"/>
                <w:szCs w:val="18"/>
              </w:rPr>
            </w:pPr>
            <w:r w:rsidRPr="00153CB1">
              <w:rPr>
                <w:sz w:val="18"/>
                <w:szCs w:val="18"/>
              </w:rPr>
              <w:t>a)</w:t>
            </w:r>
            <w:r w:rsidRPr="00153CB1">
              <w:rPr>
                <w:sz w:val="18"/>
                <w:szCs w:val="18"/>
              </w:rPr>
              <w:tab/>
            </w:r>
            <w:r w:rsidR="00141DB5" w:rsidRPr="00153CB1">
              <w:rPr>
                <w:sz w:val="18"/>
                <w:szCs w:val="18"/>
              </w:rPr>
              <w:t xml:space="preserve">monitoring work concerning classification related issues regarding nanoform materials by other bodies, including the OECD Working party on Manufactured Nanomaterials and other relevant research projects on nanomaterials (worldwide); </w:t>
            </w:r>
          </w:p>
          <w:p w14:paraId="3C9C5C35" w14:textId="69D5D3DE" w:rsidR="00141DB5" w:rsidRPr="00153CB1" w:rsidRDefault="004266E1" w:rsidP="004266E1">
            <w:pPr>
              <w:pStyle w:val="Default"/>
              <w:spacing w:before="60" w:after="60"/>
              <w:ind w:left="714" w:hanging="357"/>
              <w:rPr>
                <w:sz w:val="18"/>
                <w:szCs w:val="18"/>
              </w:rPr>
            </w:pPr>
            <w:r w:rsidRPr="00153CB1">
              <w:rPr>
                <w:sz w:val="18"/>
                <w:szCs w:val="18"/>
              </w:rPr>
              <w:t>b)</w:t>
            </w:r>
            <w:r w:rsidRPr="00153CB1">
              <w:rPr>
                <w:sz w:val="18"/>
                <w:szCs w:val="18"/>
              </w:rPr>
              <w:tab/>
            </w:r>
            <w:r w:rsidR="00141DB5" w:rsidRPr="00153CB1">
              <w:rPr>
                <w:sz w:val="18"/>
                <w:szCs w:val="18"/>
              </w:rPr>
              <w:t xml:space="preserve">discuss which findings are relevant from the viewpoint of classification; </w:t>
            </w:r>
          </w:p>
          <w:p w14:paraId="000FA940" w14:textId="4958AC46" w:rsidR="00141DB5" w:rsidRPr="00153CB1" w:rsidRDefault="004266E1" w:rsidP="004266E1">
            <w:pPr>
              <w:pStyle w:val="ListParagraph"/>
              <w:spacing w:before="60" w:after="60"/>
              <w:ind w:left="714" w:hanging="357"/>
              <w:rPr>
                <w:sz w:val="18"/>
                <w:szCs w:val="18"/>
              </w:rPr>
            </w:pPr>
            <w:r w:rsidRPr="00153CB1">
              <w:rPr>
                <w:sz w:val="18"/>
                <w:szCs w:val="18"/>
              </w:rPr>
              <w:t>c)</w:t>
            </w:r>
            <w:r w:rsidRPr="00153CB1">
              <w:rPr>
                <w:sz w:val="18"/>
                <w:szCs w:val="18"/>
              </w:rPr>
              <w:tab/>
            </w:r>
            <w:r w:rsidR="00141DB5" w:rsidRPr="00153CB1">
              <w:rPr>
                <w:sz w:val="18"/>
                <w:szCs w:val="18"/>
              </w:rPr>
              <w:t>develop a plan how to continue this work after the coming biennium.</w:t>
            </w:r>
          </w:p>
          <w:p w14:paraId="7FCDC5BF" w14:textId="77E17F4E" w:rsidR="00141DB5" w:rsidRPr="00153CB1" w:rsidRDefault="00141DB5" w:rsidP="00141DB5">
            <w:pPr>
              <w:spacing w:before="120" w:after="120"/>
              <w:rPr>
                <w:sz w:val="18"/>
                <w:szCs w:val="18"/>
              </w:rPr>
            </w:pPr>
            <w:r w:rsidRPr="00153CB1">
              <w:rPr>
                <w:sz w:val="18"/>
                <w:szCs w:val="18"/>
              </w:rPr>
              <w:lastRenderedPageBreak/>
              <w:t>The ICG coordinator reiterated his invitation to interested experts to participate in the work of the informal correspondence group.</w:t>
            </w:r>
          </w:p>
        </w:tc>
        <w:tc>
          <w:tcPr>
            <w:tcW w:w="2263" w:type="dxa"/>
          </w:tcPr>
          <w:p w14:paraId="6EAFA9B2" w14:textId="7586AB3C" w:rsidR="00141DB5" w:rsidRPr="00153CB1" w:rsidRDefault="00141DB5" w:rsidP="00141DB5">
            <w:pPr>
              <w:spacing w:before="120" w:after="120"/>
              <w:jc w:val="center"/>
              <w:rPr>
                <w:sz w:val="18"/>
                <w:szCs w:val="18"/>
              </w:rPr>
            </w:pPr>
            <w:r w:rsidRPr="00153CB1">
              <w:rPr>
                <w:sz w:val="18"/>
                <w:szCs w:val="18"/>
              </w:rPr>
              <w:lastRenderedPageBreak/>
              <w:t>UN/SCEGHS/32/INF.27 and ST/SG/AC.10/C.4/64</w:t>
            </w:r>
          </w:p>
        </w:tc>
      </w:tr>
      <w:tr w:rsidR="00141DB5" w:rsidRPr="00153CB1" w14:paraId="6AF64FAA" w14:textId="77777777" w:rsidTr="00141DB5">
        <w:tc>
          <w:tcPr>
            <w:tcW w:w="805" w:type="dxa"/>
          </w:tcPr>
          <w:p w14:paraId="48E3608D" w14:textId="7A1A1719" w:rsidR="00141DB5" w:rsidRPr="00153CB1" w:rsidRDefault="00141DB5" w:rsidP="00141DB5">
            <w:pPr>
              <w:spacing w:before="120" w:after="120"/>
              <w:jc w:val="center"/>
              <w:rPr>
                <w:sz w:val="18"/>
                <w:szCs w:val="18"/>
              </w:rPr>
            </w:pPr>
            <w:r w:rsidRPr="00153CB1">
              <w:rPr>
                <w:sz w:val="18"/>
                <w:szCs w:val="18"/>
              </w:rPr>
              <w:t>33</w:t>
            </w:r>
            <w:r w:rsidRPr="00153CB1">
              <w:rPr>
                <w:sz w:val="18"/>
                <w:szCs w:val="18"/>
                <w:vertAlign w:val="superscript"/>
              </w:rPr>
              <w:t>rd</w:t>
            </w:r>
          </w:p>
        </w:tc>
        <w:tc>
          <w:tcPr>
            <w:tcW w:w="6561" w:type="dxa"/>
          </w:tcPr>
          <w:p w14:paraId="55FBD1FF" w14:textId="1391A2D7" w:rsidR="00141DB5" w:rsidRPr="00153CB1" w:rsidRDefault="00141DB5" w:rsidP="00141DB5">
            <w:pPr>
              <w:spacing w:before="120" w:after="120"/>
              <w:rPr>
                <w:sz w:val="18"/>
                <w:szCs w:val="18"/>
              </w:rPr>
            </w:pPr>
            <w:r w:rsidRPr="00153CB1">
              <w:rPr>
                <w:sz w:val="18"/>
                <w:szCs w:val="18"/>
              </w:rPr>
              <w:t>No discussion took place</w:t>
            </w:r>
          </w:p>
        </w:tc>
        <w:tc>
          <w:tcPr>
            <w:tcW w:w="2263" w:type="dxa"/>
          </w:tcPr>
          <w:p w14:paraId="38B3F622" w14:textId="3F4831EF" w:rsidR="00141DB5" w:rsidRPr="00153CB1" w:rsidRDefault="00141DB5" w:rsidP="00141DB5">
            <w:pPr>
              <w:spacing w:before="120" w:after="120"/>
              <w:jc w:val="center"/>
              <w:rPr>
                <w:sz w:val="18"/>
                <w:szCs w:val="18"/>
              </w:rPr>
            </w:pPr>
            <w:r w:rsidRPr="00153CB1">
              <w:rPr>
                <w:sz w:val="18"/>
                <w:szCs w:val="18"/>
              </w:rPr>
              <w:t>ST/SG/AC.10/C.4/66</w:t>
            </w:r>
          </w:p>
        </w:tc>
      </w:tr>
      <w:tr w:rsidR="00141DB5" w:rsidRPr="00153CB1" w14:paraId="2A4AF522" w14:textId="640E122A" w:rsidTr="00141DB5">
        <w:tc>
          <w:tcPr>
            <w:tcW w:w="805" w:type="dxa"/>
          </w:tcPr>
          <w:p w14:paraId="64C8C36E" w14:textId="5A3FB6B0" w:rsidR="00141DB5" w:rsidRPr="00153CB1" w:rsidRDefault="00141DB5" w:rsidP="00141DB5">
            <w:pPr>
              <w:spacing w:before="120" w:after="120"/>
              <w:jc w:val="center"/>
              <w:rPr>
                <w:sz w:val="18"/>
                <w:szCs w:val="18"/>
              </w:rPr>
            </w:pPr>
            <w:r w:rsidRPr="00153CB1">
              <w:rPr>
                <w:sz w:val="18"/>
                <w:szCs w:val="18"/>
              </w:rPr>
              <w:t>34</w:t>
            </w:r>
            <w:r w:rsidRPr="00153CB1">
              <w:rPr>
                <w:sz w:val="18"/>
                <w:szCs w:val="18"/>
                <w:vertAlign w:val="superscript"/>
              </w:rPr>
              <w:t>th</w:t>
            </w:r>
            <w:r w:rsidRPr="00153CB1">
              <w:rPr>
                <w:sz w:val="18"/>
                <w:szCs w:val="18"/>
              </w:rPr>
              <w:t xml:space="preserve"> </w:t>
            </w:r>
          </w:p>
        </w:tc>
        <w:tc>
          <w:tcPr>
            <w:tcW w:w="6561" w:type="dxa"/>
          </w:tcPr>
          <w:p w14:paraId="04FE4934" w14:textId="68040084" w:rsidR="00141DB5" w:rsidRPr="00153CB1" w:rsidRDefault="00141DB5" w:rsidP="00141DB5">
            <w:pPr>
              <w:spacing w:before="120" w:after="120"/>
              <w:rPr>
                <w:sz w:val="18"/>
                <w:szCs w:val="18"/>
              </w:rPr>
            </w:pPr>
            <w:r w:rsidRPr="00153CB1">
              <w:rPr>
                <w:sz w:val="18"/>
                <w:szCs w:val="18"/>
              </w:rPr>
              <w:t xml:space="preserve">The Sub-Committee noted that the ICG was following the progress of the work on safety of nanomaterials undertaken by the OECD and ECHA and that it intended to build on these outcomes to consider the applicability of GHS to such substances.  </w:t>
            </w:r>
          </w:p>
        </w:tc>
        <w:tc>
          <w:tcPr>
            <w:tcW w:w="2263" w:type="dxa"/>
          </w:tcPr>
          <w:p w14:paraId="0ADBC2E2" w14:textId="1E9B254B" w:rsidR="00141DB5" w:rsidRPr="00153CB1" w:rsidRDefault="00141DB5" w:rsidP="00141DB5">
            <w:pPr>
              <w:spacing w:before="120" w:after="120"/>
              <w:jc w:val="center"/>
              <w:rPr>
                <w:sz w:val="18"/>
                <w:szCs w:val="18"/>
              </w:rPr>
            </w:pPr>
            <w:r w:rsidRPr="00153CB1">
              <w:rPr>
                <w:sz w:val="18"/>
                <w:szCs w:val="18"/>
              </w:rPr>
              <w:t>ST/SG/AC.10/C.4/68</w:t>
            </w:r>
          </w:p>
        </w:tc>
      </w:tr>
      <w:tr w:rsidR="00141DB5" w:rsidRPr="00153CB1" w14:paraId="3CABA1F3" w14:textId="77777777" w:rsidTr="00141DB5">
        <w:tc>
          <w:tcPr>
            <w:tcW w:w="805" w:type="dxa"/>
          </w:tcPr>
          <w:p w14:paraId="0E335FA0" w14:textId="4D81F544" w:rsidR="00141DB5" w:rsidRPr="00153CB1" w:rsidRDefault="00141DB5" w:rsidP="00141DB5">
            <w:pPr>
              <w:spacing w:before="120" w:after="120"/>
              <w:jc w:val="center"/>
              <w:rPr>
                <w:sz w:val="18"/>
                <w:szCs w:val="18"/>
              </w:rPr>
            </w:pPr>
            <w:r w:rsidRPr="00153CB1">
              <w:rPr>
                <w:sz w:val="18"/>
                <w:szCs w:val="18"/>
              </w:rPr>
              <w:t>35</w:t>
            </w:r>
            <w:r w:rsidRPr="00153CB1">
              <w:rPr>
                <w:sz w:val="18"/>
                <w:szCs w:val="18"/>
                <w:vertAlign w:val="superscript"/>
              </w:rPr>
              <w:t>th</w:t>
            </w:r>
            <w:r w:rsidRPr="00153CB1">
              <w:rPr>
                <w:sz w:val="18"/>
                <w:szCs w:val="18"/>
              </w:rPr>
              <w:t xml:space="preserve"> </w:t>
            </w:r>
          </w:p>
        </w:tc>
        <w:tc>
          <w:tcPr>
            <w:tcW w:w="6561" w:type="dxa"/>
          </w:tcPr>
          <w:p w14:paraId="63E83758" w14:textId="6247048C" w:rsidR="00141DB5" w:rsidRPr="00153CB1" w:rsidRDefault="00141DB5" w:rsidP="00141DB5">
            <w:pPr>
              <w:spacing w:before="120" w:after="120"/>
              <w:rPr>
                <w:sz w:val="18"/>
                <w:szCs w:val="18"/>
              </w:rPr>
            </w:pPr>
            <w:r w:rsidRPr="00153CB1">
              <w:rPr>
                <w:sz w:val="18"/>
                <w:szCs w:val="18"/>
              </w:rPr>
              <w:t>No discussion took place</w:t>
            </w:r>
          </w:p>
        </w:tc>
        <w:tc>
          <w:tcPr>
            <w:tcW w:w="2263" w:type="dxa"/>
          </w:tcPr>
          <w:p w14:paraId="5EA009FA" w14:textId="79CB02C1" w:rsidR="00141DB5" w:rsidRPr="00153CB1" w:rsidRDefault="00141DB5" w:rsidP="00141DB5">
            <w:pPr>
              <w:spacing w:before="120" w:after="120"/>
              <w:jc w:val="center"/>
              <w:rPr>
                <w:sz w:val="18"/>
                <w:szCs w:val="18"/>
              </w:rPr>
            </w:pPr>
            <w:r w:rsidRPr="00153CB1">
              <w:rPr>
                <w:sz w:val="18"/>
                <w:szCs w:val="18"/>
              </w:rPr>
              <w:t>ST/SG/AC.10/C.4/70</w:t>
            </w:r>
          </w:p>
        </w:tc>
      </w:tr>
      <w:tr w:rsidR="00141DB5" w:rsidRPr="00153CB1" w14:paraId="001C35EA" w14:textId="2BD0019D" w:rsidTr="00141DB5">
        <w:tc>
          <w:tcPr>
            <w:tcW w:w="805" w:type="dxa"/>
          </w:tcPr>
          <w:p w14:paraId="18AAD765" w14:textId="08C2DCCB" w:rsidR="00141DB5" w:rsidRPr="00153CB1" w:rsidRDefault="00141DB5" w:rsidP="00141DB5">
            <w:pPr>
              <w:spacing w:before="120" w:after="120"/>
              <w:jc w:val="center"/>
              <w:rPr>
                <w:sz w:val="18"/>
                <w:szCs w:val="18"/>
              </w:rPr>
            </w:pPr>
            <w:r w:rsidRPr="00153CB1">
              <w:rPr>
                <w:sz w:val="18"/>
                <w:szCs w:val="18"/>
              </w:rPr>
              <w:t>36</w:t>
            </w:r>
            <w:r w:rsidRPr="00153CB1">
              <w:rPr>
                <w:sz w:val="18"/>
                <w:szCs w:val="18"/>
                <w:vertAlign w:val="superscript"/>
              </w:rPr>
              <w:t>th</w:t>
            </w:r>
            <w:r w:rsidRPr="00153CB1">
              <w:rPr>
                <w:sz w:val="18"/>
                <w:szCs w:val="18"/>
              </w:rPr>
              <w:t xml:space="preserve"> </w:t>
            </w:r>
          </w:p>
        </w:tc>
        <w:tc>
          <w:tcPr>
            <w:tcW w:w="6561" w:type="dxa"/>
          </w:tcPr>
          <w:p w14:paraId="06BD990E" w14:textId="4216F492" w:rsidR="00141DB5" w:rsidRPr="00153CB1" w:rsidRDefault="00195B15" w:rsidP="00141DB5">
            <w:pPr>
              <w:spacing w:before="120" w:after="120"/>
              <w:rPr>
                <w:sz w:val="18"/>
                <w:szCs w:val="18"/>
              </w:rPr>
            </w:pPr>
            <w:hyperlink r:id="rId14" w:history="1">
              <w:r w:rsidR="00141DB5" w:rsidRPr="00153CB1">
                <w:rPr>
                  <w:rStyle w:val="Hyperlink"/>
                  <w:sz w:val="18"/>
                  <w:szCs w:val="18"/>
                </w:rPr>
                <w:t>INF.35 (thirty-sixth session)</w:t>
              </w:r>
            </w:hyperlink>
            <w:r w:rsidR="00141DB5" w:rsidRPr="00153CB1">
              <w:rPr>
                <w:sz w:val="18"/>
                <w:szCs w:val="18"/>
              </w:rPr>
              <w:t xml:space="preserve"> informed the Sub-Committee about ongoing work on nanomaterials at OECD level and under the Nordic Chemical Group. </w:t>
            </w:r>
          </w:p>
          <w:p w14:paraId="6D160073" w14:textId="08643122" w:rsidR="00141DB5" w:rsidRPr="00153CB1" w:rsidRDefault="00141DB5" w:rsidP="00141DB5">
            <w:pPr>
              <w:spacing w:before="120" w:after="120"/>
              <w:rPr>
                <w:sz w:val="18"/>
                <w:szCs w:val="18"/>
              </w:rPr>
            </w:pPr>
            <w:r w:rsidRPr="00153CB1">
              <w:rPr>
                <w:sz w:val="18"/>
                <w:szCs w:val="18"/>
              </w:rPr>
              <w:t>The Sub-Committee noted the information and agreed to keep this item in the programme of work for the next biennium with the current terms of reference (see annex II).</w:t>
            </w:r>
          </w:p>
        </w:tc>
        <w:tc>
          <w:tcPr>
            <w:tcW w:w="2263" w:type="dxa"/>
          </w:tcPr>
          <w:p w14:paraId="65DAAFA3" w14:textId="03AD19F2" w:rsidR="00141DB5" w:rsidRPr="00153CB1" w:rsidRDefault="00141DB5" w:rsidP="00141DB5">
            <w:pPr>
              <w:spacing w:before="120" w:after="120"/>
              <w:jc w:val="center"/>
              <w:rPr>
                <w:sz w:val="18"/>
                <w:szCs w:val="18"/>
              </w:rPr>
            </w:pPr>
            <w:r w:rsidRPr="00153CB1">
              <w:rPr>
                <w:sz w:val="18"/>
                <w:szCs w:val="18"/>
              </w:rPr>
              <w:t>UN/SCEGHS/36/INF.35 and ST/SG/AC.10/C.4/72</w:t>
            </w:r>
          </w:p>
        </w:tc>
      </w:tr>
      <w:tr w:rsidR="00141DB5" w:rsidRPr="00153CB1" w14:paraId="6ADF013E" w14:textId="1190E49F" w:rsidTr="00141DB5">
        <w:tc>
          <w:tcPr>
            <w:tcW w:w="805" w:type="dxa"/>
          </w:tcPr>
          <w:p w14:paraId="554D087B" w14:textId="0887A44E" w:rsidR="00141DB5" w:rsidRPr="00153CB1" w:rsidRDefault="00141DB5" w:rsidP="00141DB5">
            <w:pPr>
              <w:spacing w:before="120" w:after="120"/>
              <w:jc w:val="center"/>
              <w:rPr>
                <w:sz w:val="18"/>
                <w:szCs w:val="18"/>
              </w:rPr>
            </w:pPr>
            <w:r w:rsidRPr="00153CB1">
              <w:rPr>
                <w:sz w:val="18"/>
                <w:szCs w:val="18"/>
              </w:rPr>
              <w:t>37</w:t>
            </w:r>
            <w:r w:rsidRPr="00153CB1">
              <w:rPr>
                <w:sz w:val="18"/>
                <w:szCs w:val="18"/>
                <w:vertAlign w:val="superscript"/>
              </w:rPr>
              <w:t>th</w:t>
            </w:r>
            <w:r w:rsidRPr="00153CB1">
              <w:rPr>
                <w:sz w:val="18"/>
                <w:szCs w:val="18"/>
              </w:rPr>
              <w:t xml:space="preserve"> </w:t>
            </w:r>
          </w:p>
        </w:tc>
        <w:tc>
          <w:tcPr>
            <w:tcW w:w="6561" w:type="dxa"/>
          </w:tcPr>
          <w:p w14:paraId="1F44A3A7" w14:textId="77777777" w:rsidR="00141DB5" w:rsidRPr="00153CB1" w:rsidRDefault="00195B15" w:rsidP="00141DB5">
            <w:pPr>
              <w:spacing w:before="120" w:after="120"/>
              <w:rPr>
                <w:sz w:val="18"/>
                <w:szCs w:val="18"/>
              </w:rPr>
            </w:pPr>
            <w:hyperlink r:id="rId15" w:history="1">
              <w:r w:rsidR="00141DB5" w:rsidRPr="00153CB1">
                <w:rPr>
                  <w:rStyle w:val="Hyperlink"/>
                  <w:sz w:val="18"/>
                  <w:szCs w:val="18"/>
                </w:rPr>
                <w:t>INF.11 (thirty-seventh session)</w:t>
              </w:r>
            </w:hyperlink>
            <w:r w:rsidR="00141DB5" w:rsidRPr="00153CB1">
              <w:rPr>
                <w:sz w:val="18"/>
                <w:szCs w:val="18"/>
              </w:rPr>
              <w:t xml:space="preserve"> informed the GHS Sub-Committee on the completion of the project by the Nordic Chemical Group on the applicability of GHS criteria to four selected manufactured nanomaterials (single-walled carbon nano tubes, nano silicon dioxide, nano silver and nano zinc oxide) for the hazard classes listed in paragraph 3. The expert from Sweden briefly presented the main conclusions of the study</w:t>
            </w:r>
            <w:r w:rsidR="00141DB5" w:rsidRPr="00153CB1">
              <w:rPr>
                <w:rStyle w:val="FootnoteReference"/>
                <w:szCs w:val="18"/>
              </w:rPr>
              <w:footnoteReference w:id="12"/>
            </w:r>
            <w:r w:rsidR="00141DB5" w:rsidRPr="00153CB1">
              <w:rPr>
                <w:sz w:val="18"/>
                <w:szCs w:val="18"/>
              </w:rPr>
              <w:t xml:space="preserve">.  </w:t>
            </w:r>
          </w:p>
          <w:p w14:paraId="074B328D" w14:textId="6C309803" w:rsidR="00141DB5" w:rsidRPr="00153CB1" w:rsidRDefault="00141DB5" w:rsidP="00141DB5">
            <w:pPr>
              <w:spacing w:before="120" w:after="120"/>
              <w:rPr>
                <w:sz w:val="18"/>
                <w:szCs w:val="18"/>
              </w:rPr>
            </w:pPr>
            <w:r w:rsidRPr="00153CB1">
              <w:rPr>
                <w:sz w:val="18"/>
                <w:szCs w:val="18"/>
              </w:rPr>
              <w:t>The Sub-Committee thanked the Nordic classification group for the work done, which provides useful information on classification of nanomaterials.</w:t>
            </w:r>
          </w:p>
        </w:tc>
        <w:tc>
          <w:tcPr>
            <w:tcW w:w="2263" w:type="dxa"/>
          </w:tcPr>
          <w:p w14:paraId="7E9F6A85" w14:textId="17B3A34C" w:rsidR="00141DB5" w:rsidRPr="00153CB1" w:rsidRDefault="00141DB5" w:rsidP="00141DB5">
            <w:pPr>
              <w:spacing w:before="120" w:after="120"/>
              <w:jc w:val="center"/>
              <w:rPr>
                <w:sz w:val="18"/>
                <w:szCs w:val="18"/>
              </w:rPr>
            </w:pPr>
            <w:r w:rsidRPr="00153CB1">
              <w:rPr>
                <w:sz w:val="18"/>
                <w:szCs w:val="18"/>
              </w:rPr>
              <w:t>UN/SCEGHS/37/INF.11 and ST/SG/AC.10/C.4/74</w:t>
            </w:r>
          </w:p>
        </w:tc>
      </w:tr>
      <w:tr w:rsidR="00141DB5" w:rsidRPr="00153CB1" w14:paraId="652FB3FD" w14:textId="44C66A73" w:rsidTr="00141DB5">
        <w:tc>
          <w:tcPr>
            <w:tcW w:w="805" w:type="dxa"/>
          </w:tcPr>
          <w:p w14:paraId="083FA64E" w14:textId="626B9DC5" w:rsidR="00141DB5" w:rsidRPr="00153CB1" w:rsidRDefault="00141DB5" w:rsidP="00141DB5">
            <w:pPr>
              <w:spacing w:before="120" w:after="120"/>
              <w:jc w:val="center"/>
              <w:rPr>
                <w:sz w:val="18"/>
                <w:szCs w:val="18"/>
              </w:rPr>
            </w:pPr>
            <w:r w:rsidRPr="00153CB1">
              <w:rPr>
                <w:sz w:val="18"/>
                <w:szCs w:val="18"/>
              </w:rPr>
              <w:t>38</w:t>
            </w:r>
            <w:r w:rsidRPr="00153CB1">
              <w:rPr>
                <w:sz w:val="18"/>
                <w:szCs w:val="18"/>
                <w:vertAlign w:val="superscript"/>
              </w:rPr>
              <w:t>th</w:t>
            </w:r>
            <w:r w:rsidRPr="00153CB1">
              <w:rPr>
                <w:sz w:val="18"/>
                <w:szCs w:val="18"/>
              </w:rPr>
              <w:t xml:space="preserve"> </w:t>
            </w:r>
          </w:p>
        </w:tc>
        <w:tc>
          <w:tcPr>
            <w:tcW w:w="6561" w:type="dxa"/>
          </w:tcPr>
          <w:p w14:paraId="0CDBBEB4" w14:textId="140F399E" w:rsidR="00141DB5" w:rsidRPr="00153CB1" w:rsidRDefault="00141DB5" w:rsidP="00141DB5">
            <w:pPr>
              <w:spacing w:before="120" w:after="120"/>
              <w:rPr>
                <w:sz w:val="18"/>
                <w:szCs w:val="18"/>
              </w:rPr>
            </w:pPr>
            <w:r w:rsidRPr="00153CB1">
              <w:rPr>
                <w:sz w:val="18"/>
                <w:szCs w:val="18"/>
              </w:rPr>
              <w:t>No progress due to leader country no longer in a position to continue leading</w:t>
            </w:r>
          </w:p>
        </w:tc>
        <w:tc>
          <w:tcPr>
            <w:tcW w:w="2263" w:type="dxa"/>
          </w:tcPr>
          <w:p w14:paraId="0AEE9A9E" w14:textId="3AE730F1" w:rsidR="00141DB5" w:rsidRPr="00153CB1" w:rsidRDefault="00141DB5" w:rsidP="00141DB5">
            <w:pPr>
              <w:spacing w:before="120" w:after="120"/>
              <w:jc w:val="center"/>
              <w:rPr>
                <w:sz w:val="18"/>
                <w:szCs w:val="18"/>
              </w:rPr>
            </w:pPr>
            <w:r w:rsidRPr="00153CB1">
              <w:rPr>
                <w:sz w:val="18"/>
                <w:szCs w:val="18"/>
              </w:rPr>
              <w:t>ST/SG/AC.10/C.4/76</w:t>
            </w:r>
          </w:p>
        </w:tc>
      </w:tr>
      <w:tr w:rsidR="00141DB5" w:rsidRPr="00153CB1" w14:paraId="7045C6C1" w14:textId="77777777" w:rsidTr="00141DB5">
        <w:tc>
          <w:tcPr>
            <w:tcW w:w="805" w:type="dxa"/>
          </w:tcPr>
          <w:p w14:paraId="492195DA" w14:textId="279EA22A" w:rsidR="00141DB5" w:rsidRPr="00153CB1" w:rsidRDefault="00141DB5" w:rsidP="00141DB5">
            <w:pPr>
              <w:spacing w:before="120" w:after="120"/>
              <w:jc w:val="center"/>
              <w:rPr>
                <w:sz w:val="18"/>
                <w:szCs w:val="18"/>
              </w:rPr>
            </w:pPr>
            <w:r w:rsidRPr="00153CB1">
              <w:rPr>
                <w:sz w:val="18"/>
                <w:szCs w:val="18"/>
              </w:rPr>
              <w:t>39</w:t>
            </w:r>
            <w:r w:rsidRPr="00153CB1">
              <w:rPr>
                <w:sz w:val="18"/>
                <w:szCs w:val="18"/>
                <w:vertAlign w:val="superscript"/>
              </w:rPr>
              <w:t>th</w:t>
            </w:r>
          </w:p>
        </w:tc>
        <w:tc>
          <w:tcPr>
            <w:tcW w:w="6561" w:type="dxa"/>
          </w:tcPr>
          <w:p w14:paraId="287EB120" w14:textId="2746FB30" w:rsidR="00141DB5" w:rsidRPr="00153CB1" w:rsidRDefault="00141DB5" w:rsidP="00141DB5">
            <w:pPr>
              <w:spacing w:before="120" w:after="120"/>
              <w:rPr>
                <w:sz w:val="18"/>
                <w:szCs w:val="18"/>
              </w:rPr>
            </w:pPr>
            <w:r w:rsidRPr="00153CB1">
              <w:rPr>
                <w:sz w:val="18"/>
                <w:szCs w:val="18"/>
              </w:rPr>
              <w:t>The Sub-Committee decided to keep the item on nanomaterials on its programme of work for 2021-2022.</w:t>
            </w:r>
          </w:p>
        </w:tc>
        <w:tc>
          <w:tcPr>
            <w:tcW w:w="2263" w:type="dxa"/>
          </w:tcPr>
          <w:p w14:paraId="1F5DE5CE" w14:textId="7E113E2B" w:rsidR="00141DB5" w:rsidRPr="00153CB1" w:rsidRDefault="00141DB5" w:rsidP="00141DB5">
            <w:pPr>
              <w:spacing w:before="120" w:after="120"/>
              <w:jc w:val="center"/>
              <w:rPr>
                <w:sz w:val="18"/>
                <w:szCs w:val="18"/>
              </w:rPr>
            </w:pPr>
            <w:r w:rsidRPr="00153CB1">
              <w:rPr>
                <w:sz w:val="18"/>
                <w:szCs w:val="18"/>
              </w:rPr>
              <w:t>ST/SG/AC.10/C.4/78</w:t>
            </w:r>
          </w:p>
        </w:tc>
      </w:tr>
    </w:tbl>
    <w:p w14:paraId="23394CA0" w14:textId="72E926FA" w:rsidR="001158D2" w:rsidRDefault="00E057A8" w:rsidP="005F45E6">
      <w:pPr>
        <w:spacing w:before="240"/>
      </w:pPr>
      <w:r>
        <w:t xml:space="preserve">Reports of the above-mentioned GHS Sub-Committee sessions are available at </w:t>
      </w:r>
      <w:hyperlink r:id="rId16" w:history="1">
        <w:r w:rsidRPr="00B1304E">
          <w:rPr>
            <w:rStyle w:val="Hyperlink"/>
          </w:rPr>
          <w:t>https://unece.org/reports-33</w:t>
        </w:r>
      </w:hyperlink>
      <w:r>
        <w:t xml:space="preserve"> </w:t>
      </w:r>
    </w:p>
    <w:p w14:paraId="75893F1A" w14:textId="3BB8A583" w:rsidR="00153CB1" w:rsidRPr="005F45E6" w:rsidRDefault="00153CB1" w:rsidP="00153CB1">
      <w:pPr>
        <w:spacing w:before="240"/>
        <w:jc w:val="center"/>
      </w:pPr>
      <w:r>
        <w:t>_________________</w:t>
      </w:r>
    </w:p>
    <w:sectPr w:rsidR="00153CB1" w:rsidRPr="005F45E6" w:rsidSect="005A4BB8">
      <w:headerReference w:type="even" r:id="rId17"/>
      <w:headerReference w:type="default" r:id="rId18"/>
      <w:footerReference w:type="even" r:id="rId19"/>
      <w:footerReference w:type="default" r:id="rId20"/>
      <w:endnotePr>
        <w:numFmt w:val="decimal"/>
      </w:endnotePr>
      <w:pgSz w:w="11907" w:h="16840" w:code="9"/>
      <w:pgMar w:top="1701" w:right="1134" w:bottom="1134" w:left="1134" w:header="1134"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0605C" w14:textId="77777777" w:rsidR="00A82A21" w:rsidRDefault="00A82A21" w:rsidP="00164115">
      <w:pPr>
        <w:spacing w:line="240" w:lineRule="auto"/>
      </w:pPr>
      <w:r>
        <w:separator/>
      </w:r>
    </w:p>
  </w:endnote>
  <w:endnote w:type="continuationSeparator" w:id="0">
    <w:p w14:paraId="7C544CBA" w14:textId="77777777" w:rsidR="00A82A21" w:rsidRDefault="00A82A21" w:rsidP="00164115">
      <w:pPr>
        <w:spacing w:line="240" w:lineRule="auto"/>
      </w:pPr>
      <w:r>
        <w:continuationSeparator/>
      </w:r>
    </w:p>
  </w:endnote>
  <w:endnote w:type="continuationNotice" w:id="1">
    <w:p w14:paraId="1982E001" w14:textId="77777777" w:rsidR="00A82A21" w:rsidRDefault="00A82A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DA99" w14:textId="77777777" w:rsidR="006A7757" w:rsidRPr="0099001C" w:rsidRDefault="00FB3B54"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Pr>
        <w:b/>
        <w:noProof/>
        <w:sz w:val="18"/>
      </w:rPr>
      <w:t>6</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5924" w14:textId="0315493F" w:rsidR="006A7757" w:rsidRPr="0099001C" w:rsidRDefault="00FB3B54" w:rsidP="00C91DF5">
    <w:pPr>
      <w:pStyle w:val="Footer"/>
      <w:tabs>
        <w:tab w:val="right" w:pos="9638"/>
      </w:tabs>
      <w:jc w:val="right"/>
      <w:rPr>
        <w:b/>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8C727E">
      <w:rPr>
        <w:b/>
        <w:noProof/>
        <w:sz w:val="18"/>
      </w:rPr>
      <w:t>2</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A0CB6" w14:textId="77777777" w:rsidR="00A82A21" w:rsidRDefault="00A82A21" w:rsidP="00164115">
      <w:pPr>
        <w:spacing w:line="240" w:lineRule="auto"/>
      </w:pPr>
      <w:r>
        <w:separator/>
      </w:r>
    </w:p>
  </w:footnote>
  <w:footnote w:type="continuationSeparator" w:id="0">
    <w:p w14:paraId="31D47820" w14:textId="77777777" w:rsidR="00A82A21" w:rsidRDefault="00A82A21" w:rsidP="00164115">
      <w:pPr>
        <w:spacing w:line="240" w:lineRule="auto"/>
      </w:pPr>
      <w:r>
        <w:continuationSeparator/>
      </w:r>
    </w:p>
  </w:footnote>
  <w:footnote w:type="continuationNotice" w:id="1">
    <w:p w14:paraId="0F877CE9" w14:textId="77777777" w:rsidR="00A82A21" w:rsidRDefault="00A82A21">
      <w:pPr>
        <w:spacing w:line="240" w:lineRule="auto"/>
      </w:pPr>
    </w:p>
  </w:footnote>
  <w:footnote w:id="2">
    <w:p w14:paraId="7CC103C6" w14:textId="19A4B559" w:rsidR="000E7117" w:rsidRPr="000E7117" w:rsidRDefault="005E5E05">
      <w:pPr>
        <w:pStyle w:val="FootnoteText"/>
        <w:rPr>
          <w:lang w:val="en-IE"/>
        </w:rPr>
      </w:pPr>
      <w:r>
        <w:tab/>
      </w:r>
      <w:r w:rsidR="000E7117">
        <w:rPr>
          <w:rStyle w:val="FootnoteReference"/>
        </w:rPr>
        <w:footnoteRef/>
      </w:r>
      <w:r w:rsidR="000E7117">
        <w:t xml:space="preserve"> </w:t>
      </w:r>
      <w:r>
        <w:tab/>
      </w:r>
      <w:r w:rsidR="000E7117">
        <w:t>See A</w:t>
      </w:r>
      <w:r w:rsidR="000E7117" w:rsidRPr="000E7117">
        <w:t>nnex II of document ST/SG/AC.10/C.4/52</w:t>
      </w:r>
      <w:r w:rsidR="004C2E30">
        <w:t xml:space="preserve"> </w:t>
      </w:r>
      <w:hyperlink r:id="rId1" w:history="1">
        <w:r w:rsidR="004C2E30" w:rsidRPr="00FC4C7E">
          <w:rPr>
            <w:rStyle w:val="Hyperlink"/>
          </w:rPr>
          <w:t>https://unece.org/reports-33</w:t>
        </w:r>
      </w:hyperlink>
      <w:r w:rsidR="004C2E30">
        <w:t xml:space="preserve"> </w:t>
      </w:r>
    </w:p>
  </w:footnote>
  <w:footnote w:id="3">
    <w:p w14:paraId="6D5FD4F1" w14:textId="1979C6E6" w:rsidR="002A4962" w:rsidRPr="002A4962" w:rsidRDefault="005E5E05">
      <w:pPr>
        <w:pStyle w:val="FootnoteText"/>
        <w:rPr>
          <w:lang w:val="en-IE"/>
        </w:rPr>
      </w:pPr>
      <w:r>
        <w:tab/>
      </w:r>
      <w:r w:rsidR="002A4962">
        <w:rPr>
          <w:rStyle w:val="FootnoteReference"/>
        </w:rPr>
        <w:footnoteRef/>
      </w:r>
      <w:r w:rsidR="002A4962">
        <w:t xml:space="preserve"> </w:t>
      </w:r>
      <w:r>
        <w:tab/>
      </w:r>
      <w:r w:rsidR="002A4962">
        <w:rPr>
          <w:lang w:val="en-IE"/>
        </w:rPr>
        <w:t>See summary table in Annex I.</w:t>
      </w:r>
    </w:p>
  </w:footnote>
  <w:footnote w:id="4">
    <w:p w14:paraId="568C6267" w14:textId="6F05A919" w:rsidR="00061994" w:rsidRPr="00061994" w:rsidRDefault="005E5E05" w:rsidP="00061994">
      <w:pPr>
        <w:pStyle w:val="FootnoteText"/>
      </w:pPr>
      <w:r>
        <w:tab/>
      </w:r>
      <w:r w:rsidR="00061994">
        <w:rPr>
          <w:rStyle w:val="FootnoteReference"/>
        </w:rPr>
        <w:footnoteRef/>
      </w:r>
      <w:r w:rsidR="00061994">
        <w:t xml:space="preserve"> </w:t>
      </w:r>
      <w:r>
        <w:tab/>
      </w:r>
      <w:r w:rsidR="00061994">
        <w:t xml:space="preserve">European Commission, 2022. Commission Recommendation of 10 June 2022 on the definition of nanomaterial 2022/C 229/01 </w:t>
      </w:r>
      <w:hyperlink r:id="rId2" w:history="1">
        <w:r w:rsidR="00061994" w:rsidRPr="00B1304E">
          <w:rPr>
            <w:rStyle w:val="Hyperlink"/>
          </w:rPr>
          <w:t>https://europa.eu/!BtcQxH</w:t>
        </w:r>
      </w:hyperlink>
    </w:p>
  </w:footnote>
  <w:footnote w:id="5">
    <w:p w14:paraId="3FD1934D" w14:textId="5B44C769" w:rsidR="002C281A" w:rsidRPr="002C281A" w:rsidRDefault="00477C55" w:rsidP="002C281A">
      <w:pPr>
        <w:pStyle w:val="FootnoteText"/>
      </w:pPr>
      <w:r>
        <w:tab/>
      </w:r>
      <w:r w:rsidR="002C281A">
        <w:rPr>
          <w:rStyle w:val="FootnoteReference"/>
        </w:rPr>
        <w:footnoteRef/>
      </w:r>
      <w:r w:rsidR="002C281A">
        <w:t xml:space="preserve"> </w:t>
      </w:r>
      <w:r>
        <w:tab/>
        <w:t>“P</w:t>
      </w:r>
      <w:r w:rsidR="002C281A" w:rsidRPr="002C281A">
        <w:t>article</w:t>
      </w:r>
      <w:r>
        <w:t>”</w:t>
      </w:r>
      <w:r w:rsidR="002C281A" w:rsidRPr="002C281A">
        <w:t xml:space="preserve"> means a minute piece of matter with defined physical boundaries; single molecules are not considered ‘particles’</w:t>
      </w:r>
      <w:r w:rsidR="002C281A">
        <w:t>.</w:t>
      </w:r>
    </w:p>
  </w:footnote>
  <w:footnote w:id="6">
    <w:p w14:paraId="1212B327" w14:textId="1FC18B32" w:rsidR="002C281A" w:rsidRPr="002C281A" w:rsidRDefault="00477C55" w:rsidP="002C281A">
      <w:pPr>
        <w:pStyle w:val="FootnoteText"/>
      </w:pPr>
      <w:r>
        <w:tab/>
      </w:r>
      <w:r w:rsidR="002C281A">
        <w:rPr>
          <w:rStyle w:val="FootnoteReference"/>
        </w:rPr>
        <w:footnoteRef/>
      </w:r>
      <w:r w:rsidR="002C281A">
        <w:t xml:space="preserve"> </w:t>
      </w:r>
      <w:r w:rsidR="002C281A">
        <w:tab/>
      </w:r>
      <w:r>
        <w:t>“A</w:t>
      </w:r>
      <w:r w:rsidR="002C281A">
        <w:t>ggregate</w:t>
      </w:r>
      <w:r>
        <w:t>”</w:t>
      </w:r>
      <w:r w:rsidR="002C281A">
        <w:t xml:space="preserve"> means a particle comprising of strongly bound or fused particles.</w:t>
      </w:r>
    </w:p>
  </w:footnote>
  <w:footnote w:id="7">
    <w:p w14:paraId="680732E7" w14:textId="11E898AD" w:rsidR="002C281A" w:rsidRPr="002C281A" w:rsidRDefault="00477C55" w:rsidP="002C281A">
      <w:pPr>
        <w:pStyle w:val="FootnoteText"/>
      </w:pPr>
      <w:r>
        <w:tab/>
      </w:r>
      <w:r w:rsidR="002C281A">
        <w:rPr>
          <w:rStyle w:val="FootnoteReference"/>
        </w:rPr>
        <w:footnoteRef/>
      </w:r>
      <w:r w:rsidR="002C281A">
        <w:t xml:space="preserve"> </w:t>
      </w:r>
      <w:r w:rsidR="002C281A">
        <w:tab/>
      </w:r>
      <w:r>
        <w:t>“a</w:t>
      </w:r>
      <w:r w:rsidR="002C281A">
        <w:t>gglomerate</w:t>
      </w:r>
      <w:r>
        <w:t>”</w:t>
      </w:r>
      <w:r w:rsidR="002C281A">
        <w:t xml:space="preserve"> means a collection of weakly bound particles or aggregates where the resulting external surface area is similar to the sum of the surface areas of the individual components.</w:t>
      </w:r>
    </w:p>
  </w:footnote>
  <w:footnote w:id="8">
    <w:p w14:paraId="4B9FC7B4" w14:textId="628247CA" w:rsidR="00141DB5" w:rsidRPr="002C281A" w:rsidRDefault="00477C55" w:rsidP="00141DB5">
      <w:pPr>
        <w:pStyle w:val="FootnoteText"/>
      </w:pPr>
      <w:r>
        <w:tab/>
      </w:r>
      <w:r w:rsidR="00141DB5">
        <w:rPr>
          <w:rStyle w:val="FootnoteReference"/>
        </w:rPr>
        <w:footnoteRef/>
      </w:r>
      <w:r w:rsidR="00141DB5">
        <w:t xml:space="preserve"> </w:t>
      </w:r>
      <w:r>
        <w:tab/>
      </w:r>
      <w:r w:rsidR="00141DB5" w:rsidRPr="002C281A">
        <w:t>Regulation (EC) No 1907/2006 of the European Parliament and of the Council of 18 December 2006 concerning the Registration, Evaluation, Authorisation and Restriction of Chemicals (REACH)</w:t>
      </w:r>
      <w:r w:rsidR="00141DB5">
        <w:t xml:space="preserve"> </w:t>
      </w:r>
      <w:hyperlink r:id="rId3" w:history="1">
        <w:r w:rsidR="00141DB5" w:rsidRPr="00B1304E">
          <w:rPr>
            <w:rStyle w:val="Hyperlink"/>
          </w:rPr>
          <w:t>https://europa.eu/!dD9Mhw</w:t>
        </w:r>
      </w:hyperlink>
      <w:r w:rsidR="00141DB5">
        <w:t xml:space="preserve"> </w:t>
      </w:r>
    </w:p>
  </w:footnote>
  <w:footnote w:id="9">
    <w:p w14:paraId="4C7DDC47" w14:textId="63727752" w:rsidR="001401D5" w:rsidRPr="001401D5" w:rsidRDefault="00477C55">
      <w:pPr>
        <w:pStyle w:val="FootnoteText"/>
      </w:pPr>
      <w:r>
        <w:tab/>
      </w:r>
      <w:r w:rsidR="001401D5">
        <w:rPr>
          <w:rStyle w:val="FootnoteReference"/>
        </w:rPr>
        <w:footnoteRef/>
      </w:r>
      <w:r w:rsidR="001401D5">
        <w:t xml:space="preserve"> </w:t>
      </w:r>
      <w:r>
        <w:tab/>
      </w:r>
      <w:r w:rsidR="001401D5">
        <w:t>Included in Annex VI</w:t>
      </w:r>
      <w:r w:rsidR="000A01D3">
        <w:t xml:space="preserve"> as a copy of the definition in the 2011 </w:t>
      </w:r>
      <w:r w:rsidR="006A05B7">
        <w:t>R</w:t>
      </w:r>
      <w:r w:rsidR="000A01D3">
        <w:t xml:space="preserve">ecommendation. </w:t>
      </w:r>
      <w:r w:rsidR="001C7AC5">
        <w:t xml:space="preserve">Revision to update with the new Recommendation is in progress. </w:t>
      </w:r>
    </w:p>
  </w:footnote>
  <w:footnote w:id="10">
    <w:p w14:paraId="0FCDE0F5" w14:textId="1157F3F4" w:rsidR="002C281A" w:rsidRPr="002C281A" w:rsidRDefault="00477C55">
      <w:pPr>
        <w:pStyle w:val="FootnoteText"/>
      </w:pPr>
      <w:r>
        <w:tab/>
      </w:r>
      <w:r w:rsidR="002C281A">
        <w:rPr>
          <w:rStyle w:val="FootnoteReference"/>
        </w:rPr>
        <w:footnoteRef/>
      </w:r>
      <w:r w:rsidR="002C281A">
        <w:t xml:space="preserve"> </w:t>
      </w:r>
      <w:r>
        <w:tab/>
      </w:r>
      <w:r w:rsidR="002C281A" w:rsidRPr="002C281A">
        <w:t>Regulation (EC) No 1272/2008 of the European Parliament and of the Council of 16 December 2008 on classification, labelling and packaging of substances and mixtures</w:t>
      </w:r>
      <w:r w:rsidR="002C281A">
        <w:t xml:space="preserve"> </w:t>
      </w:r>
      <w:hyperlink r:id="rId4" w:history="1">
        <w:r w:rsidR="002C281A" w:rsidRPr="00B1304E">
          <w:rPr>
            <w:rStyle w:val="Hyperlink"/>
          </w:rPr>
          <w:t>https://europa.eu/!9NpmrK</w:t>
        </w:r>
      </w:hyperlink>
      <w:r w:rsidR="002C281A">
        <w:t xml:space="preserve"> </w:t>
      </w:r>
    </w:p>
  </w:footnote>
  <w:footnote w:id="11">
    <w:p w14:paraId="0D3AE0C0" w14:textId="6A78B62A" w:rsidR="00AC5183" w:rsidRPr="00AC5183" w:rsidRDefault="006104EC">
      <w:pPr>
        <w:pStyle w:val="FootnoteText"/>
        <w:rPr>
          <w:lang w:val="en-IE"/>
        </w:rPr>
      </w:pPr>
      <w:r>
        <w:tab/>
      </w:r>
      <w:r w:rsidR="00AC5183">
        <w:rPr>
          <w:rStyle w:val="FootnoteReference"/>
        </w:rPr>
        <w:footnoteRef/>
      </w:r>
      <w:r w:rsidR="00AC5183">
        <w:t xml:space="preserve"> </w:t>
      </w:r>
      <w:r>
        <w:tab/>
      </w:r>
      <w:r w:rsidR="00AC5183" w:rsidRPr="00AC5183">
        <w:t xml:space="preserve">Rauscher, H., Kestens, V., Rasmussen, K., Linsinger, T. and Stefaniak, E., </w:t>
      </w:r>
      <w:hyperlink r:id="rId5" w:history="1">
        <w:r w:rsidR="00AC5183" w:rsidRPr="00061994">
          <w:rPr>
            <w:rStyle w:val="Hyperlink"/>
          </w:rPr>
          <w:t>Guidance on the implementation of the Commission Recommendation 2022/C 229/01 on the definition of nanomaterial</w:t>
        </w:r>
      </w:hyperlink>
      <w:r w:rsidR="00AC5183" w:rsidRPr="00AC5183">
        <w:t>, EUR 31452 EN, Publications Office of the European Union, Luxembourg, 2023, ISBN 978-92-68-01243-7, doi:</w:t>
      </w:r>
      <w:r w:rsidR="00AC5183" w:rsidRPr="00061994">
        <w:t>10.2760/237496</w:t>
      </w:r>
      <w:r w:rsidR="00AC5183" w:rsidRPr="00AC5183">
        <w:t>, JRC132102.</w:t>
      </w:r>
    </w:p>
  </w:footnote>
  <w:footnote w:id="12">
    <w:p w14:paraId="532D81B5" w14:textId="72033060" w:rsidR="00141DB5" w:rsidRPr="005F45E6" w:rsidRDefault="00232234">
      <w:pPr>
        <w:pStyle w:val="FootnoteText"/>
        <w:rPr>
          <w:lang w:val="en-IE"/>
        </w:rPr>
      </w:pPr>
      <w:r>
        <w:tab/>
      </w:r>
      <w:r w:rsidR="00141DB5">
        <w:rPr>
          <w:rStyle w:val="FootnoteReference"/>
        </w:rPr>
        <w:footnoteRef/>
      </w:r>
      <w:r w:rsidR="00141DB5">
        <w:t xml:space="preserve"> </w:t>
      </w:r>
      <w:r>
        <w:tab/>
      </w:r>
      <w:r w:rsidR="00141DB5" w:rsidRPr="005F45E6">
        <w:t>The full report of the project is available on the website of the Nordic Council of Minister</w:t>
      </w:r>
      <w:r w:rsidR="00141DB5">
        <w:t xml:space="preserve"> </w:t>
      </w:r>
      <w:hyperlink r:id="rId6" w:history="1">
        <w:r w:rsidR="00141DB5" w:rsidRPr="00582900">
          <w:rPr>
            <w:rStyle w:val="Hyperlink"/>
          </w:rPr>
          <w:t>http://norden.diva-portal.org/smash/record.jsf?pid=diva2%3A1315194&amp;dswid=295</w:t>
        </w:r>
      </w:hyperlink>
      <w:r w:rsidR="00141DB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DC1D" w14:textId="7A0BEE81" w:rsidR="006A7757" w:rsidRPr="0099001C" w:rsidRDefault="00FB3B54" w:rsidP="00366CA7">
    <w:pPr>
      <w:pStyle w:val="Header"/>
    </w:pPr>
    <w:r w:rsidRPr="00774B07">
      <w:t>UN/SCEGHS/</w:t>
    </w:r>
    <w:r w:rsidR="005A4BB8">
      <w:t>4</w:t>
    </w:r>
    <w:r w:rsidR="004C2E30">
      <w:t>5</w:t>
    </w:r>
    <w:r w:rsidRPr="00774B07">
      <w:t>/INF.</w:t>
    </w:r>
    <w:r w:rsidR="005E5E05">
      <w:t>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3390" w14:textId="412EF6A1" w:rsidR="006A7757" w:rsidRPr="0099001C" w:rsidRDefault="00FB3B54" w:rsidP="00C91DF5">
    <w:pPr>
      <w:pStyle w:val="Header"/>
      <w:jc w:val="right"/>
    </w:pPr>
    <w:r>
      <w:t>UN/SCEGHS/</w:t>
    </w:r>
    <w:r w:rsidR="00677693">
      <w:t>4</w:t>
    </w:r>
    <w:r w:rsidR="004C2E30">
      <w:t>5</w:t>
    </w:r>
    <w:r>
      <w:t>/INF</w:t>
    </w:r>
    <w:r w:rsidR="00A64E59">
      <w:t>.</w:t>
    </w:r>
    <w:r w:rsidR="005E5E05">
      <w:t>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76BFB"/>
    <w:multiLevelType w:val="hybridMultilevel"/>
    <w:tmpl w:val="8A32377A"/>
    <w:lvl w:ilvl="0" w:tplc="416E7194">
      <w:start w:val="1"/>
      <w:numFmt w:val="decimal"/>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 w15:restartNumberingAfterBreak="0">
    <w:nsid w:val="06371204"/>
    <w:multiLevelType w:val="hybridMultilevel"/>
    <w:tmpl w:val="F752B3EC"/>
    <w:lvl w:ilvl="0" w:tplc="07F21EE0">
      <w:start w:val="2"/>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0EDD64CD"/>
    <w:multiLevelType w:val="hybridMultilevel"/>
    <w:tmpl w:val="8A509490"/>
    <w:lvl w:ilvl="0" w:tplc="88DE21FC">
      <w:start w:val="1"/>
      <w:numFmt w:val="decimal"/>
      <w:lvlText w:val="%1."/>
      <w:lvlJc w:val="left"/>
      <w:pPr>
        <w:ind w:left="1710" w:hanging="576"/>
      </w:pPr>
      <w:rPr>
        <w:rFonts w:hint="default"/>
      </w:rPr>
    </w:lvl>
    <w:lvl w:ilvl="1" w:tplc="18090019">
      <w:start w:val="1"/>
      <w:numFmt w:val="lowerLetter"/>
      <w:lvlText w:val="%2."/>
      <w:lvlJc w:val="left"/>
      <w:pPr>
        <w:ind w:left="2214" w:hanging="360"/>
      </w:pPr>
    </w:lvl>
    <w:lvl w:ilvl="2" w:tplc="1809001B" w:tentative="1">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4" w15:restartNumberingAfterBreak="0">
    <w:nsid w:val="1ADB6C33"/>
    <w:multiLevelType w:val="hybridMultilevel"/>
    <w:tmpl w:val="F84E5646"/>
    <w:lvl w:ilvl="0" w:tplc="FFFFFFFF">
      <w:start w:val="1"/>
      <w:numFmt w:val="decimal"/>
      <w:lvlText w:val="%1."/>
      <w:lvlJc w:val="left"/>
      <w:pPr>
        <w:ind w:left="1710" w:hanging="576"/>
      </w:pPr>
      <w:rPr>
        <w:rFonts w:hint="default"/>
      </w:rPr>
    </w:lvl>
    <w:lvl w:ilvl="1" w:tplc="FFFFFFFF">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5" w15:restartNumberingAfterBreak="0">
    <w:nsid w:val="22110FCF"/>
    <w:multiLevelType w:val="hybridMultilevel"/>
    <w:tmpl w:val="2842F1EA"/>
    <w:lvl w:ilvl="0" w:tplc="FFFFFFFF">
      <w:start w:val="1"/>
      <w:numFmt w:val="decimal"/>
      <w:lvlText w:val="%1."/>
      <w:lvlJc w:val="left"/>
      <w:pPr>
        <w:ind w:left="1710" w:hanging="576"/>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 w15:restartNumberingAfterBreak="0">
    <w:nsid w:val="22FA0E80"/>
    <w:multiLevelType w:val="hybridMultilevel"/>
    <w:tmpl w:val="1788173C"/>
    <w:lvl w:ilvl="0" w:tplc="91B41E6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34B2323"/>
    <w:multiLevelType w:val="hybridMultilevel"/>
    <w:tmpl w:val="4830AF3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4E06B5E"/>
    <w:multiLevelType w:val="hybridMultilevel"/>
    <w:tmpl w:val="B94C1C20"/>
    <w:lvl w:ilvl="0" w:tplc="FFFFFFFF">
      <w:start w:val="1"/>
      <w:numFmt w:val="decimal"/>
      <w:lvlText w:val="%1."/>
      <w:lvlJc w:val="left"/>
      <w:pPr>
        <w:ind w:left="1710" w:hanging="576"/>
      </w:pPr>
      <w:rPr>
        <w:rFonts w:hint="default"/>
      </w:rPr>
    </w:lvl>
    <w:lvl w:ilvl="1" w:tplc="FFFFFFFF">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9" w15:restartNumberingAfterBreak="0">
    <w:nsid w:val="387348CD"/>
    <w:multiLevelType w:val="hybridMultilevel"/>
    <w:tmpl w:val="DA605064"/>
    <w:lvl w:ilvl="0" w:tplc="9F7490D2">
      <w:start w:val="1"/>
      <w:numFmt w:val="lowerRoman"/>
      <w:lvlText w:val="(%1)"/>
      <w:lvlJc w:val="left"/>
      <w:pPr>
        <w:ind w:left="2988" w:hanging="360"/>
      </w:pPr>
      <w:rPr>
        <w:rFonts w:ascii="Times New Roman" w:eastAsia="Times New Roman" w:hAnsi="Times New Roman" w:cs="Times New Roman"/>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0" w15:restartNumberingAfterBreak="0">
    <w:nsid w:val="3873658C"/>
    <w:multiLevelType w:val="hybridMultilevel"/>
    <w:tmpl w:val="F08E1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5F0C03"/>
    <w:multiLevelType w:val="hybridMultilevel"/>
    <w:tmpl w:val="62A0F9C4"/>
    <w:lvl w:ilvl="0" w:tplc="FFFFFFFF">
      <w:start w:val="1"/>
      <w:numFmt w:val="decimal"/>
      <w:lvlText w:val="%1."/>
      <w:lvlJc w:val="left"/>
      <w:pPr>
        <w:ind w:left="1710" w:hanging="576"/>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2" w15:restartNumberingAfterBreak="0">
    <w:nsid w:val="4DFD36D6"/>
    <w:multiLevelType w:val="hybridMultilevel"/>
    <w:tmpl w:val="9FA29714"/>
    <w:lvl w:ilvl="0" w:tplc="BD9479A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5FD06FC3"/>
    <w:multiLevelType w:val="hybridMultilevel"/>
    <w:tmpl w:val="9E1E6696"/>
    <w:lvl w:ilvl="0" w:tplc="416E7194">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651F124A"/>
    <w:multiLevelType w:val="hybridMultilevel"/>
    <w:tmpl w:val="912817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B1705C"/>
    <w:multiLevelType w:val="hybridMultilevel"/>
    <w:tmpl w:val="9BF218D0"/>
    <w:lvl w:ilvl="0" w:tplc="FDC89878">
      <w:start w:val="1"/>
      <w:numFmt w:val="lowerRoman"/>
      <w:lvlText w:val="(%1)"/>
      <w:lvlJc w:val="left"/>
      <w:pPr>
        <w:ind w:left="525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C900E3"/>
    <w:multiLevelType w:val="multilevel"/>
    <w:tmpl w:val="6468710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78F35588"/>
    <w:multiLevelType w:val="hybridMultilevel"/>
    <w:tmpl w:val="0F080072"/>
    <w:lvl w:ilvl="0" w:tplc="B2F25F5C">
      <w:start w:val="1"/>
      <w:numFmt w:val="lowerRoman"/>
      <w:lvlText w:val="%1."/>
      <w:lvlJc w:val="center"/>
      <w:pPr>
        <w:ind w:left="720" w:hanging="360"/>
      </w:pPr>
      <w:rPr>
        <w:rFonts w:ascii="Times New Roman" w:hAnsi="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1158511">
    <w:abstractNumId w:val="0"/>
  </w:num>
  <w:num w:numId="2" w16cid:durableId="2018998779">
    <w:abstractNumId w:val="15"/>
  </w:num>
  <w:num w:numId="3" w16cid:durableId="2078899127">
    <w:abstractNumId w:val="17"/>
  </w:num>
  <w:num w:numId="4" w16cid:durableId="2914435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3104362">
    <w:abstractNumId w:val="14"/>
  </w:num>
  <w:num w:numId="6" w16cid:durableId="2028947615">
    <w:abstractNumId w:val="16"/>
  </w:num>
  <w:num w:numId="7" w16cid:durableId="383871275">
    <w:abstractNumId w:val="18"/>
  </w:num>
  <w:num w:numId="8" w16cid:durableId="948199891">
    <w:abstractNumId w:val="9"/>
  </w:num>
  <w:num w:numId="9" w16cid:durableId="1682782999">
    <w:abstractNumId w:val="12"/>
  </w:num>
  <w:num w:numId="10" w16cid:durableId="1633243560">
    <w:abstractNumId w:val="2"/>
  </w:num>
  <w:num w:numId="11" w16cid:durableId="500780514">
    <w:abstractNumId w:val="13"/>
  </w:num>
  <w:num w:numId="12" w16cid:durableId="1680084050">
    <w:abstractNumId w:val="1"/>
  </w:num>
  <w:num w:numId="13" w16cid:durableId="1561011933">
    <w:abstractNumId w:val="10"/>
  </w:num>
  <w:num w:numId="14" w16cid:durableId="1892109913">
    <w:abstractNumId w:val="3"/>
  </w:num>
  <w:num w:numId="15" w16cid:durableId="1980071103">
    <w:abstractNumId w:val="5"/>
  </w:num>
  <w:num w:numId="16" w16cid:durableId="1036278617">
    <w:abstractNumId w:val="11"/>
  </w:num>
  <w:num w:numId="17" w16cid:durableId="42995569">
    <w:abstractNumId w:val="7"/>
  </w:num>
  <w:num w:numId="18" w16cid:durableId="279729262">
    <w:abstractNumId w:val="6"/>
  </w:num>
  <w:num w:numId="19" w16cid:durableId="876963675">
    <w:abstractNumId w:val="4"/>
  </w:num>
  <w:num w:numId="20" w16cid:durableId="13778952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720"/>
  <w:hyphenationZone w:val="425"/>
  <w:evenAndOddHeaders/>
  <w:characterSpacingControl w:val="doNotCompress"/>
  <w:hdrShapeDefaults>
    <o:shapedefaults v:ext="edit" spidmax="30721"/>
  </w:hdrShapeDefaults>
  <w:footnotePr>
    <w:footnote w:id="-1"/>
    <w:footnote w:id="0"/>
    <w:footnote w:id="1"/>
  </w:footnotePr>
  <w:endnotePr>
    <w:numFmt w:val="decimal"/>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164115"/>
    <w:rsid w:val="00000F65"/>
    <w:rsid w:val="000047A9"/>
    <w:rsid w:val="000101BE"/>
    <w:rsid w:val="00010C82"/>
    <w:rsid w:val="0001631B"/>
    <w:rsid w:val="00017645"/>
    <w:rsid w:val="000178DC"/>
    <w:rsid w:val="000241D7"/>
    <w:rsid w:val="00026C33"/>
    <w:rsid w:val="000273AA"/>
    <w:rsid w:val="00051298"/>
    <w:rsid w:val="00053E14"/>
    <w:rsid w:val="00060108"/>
    <w:rsid w:val="00061994"/>
    <w:rsid w:val="00067A00"/>
    <w:rsid w:val="00074029"/>
    <w:rsid w:val="00076982"/>
    <w:rsid w:val="000843F3"/>
    <w:rsid w:val="00084D7B"/>
    <w:rsid w:val="00094A51"/>
    <w:rsid w:val="000957E6"/>
    <w:rsid w:val="000A01D3"/>
    <w:rsid w:val="000A6B5A"/>
    <w:rsid w:val="000B20E0"/>
    <w:rsid w:val="000B3A7C"/>
    <w:rsid w:val="000C2057"/>
    <w:rsid w:val="000C3D84"/>
    <w:rsid w:val="000D1812"/>
    <w:rsid w:val="000D55C4"/>
    <w:rsid w:val="000E5D24"/>
    <w:rsid w:val="000E6559"/>
    <w:rsid w:val="000E7117"/>
    <w:rsid w:val="0010159D"/>
    <w:rsid w:val="00101C2A"/>
    <w:rsid w:val="001046BD"/>
    <w:rsid w:val="0011530B"/>
    <w:rsid w:val="001158D2"/>
    <w:rsid w:val="001238FC"/>
    <w:rsid w:val="00137D32"/>
    <w:rsid w:val="001401D5"/>
    <w:rsid w:val="00141DB5"/>
    <w:rsid w:val="001460DF"/>
    <w:rsid w:val="00153CB1"/>
    <w:rsid w:val="00164115"/>
    <w:rsid w:val="00173B5A"/>
    <w:rsid w:val="00180311"/>
    <w:rsid w:val="00186B57"/>
    <w:rsid w:val="00195B15"/>
    <w:rsid w:val="001A3729"/>
    <w:rsid w:val="001A4B5C"/>
    <w:rsid w:val="001B33BB"/>
    <w:rsid w:val="001C7AC5"/>
    <w:rsid w:val="001D20DA"/>
    <w:rsid w:val="001E46D7"/>
    <w:rsid w:val="001F647E"/>
    <w:rsid w:val="00202311"/>
    <w:rsid w:val="002034F6"/>
    <w:rsid w:val="00210226"/>
    <w:rsid w:val="00213675"/>
    <w:rsid w:val="00221F65"/>
    <w:rsid w:val="002254B1"/>
    <w:rsid w:val="00232234"/>
    <w:rsid w:val="002336CA"/>
    <w:rsid w:val="00240730"/>
    <w:rsid w:val="00240FCE"/>
    <w:rsid w:val="00244420"/>
    <w:rsid w:val="00245887"/>
    <w:rsid w:val="00246835"/>
    <w:rsid w:val="0024696D"/>
    <w:rsid w:val="00252D72"/>
    <w:rsid w:val="0026031B"/>
    <w:rsid w:val="00265A17"/>
    <w:rsid w:val="00265C0E"/>
    <w:rsid w:val="00266138"/>
    <w:rsid w:val="00273532"/>
    <w:rsid w:val="00280FCD"/>
    <w:rsid w:val="00285BE7"/>
    <w:rsid w:val="00291834"/>
    <w:rsid w:val="002A4962"/>
    <w:rsid w:val="002C281A"/>
    <w:rsid w:val="002C3720"/>
    <w:rsid w:val="002C572D"/>
    <w:rsid w:val="002D4E22"/>
    <w:rsid w:val="002D6556"/>
    <w:rsid w:val="002E6104"/>
    <w:rsid w:val="002F0835"/>
    <w:rsid w:val="0030227B"/>
    <w:rsid w:val="00325A9B"/>
    <w:rsid w:val="003364BD"/>
    <w:rsid w:val="00351B87"/>
    <w:rsid w:val="00352BB1"/>
    <w:rsid w:val="003560F6"/>
    <w:rsid w:val="003705F8"/>
    <w:rsid w:val="00371197"/>
    <w:rsid w:val="00377C69"/>
    <w:rsid w:val="00377F4E"/>
    <w:rsid w:val="0039733F"/>
    <w:rsid w:val="003A18F9"/>
    <w:rsid w:val="003A5195"/>
    <w:rsid w:val="003B0416"/>
    <w:rsid w:val="003C10AE"/>
    <w:rsid w:val="003C35A9"/>
    <w:rsid w:val="003C6589"/>
    <w:rsid w:val="003D3707"/>
    <w:rsid w:val="003E4637"/>
    <w:rsid w:val="00411520"/>
    <w:rsid w:val="00422995"/>
    <w:rsid w:val="004255A7"/>
    <w:rsid w:val="004266E1"/>
    <w:rsid w:val="00430796"/>
    <w:rsid w:val="00432CBB"/>
    <w:rsid w:val="00452B5D"/>
    <w:rsid w:val="00453CF7"/>
    <w:rsid w:val="00453E49"/>
    <w:rsid w:val="0046076D"/>
    <w:rsid w:val="00462E13"/>
    <w:rsid w:val="0047113E"/>
    <w:rsid w:val="00471DD0"/>
    <w:rsid w:val="00477802"/>
    <w:rsid w:val="00477C55"/>
    <w:rsid w:val="004837DB"/>
    <w:rsid w:val="004838B9"/>
    <w:rsid w:val="004B4FC7"/>
    <w:rsid w:val="004C2E30"/>
    <w:rsid w:val="004C6359"/>
    <w:rsid w:val="004D115D"/>
    <w:rsid w:val="004F0E2A"/>
    <w:rsid w:val="004F2B41"/>
    <w:rsid w:val="004F3674"/>
    <w:rsid w:val="004F5690"/>
    <w:rsid w:val="00507BEE"/>
    <w:rsid w:val="00516D65"/>
    <w:rsid w:val="0052135F"/>
    <w:rsid w:val="00525972"/>
    <w:rsid w:val="005340EA"/>
    <w:rsid w:val="005341D1"/>
    <w:rsid w:val="00540D80"/>
    <w:rsid w:val="00552277"/>
    <w:rsid w:val="00552785"/>
    <w:rsid w:val="005663BA"/>
    <w:rsid w:val="00570F20"/>
    <w:rsid w:val="00575CE1"/>
    <w:rsid w:val="0057627A"/>
    <w:rsid w:val="00577B06"/>
    <w:rsid w:val="00586480"/>
    <w:rsid w:val="00586D03"/>
    <w:rsid w:val="00590111"/>
    <w:rsid w:val="005A3E43"/>
    <w:rsid w:val="005A4BB8"/>
    <w:rsid w:val="005B4DBE"/>
    <w:rsid w:val="005B5F5B"/>
    <w:rsid w:val="005C0411"/>
    <w:rsid w:val="005C2405"/>
    <w:rsid w:val="005C2CE9"/>
    <w:rsid w:val="005C600E"/>
    <w:rsid w:val="005C676A"/>
    <w:rsid w:val="005C6C1F"/>
    <w:rsid w:val="005D383A"/>
    <w:rsid w:val="005E1C09"/>
    <w:rsid w:val="005E402E"/>
    <w:rsid w:val="005E4BC8"/>
    <w:rsid w:val="005E4C08"/>
    <w:rsid w:val="005E5E05"/>
    <w:rsid w:val="005F0ADF"/>
    <w:rsid w:val="005F45E6"/>
    <w:rsid w:val="005F47BB"/>
    <w:rsid w:val="00603A95"/>
    <w:rsid w:val="006104EC"/>
    <w:rsid w:val="00621FFC"/>
    <w:rsid w:val="00631F7C"/>
    <w:rsid w:val="00636D88"/>
    <w:rsid w:val="00642FA8"/>
    <w:rsid w:val="00647A07"/>
    <w:rsid w:val="00650256"/>
    <w:rsid w:val="00650E7B"/>
    <w:rsid w:val="00651A3E"/>
    <w:rsid w:val="00665AE0"/>
    <w:rsid w:val="0067507C"/>
    <w:rsid w:val="00677693"/>
    <w:rsid w:val="00690432"/>
    <w:rsid w:val="00690685"/>
    <w:rsid w:val="006937A2"/>
    <w:rsid w:val="00695656"/>
    <w:rsid w:val="006A05B7"/>
    <w:rsid w:val="006A1118"/>
    <w:rsid w:val="006A45F5"/>
    <w:rsid w:val="006B7C48"/>
    <w:rsid w:val="006C35C3"/>
    <w:rsid w:val="006D4826"/>
    <w:rsid w:val="006E0ED9"/>
    <w:rsid w:val="006E6C53"/>
    <w:rsid w:val="006F1207"/>
    <w:rsid w:val="006F796F"/>
    <w:rsid w:val="00700115"/>
    <w:rsid w:val="0071001B"/>
    <w:rsid w:val="00712F9E"/>
    <w:rsid w:val="00714EB2"/>
    <w:rsid w:val="00720043"/>
    <w:rsid w:val="00722067"/>
    <w:rsid w:val="0072233D"/>
    <w:rsid w:val="00731BB1"/>
    <w:rsid w:val="00746E3E"/>
    <w:rsid w:val="0075369B"/>
    <w:rsid w:val="007548CC"/>
    <w:rsid w:val="00776AFF"/>
    <w:rsid w:val="00777A93"/>
    <w:rsid w:val="0078015A"/>
    <w:rsid w:val="00791FB9"/>
    <w:rsid w:val="007936F3"/>
    <w:rsid w:val="0079650F"/>
    <w:rsid w:val="007A4C5E"/>
    <w:rsid w:val="007B3E78"/>
    <w:rsid w:val="007C2E51"/>
    <w:rsid w:val="007D5F27"/>
    <w:rsid w:val="007E0AED"/>
    <w:rsid w:val="007E2252"/>
    <w:rsid w:val="007E5F66"/>
    <w:rsid w:val="007E797B"/>
    <w:rsid w:val="007F1C42"/>
    <w:rsid w:val="00804912"/>
    <w:rsid w:val="008049DB"/>
    <w:rsid w:val="008057F1"/>
    <w:rsid w:val="00826149"/>
    <w:rsid w:val="008330F8"/>
    <w:rsid w:val="00836280"/>
    <w:rsid w:val="0084448F"/>
    <w:rsid w:val="008523E9"/>
    <w:rsid w:val="008703CA"/>
    <w:rsid w:val="00883FA6"/>
    <w:rsid w:val="008904FF"/>
    <w:rsid w:val="008A28F8"/>
    <w:rsid w:val="008A2F02"/>
    <w:rsid w:val="008B2F28"/>
    <w:rsid w:val="008B5CA6"/>
    <w:rsid w:val="008C0CA5"/>
    <w:rsid w:val="008C727E"/>
    <w:rsid w:val="008C7CE3"/>
    <w:rsid w:val="008D66A4"/>
    <w:rsid w:val="009134E3"/>
    <w:rsid w:val="009216A2"/>
    <w:rsid w:val="00922DBB"/>
    <w:rsid w:val="00924FA7"/>
    <w:rsid w:val="00934FC4"/>
    <w:rsid w:val="00944B48"/>
    <w:rsid w:val="00955AA1"/>
    <w:rsid w:val="00957A78"/>
    <w:rsid w:val="00960684"/>
    <w:rsid w:val="009705A6"/>
    <w:rsid w:val="00975131"/>
    <w:rsid w:val="009808E5"/>
    <w:rsid w:val="00986D59"/>
    <w:rsid w:val="0099466C"/>
    <w:rsid w:val="00994A56"/>
    <w:rsid w:val="009A3FC6"/>
    <w:rsid w:val="009B059B"/>
    <w:rsid w:val="009B21CE"/>
    <w:rsid w:val="009B27B9"/>
    <w:rsid w:val="009C5BE9"/>
    <w:rsid w:val="009C72DB"/>
    <w:rsid w:val="009D2F1E"/>
    <w:rsid w:val="009E1573"/>
    <w:rsid w:val="009F75C6"/>
    <w:rsid w:val="00A00DE2"/>
    <w:rsid w:val="00A04628"/>
    <w:rsid w:val="00A07C5C"/>
    <w:rsid w:val="00A104FE"/>
    <w:rsid w:val="00A11B2F"/>
    <w:rsid w:val="00A13D20"/>
    <w:rsid w:val="00A1536C"/>
    <w:rsid w:val="00A155A1"/>
    <w:rsid w:val="00A17B3D"/>
    <w:rsid w:val="00A244FB"/>
    <w:rsid w:val="00A2562F"/>
    <w:rsid w:val="00A26F89"/>
    <w:rsid w:val="00A317FB"/>
    <w:rsid w:val="00A33995"/>
    <w:rsid w:val="00A35A5B"/>
    <w:rsid w:val="00A37290"/>
    <w:rsid w:val="00A37B0D"/>
    <w:rsid w:val="00A402D3"/>
    <w:rsid w:val="00A42268"/>
    <w:rsid w:val="00A43BB1"/>
    <w:rsid w:val="00A46358"/>
    <w:rsid w:val="00A5736B"/>
    <w:rsid w:val="00A579E8"/>
    <w:rsid w:val="00A64E59"/>
    <w:rsid w:val="00A77DC3"/>
    <w:rsid w:val="00A82A21"/>
    <w:rsid w:val="00A87156"/>
    <w:rsid w:val="00A92473"/>
    <w:rsid w:val="00A94A0F"/>
    <w:rsid w:val="00AA5CA6"/>
    <w:rsid w:val="00AB194D"/>
    <w:rsid w:val="00AB46B2"/>
    <w:rsid w:val="00AB5800"/>
    <w:rsid w:val="00AC2B41"/>
    <w:rsid w:val="00AC4819"/>
    <w:rsid w:val="00AC5183"/>
    <w:rsid w:val="00AC70C0"/>
    <w:rsid w:val="00AE28A5"/>
    <w:rsid w:val="00AE2A67"/>
    <w:rsid w:val="00AE4666"/>
    <w:rsid w:val="00AE61B2"/>
    <w:rsid w:val="00AF6467"/>
    <w:rsid w:val="00B104D9"/>
    <w:rsid w:val="00B11660"/>
    <w:rsid w:val="00B15A36"/>
    <w:rsid w:val="00B16DC0"/>
    <w:rsid w:val="00B17791"/>
    <w:rsid w:val="00B22C58"/>
    <w:rsid w:val="00B2584E"/>
    <w:rsid w:val="00B270CB"/>
    <w:rsid w:val="00B35F7D"/>
    <w:rsid w:val="00B36D9A"/>
    <w:rsid w:val="00B37916"/>
    <w:rsid w:val="00B47FA6"/>
    <w:rsid w:val="00B54FD9"/>
    <w:rsid w:val="00B5694B"/>
    <w:rsid w:val="00B62BC6"/>
    <w:rsid w:val="00B6302E"/>
    <w:rsid w:val="00B63EF3"/>
    <w:rsid w:val="00B64C6E"/>
    <w:rsid w:val="00B651BB"/>
    <w:rsid w:val="00B71E6F"/>
    <w:rsid w:val="00B801B0"/>
    <w:rsid w:val="00B82285"/>
    <w:rsid w:val="00B82EAD"/>
    <w:rsid w:val="00B84C89"/>
    <w:rsid w:val="00B85E6F"/>
    <w:rsid w:val="00B9109A"/>
    <w:rsid w:val="00BA3D77"/>
    <w:rsid w:val="00BA6525"/>
    <w:rsid w:val="00BB01E4"/>
    <w:rsid w:val="00BC10EC"/>
    <w:rsid w:val="00BD270C"/>
    <w:rsid w:val="00BE329F"/>
    <w:rsid w:val="00BE68D4"/>
    <w:rsid w:val="00BF261C"/>
    <w:rsid w:val="00BF6C5F"/>
    <w:rsid w:val="00BF7328"/>
    <w:rsid w:val="00C0729D"/>
    <w:rsid w:val="00C12195"/>
    <w:rsid w:val="00C17B49"/>
    <w:rsid w:val="00C2446B"/>
    <w:rsid w:val="00C37279"/>
    <w:rsid w:val="00C47D66"/>
    <w:rsid w:val="00C554F1"/>
    <w:rsid w:val="00C61E5B"/>
    <w:rsid w:val="00C632FD"/>
    <w:rsid w:val="00C7135D"/>
    <w:rsid w:val="00C7259D"/>
    <w:rsid w:val="00C7459B"/>
    <w:rsid w:val="00C74E96"/>
    <w:rsid w:val="00C81840"/>
    <w:rsid w:val="00C8264B"/>
    <w:rsid w:val="00C83179"/>
    <w:rsid w:val="00C87F32"/>
    <w:rsid w:val="00C90326"/>
    <w:rsid w:val="00C91DF5"/>
    <w:rsid w:val="00C9223E"/>
    <w:rsid w:val="00C96CF5"/>
    <w:rsid w:val="00CA1BEB"/>
    <w:rsid w:val="00CA3B86"/>
    <w:rsid w:val="00CA50D4"/>
    <w:rsid w:val="00CC0152"/>
    <w:rsid w:val="00CD3626"/>
    <w:rsid w:val="00CD45E7"/>
    <w:rsid w:val="00CE7973"/>
    <w:rsid w:val="00CF75BE"/>
    <w:rsid w:val="00D053AD"/>
    <w:rsid w:val="00D054C1"/>
    <w:rsid w:val="00D16F6F"/>
    <w:rsid w:val="00D27368"/>
    <w:rsid w:val="00D34AAC"/>
    <w:rsid w:val="00D434B4"/>
    <w:rsid w:val="00D46054"/>
    <w:rsid w:val="00D5211C"/>
    <w:rsid w:val="00D5234B"/>
    <w:rsid w:val="00D526AE"/>
    <w:rsid w:val="00D622F4"/>
    <w:rsid w:val="00D64011"/>
    <w:rsid w:val="00D64DF9"/>
    <w:rsid w:val="00D6528B"/>
    <w:rsid w:val="00D662E4"/>
    <w:rsid w:val="00D87FE6"/>
    <w:rsid w:val="00D913A1"/>
    <w:rsid w:val="00DA5B57"/>
    <w:rsid w:val="00DA7709"/>
    <w:rsid w:val="00DB3C76"/>
    <w:rsid w:val="00DC27A3"/>
    <w:rsid w:val="00DC5CEE"/>
    <w:rsid w:val="00DD07F6"/>
    <w:rsid w:val="00DD27D4"/>
    <w:rsid w:val="00DE354B"/>
    <w:rsid w:val="00DF00AB"/>
    <w:rsid w:val="00E057A8"/>
    <w:rsid w:val="00E26521"/>
    <w:rsid w:val="00E40B2C"/>
    <w:rsid w:val="00E42DBC"/>
    <w:rsid w:val="00E46FDA"/>
    <w:rsid w:val="00E475F4"/>
    <w:rsid w:val="00E56F9E"/>
    <w:rsid w:val="00E60768"/>
    <w:rsid w:val="00E73A91"/>
    <w:rsid w:val="00E75541"/>
    <w:rsid w:val="00E83DCB"/>
    <w:rsid w:val="00E852AE"/>
    <w:rsid w:val="00E86488"/>
    <w:rsid w:val="00E91F05"/>
    <w:rsid w:val="00E9531C"/>
    <w:rsid w:val="00E95802"/>
    <w:rsid w:val="00EA4BF2"/>
    <w:rsid w:val="00EB4471"/>
    <w:rsid w:val="00EC4C12"/>
    <w:rsid w:val="00EE0601"/>
    <w:rsid w:val="00F1685D"/>
    <w:rsid w:val="00F31A5F"/>
    <w:rsid w:val="00F3258E"/>
    <w:rsid w:val="00F372EC"/>
    <w:rsid w:val="00F40245"/>
    <w:rsid w:val="00F708E9"/>
    <w:rsid w:val="00F75FFC"/>
    <w:rsid w:val="00F814A0"/>
    <w:rsid w:val="00F905E0"/>
    <w:rsid w:val="00FA5492"/>
    <w:rsid w:val="00FB3B54"/>
    <w:rsid w:val="00FC53B1"/>
    <w:rsid w:val="00FC6EEB"/>
    <w:rsid w:val="00FD63D6"/>
    <w:rsid w:val="00FF0BDB"/>
    <w:rsid w:val="00FF22E3"/>
    <w:rsid w:val="00FF36D5"/>
    <w:rsid w:val="00FF69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3C9F398"/>
  <w15:docId w15:val="{5A6F0AE5-A101-4BD3-A072-35BB8D44E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115"/>
    <w:pPr>
      <w:suppressAutoHyphens/>
      <w:spacing w:after="0" w:line="240" w:lineRule="atLeast"/>
    </w:pPr>
    <w:rPr>
      <w:rFonts w:ascii="Times New Roman" w:eastAsia="Times New Roman" w:hAnsi="Times New Roman"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64115"/>
    <w:pPr>
      <w:spacing w:after="120"/>
      <w:ind w:left="1134" w:right="1134"/>
      <w:jc w:val="both"/>
    </w:pPr>
  </w:style>
  <w:style w:type="paragraph" w:customStyle="1" w:styleId="HMG">
    <w:name w:val="_ H __M_G"/>
    <w:basedOn w:val="Normal"/>
    <w:next w:val="Normal"/>
    <w:rsid w:val="0016411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64115"/>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164115"/>
    <w:rPr>
      <w:rFonts w:ascii="Times New Roman" w:hAnsi="Times New Roman"/>
      <w:sz w:val="18"/>
      <w:vertAlign w:val="superscript"/>
    </w:rPr>
  </w:style>
  <w:style w:type="paragraph" w:styleId="Header">
    <w:name w:val="header"/>
    <w:aliases w:val="6_G"/>
    <w:basedOn w:val="Normal"/>
    <w:link w:val="HeaderChar"/>
    <w:rsid w:val="00164115"/>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164115"/>
    <w:rPr>
      <w:rFonts w:ascii="Times New Roman" w:eastAsia="Times New Roman" w:hAnsi="Times New Roman" w:cs="Times New Roman"/>
      <w:b/>
      <w:sz w:val="18"/>
      <w:szCs w:val="20"/>
      <w:lang w:val="en-GB" w:eastAsia="en-US"/>
    </w:rPr>
  </w:style>
  <w:style w:type="paragraph" w:styleId="FootnoteText">
    <w:name w:val="footnote text"/>
    <w:aliases w:val="5_G"/>
    <w:basedOn w:val="Normal"/>
    <w:link w:val="FootnoteTextChar"/>
    <w:uiPriority w:val="99"/>
    <w:rsid w:val="0016411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164115"/>
    <w:rPr>
      <w:rFonts w:ascii="Times New Roman" w:eastAsia="Times New Roman" w:hAnsi="Times New Roman" w:cs="Times New Roman"/>
      <w:sz w:val="18"/>
      <w:szCs w:val="20"/>
      <w:lang w:val="en-GB" w:eastAsia="en-US"/>
    </w:rPr>
  </w:style>
  <w:style w:type="paragraph" w:customStyle="1" w:styleId="Bullet1G">
    <w:name w:val="_Bullet 1_G"/>
    <w:basedOn w:val="Normal"/>
    <w:rsid w:val="00164115"/>
    <w:pPr>
      <w:numPr>
        <w:numId w:val="1"/>
      </w:numPr>
      <w:spacing w:after="120"/>
      <w:ind w:right="1134"/>
      <w:jc w:val="both"/>
    </w:pPr>
  </w:style>
  <w:style w:type="paragraph" w:styleId="Footer">
    <w:name w:val="footer"/>
    <w:aliases w:val="3_G"/>
    <w:basedOn w:val="Normal"/>
    <w:link w:val="FooterChar"/>
    <w:rsid w:val="00164115"/>
    <w:pPr>
      <w:spacing w:line="240" w:lineRule="auto"/>
    </w:pPr>
    <w:rPr>
      <w:sz w:val="16"/>
    </w:rPr>
  </w:style>
  <w:style w:type="character" w:customStyle="1" w:styleId="FooterChar">
    <w:name w:val="Footer Char"/>
    <w:aliases w:val="3_G Char"/>
    <w:basedOn w:val="DefaultParagraphFont"/>
    <w:link w:val="Footer"/>
    <w:rsid w:val="00164115"/>
    <w:rPr>
      <w:rFonts w:ascii="Times New Roman" w:eastAsia="Times New Roman" w:hAnsi="Times New Roman" w:cs="Times New Roman"/>
      <w:sz w:val="16"/>
      <w:szCs w:val="20"/>
      <w:lang w:val="en-GB" w:eastAsia="en-US"/>
    </w:rPr>
  </w:style>
  <w:style w:type="paragraph" w:customStyle="1" w:styleId="H1G">
    <w:name w:val="_ H_1_G"/>
    <w:basedOn w:val="Normal"/>
    <w:next w:val="Normal"/>
    <w:rsid w:val="0016411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64115"/>
    <w:pPr>
      <w:keepNext/>
      <w:keepLines/>
      <w:tabs>
        <w:tab w:val="right" w:pos="851"/>
      </w:tabs>
      <w:spacing w:before="240" w:after="120" w:line="240" w:lineRule="exact"/>
      <w:ind w:left="1134" w:right="1134" w:hanging="1134"/>
    </w:pPr>
    <w:rPr>
      <w:b/>
    </w:rPr>
  </w:style>
  <w:style w:type="character" w:customStyle="1" w:styleId="HChGChar">
    <w:name w:val="_ H _Ch_G Char"/>
    <w:link w:val="HChG"/>
    <w:rsid w:val="00164115"/>
    <w:rPr>
      <w:rFonts w:ascii="Times New Roman" w:eastAsia="Times New Roman" w:hAnsi="Times New Roman" w:cs="Times New Roman"/>
      <w:b/>
      <w:sz w:val="28"/>
      <w:szCs w:val="20"/>
      <w:lang w:val="en-GB" w:eastAsia="en-US"/>
    </w:rPr>
  </w:style>
  <w:style w:type="character" w:customStyle="1" w:styleId="SingleTxtGChar">
    <w:name w:val="_ Single Txt_G Char"/>
    <w:link w:val="SingleTxtG"/>
    <w:qFormat/>
    <w:rsid w:val="00164115"/>
    <w:rPr>
      <w:rFonts w:ascii="Times New Roman" w:eastAsia="Times New Roman" w:hAnsi="Times New Roman" w:cs="Times New Roman"/>
      <w:sz w:val="20"/>
      <w:szCs w:val="20"/>
      <w:lang w:val="en-GB" w:eastAsia="en-US"/>
    </w:rPr>
  </w:style>
  <w:style w:type="character" w:styleId="CommentReference">
    <w:name w:val="annotation reference"/>
    <w:rsid w:val="00164115"/>
    <w:rPr>
      <w:sz w:val="6"/>
    </w:rPr>
  </w:style>
  <w:style w:type="paragraph" w:styleId="CommentText">
    <w:name w:val="annotation text"/>
    <w:basedOn w:val="Normal"/>
    <w:link w:val="CommentTextChar"/>
    <w:rsid w:val="00164115"/>
  </w:style>
  <w:style w:type="character" w:customStyle="1" w:styleId="CommentTextChar">
    <w:name w:val="Comment Text Char"/>
    <w:basedOn w:val="DefaultParagraphFont"/>
    <w:link w:val="CommentText"/>
    <w:rsid w:val="00164115"/>
    <w:rPr>
      <w:rFonts w:ascii="Times New Roman" w:eastAsia="Times New Roman" w:hAnsi="Times New Roman" w:cs="Times New Roman"/>
      <w:sz w:val="20"/>
      <w:szCs w:val="20"/>
      <w:lang w:val="en-GB" w:eastAsia="en-US"/>
    </w:rPr>
  </w:style>
  <w:style w:type="character" w:styleId="EndnoteReference">
    <w:name w:val="endnote reference"/>
    <w:aliases w:val="1_G"/>
    <w:basedOn w:val="FootnoteReference"/>
    <w:rsid w:val="00552785"/>
    <w:rPr>
      <w:rFonts w:ascii="Times New Roman" w:hAnsi="Times New Roman"/>
      <w:sz w:val="18"/>
      <w:vertAlign w:val="superscript"/>
    </w:rPr>
  </w:style>
  <w:style w:type="paragraph" w:styleId="BalloonText">
    <w:name w:val="Balloon Text"/>
    <w:basedOn w:val="Normal"/>
    <w:link w:val="BalloonTextChar"/>
    <w:uiPriority w:val="99"/>
    <w:semiHidden/>
    <w:unhideWhenUsed/>
    <w:rsid w:val="008D66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6A4"/>
    <w:rPr>
      <w:rFonts w:ascii="Tahoma" w:eastAsia="Times New Roman"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186B57"/>
    <w:pPr>
      <w:spacing w:line="240" w:lineRule="auto"/>
    </w:pPr>
    <w:rPr>
      <w:b/>
      <w:bCs/>
    </w:rPr>
  </w:style>
  <w:style w:type="character" w:customStyle="1" w:styleId="CommentSubjectChar">
    <w:name w:val="Comment Subject Char"/>
    <w:basedOn w:val="CommentTextChar"/>
    <w:link w:val="CommentSubject"/>
    <w:uiPriority w:val="99"/>
    <w:semiHidden/>
    <w:rsid w:val="00186B57"/>
    <w:rPr>
      <w:rFonts w:ascii="Times New Roman" w:eastAsia="Times New Roman" w:hAnsi="Times New Roman" w:cs="Times New Roman"/>
      <w:b/>
      <w:bCs/>
      <w:sz w:val="20"/>
      <w:szCs w:val="20"/>
      <w:lang w:val="en-GB" w:eastAsia="en-US"/>
    </w:rPr>
  </w:style>
  <w:style w:type="paragraph" w:customStyle="1" w:styleId="Default">
    <w:name w:val="Default"/>
    <w:rsid w:val="001F647E"/>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SingleTxtGCar">
    <w:name w:val="_ Single Txt_G Car"/>
    <w:rsid w:val="00AE28A5"/>
    <w:rPr>
      <w:lang w:eastAsia="en-US"/>
    </w:rPr>
  </w:style>
  <w:style w:type="character" w:customStyle="1" w:styleId="markedcontent">
    <w:name w:val="markedcontent"/>
    <w:basedOn w:val="DefaultParagraphFont"/>
    <w:rsid w:val="004838B9"/>
  </w:style>
  <w:style w:type="paragraph" w:styleId="ListParagraph">
    <w:name w:val="List Paragraph"/>
    <w:basedOn w:val="Normal"/>
    <w:uiPriority w:val="1"/>
    <w:qFormat/>
    <w:rsid w:val="00A77DC3"/>
    <w:pPr>
      <w:widowControl w:val="0"/>
      <w:suppressAutoHyphens w:val="0"/>
      <w:autoSpaceDE w:val="0"/>
      <w:autoSpaceDN w:val="0"/>
      <w:spacing w:line="240" w:lineRule="auto"/>
      <w:ind w:left="1632"/>
    </w:pPr>
    <w:rPr>
      <w:sz w:val="22"/>
      <w:szCs w:val="22"/>
      <w:lang w:val="en-US"/>
    </w:rPr>
  </w:style>
  <w:style w:type="character" w:styleId="Hyperlink">
    <w:name w:val="Hyperlink"/>
    <w:basedOn w:val="DefaultParagraphFont"/>
    <w:uiPriority w:val="99"/>
    <w:unhideWhenUsed/>
    <w:rsid w:val="000D1812"/>
    <w:rPr>
      <w:color w:val="0563C1" w:themeColor="hyperlink"/>
      <w:u w:val="single"/>
    </w:rPr>
  </w:style>
  <w:style w:type="table" w:styleId="TableGrid">
    <w:name w:val="Table Grid"/>
    <w:basedOn w:val="TableNormal"/>
    <w:uiPriority w:val="39"/>
    <w:rsid w:val="002A4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057A8"/>
    <w:rPr>
      <w:color w:val="605E5C"/>
      <w:shd w:val="clear" w:color="auto" w:fill="E1DFDD"/>
    </w:rPr>
  </w:style>
  <w:style w:type="character" w:styleId="FollowedHyperlink">
    <w:name w:val="FollowedHyperlink"/>
    <w:basedOn w:val="DefaultParagraphFont"/>
    <w:uiPriority w:val="99"/>
    <w:semiHidden/>
    <w:unhideWhenUsed/>
    <w:rsid w:val="00061994"/>
    <w:rPr>
      <w:color w:val="954F72" w:themeColor="followedHyperlink"/>
      <w:u w:val="single"/>
    </w:rPr>
  </w:style>
  <w:style w:type="paragraph" w:styleId="Revision">
    <w:name w:val="Revision"/>
    <w:hidden/>
    <w:uiPriority w:val="99"/>
    <w:semiHidden/>
    <w:rsid w:val="00E42DBC"/>
    <w:pPr>
      <w:spacing w:after="0" w:line="240" w:lineRule="auto"/>
    </w:pPr>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5913">
      <w:bodyDiv w:val="1"/>
      <w:marLeft w:val="0"/>
      <w:marRight w:val="0"/>
      <w:marTop w:val="0"/>
      <w:marBottom w:val="0"/>
      <w:divBdr>
        <w:top w:val="none" w:sz="0" w:space="0" w:color="auto"/>
        <w:left w:val="none" w:sz="0" w:space="0" w:color="auto"/>
        <w:bottom w:val="none" w:sz="0" w:space="0" w:color="auto"/>
        <w:right w:val="none" w:sz="0" w:space="0" w:color="auto"/>
      </w:divBdr>
    </w:div>
    <w:div w:id="81921585">
      <w:bodyDiv w:val="1"/>
      <w:marLeft w:val="0"/>
      <w:marRight w:val="0"/>
      <w:marTop w:val="0"/>
      <w:marBottom w:val="0"/>
      <w:divBdr>
        <w:top w:val="none" w:sz="0" w:space="0" w:color="auto"/>
        <w:left w:val="none" w:sz="0" w:space="0" w:color="auto"/>
        <w:bottom w:val="none" w:sz="0" w:space="0" w:color="auto"/>
        <w:right w:val="none" w:sz="0" w:space="0" w:color="auto"/>
      </w:divBdr>
    </w:div>
    <w:div w:id="368989123">
      <w:bodyDiv w:val="1"/>
      <w:marLeft w:val="0"/>
      <w:marRight w:val="0"/>
      <w:marTop w:val="0"/>
      <w:marBottom w:val="0"/>
      <w:divBdr>
        <w:top w:val="none" w:sz="0" w:space="0" w:color="auto"/>
        <w:left w:val="none" w:sz="0" w:space="0" w:color="auto"/>
        <w:bottom w:val="none" w:sz="0" w:space="0" w:color="auto"/>
        <w:right w:val="none" w:sz="0" w:space="0" w:color="auto"/>
      </w:divBdr>
    </w:div>
    <w:div w:id="676232601">
      <w:bodyDiv w:val="1"/>
      <w:marLeft w:val="0"/>
      <w:marRight w:val="0"/>
      <w:marTop w:val="0"/>
      <w:marBottom w:val="0"/>
      <w:divBdr>
        <w:top w:val="none" w:sz="0" w:space="0" w:color="auto"/>
        <w:left w:val="none" w:sz="0" w:space="0" w:color="auto"/>
        <w:bottom w:val="none" w:sz="0" w:space="0" w:color="auto"/>
        <w:right w:val="none" w:sz="0" w:space="0" w:color="auto"/>
      </w:divBdr>
    </w:div>
    <w:div w:id="742527488">
      <w:bodyDiv w:val="1"/>
      <w:marLeft w:val="0"/>
      <w:marRight w:val="0"/>
      <w:marTop w:val="0"/>
      <w:marBottom w:val="0"/>
      <w:divBdr>
        <w:top w:val="none" w:sz="0" w:space="0" w:color="auto"/>
        <w:left w:val="none" w:sz="0" w:space="0" w:color="auto"/>
        <w:bottom w:val="none" w:sz="0" w:space="0" w:color="auto"/>
        <w:right w:val="none" w:sz="0" w:space="0" w:color="auto"/>
      </w:divBdr>
    </w:div>
    <w:div w:id="919565256">
      <w:bodyDiv w:val="1"/>
      <w:marLeft w:val="0"/>
      <w:marRight w:val="0"/>
      <w:marTop w:val="0"/>
      <w:marBottom w:val="0"/>
      <w:divBdr>
        <w:top w:val="none" w:sz="0" w:space="0" w:color="auto"/>
        <w:left w:val="none" w:sz="0" w:space="0" w:color="auto"/>
        <w:bottom w:val="none" w:sz="0" w:space="0" w:color="auto"/>
        <w:right w:val="none" w:sz="0" w:space="0" w:color="auto"/>
      </w:divBdr>
    </w:div>
    <w:div w:id="1119715045">
      <w:bodyDiv w:val="1"/>
      <w:marLeft w:val="0"/>
      <w:marRight w:val="0"/>
      <w:marTop w:val="0"/>
      <w:marBottom w:val="0"/>
      <w:divBdr>
        <w:top w:val="none" w:sz="0" w:space="0" w:color="auto"/>
        <w:left w:val="none" w:sz="0" w:space="0" w:color="auto"/>
        <w:bottom w:val="none" w:sz="0" w:space="0" w:color="auto"/>
        <w:right w:val="none" w:sz="0" w:space="0" w:color="auto"/>
      </w:divBdr>
    </w:div>
    <w:div w:id="1173494522">
      <w:bodyDiv w:val="1"/>
      <w:marLeft w:val="0"/>
      <w:marRight w:val="0"/>
      <w:marTop w:val="0"/>
      <w:marBottom w:val="0"/>
      <w:divBdr>
        <w:top w:val="none" w:sz="0" w:space="0" w:color="auto"/>
        <w:left w:val="none" w:sz="0" w:space="0" w:color="auto"/>
        <w:bottom w:val="none" w:sz="0" w:space="0" w:color="auto"/>
        <w:right w:val="none" w:sz="0" w:space="0" w:color="auto"/>
      </w:divBdr>
    </w:div>
    <w:div w:id="1772898245">
      <w:bodyDiv w:val="1"/>
      <w:marLeft w:val="0"/>
      <w:marRight w:val="0"/>
      <w:marTop w:val="0"/>
      <w:marBottom w:val="0"/>
      <w:divBdr>
        <w:top w:val="none" w:sz="0" w:space="0" w:color="auto"/>
        <w:left w:val="none" w:sz="0" w:space="0" w:color="auto"/>
        <w:bottom w:val="none" w:sz="0" w:space="0" w:color="auto"/>
        <w:right w:val="none" w:sz="0" w:space="0" w:color="auto"/>
      </w:divBdr>
    </w:div>
    <w:div w:id="1832483429">
      <w:bodyDiv w:val="1"/>
      <w:marLeft w:val="0"/>
      <w:marRight w:val="0"/>
      <w:marTop w:val="0"/>
      <w:marBottom w:val="0"/>
      <w:divBdr>
        <w:top w:val="none" w:sz="0" w:space="0" w:color="auto"/>
        <w:left w:val="none" w:sz="0" w:space="0" w:color="auto"/>
        <w:bottom w:val="none" w:sz="0" w:space="0" w:color="auto"/>
        <w:right w:val="none" w:sz="0" w:space="0" w:color="auto"/>
      </w:divBdr>
    </w:div>
    <w:div w:id="2084179754">
      <w:bodyDiv w:val="1"/>
      <w:marLeft w:val="0"/>
      <w:marRight w:val="0"/>
      <w:marTop w:val="0"/>
      <w:marBottom w:val="0"/>
      <w:divBdr>
        <w:top w:val="none" w:sz="0" w:space="0" w:color="auto"/>
        <w:left w:val="none" w:sz="0" w:space="0" w:color="auto"/>
        <w:bottom w:val="none" w:sz="0" w:space="0" w:color="auto"/>
        <w:right w:val="none" w:sz="0" w:space="0" w:color="auto"/>
      </w:divBdr>
    </w:div>
    <w:div w:id="212743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DAM/trans/doc/2016/dgac10c4/UN-SCEGHS-32-INF27.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ublications.jrc.ec.europa.eu/repository/handle/JRC118158"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ece.org/reports-3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ations.jrc.ec.europa.eu/repository/handle/JRC113469" TargetMode="External"/><Relationship Id="rId5" Type="http://schemas.openxmlformats.org/officeDocument/2006/relationships/numbering" Target="numbering.xml"/><Relationship Id="rId15" Type="http://schemas.openxmlformats.org/officeDocument/2006/relationships/hyperlink" Target="https://unece.org/DAM/trans/doc/2019/dgac10c4/UN-SCEGHS-37-INF11e.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DAM/trans/doc/2018/dgac10c4/UN-SCEGHS-36-INF35e.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opa.eu/!dD9Mhw" TargetMode="External"/><Relationship Id="rId2" Type="http://schemas.openxmlformats.org/officeDocument/2006/relationships/hyperlink" Target="https://europa.eu/!BtcQxH" TargetMode="External"/><Relationship Id="rId1" Type="http://schemas.openxmlformats.org/officeDocument/2006/relationships/hyperlink" Target="https://unece.org/reports-33" TargetMode="External"/><Relationship Id="rId6" Type="http://schemas.openxmlformats.org/officeDocument/2006/relationships/hyperlink" Target="http://norden.diva-portal.org/smash/record.jsf?pid=diva2%3A1315194&amp;dswid=295" TargetMode="External"/><Relationship Id="rId5" Type="http://schemas.openxmlformats.org/officeDocument/2006/relationships/hyperlink" Target="https://publications.jrc.ec.europa.eu/repository/handle/JRC132102" TargetMode="External"/><Relationship Id="rId4" Type="http://schemas.openxmlformats.org/officeDocument/2006/relationships/hyperlink" Target="https://europa.eu/!9Npm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962D5-BF50-4CDA-B94A-32275336C1C9}">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C1FDD5FE-3F03-4B8E-9DDE-3D89A9DADD3C}">
  <ds:schemaRefs>
    <ds:schemaRef ds:uri="http://schemas.microsoft.com/sharepoint/v3/contenttype/forms"/>
  </ds:schemaRefs>
</ds:datastoreItem>
</file>

<file path=customXml/itemProps3.xml><?xml version="1.0" encoding="utf-8"?>
<ds:datastoreItem xmlns:ds="http://schemas.openxmlformats.org/officeDocument/2006/customXml" ds:itemID="{5DAF964B-291C-4208-BD2C-A81DC5C59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6F5BDE-9A9C-413F-A079-E52097D30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1845</Words>
  <Characters>10148</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rinalro</Manager>
  <Company>ECE-ISU</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developments in the EU on nanomaterials</dc:title>
  <dc:subject>agenda item 2(g)</dc:subject>
  <dc:creator>EU</dc:creator>
  <cp:keywords>nanomaterials</cp:keywords>
  <cp:lastModifiedBy>Alicia Dorca Garcia</cp:lastModifiedBy>
  <cp:revision>15</cp:revision>
  <cp:lastPrinted>2022-06-21T09:49:00Z</cp:lastPrinted>
  <dcterms:created xsi:type="dcterms:W3CDTF">2023-11-23T09:50:00Z</dcterms:created>
  <dcterms:modified xsi:type="dcterms:W3CDTF">2023-11-23T14:29:00Z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MSIP_Label_6bd9ddd1-4d20-43f6-abfa-fc3c07406f94_Enabled">
    <vt:lpwstr>true</vt:lpwstr>
  </property>
  <property fmtid="{D5CDD505-2E9C-101B-9397-08002B2CF9AE}" pid="5" name="MSIP_Label_6bd9ddd1-4d20-43f6-abfa-fc3c07406f94_SetDate">
    <vt:lpwstr>2022-10-14T14:59:06Z</vt:lpwstr>
  </property>
  <property fmtid="{D5CDD505-2E9C-101B-9397-08002B2CF9AE}" pid="6" name="MSIP_Label_6bd9ddd1-4d20-43f6-abfa-fc3c07406f94_Method">
    <vt:lpwstr>Privileged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46a0f87b-799b-4998-968b-440367b7870b</vt:lpwstr>
  </property>
  <property fmtid="{D5CDD505-2E9C-101B-9397-08002B2CF9AE}" pid="10" name="MSIP_Label_6bd9ddd1-4d20-43f6-abfa-fc3c07406f94_ContentBits">
    <vt:lpwstr>0</vt:lpwstr>
  </property>
  <property fmtid="{D5CDD505-2E9C-101B-9397-08002B2CF9AE}" pid="11" name="gba66df640194346a5267c50f24d4797">
    <vt:lpwstr/>
  </property>
  <property fmtid="{D5CDD505-2E9C-101B-9397-08002B2CF9AE}" pid="12" name="Office_x0020_of_x0020_Origin">
    <vt:lpwstr/>
  </property>
  <property fmtid="{D5CDD505-2E9C-101B-9397-08002B2CF9AE}" pid="13" name="Office of Origin">
    <vt:lpwstr/>
  </property>
</Properties>
</file>