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164115" w:rsidRPr="0099001C" w14:paraId="0BBDF9CA" w14:textId="77777777" w:rsidTr="00C81840">
        <w:trPr>
          <w:cantSplit/>
          <w:trHeight w:hRule="exact" w:val="851"/>
        </w:trPr>
        <w:tc>
          <w:tcPr>
            <w:tcW w:w="9639" w:type="dxa"/>
            <w:tcBorders>
              <w:bottom w:val="single" w:sz="4" w:space="0" w:color="auto"/>
            </w:tcBorders>
            <w:vAlign w:val="bottom"/>
          </w:tcPr>
          <w:p w14:paraId="6EC4B76E" w14:textId="28CE2388" w:rsidR="00164115" w:rsidRPr="0099001C" w:rsidRDefault="00164115" w:rsidP="00162FFA">
            <w:pPr>
              <w:jc w:val="right"/>
              <w:rPr>
                <w:b/>
                <w:sz w:val="40"/>
                <w:szCs w:val="40"/>
              </w:rPr>
            </w:pPr>
            <w:r w:rsidRPr="0099001C">
              <w:rPr>
                <w:b/>
                <w:sz w:val="40"/>
                <w:szCs w:val="40"/>
              </w:rPr>
              <w:t>UN/SCEGHS/</w:t>
            </w:r>
            <w:r w:rsidR="00A559FB">
              <w:rPr>
                <w:b/>
                <w:sz w:val="40"/>
                <w:szCs w:val="40"/>
              </w:rPr>
              <w:t>45</w:t>
            </w:r>
            <w:r w:rsidRPr="0099001C">
              <w:rPr>
                <w:b/>
                <w:sz w:val="40"/>
                <w:szCs w:val="40"/>
              </w:rPr>
              <w:t>/INF.</w:t>
            </w:r>
            <w:r w:rsidR="003C2812">
              <w:rPr>
                <w:b/>
                <w:sz w:val="40"/>
                <w:szCs w:val="40"/>
              </w:rPr>
              <w:t>16</w:t>
            </w:r>
          </w:p>
        </w:tc>
      </w:tr>
      <w:tr w:rsidR="00164115" w14:paraId="4D07D853" w14:textId="77777777" w:rsidTr="00C81840">
        <w:trPr>
          <w:cantSplit/>
          <w:trHeight w:hRule="exact" w:val="3114"/>
        </w:trPr>
        <w:tc>
          <w:tcPr>
            <w:tcW w:w="9639" w:type="dxa"/>
            <w:tcBorders>
              <w:top w:val="single" w:sz="4" w:space="0" w:color="auto"/>
            </w:tcBorders>
          </w:tcPr>
          <w:p w14:paraId="1224738E" w14:textId="77777777" w:rsidR="00164115" w:rsidRPr="00691F20" w:rsidRDefault="00164115" w:rsidP="00E970FF">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1B71D8C4" w14:textId="13E02B23" w:rsidR="00164115" w:rsidRPr="009F0F06" w:rsidRDefault="00164115" w:rsidP="005A3E43">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137D32">
              <w:rPr>
                <w:b/>
                <w:lang w:val="en-US"/>
              </w:rPr>
              <w:tab/>
            </w:r>
            <w:r w:rsidR="00311DCE">
              <w:rPr>
                <w:b/>
                <w:lang w:val="en-US"/>
              </w:rPr>
              <w:t>2</w:t>
            </w:r>
            <w:r w:rsidR="00266023">
              <w:rPr>
                <w:b/>
                <w:lang w:val="en-US"/>
              </w:rPr>
              <w:t>2</w:t>
            </w:r>
            <w:r w:rsidR="00311DCE">
              <w:rPr>
                <w:b/>
                <w:lang w:val="en-US"/>
              </w:rPr>
              <w:t xml:space="preserve"> November</w:t>
            </w:r>
            <w:r w:rsidR="008A34D7">
              <w:rPr>
                <w:b/>
                <w:lang w:val="en-US"/>
              </w:rPr>
              <w:t xml:space="preserve"> </w:t>
            </w:r>
            <w:r w:rsidR="00F10E10">
              <w:rPr>
                <w:b/>
                <w:lang w:val="en-US"/>
              </w:rPr>
              <w:t>2023</w:t>
            </w:r>
          </w:p>
          <w:p w14:paraId="7995AA4C" w14:textId="77777777" w:rsidR="00164115" w:rsidRDefault="00164115" w:rsidP="00E970FF">
            <w:pPr>
              <w:jc w:val="both"/>
              <w:rPr>
                <w:b/>
              </w:rPr>
            </w:pPr>
          </w:p>
          <w:p w14:paraId="7DB3104E" w14:textId="4718CF64" w:rsidR="00164115" w:rsidRDefault="00AE4666" w:rsidP="00E970FF">
            <w:pPr>
              <w:jc w:val="both"/>
            </w:pPr>
            <w:r>
              <w:rPr>
                <w:b/>
              </w:rPr>
              <w:t>Forty-</w:t>
            </w:r>
            <w:r w:rsidR="00266023">
              <w:rPr>
                <w:b/>
              </w:rPr>
              <w:t>fifth</w:t>
            </w:r>
            <w:r w:rsidR="004255A7" w:rsidRPr="000B4919">
              <w:rPr>
                <w:b/>
              </w:rPr>
              <w:t xml:space="preserve"> </w:t>
            </w:r>
            <w:r w:rsidR="00164115" w:rsidRPr="000B4919">
              <w:rPr>
                <w:b/>
              </w:rPr>
              <w:t>session</w:t>
            </w:r>
            <w:r w:rsidR="00164115" w:rsidRPr="00283442">
              <w:t xml:space="preserve"> </w:t>
            </w:r>
          </w:p>
          <w:p w14:paraId="5985735A" w14:textId="3397E2D2" w:rsidR="00164115" w:rsidRPr="000B4919" w:rsidRDefault="00164115" w:rsidP="00E970FF">
            <w:pPr>
              <w:jc w:val="both"/>
            </w:pPr>
            <w:r w:rsidRPr="00283442">
              <w:t xml:space="preserve">Geneva, </w:t>
            </w:r>
            <w:r w:rsidR="00A559FB">
              <w:t>6</w:t>
            </w:r>
            <w:r w:rsidR="008C0CA5">
              <w:t>-</w:t>
            </w:r>
            <w:r w:rsidR="00A559FB">
              <w:t>8 December</w:t>
            </w:r>
            <w:r w:rsidR="00F10E10">
              <w:t xml:space="preserve"> 2023</w:t>
            </w:r>
          </w:p>
          <w:p w14:paraId="6FA716A3" w14:textId="7AB23705" w:rsidR="00164115" w:rsidRPr="00F005CD" w:rsidRDefault="00164115" w:rsidP="00552785">
            <w:pPr>
              <w:spacing w:before="40"/>
            </w:pPr>
            <w:r w:rsidRPr="00F005CD">
              <w:t xml:space="preserve">Item </w:t>
            </w:r>
            <w:r w:rsidR="00A12DBD">
              <w:t>2</w:t>
            </w:r>
            <w:r w:rsidR="00740F2E">
              <w:t xml:space="preserve"> </w:t>
            </w:r>
            <w:r w:rsidR="00325A9B">
              <w:t>(</w:t>
            </w:r>
            <w:r w:rsidR="00F10E10">
              <w:t>d</w:t>
            </w:r>
            <w:r w:rsidR="00325A9B">
              <w:t>)</w:t>
            </w:r>
            <w:r w:rsidRPr="00F005CD">
              <w:t xml:space="preserve"> of the provisional agenda</w:t>
            </w:r>
          </w:p>
          <w:p w14:paraId="6A6D5AF3" w14:textId="77777777" w:rsidR="00740F2E" w:rsidRDefault="00740F2E" w:rsidP="00E970FF">
            <w:pPr>
              <w:jc w:val="both"/>
              <w:rPr>
                <w:b/>
                <w:bCs/>
              </w:rPr>
            </w:pPr>
            <w:r w:rsidRPr="00740F2E">
              <w:rPr>
                <w:b/>
                <w:bCs/>
              </w:rPr>
              <w:t xml:space="preserve">Work on the Globally Harmonized System of Classification </w:t>
            </w:r>
          </w:p>
          <w:p w14:paraId="0B7FECC6" w14:textId="7EA4287D" w:rsidR="00164115" w:rsidRDefault="00740F2E" w:rsidP="00740F2E">
            <w:pPr>
              <w:jc w:val="both"/>
              <w:rPr>
                <w:b/>
              </w:rPr>
            </w:pPr>
            <w:r w:rsidRPr="00740F2E">
              <w:rPr>
                <w:b/>
                <w:bCs/>
              </w:rPr>
              <w:t>and Labelling of Chemicals</w:t>
            </w:r>
            <w:r w:rsidR="00720043">
              <w:rPr>
                <w:b/>
              </w:rPr>
              <w:t>:</w:t>
            </w:r>
            <w:r>
              <w:rPr>
                <w:b/>
              </w:rPr>
              <w:t xml:space="preserve"> </w:t>
            </w:r>
            <w:r w:rsidR="00577B06" w:rsidRPr="00577B06">
              <w:rPr>
                <w:b/>
                <w:bCs/>
              </w:rPr>
              <w:t>Classification criteria for germ cell mutagenicity</w:t>
            </w:r>
            <w:r w:rsidR="00577B06" w:rsidRPr="00C81840" w:rsidDel="00577B06">
              <w:rPr>
                <w:b/>
              </w:rPr>
              <w:t xml:space="preserve"> </w:t>
            </w:r>
          </w:p>
          <w:p w14:paraId="4FD71B7F" w14:textId="77777777" w:rsidR="008A34D7" w:rsidRDefault="008A34D7" w:rsidP="00E970FF">
            <w:pPr>
              <w:spacing w:line="240" w:lineRule="exact"/>
              <w:rPr>
                <w:b/>
              </w:rPr>
            </w:pPr>
          </w:p>
          <w:p w14:paraId="5605CCB9" w14:textId="77777777" w:rsidR="008A34D7" w:rsidRDefault="008A34D7" w:rsidP="00E970FF">
            <w:pPr>
              <w:spacing w:line="240" w:lineRule="exact"/>
              <w:rPr>
                <w:b/>
              </w:rPr>
            </w:pPr>
          </w:p>
          <w:p w14:paraId="060082F0" w14:textId="77777777" w:rsidR="008A34D7" w:rsidRDefault="008A34D7" w:rsidP="00E970FF">
            <w:pPr>
              <w:spacing w:line="240" w:lineRule="exact"/>
              <w:rPr>
                <w:b/>
              </w:rPr>
            </w:pPr>
          </w:p>
          <w:p w14:paraId="2807C471" w14:textId="378BB737" w:rsidR="008A34D7" w:rsidRDefault="008A34D7" w:rsidP="00E970FF">
            <w:pPr>
              <w:spacing w:line="240" w:lineRule="exact"/>
            </w:pPr>
          </w:p>
        </w:tc>
      </w:tr>
    </w:tbl>
    <w:p w14:paraId="4102C79C" w14:textId="283C5301" w:rsidR="00164115" w:rsidRPr="003B342C" w:rsidRDefault="00164115" w:rsidP="006F1207">
      <w:pPr>
        <w:pStyle w:val="HChG"/>
        <w:spacing w:before="240"/>
        <w:rPr>
          <w:rFonts w:eastAsia="MS Mincho"/>
          <w:lang w:eastAsia="ja-JP"/>
        </w:rPr>
      </w:pPr>
      <w:r w:rsidRPr="009E7ABD">
        <w:rPr>
          <w:rFonts w:eastAsia="MS Mincho"/>
          <w:lang w:val="en-US" w:eastAsia="ja-JP"/>
        </w:rPr>
        <w:tab/>
      </w:r>
      <w:r>
        <w:rPr>
          <w:rFonts w:eastAsia="MS Mincho"/>
          <w:lang w:val="en-US" w:eastAsia="ja-JP"/>
        </w:rPr>
        <w:tab/>
      </w:r>
      <w:r w:rsidR="00AE28A5">
        <w:t>Status of the work</w:t>
      </w:r>
      <w:r w:rsidR="00AE4666">
        <w:rPr>
          <w:rFonts w:eastAsia="MS Mincho"/>
          <w:lang w:val="en-US" w:eastAsia="ja-JP"/>
        </w:rPr>
        <w:t xml:space="preserve"> of the</w:t>
      </w:r>
      <w:r w:rsidR="00F40245">
        <w:t xml:space="preserve"> informal working group on</w:t>
      </w:r>
      <w:r w:rsidR="004837DB">
        <w:t xml:space="preserve"> clarification of</w:t>
      </w:r>
      <w:r w:rsidR="00F40245">
        <w:t xml:space="preserve"> </w:t>
      </w:r>
      <w:r w:rsidR="00252D72" w:rsidRPr="00252D72">
        <w:t>the criteria for classification for germ cell mutagenicity</w:t>
      </w:r>
      <w:r w:rsidR="004837DB">
        <w:t xml:space="preserve"> </w:t>
      </w:r>
    </w:p>
    <w:p w14:paraId="22B0953F" w14:textId="5B05EA47" w:rsidR="00164115" w:rsidRDefault="00164115" w:rsidP="006F1207">
      <w:pPr>
        <w:pStyle w:val="H1G"/>
        <w:spacing w:before="240"/>
      </w:pPr>
      <w:r w:rsidRPr="003C265A">
        <w:rPr>
          <w:rFonts w:eastAsia="MS Mincho"/>
        </w:rPr>
        <w:tab/>
      </w:r>
      <w:r w:rsidRPr="003C265A">
        <w:rPr>
          <w:rFonts w:eastAsia="MS Mincho"/>
        </w:rPr>
        <w:tab/>
      </w:r>
      <w:r w:rsidRPr="003C265A">
        <w:t xml:space="preserve">Transmitted by the </w:t>
      </w:r>
      <w:r w:rsidR="00285BE7">
        <w:t>European Union</w:t>
      </w:r>
      <w:r w:rsidR="00D053AD">
        <w:t xml:space="preserve"> </w:t>
      </w:r>
      <w:r w:rsidR="00D053AD">
        <w:rPr>
          <w:lang w:eastAsia="zh-CN"/>
        </w:rPr>
        <w:t>on behalf of the informal working group on germ cell mutagenicity</w:t>
      </w:r>
    </w:p>
    <w:p w14:paraId="0F9C5AE9" w14:textId="77777777" w:rsidR="00AE28A5" w:rsidRDefault="003D3707" w:rsidP="00AE28A5">
      <w:pPr>
        <w:pStyle w:val="HChG"/>
        <w:keepNext w:val="0"/>
        <w:keepLines w:val="0"/>
        <w:spacing w:before="240" w:after="120"/>
        <w:rPr>
          <w:rStyle w:val="SingleTxtGCar"/>
          <w:u w:val="single"/>
        </w:rPr>
      </w:pPr>
      <w:r>
        <w:tab/>
      </w:r>
      <w:r>
        <w:tab/>
      </w:r>
      <w:r w:rsidR="00AE28A5">
        <w:t>Introduction</w:t>
      </w:r>
    </w:p>
    <w:p w14:paraId="7C585DAE" w14:textId="50C8A376" w:rsidR="00AE28A5" w:rsidRPr="008A001C" w:rsidRDefault="00AE28A5" w:rsidP="008A001C">
      <w:pPr>
        <w:pStyle w:val="SingleTxtG"/>
      </w:pPr>
      <w:r w:rsidRPr="008A001C">
        <w:t>1.</w:t>
      </w:r>
      <w:r w:rsidRPr="008A001C">
        <w:tab/>
        <w:t>This informal paper provides an update on the work undertaken by the informal working group on clarification of the criteria for classification for germ c</w:t>
      </w:r>
      <w:r w:rsidR="008C0CA5" w:rsidRPr="008A001C">
        <w:t>ell mutagenicity since the forty-</w:t>
      </w:r>
      <w:r w:rsidR="00A559FB" w:rsidRPr="008A001C">
        <w:t>fourth</w:t>
      </w:r>
      <w:r w:rsidRPr="008A001C">
        <w:t xml:space="preserve"> session of the Sub-Committee.</w:t>
      </w:r>
    </w:p>
    <w:p w14:paraId="2F59A946" w14:textId="2EE3D6F0" w:rsidR="00B17791" w:rsidRPr="00B17791" w:rsidRDefault="00AE28A5" w:rsidP="00AE28A5">
      <w:pPr>
        <w:pStyle w:val="HChG"/>
        <w:rPr>
          <w:rFonts w:eastAsiaTheme="minorHAnsi"/>
          <w:lang w:val="en-US"/>
        </w:rPr>
      </w:pPr>
      <w:r w:rsidRPr="00B17791">
        <w:t xml:space="preserve"> </w:t>
      </w:r>
      <w:r>
        <w:tab/>
      </w:r>
      <w:r>
        <w:tab/>
      </w:r>
      <w:r w:rsidR="009705A6" w:rsidRPr="00B17791">
        <w:t>Background</w:t>
      </w:r>
      <w:r w:rsidR="009705A6" w:rsidRPr="00B17791">
        <w:rPr>
          <w:rFonts w:eastAsiaTheme="minorHAnsi"/>
          <w:lang w:val="en-US"/>
        </w:rPr>
        <w:t xml:space="preserve"> </w:t>
      </w:r>
    </w:p>
    <w:p w14:paraId="4568928C" w14:textId="38027C30" w:rsidR="000D55C4" w:rsidRPr="005E6D62" w:rsidRDefault="00265C0E" w:rsidP="00F8246F">
      <w:pPr>
        <w:pStyle w:val="Default"/>
        <w:ind w:left="1134" w:right="1134"/>
        <w:jc w:val="both"/>
        <w:rPr>
          <w:sz w:val="20"/>
          <w:szCs w:val="20"/>
        </w:rPr>
      </w:pPr>
      <w:r w:rsidRPr="005E6D62">
        <w:rPr>
          <w:sz w:val="20"/>
          <w:szCs w:val="20"/>
        </w:rPr>
        <w:t>2.</w:t>
      </w:r>
      <w:r w:rsidRPr="00265C0E">
        <w:tab/>
      </w:r>
      <w:r w:rsidR="005E6D62">
        <w:t xml:space="preserve"> </w:t>
      </w:r>
      <w:r w:rsidR="001F647E" w:rsidRPr="005E6D62">
        <w:rPr>
          <w:sz w:val="20"/>
          <w:szCs w:val="20"/>
        </w:rPr>
        <w:t>Reference is made to the proposal contained in ST/SG/AC.10/C.4/2020/13 and ST/SG/AC.10/C.4/2020/13</w:t>
      </w:r>
      <w:r w:rsidR="00C12195" w:rsidRPr="005E6D62">
        <w:rPr>
          <w:sz w:val="20"/>
          <w:szCs w:val="20"/>
        </w:rPr>
        <w:t>/</w:t>
      </w:r>
      <w:r w:rsidR="00B104D9" w:rsidRPr="005E6D62">
        <w:rPr>
          <w:sz w:val="20"/>
          <w:szCs w:val="20"/>
        </w:rPr>
        <w:t>Add</w:t>
      </w:r>
      <w:r w:rsidR="001F647E" w:rsidRPr="005E6D62">
        <w:rPr>
          <w:sz w:val="20"/>
          <w:szCs w:val="20"/>
        </w:rPr>
        <w:t>1, the informal document INF.37 (</w:t>
      </w:r>
      <w:r w:rsidR="00F8246F">
        <w:rPr>
          <w:sz w:val="20"/>
          <w:szCs w:val="20"/>
        </w:rPr>
        <w:t>thirty-nin</w:t>
      </w:r>
      <w:r w:rsidR="001F647E" w:rsidRPr="005E6D62">
        <w:rPr>
          <w:sz w:val="20"/>
          <w:szCs w:val="20"/>
        </w:rPr>
        <w:t>th session) (European Union) on the Clarification of the criteria for classification for germ cell mutagenicity in category 1B and the report of the Sub-Committee on its thirty-ninth session (ST/SG/AC.10/C</w:t>
      </w:r>
      <w:r w:rsidR="00C12195" w:rsidRPr="005E6D62">
        <w:rPr>
          <w:sz w:val="20"/>
          <w:szCs w:val="20"/>
        </w:rPr>
        <w:t>.</w:t>
      </w:r>
      <w:r w:rsidR="001F647E" w:rsidRPr="005E6D62">
        <w:rPr>
          <w:sz w:val="20"/>
          <w:szCs w:val="20"/>
        </w:rPr>
        <w:t xml:space="preserve">4/78). Based on these documents the Terms of </w:t>
      </w:r>
      <w:r w:rsidR="00D16F6F" w:rsidRPr="005E6D62">
        <w:rPr>
          <w:sz w:val="20"/>
          <w:szCs w:val="20"/>
        </w:rPr>
        <w:t>R</w:t>
      </w:r>
      <w:r w:rsidR="001F647E" w:rsidRPr="005E6D62">
        <w:rPr>
          <w:sz w:val="20"/>
          <w:szCs w:val="20"/>
        </w:rPr>
        <w:t>eference and work programme of the informal working group on the criteria for classification for germ cell mutagenicity</w:t>
      </w:r>
      <w:r w:rsidR="008904FF" w:rsidRPr="005E6D62">
        <w:rPr>
          <w:sz w:val="20"/>
          <w:szCs w:val="20"/>
        </w:rPr>
        <w:t xml:space="preserve"> were submitted</w:t>
      </w:r>
      <w:r w:rsidR="005E4C08" w:rsidRPr="005E6D62">
        <w:rPr>
          <w:sz w:val="20"/>
          <w:szCs w:val="20"/>
        </w:rPr>
        <w:t xml:space="preserve"> </w:t>
      </w:r>
      <w:r w:rsidR="001F647E" w:rsidRPr="005E6D62">
        <w:rPr>
          <w:sz w:val="20"/>
          <w:szCs w:val="20"/>
        </w:rPr>
        <w:t>for discussion at the fortieth session</w:t>
      </w:r>
      <w:r w:rsidR="008904FF" w:rsidRPr="005E6D62">
        <w:rPr>
          <w:sz w:val="20"/>
          <w:szCs w:val="20"/>
        </w:rPr>
        <w:t xml:space="preserve"> (document ST/SG/AC.10/C.4/2021/3)</w:t>
      </w:r>
      <w:r w:rsidR="001F647E" w:rsidRPr="005E6D62">
        <w:rPr>
          <w:sz w:val="20"/>
          <w:szCs w:val="20"/>
        </w:rPr>
        <w:t xml:space="preserve">. </w:t>
      </w:r>
      <w:r w:rsidR="00B104D9" w:rsidRPr="005E6D62">
        <w:rPr>
          <w:sz w:val="20"/>
          <w:szCs w:val="20"/>
        </w:rPr>
        <w:t xml:space="preserve">The Sub-Committee adopted the terms of reference as amended by </w:t>
      </w:r>
      <w:r w:rsidR="000D55C4" w:rsidRPr="005E6D62">
        <w:rPr>
          <w:sz w:val="20"/>
          <w:szCs w:val="20"/>
        </w:rPr>
        <w:t xml:space="preserve">the </w:t>
      </w:r>
      <w:r w:rsidR="00B104D9" w:rsidRPr="005E6D62">
        <w:rPr>
          <w:sz w:val="20"/>
          <w:szCs w:val="20"/>
        </w:rPr>
        <w:t>informa</w:t>
      </w:r>
      <w:r w:rsidR="00FF22E3" w:rsidRPr="005E6D62">
        <w:rPr>
          <w:sz w:val="20"/>
          <w:szCs w:val="20"/>
        </w:rPr>
        <w:t xml:space="preserve">l document INF.24 </w:t>
      </w:r>
      <w:r w:rsidR="001F647E" w:rsidRPr="005E6D62">
        <w:rPr>
          <w:sz w:val="20"/>
          <w:szCs w:val="20"/>
        </w:rPr>
        <w:t>transmitted by the expert of the United States of America</w:t>
      </w:r>
      <w:r w:rsidR="00FF22E3" w:rsidRPr="005E6D62">
        <w:rPr>
          <w:sz w:val="20"/>
          <w:szCs w:val="20"/>
        </w:rPr>
        <w:t xml:space="preserve"> as stated in the report of the </w:t>
      </w:r>
      <w:r w:rsidR="000D55C4" w:rsidRPr="005E6D62">
        <w:rPr>
          <w:sz w:val="20"/>
          <w:szCs w:val="20"/>
        </w:rPr>
        <w:t>fortieth</w:t>
      </w:r>
      <w:r w:rsidR="00FF22E3" w:rsidRPr="005E6D62">
        <w:rPr>
          <w:sz w:val="20"/>
          <w:szCs w:val="20"/>
        </w:rPr>
        <w:t xml:space="preserve"> session (ST/SG/AC.10/C</w:t>
      </w:r>
      <w:r w:rsidRPr="005E6D62">
        <w:rPr>
          <w:sz w:val="20"/>
          <w:szCs w:val="20"/>
        </w:rPr>
        <w:t>.</w:t>
      </w:r>
      <w:r w:rsidR="00FF22E3" w:rsidRPr="005E6D62">
        <w:rPr>
          <w:sz w:val="20"/>
          <w:szCs w:val="20"/>
        </w:rPr>
        <w:t>4/</w:t>
      </w:r>
      <w:r w:rsidR="00C96CF5" w:rsidRPr="005E6D62">
        <w:rPr>
          <w:sz w:val="20"/>
          <w:szCs w:val="20"/>
        </w:rPr>
        <w:t>80</w:t>
      </w:r>
      <w:r w:rsidR="00FF22E3" w:rsidRPr="005E6D62">
        <w:rPr>
          <w:sz w:val="20"/>
          <w:szCs w:val="20"/>
        </w:rPr>
        <w:t>)</w:t>
      </w:r>
      <w:r w:rsidR="001F647E" w:rsidRPr="005E6D62">
        <w:rPr>
          <w:sz w:val="20"/>
          <w:szCs w:val="20"/>
        </w:rPr>
        <w:t>.</w:t>
      </w:r>
      <w:r w:rsidR="00162FFA" w:rsidRPr="005E6D62">
        <w:rPr>
          <w:sz w:val="20"/>
          <w:szCs w:val="20"/>
        </w:rPr>
        <w:t xml:space="preserve"> The informal working group reported on the </w:t>
      </w:r>
      <w:r w:rsidR="005E6D62" w:rsidRPr="005E6D62">
        <w:rPr>
          <w:sz w:val="20"/>
          <w:szCs w:val="20"/>
        </w:rPr>
        <w:t>progress</w:t>
      </w:r>
      <w:r w:rsidR="00162FFA" w:rsidRPr="005E6D62">
        <w:rPr>
          <w:sz w:val="20"/>
          <w:szCs w:val="20"/>
        </w:rPr>
        <w:t xml:space="preserve"> of work at the forty-first </w:t>
      </w:r>
      <w:r w:rsidR="005E6D62" w:rsidRPr="005E6D62">
        <w:rPr>
          <w:sz w:val="20"/>
          <w:szCs w:val="20"/>
        </w:rPr>
        <w:t>(INF.14)</w:t>
      </w:r>
      <w:r w:rsidR="00F10E10">
        <w:rPr>
          <w:sz w:val="20"/>
          <w:szCs w:val="20"/>
        </w:rPr>
        <w:t>,</w:t>
      </w:r>
      <w:r w:rsidR="00162FFA" w:rsidRPr="005E6D62">
        <w:rPr>
          <w:sz w:val="20"/>
          <w:szCs w:val="20"/>
        </w:rPr>
        <w:t xml:space="preserve"> forty-second </w:t>
      </w:r>
      <w:r w:rsidR="005E6D62" w:rsidRPr="005E6D62">
        <w:rPr>
          <w:sz w:val="20"/>
          <w:szCs w:val="20"/>
        </w:rPr>
        <w:t>(</w:t>
      </w:r>
      <w:r w:rsidR="005E6D62" w:rsidRPr="005E6D62">
        <w:rPr>
          <w:bCs/>
          <w:sz w:val="20"/>
          <w:szCs w:val="20"/>
        </w:rPr>
        <w:t>INF.15)</w:t>
      </w:r>
      <w:r w:rsidR="00A559FB">
        <w:rPr>
          <w:sz w:val="20"/>
          <w:szCs w:val="20"/>
        </w:rPr>
        <w:t>,</w:t>
      </w:r>
      <w:r w:rsidR="00F10E10">
        <w:rPr>
          <w:sz w:val="20"/>
          <w:szCs w:val="20"/>
        </w:rPr>
        <w:t xml:space="preserve"> forty-third (INF.</w:t>
      </w:r>
      <w:r w:rsidR="00F8246F">
        <w:rPr>
          <w:sz w:val="20"/>
          <w:szCs w:val="20"/>
        </w:rPr>
        <w:t>26)</w:t>
      </w:r>
      <w:r w:rsidR="00A559FB">
        <w:rPr>
          <w:sz w:val="20"/>
          <w:szCs w:val="20"/>
        </w:rPr>
        <w:t xml:space="preserve"> and forty-fourth </w:t>
      </w:r>
      <w:r w:rsidR="00A559FB" w:rsidRPr="00A559FB">
        <w:rPr>
          <w:sz w:val="20"/>
          <w:szCs w:val="20"/>
        </w:rPr>
        <w:t>(</w:t>
      </w:r>
      <w:r w:rsidR="00A559FB" w:rsidRPr="00A559FB">
        <w:rPr>
          <w:rStyle w:val="Strong"/>
          <w:b w:val="0"/>
          <w:sz w:val="20"/>
          <w:szCs w:val="20"/>
        </w:rPr>
        <w:t>INF.17)</w:t>
      </w:r>
      <w:r w:rsidR="00F8246F">
        <w:rPr>
          <w:sz w:val="20"/>
          <w:szCs w:val="20"/>
        </w:rPr>
        <w:t xml:space="preserve"> </w:t>
      </w:r>
      <w:r w:rsidR="00162FFA" w:rsidRPr="00DE6277">
        <w:rPr>
          <w:color w:val="auto"/>
          <w:sz w:val="20"/>
          <w:szCs w:val="20"/>
        </w:rPr>
        <w:t>session</w:t>
      </w:r>
      <w:r w:rsidR="00F8246F">
        <w:rPr>
          <w:color w:val="auto"/>
          <w:sz w:val="20"/>
          <w:szCs w:val="20"/>
        </w:rPr>
        <w:t>s</w:t>
      </w:r>
      <w:r w:rsidR="00162FFA" w:rsidRPr="00DE6277">
        <w:rPr>
          <w:color w:val="auto"/>
          <w:sz w:val="20"/>
          <w:szCs w:val="20"/>
        </w:rPr>
        <w:t xml:space="preserve">. </w:t>
      </w:r>
      <w:r w:rsidR="00F8246F">
        <w:rPr>
          <w:color w:val="auto"/>
          <w:sz w:val="20"/>
          <w:szCs w:val="20"/>
        </w:rPr>
        <w:t xml:space="preserve">At the </w:t>
      </w:r>
      <w:r w:rsidR="00F8246F">
        <w:rPr>
          <w:sz w:val="20"/>
          <w:szCs w:val="20"/>
        </w:rPr>
        <w:t>forty-third</w:t>
      </w:r>
      <w:r w:rsidR="00F8246F">
        <w:rPr>
          <w:color w:val="auto"/>
          <w:sz w:val="20"/>
          <w:szCs w:val="20"/>
        </w:rPr>
        <w:t xml:space="preserve"> session the </w:t>
      </w:r>
      <w:r w:rsidR="00F8246F" w:rsidRPr="005E6D62">
        <w:rPr>
          <w:sz w:val="20"/>
          <w:szCs w:val="20"/>
        </w:rPr>
        <w:t xml:space="preserve">Sub-Committee </w:t>
      </w:r>
      <w:r w:rsidR="00F8246F" w:rsidRPr="00DE6277">
        <w:rPr>
          <w:color w:val="auto"/>
          <w:sz w:val="20"/>
          <w:szCs w:val="20"/>
          <w:lang w:val="en-CA" w:eastAsia="en-US"/>
        </w:rPr>
        <w:t>agree</w:t>
      </w:r>
      <w:r w:rsidR="00F8246F">
        <w:rPr>
          <w:color w:val="auto"/>
          <w:sz w:val="20"/>
          <w:szCs w:val="20"/>
          <w:lang w:val="en-CA" w:eastAsia="en-US"/>
        </w:rPr>
        <w:t>d</w:t>
      </w:r>
      <w:r w:rsidR="00F8246F" w:rsidRPr="00DE6277">
        <w:rPr>
          <w:color w:val="auto"/>
          <w:sz w:val="20"/>
          <w:szCs w:val="20"/>
          <w:lang w:val="en-CA" w:eastAsia="en-US"/>
        </w:rPr>
        <w:t xml:space="preserve"> to carry-over the program of </w:t>
      </w:r>
      <w:r w:rsidR="00F8246F">
        <w:rPr>
          <w:color w:val="auto"/>
          <w:sz w:val="20"/>
          <w:szCs w:val="20"/>
          <w:lang w:val="en-CA" w:eastAsia="en-US"/>
        </w:rPr>
        <w:t xml:space="preserve">work of the informal working group </w:t>
      </w:r>
      <w:r w:rsidR="00F8246F" w:rsidRPr="00DE6277">
        <w:rPr>
          <w:color w:val="auto"/>
          <w:sz w:val="20"/>
          <w:szCs w:val="20"/>
          <w:lang w:val="en-CA" w:eastAsia="en-US"/>
        </w:rPr>
        <w:t>work into the 2023-2024 biennium.</w:t>
      </w:r>
      <w:r w:rsidR="00F8246F">
        <w:rPr>
          <w:sz w:val="20"/>
          <w:szCs w:val="20"/>
          <w:lang w:val="en-CA"/>
        </w:rPr>
        <w:t xml:space="preserve"> </w:t>
      </w:r>
      <w:r w:rsidR="00162FFA" w:rsidRPr="00DE6277">
        <w:rPr>
          <w:color w:val="auto"/>
          <w:sz w:val="20"/>
          <w:szCs w:val="20"/>
        </w:rPr>
        <w:t xml:space="preserve">The informal working group </w:t>
      </w:r>
      <w:r w:rsidR="00F8246F">
        <w:rPr>
          <w:color w:val="auto"/>
          <w:sz w:val="20"/>
          <w:szCs w:val="20"/>
        </w:rPr>
        <w:t xml:space="preserve">is </w:t>
      </w:r>
      <w:r w:rsidR="00162FFA" w:rsidRPr="00DE6277">
        <w:rPr>
          <w:color w:val="auto"/>
          <w:sz w:val="20"/>
          <w:szCs w:val="20"/>
        </w:rPr>
        <w:t xml:space="preserve">aiming on finalisation of the revision of </w:t>
      </w:r>
      <w:r w:rsidR="000624F6">
        <w:rPr>
          <w:color w:val="auto"/>
          <w:sz w:val="20"/>
          <w:szCs w:val="20"/>
        </w:rPr>
        <w:t>c</w:t>
      </w:r>
      <w:r w:rsidR="00162FFA" w:rsidRPr="00DE6277">
        <w:rPr>
          <w:color w:val="auto"/>
          <w:sz w:val="20"/>
          <w:szCs w:val="20"/>
        </w:rPr>
        <w:t xml:space="preserve">hapter 3.5 by the end </w:t>
      </w:r>
      <w:r w:rsidR="000D62D6">
        <w:rPr>
          <w:color w:val="auto"/>
          <w:sz w:val="20"/>
          <w:szCs w:val="20"/>
        </w:rPr>
        <w:t xml:space="preserve">of </w:t>
      </w:r>
      <w:r w:rsidR="00162FFA" w:rsidRPr="00DE6277">
        <w:rPr>
          <w:color w:val="auto"/>
          <w:sz w:val="20"/>
          <w:szCs w:val="20"/>
        </w:rPr>
        <w:t xml:space="preserve">2024. </w:t>
      </w:r>
    </w:p>
    <w:p w14:paraId="2D393715" w14:textId="2F185FFD" w:rsidR="00CD3626" w:rsidRPr="00B17791" w:rsidRDefault="00AE28A5" w:rsidP="00975131">
      <w:pPr>
        <w:pStyle w:val="HChG"/>
        <w:tabs>
          <w:tab w:val="left" w:pos="1701"/>
        </w:tabs>
        <w:ind w:firstLine="0"/>
        <w:rPr>
          <w:rFonts w:eastAsiaTheme="minorHAnsi"/>
          <w:lang w:val="en-US"/>
        </w:rPr>
      </w:pPr>
      <w:r>
        <w:rPr>
          <w:rFonts w:eastAsiaTheme="minorHAnsi"/>
          <w:lang w:val="en-US"/>
        </w:rPr>
        <w:t xml:space="preserve">Status </w:t>
      </w:r>
      <w:r w:rsidR="00265C0E">
        <w:rPr>
          <w:rFonts w:eastAsiaTheme="minorHAnsi"/>
          <w:lang w:val="en-US"/>
        </w:rPr>
        <w:t>r</w:t>
      </w:r>
      <w:r>
        <w:rPr>
          <w:rFonts w:eastAsiaTheme="minorHAnsi"/>
          <w:lang w:val="en-US"/>
        </w:rPr>
        <w:t>eport</w:t>
      </w:r>
    </w:p>
    <w:p w14:paraId="39FA2C61" w14:textId="4EB43305" w:rsidR="00DD35CA" w:rsidRDefault="00FD7CB8" w:rsidP="00265C0E">
      <w:pPr>
        <w:pStyle w:val="SingleTxtG"/>
      </w:pPr>
      <w:r>
        <w:rPr>
          <w:rFonts w:eastAsiaTheme="minorHAnsi"/>
        </w:rPr>
        <w:t>3</w:t>
      </w:r>
      <w:r w:rsidR="00265C0E" w:rsidRPr="00265C0E">
        <w:rPr>
          <w:rFonts w:eastAsiaTheme="minorHAnsi"/>
        </w:rPr>
        <w:t>.</w:t>
      </w:r>
      <w:r w:rsidR="00265C0E" w:rsidRPr="00265C0E">
        <w:rPr>
          <w:rFonts w:eastAsiaTheme="minorHAnsi"/>
        </w:rPr>
        <w:tab/>
      </w:r>
      <w:r w:rsidR="007E7D49">
        <w:rPr>
          <w:rFonts w:eastAsiaTheme="minorHAnsi"/>
        </w:rPr>
        <w:t xml:space="preserve">As a follow-up to </w:t>
      </w:r>
      <w:r w:rsidR="008C0CA5">
        <w:rPr>
          <w:rFonts w:eastAsiaTheme="minorHAnsi"/>
        </w:rPr>
        <w:t>the forty-</w:t>
      </w:r>
      <w:r w:rsidR="00A559FB">
        <w:rPr>
          <w:rFonts w:eastAsiaTheme="minorHAnsi"/>
        </w:rPr>
        <w:t>fourth</w:t>
      </w:r>
      <w:r w:rsidR="005341D1">
        <w:rPr>
          <w:rFonts w:eastAsiaTheme="minorHAnsi"/>
        </w:rPr>
        <w:t xml:space="preserve"> session</w:t>
      </w:r>
      <w:r w:rsidR="006F0819">
        <w:rPr>
          <w:rFonts w:eastAsiaTheme="minorHAnsi"/>
        </w:rPr>
        <w:t>,</w:t>
      </w:r>
      <w:r w:rsidR="00162FFA">
        <w:rPr>
          <w:rFonts w:eastAsiaTheme="minorHAnsi"/>
        </w:rPr>
        <w:t xml:space="preserve"> the informal working group progressed the </w:t>
      </w:r>
      <w:r w:rsidR="00162FFA" w:rsidRPr="00D601BF">
        <w:rPr>
          <w:rFonts w:eastAsiaTheme="minorHAnsi"/>
        </w:rPr>
        <w:t>revisions and on-going discussion</w:t>
      </w:r>
      <w:r w:rsidR="007E7D49" w:rsidRPr="00D601BF">
        <w:rPr>
          <w:rFonts w:eastAsiaTheme="minorHAnsi"/>
        </w:rPr>
        <w:t>s</w:t>
      </w:r>
      <w:r w:rsidR="00162FFA" w:rsidRPr="00D601BF">
        <w:rPr>
          <w:rFonts w:eastAsiaTheme="minorHAnsi"/>
        </w:rPr>
        <w:t xml:space="preserve"> </w:t>
      </w:r>
      <w:r w:rsidR="007E7D49" w:rsidRPr="00D601BF">
        <w:rPr>
          <w:rFonts w:eastAsiaTheme="minorHAnsi"/>
        </w:rPr>
        <w:t>through</w:t>
      </w:r>
      <w:r w:rsidR="00162FFA" w:rsidRPr="00D601BF">
        <w:rPr>
          <w:rFonts w:eastAsiaTheme="minorHAnsi"/>
        </w:rPr>
        <w:t xml:space="preserve"> written </w:t>
      </w:r>
      <w:r w:rsidR="007E7D49" w:rsidRPr="00D601BF">
        <w:rPr>
          <w:rFonts w:eastAsiaTheme="minorHAnsi"/>
        </w:rPr>
        <w:t>procedure</w:t>
      </w:r>
      <w:r w:rsidR="00162FFA" w:rsidRPr="00D601BF">
        <w:rPr>
          <w:rFonts w:eastAsiaTheme="minorHAnsi"/>
        </w:rPr>
        <w:t xml:space="preserve"> </w:t>
      </w:r>
      <w:r w:rsidR="006F0819" w:rsidRPr="00D601BF">
        <w:rPr>
          <w:rFonts w:eastAsiaTheme="minorHAnsi"/>
        </w:rPr>
        <w:t xml:space="preserve">and </w:t>
      </w:r>
      <w:r w:rsidR="00A559FB">
        <w:rPr>
          <w:rFonts w:eastAsiaTheme="minorHAnsi"/>
        </w:rPr>
        <w:t>three</w:t>
      </w:r>
      <w:r w:rsidR="00162FFA" w:rsidRPr="00D601BF">
        <w:rPr>
          <w:rFonts w:eastAsiaTheme="minorHAnsi"/>
        </w:rPr>
        <w:t xml:space="preserve"> </w:t>
      </w:r>
      <w:r w:rsidR="006F0819" w:rsidRPr="00D601BF">
        <w:rPr>
          <w:rFonts w:eastAsiaTheme="minorHAnsi"/>
        </w:rPr>
        <w:t xml:space="preserve">online </w:t>
      </w:r>
      <w:r w:rsidR="00162FFA" w:rsidRPr="00D601BF">
        <w:rPr>
          <w:rFonts w:eastAsiaTheme="minorHAnsi"/>
        </w:rPr>
        <w:t>meeting</w:t>
      </w:r>
      <w:r w:rsidR="00F8246F" w:rsidRPr="00D601BF">
        <w:rPr>
          <w:rFonts w:eastAsiaTheme="minorHAnsi"/>
        </w:rPr>
        <w:t>s</w:t>
      </w:r>
      <w:r w:rsidR="00516D65" w:rsidRPr="00D601BF">
        <w:rPr>
          <w:rFonts w:eastAsiaTheme="minorHAnsi"/>
        </w:rPr>
        <w:t xml:space="preserve">. </w:t>
      </w:r>
      <w:r w:rsidR="00834F17">
        <w:t>Items</w:t>
      </w:r>
      <w:r w:rsidR="00FF5964" w:rsidRPr="00D601BF">
        <w:t xml:space="preserve"> discussed and agreed are summarised in a living working document revised after each meeting.  </w:t>
      </w:r>
      <w:r w:rsidR="00834F17">
        <w:t>Any issues related to the activities of the informal working g</w:t>
      </w:r>
      <w:r w:rsidR="002F7542">
        <w:t>roup on non-animal test methods</w:t>
      </w:r>
      <w:r w:rsidR="00834F17">
        <w:t xml:space="preserve"> were</w:t>
      </w:r>
      <w:r w:rsidR="002F7542">
        <w:t>,</w:t>
      </w:r>
      <w:r w:rsidR="00834F17">
        <w:t xml:space="preserve"> in agreement with the leads of the other informal working group</w:t>
      </w:r>
      <w:r w:rsidR="00FC67E3">
        <w:t>,</w:t>
      </w:r>
      <w:r w:rsidR="00834F17">
        <w:t xml:space="preserve"> listed and share</w:t>
      </w:r>
      <w:r w:rsidR="006B1551">
        <w:t>d</w:t>
      </w:r>
      <w:r w:rsidR="002F7542">
        <w:t xml:space="preserve"> for further consultation with</w:t>
      </w:r>
      <w:r w:rsidR="00834F17">
        <w:t xml:space="preserve"> that group</w:t>
      </w:r>
      <w:r w:rsidR="002F7542">
        <w:t>.</w:t>
      </w:r>
      <w:r w:rsidR="00834F17">
        <w:t xml:space="preserve"> </w:t>
      </w:r>
      <w:r w:rsidR="002F7542">
        <w:t>T</w:t>
      </w:r>
      <w:r w:rsidR="009A573C">
        <w:t xml:space="preserve">his list </w:t>
      </w:r>
      <w:r w:rsidR="00834F17">
        <w:t xml:space="preserve">is also annexed to this document for </w:t>
      </w:r>
      <w:r w:rsidR="006B1551">
        <w:t>transparency to the Sub-Committee</w:t>
      </w:r>
      <w:r w:rsidR="00834F17">
        <w:t>.</w:t>
      </w:r>
    </w:p>
    <w:p w14:paraId="7F4355EB" w14:textId="5591055C" w:rsidR="006B1551" w:rsidRPr="006B1551" w:rsidRDefault="006B1551" w:rsidP="00265C0E">
      <w:pPr>
        <w:pStyle w:val="SingleTxtG"/>
      </w:pPr>
      <w:r w:rsidRPr="006B1551">
        <w:t xml:space="preserve">4. </w:t>
      </w:r>
      <w:r w:rsidR="00117558">
        <w:tab/>
      </w:r>
      <w:r w:rsidRPr="006B1551">
        <w:rPr>
          <w:rFonts w:eastAsiaTheme="minorHAnsi"/>
        </w:rPr>
        <w:t xml:space="preserve">The informal working group agreed to </w:t>
      </w:r>
      <w:r w:rsidR="00FB478E">
        <w:rPr>
          <w:rFonts w:eastAsiaTheme="minorHAnsi"/>
        </w:rPr>
        <w:t>consider</w:t>
      </w:r>
      <w:r w:rsidR="00FB478E" w:rsidRPr="006B1551">
        <w:rPr>
          <w:rFonts w:eastAsiaTheme="minorHAnsi"/>
        </w:rPr>
        <w:t xml:space="preserve"> </w:t>
      </w:r>
      <w:r w:rsidR="006D2754">
        <w:rPr>
          <w:rFonts w:eastAsiaTheme="minorHAnsi"/>
        </w:rPr>
        <w:t xml:space="preserve">replacing the current GHS </w:t>
      </w:r>
      <w:r w:rsidR="00144674">
        <w:rPr>
          <w:rFonts w:eastAsiaTheme="minorHAnsi"/>
        </w:rPr>
        <w:t>text on the terms “genotoxic and genotoxicity”</w:t>
      </w:r>
      <w:r w:rsidR="006D2754">
        <w:rPr>
          <w:rFonts w:eastAsiaTheme="minorHAnsi"/>
        </w:rPr>
        <w:t xml:space="preserve"> with </w:t>
      </w:r>
      <w:r w:rsidRPr="006B1551">
        <w:rPr>
          <w:rFonts w:eastAsiaTheme="minorHAnsi"/>
        </w:rPr>
        <w:t>the OECD definition of genotoxic</w:t>
      </w:r>
      <w:r w:rsidR="00144674">
        <w:rPr>
          <w:rFonts w:eastAsiaTheme="minorHAnsi"/>
        </w:rPr>
        <w:t>i</w:t>
      </w:r>
      <w:r w:rsidRPr="006B1551">
        <w:rPr>
          <w:rFonts w:eastAsiaTheme="minorHAnsi"/>
        </w:rPr>
        <w:t>ty</w:t>
      </w:r>
      <w:r w:rsidR="006D2754">
        <w:rPr>
          <w:rFonts w:eastAsiaTheme="minorHAnsi"/>
        </w:rPr>
        <w:t>.</w:t>
      </w:r>
      <w:r w:rsidRPr="006B1551">
        <w:rPr>
          <w:rFonts w:eastAsiaTheme="minorHAnsi"/>
        </w:rPr>
        <w:t xml:space="preserve"> </w:t>
      </w:r>
      <w:r w:rsidR="006D2754">
        <w:rPr>
          <w:rFonts w:eastAsiaTheme="minorHAnsi"/>
        </w:rPr>
        <w:t>While this</w:t>
      </w:r>
      <w:r w:rsidR="006D2754" w:rsidRPr="006B1551">
        <w:rPr>
          <w:rFonts w:eastAsiaTheme="minorHAnsi"/>
        </w:rPr>
        <w:t xml:space="preserve"> </w:t>
      </w:r>
      <w:r w:rsidRPr="006B1551">
        <w:rPr>
          <w:rFonts w:eastAsiaTheme="minorHAnsi"/>
        </w:rPr>
        <w:t xml:space="preserve">was </w:t>
      </w:r>
      <w:r w:rsidRPr="006B1551">
        <w:t xml:space="preserve">supported by several members, </w:t>
      </w:r>
      <w:r w:rsidR="006D2754">
        <w:t>some experts objected to</w:t>
      </w:r>
      <w:r w:rsidRPr="006B1551">
        <w:t xml:space="preserve"> the use of “primary DNA </w:t>
      </w:r>
      <w:r w:rsidRPr="006B1551">
        <w:lastRenderedPageBreak/>
        <w:t xml:space="preserve">damage” when referring to indicator tests. This terminology was considered misleading. GTTC/OECD experts were also consulted and </w:t>
      </w:r>
      <w:r w:rsidR="009A573C">
        <w:t xml:space="preserve">it was </w:t>
      </w:r>
      <w:r w:rsidRPr="006B1551">
        <w:t>agree</w:t>
      </w:r>
      <w:r w:rsidR="009A573C">
        <w:t>d</w:t>
      </w:r>
      <w:r w:rsidRPr="006B1551">
        <w:t xml:space="preserve"> to replace “primary DNA damage” with “genotoxicity indicator tests”.</w:t>
      </w:r>
      <w:r w:rsidR="00117558">
        <w:t xml:space="preserve"> The United States of America</w:t>
      </w:r>
      <w:r w:rsidRPr="006B1551">
        <w:t xml:space="preserve"> proposed a </w:t>
      </w:r>
      <w:r w:rsidR="00600B25">
        <w:t xml:space="preserve">partly </w:t>
      </w:r>
      <w:r w:rsidRPr="006B1551">
        <w:t xml:space="preserve">new </w:t>
      </w:r>
      <w:r w:rsidR="00600B25">
        <w:t xml:space="preserve">simplified </w:t>
      </w:r>
      <w:r w:rsidRPr="006B1551">
        <w:t xml:space="preserve">version of the </w:t>
      </w:r>
      <w:r w:rsidR="00600B25">
        <w:t>OECD text</w:t>
      </w:r>
      <w:r w:rsidR="009A573C">
        <w:t xml:space="preserve"> </w:t>
      </w:r>
      <w:r w:rsidRPr="006B1551">
        <w:t>for consideration, that lead to further revisions in the definition, which are still to be agreed by the group.</w:t>
      </w:r>
    </w:p>
    <w:p w14:paraId="1E68E7E2" w14:textId="37877323" w:rsidR="00F1403F" w:rsidRDefault="006B1551" w:rsidP="006B1551">
      <w:pPr>
        <w:pStyle w:val="SingleTxtG"/>
      </w:pPr>
      <w:r>
        <w:t>5</w:t>
      </w:r>
      <w:r w:rsidR="00DD35CA">
        <w:t xml:space="preserve">. </w:t>
      </w:r>
      <w:r w:rsidR="00117558">
        <w:tab/>
      </w:r>
      <w:r w:rsidR="00FF5964">
        <w:rPr>
          <w:rFonts w:eastAsiaTheme="minorHAnsi"/>
        </w:rPr>
        <w:t>T</w:t>
      </w:r>
      <w:r w:rsidR="006D1925">
        <w:rPr>
          <w:rFonts w:eastAsiaTheme="minorHAnsi"/>
        </w:rPr>
        <w:t xml:space="preserve">he informal working group </w:t>
      </w:r>
      <w:r w:rsidR="00A559FB">
        <w:rPr>
          <w:rFonts w:eastAsiaTheme="minorHAnsi"/>
        </w:rPr>
        <w:t>discussed the</w:t>
      </w:r>
      <w:r w:rsidR="002F62BE">
        <w:t xml:space="preserve"> text on non-testing methods </w:t>
      </w:r>
      <w:r w:rsidR="00A559FB">
        <w:t xml:space="preserve">carried over from the recently revised </w:t>
      </w:r>
      <w:r w:rsidR="002F62BE">
        <w:t>chapters 3.2-3.4</w:t>
      </w:r>
      <w:r w:rsidR="00A559FB">
        <w:t xml:space="preserve"> to be consistent with those</w:t>
      </w:r>
      <w:r w:rsidR="002F62BE">
        <w:t xml:space="preserve">. However, </w:t>
      </w:r>
      <w:r w:rsidR="00A559FB">
        <w:t xml:space="preserve">the informal working group discussed this in some length as germ cell mutagenicity is considered a more critical hazard than the </w:t>
      </w:r>
      <w:r>
        <w:t xml:space="preserve">health </w:t>
      </w:r>
      <w:r w:rsidR="00A559FB">
        <w:t xml:space="preserve">hazards dealt with in the earlier chapters. </w:t>
      </w:r>
      <w:r w:rsidR="00DD35CA">
        <w:t xml:space="preserve">The text related to non-testing methods is still not finalised, and some issues are referred back to the informal working group on non-animal test methods (see </w:t>
      </w:r>
      <w:r>
        <w:t>annex</w:t>
      </w:r>
      <w:r w:rsidR="00DD35CA">
        <w:t xml:space="preserve">). </w:t>
      </w:r>
    </w:p>
    <w:p w14:paraId="47DAA456" w14:textId="156A879B" w:rsidR="00DD35CA" w:rsidRDefault="006B1551" w:rsidP="00DD35CA">
      <w:pPr>
        <w:pStyle w:val="SingleTxtG"/>
      </w:pPr>
      <w:r>
        <w:rPr>
          <w:rFonts w:eastAsiaTheme="minorHAnsi"/>
        </w:rPr>
        <w:t>6</w:t>
      </w:r>
      <w:r w:rsidR="006F0819" w:rsidRPr="005E6D62">
        <w:rPr>
          <w:rFonts w:eastAsiaTheme="minorHAnsi"/>
        </w:rPr>
        <w:t xml:space="preserve">. </w:t>
      </w:r>
      <w:r w:rsidR="006F0819" w:rsidRPr="005E6D62">
        <w:rPr>
          <w:rFonts w:eastAsiaTheme="minorHAnsi"/>
        </w:rPr>
        <w:tab/>
      </w:r>
      <w:r>
        <w:rPr>
          <w:rFonts w:eastAsiaTheme="minorHAnsi"/>
        </w:rPr>
        <w:t xml:space="preserve">Another issue discussed was </w:t>
      </w:r>
      <w:r w:rsidR="00A84DE3">
        <w:rPr>
          <w:rFonts w:eastAsiaTheme="minorHAnsi"/>
        </w:rPr>
        <w:t>the introduction of</w:t>
      </w:r>
      <w:r>
        <w:rPr>
          <w:rFonts w:eastAsiaTheme="minorHAnsi"/>
        </w:rPr>
        <w:t xml:space="preserve"> a tiered approach to guide </w:t>
      </w:r>
      <w:r w:rsidR="00FB478E">
        <w:rPr>
          <w:rFonts w:eastAsiaTheme="minorHAnsi"/>
        </w:rPr>
        <w:t>data organization for</w:t>
      </w:r>
      <w:r w:rsidR="00A84DE3">
        <w:rPr>
          <w:rFonts w:eastAsiaTheme="minorHAnsi"/>
        </w:rPr>
        <w:t xml:space="preserve"> classification decision</w:t>
      </w:r>
      <w:r w:rsidR="00FB478E">
        <w:rPr>
          <w:rFonts w:eastAsiaTheme="minorHAnsi"/>
        </w:rPr>
        <w:t>-making</w:t>
      </w:r>
      <w:r w:rsidR="00A84DE3">
        <w:rPr>
          <w:rFonts w:eastAsiaTheme="minorHAnsi"/>
        </w:rPr>
        <w:t xml:space="preserve"> based on available information. Whether this is useful for germ cell mutagenicity is still </w:t>
      </w:r>
      <w:r w:rsidR="00FB6110">
        <w:rPr>
          <w:rFonts w:eastAsiaTheme="minorHAnsi"/>
        </w:rPr>
        <w:t xml:space="preserve">under </w:t>
      </w:r>
      <w:r w:rsidR="00A84DE3">
        <w:rPr>
          <w:rFonts w:eastAsiaTheme="minorHAnsi"/>
        </w:rPr>
        <w:t>consider</w:t>
      </w:r>
      <w:r w:rsidR="00FB6110">
        <w:rPr>
          <w:rFonts w:eastAsiaTheme="minorHAnsi"/>
        </w:rPr>
        <w:t>ation</w:t>
      </w:r>
      <w:r w:rsidR="00A84DE3">
        <w:rPr>
          <w:rFonts w:eastAsiaTheme="minorHAnsi"/>
        </w:rPr>
        <w:t xml:space="preserve">, as </w:t>
      </w:r>
      <w:r w:rsidR="00600B25">
        <w:rPr>
          <w:rFonts w:eastAsiaTheme="minorHAnsi"/>
        </w:rPr>
        <w:t>often</w:t>
      </w:r>
      <w:r w:rsidR="00A84DE3">
        <w:rPr>
          <w:rFonts w:eastAsiaTheme="minorHAnsi"/>
        </w:rPr>
        <w:t xml:space="preserve"> a weight of evidence assessment of all available data is usually made.</w:t>
      </w:r>
      <w:r>
        <w:rPr>
          <w:rFonts w:eastAsiaTheme="minorHAnsi"/>
        </w:rPr>
        <w:t xml:space="preserve"> </w:t>
      </w:r>
    </w:p>
    <w:p w14:paraId="630D0461" w14:textId="0E6B3350" w:rsidR="00A84DE3" w:rsidRDefault="00A84DE3" w:rsidP="005A7B6C">
      <w:pPr>
        <w:spacing w:after="120"/>
        <w:ind w:left="1134" w:right="1134"/>
        <w:jc w:val="both"/>
      </w:pPr>
      <w:r>
        <w:t>7</w:t>
      </w:r>
      <w:r w:rsidR="00CA3437">
        <w:t>.</w:t>
      </w:r>
      <w:r>
        <w:t xml:space="preserve"> </w:t>
      </w:r>
      <w:r w:rsidR="00A112A9">
        <w:tab/>
      </w:r>
      <w:r>
        <w:t xml:space="preserve">It was agreed that the </w:t>
      </w:r>
      <w:r w:rsidR="00FB6110">
        <w:t xml:space="preserve">section </w:t>
      </w:r>
      <w:r>
        <w:t>on in vitro methods need</w:t>
      </w:r>
      <w:r w:rsidR="00600B25">
        <w:t>s</w:t>
      </w:r>
      <w:r>
        <w:t xml:space="preserve"> to be further elaborated, to better understand how data from these methods can be used also </w:t>
      </w:r>
      <w:r w:rsidR="00FC67E3">
        <w:t xml:space="preserve">in </w:t>
      </w:r>
      <w:r>
        <w:t xml:space="preserve">support </w:t>
      </w:r>
      <w:r w:rsidR="00FB6110">
        <w:t xml:space="preserve">to </w:t>
      </w:r>
      <w:r>
        <w:t xml:space="preserve">the animal </w:t>
      </w:r>
      <w:r w:rsidR="00FB6110">
        <w:t>data.</w:t>
      </w:r>
      <w:r>
        <w:t xml:space="preserve"> The group will also consider whether in vitro </w:t>
      </w:r>
      <w:r w:rsidR="00FC67E3">
        <w:t xml:space="preserve">data </w:t>
      </w:r>
      <w:r>
        <w:t xml:space="preserve">could be used for classification </w:t>
      </w:r>
      <w:r w:rsidR="00FB6110">
        <w:t xml:space="preserve">in the absence of </w:t>
      </w:r>
      <w:r>
        <w:t xml:space="preserve">additional evidence, in case all underpinning mechanisms to mutagenicity are </w:t>
      </w:r>
      <w:r w:rsidR="00FB6110">
        <w:t>covered within an in vitro</w:t>
      </w:r>
      <w:r>
        <w:t xml:space="preserve"> test battery. </w:t>
      </w:r>
      <w:r w:rsidR="00CA3437">
        <w:t xml:space="preserve"> </w:t>
      </w:r>
    </w:p>
    <w:p w14:paraId="57836DF0" w14:textId="419C2B1A" w:rsidR="00A84DE3" w:rsidRPr="009D33FE" w:rsidRDefault="00A84DE3" w:rsidP="009D33FE">
      <w:pPr>
        <w:pStyle w:val="SingleTxtG"/>
      </w:pPr>
      <w:r w:rsidRPr="009D33FE">
        <w:t xml:space="preserve">8. </w:t>
      </w:r>
      <w:r w:rsidR="00A112A9" w:rsidRPr="009D33FE">
        <w:tab/>
      </w:r>
      <w:r w:rsidRPr="009D33FE">
        <w:t xml:space="preserve">A proposal was made to clarify </w:t>
      </w:r>
      <w:r w:rsidR="009A573C" w:rsidRPr="009D33FE">
        <w:t xml:space="preserve">the </w:t>
      </w:r>
      <w:r w:rsidRPr="009D33FE">
        <w:t xml:space="preserve">category 2 </w:t>
      </w:r>
      <w:r w:rsidR="00FC67E3" w:rsidRPr="009D33FE">
        <w:t xml:space="preserve">definition </w:t>
      </w:r>
      <w:r w:rsidRPr="009D33FE">
        <w:t>being more explicit on the fact that this category includes substances known to induce somatic mutations</w:t>
      </w:r>
      <w:r w:rsidR="00FC67E3" w:rsidRPr="009D33FE">
        <w:t xml:space="preserve"> in cells of humans</w:t>
      </w:r>
      <w:r w:rsidRPr="009D33FE">
        <w:t xml:space="preserve"> or to be regarded as if they induce somatic mutations in humans. The current definition only states “Substances which cause concern for humans owing to the possibility that they may induce heritable mutations in the germ cells of humans”. </w:t>
      </w:r>
      <w:r w:rsidR="009A573C" w:rsidRPr="009D33FE">
        <w:t xml:space="preserve">This is not a change in the criteria as such, but clarifies that </w:t>
      </w:r>
      <w:r w:rsidR="00600B25" w:rsidRPr="009D33FE">
        <w:t>for</w:t>
      </w:r>
      <w:r w:rsidR="009A573C" w:rsidRPr="009D33FE">
        <w:t xml:space="preserve"> </w:t>
      </w:r>
      <w:r w:rsidRPr="009D33FE">
        <w:t>germ cell mutagenicity category 2</w:t>
      </w:r>
      <w:r w:rsidR="00600B25" w:rsidRPr="009D33FE">
        <w:t>,</w:t>
      </w:r>
      <w:r w:rsidRPr="009D33FE">
        <w:t xml:space="preserve"> there is the demonstration of an effect, i.e. mutagenicity in somatic cells. This is different </w:t>
      </w:r>
      <w:r w:rsidR="009A573C" w:rsidRPr="009D33FE">
        <w:t xml:space="preserve">from the category 2 </w:t>
      </w:r>
      <w:r w:rsidR="00600B25" w:rsidRPr="009D33FE">
        <w:t xml:space="preserve">of the </w:t>
      </w:r>
      <w:r w:rsidR="00FB6110" w:rsidRPr="009D33FE">
        <w:t xml:space="preserve">hazard </w:t>
      </w:r>
      <w:r w:rsidR="00600B25" w:rsidRPr="009D33FE">
        <w:t>classes for</w:t>
      </w:r>
      <w:r w:rsidR="009A573C" w:rsidRPr="009D33FE">
        <w:t xml:space="preserve"> </w:t>
      </w:r>
      <w:r w:rsidRPr="009D33FE">
        <w:t>carcinogen</w:t>
      </w:r>
      <w:r w:rsidR="009A573C" w:rsidRPr="009D33FE">
        <w:t>icity and reproductive toxicity,</w:t>
      </w:r>
      <w:r w:rsidRPr="009D33FE">
        <w:t xml:space="preserve"> where category 2 does not comprise enough evidence </w:t>
      </w:r>
      <w:r w:rsidR="00600B25" w:rsidRPr="009D33FE">
        <w:t>for classification</w:t>
      </w:r>
      <w:r w:rsidRPr="009D33FE">
        <w:t xml:space="preserve"> in category 1.</w:t>
      </w:r>
      <w:r w:rsidR="009A573C" w:rsidRPr="009D33FE">
        <w:t xml:space="preserve"> This issue will be further discussed based on a thought starter prepared by the Netherlands.</w:t>
      </w:r>
    </w:p>
    <w:p w14:paraId="25A03A2B" w14:textId="63D490B6" w:rsidR="00FC53B1" w:rsidRDefault="009A573C" w:rsidP="00CA3437">
      <w:pPr>
        <w:pStyle w:val="SingleTxtG"/>
        <w:rPr>
          <w:rFonts w:eastAsiaTheme="minorHAnsi"/>
        </w:rPr>
      </w:pPr>
      <w:r>
        <w:rPr>
          <w:rFonts w:eastAsiaTheme="minorHAnsi"/>
        </w:rPr>
        <w:t>9</w:t>
      </w:r>
      <w:r w:rsidR="00265C0E" w:rsidRPr="00265C0E">
        <w:rPr>
          <w:rFonts w:eastAsiaTheme="minorHAnsi"/>
        </w:rPr>
        <w:t>.</w:t>
      </w:r>
      <w:r w:rsidR="00265C0E" w:rsidRPr="00265C0E">
        <w:rPr>
          <w:rFonts w:eastAsiaTheme="minorHAnsi"/>
        </w:rPr>
        <w:tab/>
      </w:r>
      <w:r w:rsidR="00CA3437" w:rsidRPr="00265C0E">
        <w:rPr>
          <w:rFonts w:eastAsiaTheme="minorHAnsi"/>
        </w:rPr>
        <w:t xml:space="preserve">The Genetic Toxicology Technical Committee (GTTC) of the Health and Environmental Science Institute (HESI) </w:t>
      </w:r>
      <w:r w:rsidR="00CA3437">
        <w:rPr>
          <w:rFonts w:eastAsiaTheme="minorHAnsi"/>
        </w:rPr>
        <w:t>informed the informal working group on the progress of their</w:t>
      </w:r>
      <w:r w:rsidR="005F47BB" w:rsidRPr="00265C0E">
        <w:rPr>
          <w:rFonts w:eastAsiaTheme="minorHAnsi"/>
        </w:rPr>
        <w:t xml:space="preserve"> </w:t>
      </w:r>
      <w:r w:rsidR="00CA3437">
        <w:rPr>
          <w:rFonts w:eastAsiaTheme="minorHAnsi"/>
        </w:rPr>
        <w:t xml:space="preserve">extended </w:t>
      </w:r>
      <w:r w:rsidR="005F47BB" w:rsidRPr="00265C0E">
        <w:rPr>
          <w:rFonts w:eastAsiaTheme="minorHAnsi"/>
        </w:rPr>
        <w:t xml:space="preserve">study </w:t>
      </w:r>
      <w:r w:rsidR="00FC53B1" w:rsidRPr="00265C0E">
        <w:rPr>
          <w:rFonts w:eastAsiaTheme="minorHAnsi"/>
        </w:rPr>
        <w:t>investigating existing data on germ cell mutagenicity to</w:t>
      </w:r>
      <w:r w:rsidR="007E0AED" w:rsidRPr="00265C0E">
        <w:rPr>
          <w:rFonts w:eastAsiaTheme="minorHAnsi"/>
        </w:rPr>
        <w:t>,</w:t>
      </w:r>
      <w:r w:rsidR="00FC53B1" w:rsidRPr="00265C0E">
        <w:rPr>
          <w:rFonts w:eastAsiaTheme="minorHAnsi"/>
        </w:rPr>
        <w:t xml:space="preserve"> if possible</w:t>
      </w:r>
      <w:r w:rsidR="007E0AED" w:rsidRPr="00265C0E">
        <w:rPr>
          <w:rFonts w:eastAsiaTheme="minorHAnsi"/>
        </w:rPr>
        <w:t>,</w:t>
      </w:r>
      <w:r w:rsidR="00FC53B1" w:rsidRPr="00265C0E">
        <w:rPr>
          <w:rFonts w:eastAsiaTheme="minorHAnsi"/>
        </w:rPr>
        <w:t xml:space="preserve"> underpin the work of the informal working group to revise the current classification criteria. </w:t>
      </w:r>
    </w:p>
    <w:p w14:paraId="473EF46C" w14:textId="77777777" w:rsidR="00CA79A5" w:rsidRPr="00265C0E" w:rsidRDefault="00CA79A5" w:rsidP="00C5090B">
      <w:pPr>
        <w:pStyle w:val="SingleTxtG"/>
        <w:ind w:left="0"/>
        <w:rPr>
          <w:rFonts w:eastAsiaTheme="minorHAnsi"/>
        </w:rPr>
      </w:pPr>
    </w:p>
    <w:p w14:paraId="00A60BEF" w14:textId="389788D6" w:rsidR="00FB6110" w:rsidRDefault="00FB6110">
      <w:pPr>
        <w:suppressAutoHyphens w:val="0"/>
        <w:spacing w:after="160" w:line="259" w:lineRule="auto"/>
        <w:rPr>
          <w:rFonts w:eastAsiaTheme="minorHAnsi"/>
        </w:rPr>
      </w:pPr>
      <w:r>
        <w:rPr>
          <w:rFonts w:eastAsiaTheme="minorHAnsi"/>
        </w:rPr>
        <w:br w:type="page"/>
      </w:r>
    </w:p>
    <w:p w14:paraId="44E01FA3" w14:textId="77777777" w:rsidR="00A112A9" w:rsidRDefault="00E07FCD" w:rsidP="00E07FCD">
      <w:pPr>
        <w:ind w:left="1134" w:right="1134"/>
        <w:jc w:val="both"/>
        <w:rPr>
          <w:rFonts w:eastAsiaTheme="minorHAnsi"/>
          <w:b/>
          <w:sz w:val="28"/>
          <w:szCs w:val="28"/>
        </w:rPr>
      </w:pPr>
      <w:r w:rsidRPr="00FB6110">
        <w:rPr>
          <w:rFonts w:eastAsiaTheme="minorHAnsi"/>
          <w:b/>
          <w:sz w:val="28"/>
          <w:szCs w:val="28"/>
        </w:rPr>
        <w:lastRenderedPageBreak/>
        <w:t>Annex</w:t>
      </w:r>
    </w:p>
    <w:p w14:paraId="22ED7676" w14:textId="77777777" w:rsidR="00A112A9" w:rsidRDefault="00A112A9" w:rsidP="00E07FCD">
      <w:pPr>
        <w:ind w:left="1134" w:right="1134"/>
        <w:jc w:val="both"/>
        <w:rPr>
          <w:b/>
          <w:sz w:val="28"/>
          <w:szCs w:val="28"/>
          <w:lang w:val="en-US"/>
        </w:rPr>
      </w:pPr>
    </w:p>
    <w:p w14:paraId="7632765D" w14:textId="4C1A5509" w:rsidR="00E07FCD" w:rsidRDefault="00E07FCD" w:rsidP="00E07FCD">
      <w:pPr>
        <w:ind w:left="1134" w:right="1134"/>
        <w:jc w:val="both"/>
        <w:rPr>
          <w:b/>
          <w:sz w:val="28"/>
          <w:szCs w:val="28"/>
          <w:lang w:val="en-US"/>
        </w:rPr>
      </w:pPr>
      <w:r>
        <w:rPr>
          <w:b/>
          <w:sz w:val="28"/>
          <w:szCs w:val="28"/>
          <w:lang w:val="en-US"/>
        </w:rPr>
        <w:t>I</w:t>
      </w:r>
      <w:r w:rsidRPr="008F308A">
        <w:rPr>
          <w:b/>
          <w:sz w:val="28"/>
          <w:szCs w:val="28"/>
          <w:lang w:val="en-US"/>
        </w:rPr>
        <w:t xml:space="preserve">ssues for </w:t>
      </w:r>
      <w:r>
        <w:rPr>
          <w:b/>
          <w:sz w:val="28"/>
          <w:szCs w:val="28"/>
          <w:lang w:val="en-US"/>
        </w:rPr>
        <w:t xml:space="preserve">consultation with </w:t>
      </w:r>
      <w:r w:rsidRPr="008F308A">
        <w:rPr>
          <w:b/>
          <w:sz w:val="28"/>
          <w:szCs w:val="28"/>
          <w:lang w:val="en-US"/>
        </w:rPr>
        <w:t xml:space="preserve">the </w:t>
      </w:r>
      <w:r w:rsidR="00A112A9">
        <w:rPr>
          <w:b/>
          <w:sz w:val="28"/>
          <w:szCs w:val="28"/>
          <w:lang w:val="en-US"/>
        </w:rPr>
        <w:t>i</w:t>
      </w:r>
      <w:r>
        <w:rPr>
          <w:b/>
          <w:sz w:val="28"/>
          <w:szCs w:val="28"/>
          <w:lang w:val="en-US"/>
        </w:rPr>
        <w:t xml:space="preserve">nformal </w:t>
      </w:r>
      <w:r w:rsidR="00A112A9">
        <w:rPr>
          <w:b/>
          <w:sz w:val="28"/>
          <w:szCs w:val="28"/>
          <w:lang w:val="en-US"/>
        </w:rPr>
        <w:t>w</w:t>
      </w:r>
      <w:r>
        <w:rPr>
          <w:b/>
          <w:sz w:val="28"/>
          <w:szCs w:val="28"/>
          <w:lang w:val="en-US"/>
        </w:rPr>
        <w:t xml:space="preserve">orking </w:t>
      </w:r>
      <w:r w:rsidR="00A112A9">
        <w:rPr>
          <w:b/>
          <w:sz w:val="28"/>
          <w:szCs w:val="28"/>
          <w:lang w:val="en-US"/>
        </w:rPr>
        <w:t>g</w:t>
      </w:r>
      <w:r w:rsidRPr="00D47018">
        <w:rPr>
          <w:b/>
          <w:sz w:val="28"/>
          <w:szCs w:val="28"/>
          <w:lang w:val="en-US"/>
        </w:rPr>
        <w:t>roup</w:t>
      </w:r>
      <w:r w:rsidRPr="00D47018">
        <w:rPr>
          <w:b/>
          <w:sz w:val="28"/>
          <w:szCs w:val="28"/>
        </w:rPr>
        <w:t xml:space="preserve"> on </w:t>
      </w:r>
      <w:r w:rsidR="00A112A9">
        <w:rPr>
          <w:b/>
          <w:sz w:val="28"/>
          <w:szCs w:val="28"/>
          <w:lang w:val="en-US"/>
        </w:rPr>
        <w:t>no</w:t>
      </w:r>
      <w:r w:rsidRPr="00D47018">
        <w:rPr>
          <w:b/>
          <w:sz w:val="28"/>
          <w:szCs w:val="28"/>
          <w:lang w:val="en-US"/>
        </w:rPr>
        <w:t>n</w:t>
      </w:r>
      <w:r>
        <w:rPr>
          <w:b/>
          <w:sz w:val="28"/>
          <w:szCs w:val="28"/>
          <w:lang w:val="en-US"/>
        </w:rPr>
        <w:t xml:space="preserve">-animal </w:t>
      </w:r>
      <w:r w:rsidR="00A112A9">
        <w:rPr>
          <w:b/>
          <w:sz w:val="28"/>
          <w:szCs w:val="28"/>
          <w:lang w:val="en-US"/>
        </w:rPr>
        <w:t>t</w:t>
      </w:r>
      <w:r>
        <w:rPr>
          <w:b/>
          <w:sz w:val="28"/>
          <w:szCs w:val="28"/>
          <w:lang w:val="en-US"/>
        </w:rPr>
        <w:t xml:space="preserve">esting </w:t>
      </w:r>
      <w:r w:rsidR="00A112A9">
        <w:rPr>
          <w:b/>
          <w:sz w:val="28"/>
          <w:szCs w:val="28"/>
          <w:lang w:val="en-US"/>
        </w:rPr>
        <w:t>m</w:t>
      </w:r>
      <w:r>
        <w:rPr>
          <w:b/>
          <w:sz w:val="28"/>
          <w:szCs w:val="28"/>
          <w:lang w:val="en-US"/>
        </w:rPr>
        <w:t>ethods</w:t>
      </w:r>
    </w:p>
    <w:p w14:paraId="08F3B963" w14:textId="77777777" w:rsidR="00E07FCD" w:rsidRDefault="00E07FCD" w:rsidP="00E07FCD">
      <w:pPr>
        <w:jc w:val="both"/>
      </w:pPr>
    </w:p>
    <w:p w14:paraId="091BB826" w14:textId="2EA48411" w:rsidR="00E07FCD" w:rsidRPr="00020A10" w:rsidRDefault="00C3606F" w:rsidP="00C626AD">
      <w:pPr>
        <w:pStyle w:val="SingleTxtG"/>
      </w:pPr>
      <w:r>
        <w:t>1.</w:t>
      </w:r>
      <w:r>
        <w:tab/>
      </w:r>
      <w:r w:rsidR="00E07FCD">
        <w:t xml:space="preserve">The basis of the work carried out by the </w:t>
      </w:r>
      <w:r w:rsidR="00E07FCD" w:rsidRPr="009D33FE">
        <w:t>informal working group (IWG) on germ cell mutagenicity (</w:t>
      </w:r>
      <w:r w:rsidR="00E07FCD">
        <w:t xml:space="preserve">GCM) revising </w:t>
      </w:r>
      <w:r w:rsidR="00A112A9">
        <w:t>c</w:t>
      </w:r>
      <w:r w:rsidR="00E07FCD">
        <w:t xml:space="preserve">hapter </w:t>
      </w:r>
      <w:r w:rsidR="00E07FCD" w:rsidRPr="00020A10">
        <w:t xml:space="preserve">3.5 of GHS, is set out in the terms of reference (as amended in the informal document </w:t>
      </w:r>
      <w:r w:rsidR="00E07FCD" w:rsidRPr="009D33FE">
        <w:t>INF.24</w:t>
      </w:r>
      <w:r w:rsidRPr="009D33FE">
        <w:t>, fortieth session</w:t>
      </w:r>
      <w:r w:rsidR="00E07FCD" w:rsidRPr="009D33FE">
        <w:t xml:space="preserve">). The main task of </w:t>
      </w:r>
      <w:r w:rsidR="00E07FCD" w:rsidRPr="00020A10">
        <w:t>the IWG</w:t>
      </w:r>
      <w:r w:rsidR="00E07FCD" w:rsidRPr="009D33FE">
        <w:t xml:space="preserve"> is to r</w:t>
      </w:r>
      <w:r w:rsidR="00E07FCD" w:rsidRPr="00020A10">
        <w:t>eview</w:t>
      </w:r>
      <w:r w:rsidR="00E07FCD" w:rsidRPr="009D33FE">
        <w:t xml:space="preserve"> the classification criteria, but that should also </w:t>
      </w:r>
      <w:r w:rsidR="00E07FCD" w:rsidRPr="00020A10">
        <w:t>include revisions to facilitate</w:t>
      </w:r>
      <w:r w:rsidR="00E07FCD" w:rsidRPr="009D33FE">
        <w:t xml:space="preserve"> </w:t>
      </w:r>
      <w:r w:rsidR="00E07FCD" w:rsidRPr="00020A10">
        <w:t xml:space="preserve">hazard classification using non-animal methods, where appropriate, and consultation with the IWG on </w:t>
      </w:r>
      <w:r w:rsidRPr="009D33FE">
        <w:t>n</w:t>
      </w:r>
      <w:r w:rsidR="00E07FCD" w:rsidRPr="009D33FE">
        <w:t>on-animal</w:t>
      </w:r>
      <w:r w:rsidRPr="009D33FE">
        <w:t xml:space="preserve"> t</w:t>
      </w:r>
      <w:r w:rsidR="00E07FCD" w:rsidRPr="009D33FE">
        <w:t xml:space="preserve">esting </w:t>
      </w:r>
      <w:r w:rsidRPr="009D33FE">
        <w:t>m</w:t>
      </w:r>
      <w:r w:rsidR="00E07FCD" w:rsidRPr="009D33FE">
        <w:t>ethods (NATM)</w:t>
      </w:r>
      <w:r w:rsidR="00E07FCD" w:rsidRPr="00020A10">
        <w:t xml:space="preserve"> when relevant.</w:t>
      </w:r>
    </w:p>
    <w:p w14:paraId="07745197" w14:textId="3BB13DE5" w:rsidR="00E07FCD" w:rsidRPr="00020A10" w:rsidRDefault="008F7A93" w:rsidP="00C626AD">
      <w:pPr>
        <w:pStyle w:val="SingleTxtG"/>
      </w:pPr>
      <w:r>
        <w:t>2.</w:t>
      </w:r>
      <w:r>
        <w:tab/>
      </w:r>
      <w:r w:rsidR="00E07FCD" w:rsidRPr="00020A10">
        <w:t xml:space="preserve">The GCM and NATM leads first met in June 2023 to discuss how the two IWGs could best interact and how best benefit from the feedback and expertise of the NATM IWG in the work with </w:t>
      </w:r>
      <w:r w:rsidR="00C3606F">
        <w:t>c</w:t>
      </w:r>
      <w:r w:rsidR="00E07FCD" w:rsidRPr="00020A10">
        <w:t>hapter 3.5. It was determined that the best way forward was to present a document outlining issues identified by the GCM IWG for consultation with the NATM IWG.</w:t>
      </w:r>
    </w:p>
    <w:p w14:paraId="146AC1C9" w14:textId="07DAD34E" w:rsidR="00E07FCD" w:rsidRPr="00020A10" w:rsidRDefault="008F7A93" w:rsidP="00C626AD">
      <w:pPr>
        <w:pStyle w:val="SingleTxtG"/>
      </w:pPr>
      <w:r>
        <w:t>3.</w:t>
      </w:r>
      <w:r>
        <w:tab/>
      </w:r>
      <w:r w:rsidR="00E07FCD" w:rsidRPr="00020A10">
        <w:t xml:space="preserve">Three main topics were identified for consultation with the NATM IWG: </w:t>
      </w:r>
    </w:p>
    <w:p w14:paraId="5E98EAC6" w14:textId="050F4702" w:rsidR="00E07FCD" w:rsidRPr="00020A10" w:rsidRDefault="009D33FE" w:rsidP="009D33FE">
      <w:pPr>
        <w:pStyle w:val="SingleTxtG"/>
        <w:tabs>
          <w:tab w:val="left" w:pos="1701"/>
        </w:tabs>
        <w:ind w:firstLine="306"/>
      </w:pPr>
      <w:r>
        <w:t>1.</w:t>
      </w:r>
      <w:r>
        <w:tab/>
      </w:r>
      <w:r w:rsidR="00E07FCD" w:rsidRPr="00020A10">
        <w:t xml:space="preserve">classification based on non-test methods, </w:t>
      </w:r>
    </w:p>
    <w:p w14:paraId="2B7394F5" w14:textId="2C7DC3AD" w:rsidR="00E07FCD" w:rsidRPr="00020A10" w:rsidRDefault="009D33FE" w:rsidP="009D33FE">
      <w:pPr>
        <w:pStyle w:val="SingleTxtG"/>
        <w:tabs>
          <w:tab w:val="left" w:pos="1701"/>
        </w:tabs>
        <w:ind w:firstLine="306"/>
      </w:pPr>
      <w:r>
        <w:t>2.</w:t>
      </w:r>
      <w:r>
        <w:tab/>
      </w:r>
      <w:r w:rsidR="00E07FCD" w:rsidRPr="00020A10">
        <w:t xml:space="preserve">the use of a tiered approach, and </w:t>
      </w:r>
    </w:p>
    <w:p w14:paraId="0C264B7B" w14:textId="171FE394" w:rsidR="00E07FCD" w:rsidRPr="00020A10" w:rsidRDefault="009D33FE" w:rsidP="009D33FE">
      <w:pPr>
        <w:pStyle w:val="SingleTxtG"/>
        <w:tabs>
          <w:tab w:val="left" w:pos="1701"/>
        </w:tabs>
        <w:ind w:firstLine="306"/>
      </w:pPr>
      <w:r>
        <w:t>3.</w:t>
      </w:r>
      <w:r>
        <w:tab/>
      </w:r>
      <w:r w:rsidR="00E07FCD" w:rsidRPr="00020A10">
        <w:t xml:space="preserve">classification based on </w:t>
      </w:r>
      <w:r w:rsidR="00E07FCD" w:rsidRPr="009D33FE">
        <w:t>in vitro</w:t>
      </w:r>
      <w:r w:rsidR="00E07FCD" w:rsidRPr="00020A10">
        <w:t xml:space="preserve"> data.</w:t>
      </w:r>
    </w:p>
    <w:p w14:paraId="5956EE22" w14:textId="15322D8E" w:rsidR="00E07FCD" w:rsidRPr="00164151" w:rsidRDefault="00C626AD" w:rsidP="00C626AD">
      <w:pPr>
        <w:pStyle w:val="H1G"/>
        <w:rPr>
          <w:i/>
        </w:rPr>
      </w:pPr>
      <w:r>
        <w:tab/>
      </w:r>
      <w:r>
        <w:tab/>
      </w:r>
      <w:r w:rsidR="00E07FCD" w:rsidRPr="00164151">
        <w:t>Classification based on non-test methods</w:t>
      </w:r>
    </w:p>
    <w:p w14:paraId="76FA7A78" w14:textId="6E9DE140" w:rsidR="00E07FCD" w:rsidRPr="009D33FE" w:rsidRDefault="008F7A93" w:rsidP="009D33FE">
      <w:pPr>
        <w:pStyle w:val="SingleTxtG"/>
      </w:pPr>
      <w:r w:rsidRPr="009D33FE">
        <w:t>4.</w:t>
      </w:r>
      <w:r w:rsidRPr="009D33FE">
        <w:tab/>
      </w:r>
      <w:r w:rsidR="00E07FCD" w:rsidRPr="009D33FE">
        <w:t xml:space="preserve">A new section including four paragraphs on non-test methods was imported into </w:t>
      </w:r>
      <w:r w:rsidR="000C595A" w:rsidRPr="009D33FE">
        <w:t>c</w:t>
      </w:r>
      <w:r w:rsidR="00E07FCD" w:rsidRPr="009D33FE">
        <w:t>hapter</w:t>
      </w:r>
      <w:r w:rsidR="000C595A" w:rsidRPr="009D33FE">
        <w:t> </w:t>
      </w:r>
      <w:r w:rsidR="00E07FCD" w:rsidRPr="009D33FE">
        <w:t xml:space="preserve">3.5 from </w:t>
      </w:r>
      <w:r w:rsidR="000C595A" w:rsidRPr="009D33FE">
        <w:t>c</w:t>
      </w:r>
      <w:r w:rsidR="00E07FCD" w:rsidRPr="009D33FE">
        <w:t>hapters 3.2, 3.3, 3.4, in agreement with the terms of reference. The idea is to keep the text as consistent as possible with that of the other chapters and to adapt it only, if specifically needed in the context of germ cell mutagenicity. Generic amendments to the four paragraphs are not in the remit of the GCM IWG, but should be done only if agreed by the NATM IWG.</w:t>
      </w:r>
    </w:p>
    <w:p w14:paraId="023951EC" w14:textId="2C486E65" w:rsidR="00E07FCD" w:rsidRPr="009D33FE" w:rsidRDefault="000C595A" w:rsidP="009D33FE">
      <w:pPr>
        <w:pStyle w:val="SingleTxtG"/>
      </w:pPr>
      <w:r w:rsidRPr="009D33FE">
        <w:t>5.</w:t>
      </w:r>
      <w:r w:rsidRPr="009D33FE">
        <w:tab/>
      </w:r>
      <w:r w:rsidR="00E07FCD" w:rsidRPr="009D33FE">
        <w:t xml:space="preserve">At the meeting of the GCM IWG that took place in the margins of the 44th session of the sub-committee, the NATM leads presented the rational for each of the paragraphs, as discussed in the NATM IWG. </w:t>
      </w:r>
    </w:p>
    <w:p w14:paraId="6C0875D1" w14:textId="433FB01D" w:rsidR="00E07FCD" w:rsidRPr="009D33FE" w:rsidRDefault="000C595A" w:rsidP="009D33FE">
      <w:pPr>
        <w:pStyle w:val="SingleTxtG"/>
      </w:pPr>
      <w:r w:rsidRPr="009D33FE">
        <w:t>6.</w:t>
      </w:r>
      <w:r w:rsidRPr="009D33FE">
        <w:tab/>
      </w:r>
      <w:r w:rsidR="00E07FCD" w:rsidRPr="009D33FE">
        <w:t xml:space="preserve">The introduction of the four paragraphs on non-test methods triggered considerable discussion within the GCM IWG and a consultation was launched over the summer to identify items for further discussion with the NATM IWG. The consultation was based on the revised </w:t>
      </w:r>
      <w:r w:rsidR="00784964" w:rsidRPr="009D33FE">
        <w:t>c</w:t>
      </w:r>
      <w:r w:rsidR="00E07FCD" w:rsidRPr="009D33FE">
        <w:t>hapter 3.5 version 11.</w:t>
      </w:r>
    </w:p>
    <w:p w14:paraId="1B9CBDC7" w14:textId="5644A6F9" w:rsidR="00E07FCD" w:rsidRPr="009D33FE" w:rsidRDefault="000C595A" w:rsidP="000C595A">
      <w:pPr>
        <w:pStyle w:val="SingleTxtG"/>
      </w:pPr>
      <w:r w:rsidRPr="009D33FE">
        <w:t>7.</w:t>
      </w:r>
      <w:r w:rsidRPr="009D33FE">
        <w:tab/>
      </w:r>
      <w:r w:rsidR="00E07FCD" w:rsidRPr="009D33FE">
        <w:t xml:space="preserve">Among the identified items, some were of generic nature while other were specific to GCM. </w:t>
      </w:r>
    </w:p>
    <w:p w14:paraId="3586241D" w14:textId="39D73A01" w:rsidR="00E07FCD" w:rsidRPr="00784964" w:rsidRDefault="000C595A" w:rsidP="009D33FE">
      <w:pPr>
        <w:pStyle w:val="SingleTxtG"/>
        <w:tabs>
          <w:tab w:val="left" w:pos="1418"/>
          <w:tab w:val="left" w:pos="1985"/>
        </w:tabs>
      </w:pPr>
      <w:r w:rsidRPr="00784964">
        <w:tab/>
      </w:r>
      <w:r w:rsidR="00EC7B74" w:rsidRPr="00784964">
        <w:t>(a)</w:t>
      </w:r>
      <w:r w:rsidR="001E1493" w:rsidRPr="00784964">
        <w:tab/>
      </w:r>
      <w:r w:rsidR="00E07FCD" w:rsidRPr="00784964">
        <w:t>Generic items</w:t>
      </w:r>
    </w:p>
    <w:p w14:paraId="76243FC7" w14:textId="57793388" w:rsidR="00E07FCD" w:rsidRPr="00020A10" w:rsidRDefault="000C595A" w:rsidP="009D33FE">
      <w:pPr>
        <w:pStyle w:val="SingleTxtG"/>
        <w:tabs>
          <w:tab w:val="left" w:pos="2552"/>
        </w:tabs>
        <w:ind w:left="1985"/>
      </w:pPr>
      <w:r>
        <w:t>(</w:t>
      </w:r>
      <w:proofErr w:type="spellStart"/>
      <w:r w:rsidR="00EC7B74">
        <w:t>i</w:t>
      </w:r>
      <w:proofErr w:type="spellEnd"/>
      <w:r>
        <w:t>)</w:t>
      </w:r>
      <w:r>
        <w:tab/>
      </w:r>
      <w:r w:rsidR="00E07FCD" w:rsidRPr="00020A10">
        <w:t xml:space="preserve">Cite ECHA read-across framework (RAAF guidance) </w:t>
      </w:r>
    </w:p>
    <w:p w14:paraId="67AFADED" w14:textId="465FDD1B" w:rsidR="00E07FCD" w:rsidRPr="00020A10" w:rsidRDefault="00E07FCD" w:rsidP="009D33FE">
      <w:pPr>
        <w:pStyle w:val="CommentText"/>
        <w:spacing w:after="120"/>
        <w:ind w:left="2552" w:right="1134"/>
        <w:jc w:val="both"/>
      </w:pPr>
      <w:r w:rsidRPr="00020A10">
        <w:t xml:space="preserve">It was noted that the RAAF is very conservative and restrictive as its aim is to assess compliance with REACH. Other available reference can be cited in the </w:t>
      </w:r>
      <w:r w:rsidR="007079BE">
        <w:t>g</w:t>
      </w:r>
      <w:r w:rsidRPr="00020A10">
        <w:t>uidance.</w:t>
      </w:r>
    </w:p>
    <w:p w14:paraId="59B04805" w14:textId="260AC211" w:rsidR="00E07FCD" w:rsidRDefault="00E07FCD" w:rsidP="009D33FE">
      <w:pPr>
        <w:pStyle w:val="CommentText"/>
        <w:ind w:left="2552" w:right="1134"/>
        <w:jc w:val="both"/>
      </w:pPr>
      <w:r w:rsidRPr="00164151">
        <w:rPr>
          <w:u w:val="single"/>
        </w:rPr>
        <w:t>Proposal:</w:t>
      </w:r>
      <w:r w:rsidRPr="00020A10">
        <w:t xml:space="preserve"> Add these references in the guidance section of </w:t>
      </w:r>
      <w:r w:rsidR="00784964">
        <w:t>c</w:t>
      </w:r>
      <w:r w:rsidRPr="00020A10">
        <w:t xml:space="preserve">hapter 3.5. </w:t>
      </w:r>
    </w:p>
    <w:p w14:paraId="5AC7C95F" w14:textId="77777777" w:rsidR="00E07FCD" w:rsidRPr="00020A10" w:rsidRDefault="00E07FCD" w:rsidP="00784964">
      <w:pPr>
        <w:pStyle w:val="CommentText"/>
        <w:ind w:left="1985" w:right="1134" w:hanging="567"/>
        <w:jc w:val="both"/>
      </w:pPr>
    </w:p>
    <w:p w14:paraId="3D852E62" w14:textId="7707E01F" w:rsidR="00E07FCD" w:rsidRPr="00020A10" w:rsidRDefault="000C595A" w:rsidP="009D33FE">
      <w:pPr>
        <w:pStyle w:val="SingleTxtG"/>
        <w:tabs>
          <w:tab w:val="left" w:pos="2552"/>
        </w:tabs>
        <w:ind w:left="1985"/>
      </w:pPr>
      <w:r w:rsidRPr="00EC7B74">
        <w:t>(</w:t>
      </w:r>
      <w:r w:rsidR="00EC7B74">
        <w:t>ii</w:t>
      </w:r>
      <w:r w:rsidRPr="00EC7B74">
        <w:t>)</w:t>
      </w:r>
      <w:r w:rsidRPr="00EC7B74">
        <w:tab/>
      </w:r>
      <w:r w:rsidR="00E07FCD" w:rsidRPr="00EC7B74">
        <w:t>Paragraph 3.5.2.5.3</w:t>
      </w:r>
    </w:p>
    <w:p w14:paraId="39513C85" w14:textId="4B11D60F" w:rsidR="00E07FCD" w:rsidRPr="00020A10" w:rsidRDefault="00E07FCD" w:rsidP="009D33FE">
      <w:pPr>
        <w:pStyle w:val="PlainText"/>
        <w:spacing w:after="120"/>
        <w:ind w:left="2552" w:right="1134"/>
        <w:jc w:val="both"/>
        <w:rPr>
          <w:rFonts w:ascii="Times New Roman" w:hAnsi="Times New Roman" w:cs="Times New Roman"/>
          <w:sz w:val="20"/>
          <w:szCs w:val="20"/>
          <w:lang w:val="en-US"/>
        </w:rPr>
      </w:pPr>
      <w:r w:rsidRPr="00020A10">
        <w:rPr>
          <w:rFonts w:ascii="Times New Roman" w:hAnsi="Times New Roman" w:cs="Times New Roman"/>
          <w:sz w:val="20"/>
          <w:szCs w:val="20"/>
        </w:rPr>
        <w:t xml:space="preserve">For consistency with paragraph 3.5.2.5.1 </w:t>
      </w:r>
      <w:r w:rsidR="00B916CE">
        <w:rPr>
          <w:rFonts w:ascii="Times New Roman" w:hAnsi="Times New Roman" w:cs="Times New Roman"/>
          <w:sz w:val="20"/>
          <w:szCs w:val="20"/>
        </w:rPr>
        <w:t>Germany</w:t>
      </w:r>
      <w:r w:rsidRPr="00020A10">
        <w:rPr>
          <w:rFonts w:ascii="Times New Roman" w:hAnsi="Times New Roman" w:cs="Times New Roman"/>
          <w:sz w:val="20"/>
          <w:szCs w:val="20"/>
        </w:rPr>
        <w:t xml:space="preserve"> suggests to change the wording as follows (new text in CAPS): “With respect to reliability, lack of alerts in a SAR or expert system OR ABSENCE OF POSITIVE PREDICTION BY QSAR is not sufficient evidence for no classification.” </w:t>
      </w:r>
      <w:r w:rsidRPr="00020A10">
        <w:rPr>
          <w:rFonts w:ascii="Times New Roman" w:hAnsi="Times New Roman" w:cs="Times New Roman"/>
          <w:sz w:val="20"/>
          <w:szCs w:val="20"/>
          <w:lang w:val="en-US"/>
        </w:rPr>
        <w:lastRenderedPageBreak/>
        <w:t>Proposing such an amendment would require a re-discussion in the NATM IWG as it implies amending chapters 3.2, 3.3 and 3.4, which goes beyond the mandate of the GCM IWG.</w:t>
      </w:r>
    </w:p>
    <w:p w14:paraId="7C8B88C3" w14:textId="77777777" w:rsidR="00E07FCD" w:rsidRDefault="00E07FCD" w:rsidP="009D33FE">
      <w:pPr>
        <w:pStyle w:val="CommentText"/>
        <w:ind w:left="2552" w:right="1134"/>
        <w:jc w:val="both"/>
        <w:rPr>
          <w:lang w:val="en-US"/>
        </w:rPr>
      </w:pPr>
      <w:r w:rsidRPr="00164151">
        <w:rPr>
          <w:u w:val="single"/>
          <w:lang w:val="en-US"/>
        </w:rPr>
        <w:t>Proposal:</w:t>
      </w:r>
      <w:r w:rsidRPr="00020A10">
        <w:rPr>
          <w:lang w:val="en-US"/>
        </w:rPr>
        <w:t xml:space="preserve"> No action needed by the GMC IWG. NATM IWG to agree whether taking this into consideration for a future proposal to revise the text in all chapters.</w:t>
      </w:r>
    </w:p>
    <w:p w14:paraId="100AA7DD" w14:textId="77777777" w:rsidR="00E07FCD" w:rsidRPr="00020A10" w:rsidRDefault="00E07FCD" w:rsidP="00E07FCD">
      <w:pPr>
        <w:pStyle w:val="CommentText"/>
        <w:ind w:left="1854" w:right="1134"/>
        <w:jc w:val="both"/>
        <w:rPr>
          <w:lang w:val="en-US"/>
        </w:rPr>
      </w:pPr>
    </w:p>
    <w:p w14:paraId="03D6890E" w14:textId="79848E85" w:rsidR="00E07FCD" w:rsidRPr="00EC7B74" w:rsidRDefault="000C595A" w:rsidP="009D33FE">
      <w:pPr>
        <w:pStyle w:val="SingleTxtG"/>
        <w:tabs>
          <w:tab w:val="left" w:pos="2552"/>
        </w:tabs>
        <w:ind w:left="1985"/>
      </w:pPr>
      <w:r w:rsidRPr="00EC7B74">
        <w:t>(</w:t>
      </w:r>
      <w:r w:rsidR="00EC7B74">
        <w:t>iii</w:t>
      </w:r>
      <w:r w:rsidRPr="00EC7B74">
        <w:t>)</w:t>
      </w:r>
      <w:r w:rsidRPr="00EC7B74">
        <w:tab/>
      </w:r>
      <w:r w:rsidR="00E07FCD" w:rsidRPr="00EC7B74">
        <w:t xml:space="preserve">Paragraph 3.5.2.5.2 </w:t>
      </w:r>
    </w:p>
    <w:p w14:paraId="5854814D" w14:textId="77777777" w:rsidR="00E07FCD" w:rsidRPr="00020A10" w:rsidRDefault="00E07FCD" w:rsidP="009D33FE">
      <w:pPr>
        <w:pStyle w:val="CommentText"/>
        <w:spacing w:after="120"/>
        <w:ind w:left="2552" w:right="1134"/>
        <w:jc w:val="both"/>
        <w:rPr>
          <w:lang w:val="en-US"/>
        </w:rPr>
      </w:pPr>
      <w:r w:rsidRPr="00020A10">
        <w:rPr>
          <w:lang w:val="en-US"/>
        </w:rPr>
        <w:t xml:space="preserve">It was suggested to add “experimental” before “test data”, however the notion of “experimental” seems to be redundant and already included in “test data”. </w:t>
      </w:r>
    </w:p>
    <w:p w14:paraId="3CF14F0C" w14:textId="0E29E6FE" w:rsidR="00E07FCD" w:rsidRDefault="00E07FCD" w:rsidP="009D33FE">
      <w:pPr>
        <w:pStyle w:val="CommentText"/>
        <w:ind w:left="2552" w:right="1134"/>
        <w:jc w:val="both"/>
        <w:rPr>
          <w:lang w:val="en-US"/>
        </w:rPr>
      </w:pPr>
      <w:r w:rsidRPr="00EC7B74">
        <w:rPr>
          <w:u w:val="single"/>
        </w:rPr>
        <w:t>Proposal</w:t>
      </w:r>
      <w:r w:rsidRPr="00020A10">
        <w:t xml:space="preserve">: </w:t>
      </w:r>
      <w:r w:rsidRPr="00020A10">
        <w:rPr>
          <w:lang w:val="en-US"/>
        </w:rPr>
        <w:t>No action, but consistency with other chapters to be checked prior to conclude on the issue.</w:t>
      </w:r>
    </w:p>
    <w:p w14:paraId="788F48C1" w14:textId="77777777" w:rsidR="00AC12E4" w:rsidRPr="00020A10" w:rsidRDefault="00AC12E4" w:rsidP="00E07FCD">
      <w:pPr>
        <w:pStyle w:val="CommentText"/>
        <w:ind w:left="1854" w:right="1134"/>
        <w:jc w:val="both"/>
        <w:rPr>
          <w:lang w:val="en-US"/>
        </w:rPr>
      </w:pPr>
    </w:p>
    <w:p w14:paraId="107264AA" w14:textId="34AF32DA" w:rsidR="00E07FCD" w:rsidRPr="00EC7B74" w:rsidRDefault="001E1493" w:rsidP="009D33FE">
      <w:pPr>
        <w:pStyle w:val="SingleTxtG"/>
        <w:tabs>
          <w:tab w:val="left" w:pos="2552"/>
        </w:tabs>
        <w:ind w:left="1985"/>
      </w:pPr>
      <w:r w:rsidRPr="00EC7B74">
        <w:t>(</w:t>
      </w:r>
      <w:r w:rsidR="00EC7B74">
        <w:t>iv</w:t>
      </w:r>
      <w:r w:rsidRPr="00EC7B74">
        <w:t>)</w:t>
      </w:r>
      <w:r w:rsidRPr="00EC7B74">
        <w:tab/>
      </w:r>
      <w:r w:rsidR="00E07FCD" w:rsidRPr="00EC7B74">
        <w:t>Replace “and” with “or” in paragraph 3.5.2.5.4</w:t>
      </w:r>
    </w:p>
    <w:p w14:paraId="0F8C976A" w14:textId="77777777" w:rsidR="00E07FCD" w:rsidRPr="00020A10" w:rsidRDefault="00E07FCD" w:rsidP="009D33FE">
      <w:pPr>
        <w:pStyle w:val="CommentText"/>
        <w:spacing w:after="120"/>
        <w:ind w:left="2552" w:right="1134"/>
        <w:jc w:val="both"/>
      </w:pPr>
      <w:r w:rsidRPr="00020A10">
        <w:t xml:space="preserve">Read-across and (Q)SAR do not necessarily need to be considered in conjunction why it was suggested to replace “and” with “or” in this paragraph. </w:t>
      </w:r>
      <w:r w:rsidRPr="00020A10">
        <w:rPr>
          <w:lang w:val="en-US"/>
        </w:rPr>
        <w:t>Proposing such an amendment would require a re-discussion in the NATM IWG as it implies amending chapters 3.2, 3.3 and 3.4, which goes beyond the mandate of the GCM IWG.</w:t>
      </w:r>
    </w:p>
    <w:p w14:paraId="1F998631" w14:textId="77777777" w:rsidR="00E07FCD" w:rsidRPr="00020A10" w:rsidRDefault="00E07FCD" w:rsidP="009D33FE">
      <w:pPr>
        <w:pStyle w:val="SingleTxtG"/>
        <w:ind w:left="2552"/>
      </w:pPr>
      <w:r w:rsidRPr="00164151">
        <w:rPr>
          <w:u w:val="single"/>
          <w:lang w:val="en-US"/>
        </w:rPr>
        <w:t>Proposal:</w:t>
      </w:r>
      <w:r w:rsidRPr="00020A10">
        <w:rPr>
          <w:lang w:val="en-US"/>
        </w:rPr>
        <w:t xml:space="preserve"> No action needed by the GMC IWG. NATM IWG to agree whether taking this into consideration for a future proposal to revise the text in all chapters.</w:t>
      </w:r>
    </w:p>
    <w:p w14:paraId="0D935DCB" w14:textId="5569D102" w:rsidR="00E07FCD" w:rsidRPr="009D33FE" w:rsidRDefault="00EC7B74" w:rsidP="00E362F8">
      <w:pPr>
        <w:pStyle w:val="SingleTxtG"/>
        <w:tabs>
          <w:tab w:val="left" w:pos="1418"/>
          <w:tab w:val="left" w:pos="1985"/>
        </w:tabs>
      </w:pPr>
      <w:r w:rsidRPr="009D33FE">
        <w:t>(b)</w:t>
      </w:r>
      <w:r w:rsidRPr="009D33FE">
        <w:tab/>
      </w:r>
      <w:r w:rsidR="00E362F8">
        <w:tab/>
      </w:r>
      <w:r w:rsidR="00E07FCD" w:rsidRPr="009D33FE">
        <w:t>Specific items related to germ cell mutagenicity</w:t>
      </w:r>
    </w:p>
    <w:p w14:paraId="6981F9E7" w14:textId="4C0F0448" w:rsidR="00E07FCD" w:rsidRPr="00EC7B74" w:rsidRDefault="00EC7B74" w:rsidP="009D33FE">
      <w:pPr>
        <w:pStyle w:val="SingleTxtG"/>
        <w:tabs>
          <w:tab w:val="left" w:pos="2552"/>
        </w:tabs>
        <w:ind w:left="1985"/>
      </w:pPr>
      <w:r w:rsidRPr="00EC7B74">
        <w:t>(</w:t>
      </w:r>
      <w:proofErr w:type="spellStart"/>
      <w:r>
        <w:t>i</w:t>
      </w:r>
      <w:proofErr w:type="spellEnd"/>
      <w:r w:rsidRPr="00EC7B74">
        <w:t>)</w:t>
      </w:r>
      <w:r w:rsidRPr="00EC7B74">
        <w:tab/>
      </w:r>
      <w:r w:rsidR="00E07FCD" w:rsidRPr="00EC7B74">
        <w:t>Delete the paragraph 3.5.2.5.4 for conclusion on no-classification</w:t>
      </w:r>
    </w:p>
    <w:p w14:paraId="3A5D05DC" w14:textId="77777777" w:rsidR="00E07FCD" w:rsidRPr="00020A10" w:rsidRDefault="00E07FCD" w:rsidP="009D33FE">
      <w:pPr>
        <w:pStyle w:val="CommentText"/>
        <w:spacing w:after="120"/>
        <w:ind w:left="2552" w:right="1134"/>
        <w:jc w:val="both"/>
      </w:pPr>
      <w:r w:rsidRPr="00020A10">
        <w:t>It seems unusual that scientific rigour is highlighted exclusively to substantiate “no classification”. It was questioned whether the standards for classification and non-classification should be the same. NATM IWG participants clarified that higher standards need to be considered for conclusion on no classification, which represent an integral part of the GHS. However, this paragraph raised concern in the GCM IWG because there is a perception that solely non-test methods could lead to the conclusion not to classify, even when the evidence should rather be regarded as inconclusive. This concern arises from the fact that the GCM is considered a more critical hazard to human health when compared to hazards covered in chapters 3.2, 3.3 and 3.4.</w:t>
      </w:r>
    </w:p>
    <w:p w14:paraId="1DB694D4" w14:textId="77777777" w:rsidR="00E07FCD" w:rsidRDefault="00E07FCD" w:rsidP="009D33FE">
      <w:pPr>
        <w:pStyle w:val="CommentText"/>
        <w:ind w:left="2552" w:right="1134"/>
        <w:jc w:val="both"/>
      </w:pPr>
      <w:r w:rsidRPr="00164151">
        <w:rPr>
          <w:u w:val="single"/>
        </w:rPr>
        <w:t>Proposal:</w:t>
      </w:r>
      <w:r w:rsidRPr="00020A10">
        <w:t xml:space="preserve"> Move this paragraph to the guidance section, but do not delete it.</w:t>
      </w:r>
    </w:p>
    <w:p w14:paraId="00783C92" w14:textId="77777777" w:rsidR="00E07FCD" w:rsidRPr="00020A10" w:rsidRDefault="00E07FCD" w:rsidP="00E07FCD">
      <w:pPr>
        <w:pStyle w:val="CommentText"/>
        <w:ind w:left="1854" w:right="1134"/>
        <w:jc w:val="both"/>
      </w:pPr>
    </w:p>
    <w:p w14:paraId="1FB85F51" w14:textId="5C72A29A" w:rsidR="00E07FCD" w:rsidRPr="00020A10" w:rsidRDefault="00784964" w:rsidP="009D33FE">
      <w:pPr>
        <w:pStyle w:val="SingleTxtG"/>
        <w:tabs>
          <w:tab w:val="left" w:pos="2552"/>
        </w:tabs>
        <w:ind w:left="1985"/>
      </w:pPr>
      <w:r>
        <w:t>(ii)</w:t>
      </w:r>
      <w:r>
        <w:tab/>
      </w:r>
      <w:r w:rsidR="00E07FCD" w:rsidRPr="00784964">
        <w:t>Deletion of “including the conclusion not classify” in paragraph 3.5.2.5.1</w:t>
      </w:r>
      <w:r w:rsidR="00E07FCD" w:rsidRPr="00020A10">
        <w:t xml:space="preserve"> </w:t>
      </w:r>
    </w:p>
    <w:p w14:paraId="7F2D7BB1" w14:textId="77777777" w:rsidR="00E07FCD" w:rsidRPr="00020A10" w:rsidRDefault="00E07FCD" w:rsidP="009D33FE">
      <w:pPr>
        <w:pStyle w:val="CommentText"/>
        <w:spacing w:after="120"/>
        <w:ind w:left="2552" w:right="1134"/>
        <w:jc w:val="both"/>
      </w:pPr>
      <w:r w:rsidRPr="00020A10">
        <w:t>GCM IWG agreed to delete this text. It was explained that this is not in contrast with paragraph 3.5.2.5.4 because in the first paragraph the context is generic, while the 4</w:t>
      </w:r>
      <w:r w:rsidRPr="00020A10">
        <w:rPr>
          <w:vertAlign w:val="superscript"/>
        </w:rPr>
        <w:t>th</w:t>
      </w:r>
      <w:r w:rsidRPr="00020A10">
        <w:t xml:space="preserve"> paragraph it has a specific purpose as explained above.</w:t>
      </w:r>
    </w:p>
    <w:p w14:paraId="0EEF35C5" w14:textId="77777777" w:rsidR="00E07FCD" w:rsidRDefault="00E07FCD" w:rsidP="009D33FE">
      <w:pPr>
        <w:pStyle w:val="CommentText"/>
        <w:ind w:left="2552" w:right="1134"/>
        <w:jc w:val="both"/>
      </w:pPr>
      <w:r w:rsidRPr="00164151">
        <w:rPr>
          <w:u w:val="single"/>
        </w:rPr>
        <w:t>Proposal:</w:t>
      </w:r>
      <w:r w:rsidRPr="00020A10">
        <w:t xml:space="preserve"> Deletion of text in paragraph 3.5.2.5.1 as indicated above.</w:t>
      </w:r>
    </w:p>
    <w:p w14:paraId="09EE7733" w14:textId="77777777" w:rsidR="00E07FCD" w:rsidRPr="00020A10" w:rsidRDefault="00E07FCD" w:rsidP="00E07FCD">
      <w:pPr>
        <w:pStyle w:val="CommentText"/>
        <w:ind w:left="1854" w:right="1134"/>
        <w:jc w:val="both"/>
      </w:pPr>
    </w:p>
    <w:p w14:paraId="1C5F8E96" w14:textId="78178754" w:rsidR="00E07FCD" w:rsidRPr="00784964" w:rsidRDefault="00784964" w:rsidP="009D33FE">
      <w:pPr>
        <w:pStyle w:val="SingleTxtG"/>
        <w:tabs>
          <w:tab w:val="left" w:pos="2552"/>
        </w:tabs>
        <w:ind w:left="2552" w:hanging="567"/>
      </w:pPr>
      <w:r>
        <w:t>(iii)</w:t>
      </w:r>
      <w:r>
        <w:tab/>
      </w:r>
      <w:r w:rsidR="00E07FCD" w:rsidRPr="00784964">
        <w:t xml:space="preserve">Can non-test methods, e.g. read-across, be used as stand-alone to classify for germ cell mutagenicity? </w:t>
      </w:r>
    </w:p>
    <w:p w14:paraId="18EDC6AB" w14:textId="77777777" w:rsidR="00E07FCD" w:rsidRPr="00020A10" w:rsidRDefault="00E07FCD" w:rsidP="009D33FE">
      <w:pPr>
        <w:pStyle w:val="CommentText"/>
        <w:spacing w:after="120"/>
        <w:ind w:left="2552" w:right="1134"/>
        <w:jc w:val="both"/>
      </w:pPr>
      <w:r w:rsidRPr="00020A10">
        <w:t xml:space="preserve">This is how they are intended to be used in chapters 3.2-3.4. For instance, it was mentioned that if genotoxicity experimental data are not available read-across could eventually be substantiated by other data. One member suggested that results from an </w:t>
      </w:r>
      <w:r w:rsidRPr="00784964">
        <w:rPr>
          <w:iCs/>
        </w:rPr>
        <w:t>in vitro</w:t>
      </w:r>
      <w:r w:rsidRPr="00020A10">
        <w:t xml:space="preserve"> test should be a prerequisite for read-</w:t>
      </w:r>
      <w:r w:rsidRPr="00020A10">
        <w:lastRenderedPageBreak/>
        <w:t xml:space="preserve">across. However, it is the read-across justification itself and the strength of evidence on the source substance that should be decisive for the classification. </w:t>
      </w:r>
    </w:p>
    <w:p w14:paraId="74EB4E1B" w14:textId="77777777" w:rsidR="00E07FCD" w:rsidRDefault="00E07FCD" w:rsidP="009D33FE">
      <w:pPr>
        <w:pStyle w:val="CommentText"/>
        <w:ind w:left="2552" w:right="1134"/>
        <w:jc w:val="both"/>
      </w:pPr>
      <w:r w:rsidRPr="00164151">
        <w:rPr>
          <w:u w:val="single"/>
        </w:rPr>
        <w:t>Proposal:</w:t>
      </w:r>
      <w:r w:rsidRPr="00020A10">
        <w:t xml:space="preserve"> No action is suggested by the leads. </w:t>
      </w:r>
      <w:r w:rsidRPr="00784964">
        <w:rPr>
          <w:iCs/>
        </w:rPr>
        <w:t>In vitro</w:t>
      </w:r>
      <w:r w:rsidRPr="00020A10">
        <w:t xml:space="preserve"> data can strengthen the justification for read-across but are not necessary.</w:t>
      </w:r>
    </w:p>
    <w:p w14:paraId="022066A9" w14:textId="77777777" w:rsidR="00E07FCD" w:rsidRPr="00020A10" w:rsidRDefault="00E07FCD" w:rsidP="00E07FCD">
      <w:pPr>
        <w:pStyle w:val="CommentText"/>
        <w:ind w:left="1854" w:right="1134"/>
        <w:jc w:val="both"/>
      </w:pPr>
    </w:p>
    <w:p w14:paraId="300F16D2" w14:textId="008CC869" w:rsidR="00E07FCD" w:rsidRPr="00784964" w:rsidRDefault="00784964" w:rsidP="009D33FE">
      <w:pPr>
        <w:pStyle w:val="SingleTxtG"/>
        <w:tabs>
          <w:tab w:val="left" w:pos="2552"/>
        </w:tabs>
        <w:ind w:left="1985"/>
      </w:pPr>
      <w:r>
        <w:t>(iv)</w:t>
      </w:r>
      <w:r>
        <w:tab/>
      </w:r>
      <w:r w:rsidR="00E07FCD" w:rsidRPr="00784964">
        <w:t>Evidence based on QSARs compared to read-across</w:t>
      </w:r>
    </w:p>
    <w:p w14:paraId="4DEB3D53" w14:textId="77777777" w:rsidR="00E07FCD" w:rsidRPr="00020A10" w:rsidRDefault="00E07FCD" w:rsidP="009D33FE">
      <w:pPr>
        <w:pStyle w:val="CommentText"/>
        <w:spacing w:after="120"/>
        <w:ind w:left="2552" w:right="1134"/>
        <w:jc w:val="both"/>
      </w:pPr>
      <w:r w:rsidRPr="00020A10">
        <w:t xml:space="preserve">(Q)SARs are almost exclusively built on </w:t>
      </w:r>
      <w:r w:rsidRPr="00784964">
        <w:rPr>
          <w:iCs/>
        </w:rPr>
        <w:t>in vitro</w:t>
      </w:r>
      <w:r w:rsidRPr="00020A10">
        <w:t xml:space="preserve"> data (especially Ames data) and these data are not always of optimal quality. Moreover, there seems to be no reliable </w:t>
      </w:r>
      <w:r w:rsidRPr="00020A10">
        <w:rPr>
          <w:i/>
        </w:rPr>
        <w:t xml:space="preserve">in silico </w:t>
      </w:r>
      <w:r w:rsidRPr="00020A10">
        <w:t xml:space="preserve">models that predict the outcome of </w:t>
      </w:r>
      <w:r w:rsidRPr="00784964">
        <w:rPr>
          <w:iCs/>
        </w:rPr>
        <w:t>in vivo</w:t>
      </w:r>
      <w:r w:rsidRPr="00020A10">
        <w:t xml:space="preserve"> genotoxicity. (Q)SAR should have a clear lower weight than read-across and should therefore not be considered in the same way, as already mentioned in 3.5.2.5.2. In particular, there appears to be more willingness to accept read-across argument rather than (Q)SAR predictions for negative outcomes.</w:t>
      </w:r>
    </w:p>
    <w:p w14:paraId="549C6B1F" w14:textId="77777777" w:rsidR="00E07FCD" w:rsidRPr="00020A10" w:rsidRDefault="00E07FCD" w:rsidP="009D33FE">
      <w:pPr>
        <w:pStyle w:val="CommentText"/>
        <w:ind w:left="2552" w:right="1134"/>
        <w:jc w:val="both"/>
      </w:pPr>
      <w:r w:rsidRPr="00164151">
        <w:rPr>
          <w:u w:val="single"/>
        </w:rPr>
        <w:t>Proposal</w:t>
      </w:r>
      <w:r w:rsidRPr="00806892">
        <w:t xml:space="preserve">: </w:t>
      </w:r>
      <w:r w:rsidRPr="00020A10">
        <w:t>Maintain the paragraph on (Q)SAR, also for possible future use, and add clarifications on cautious use of (Q)SAR data in the guidance section.</w:t>
      </w:r>
    </w:p>
    <w:p w14:paraId="4C30EDC9" w14:textId="38A3041A" w:rsidR="00E07FCD" w:rsidRPr="00784964" w:rsidRDefault="00784964" w:rsidP="00784964">
      <w:pPr>
        <w:pStyle w:val="H1G"/>
      </w:pPr>
      <w:r>
        <w:tab/>
      </w:r>
      <w:r>
        <w:tab/>
      </w:r>
      <w:r w:rsidR="00E07FCD" w:rsidRPr="00784964">
        <w:t>The use of a tiered approach</w:t>
      </w:r>
    </w:p>
    <w:p w14:paraId="0C1F0546" w14:textId="62BCF11F" w:rsidR="00E07FCD" w:rsidRPr="00020A10" w:rsidRDefault="003647E7" w:rsidP="00784964">
      <w:pPr>
        <w:pStyle w:val="SingleTxtG"/>
      </w:pPr>
      <w:r>
        <w:t>8.</w:t>
      </w:r>
      <w:r>
        <w:tab/>
      </w:r>
      <w:r w:rsidR="00E07FCD" w:rsidRPr="00020A10">
        <w:t xml:space="preserve">GCM IWG leads invited a member of NATM IWG to present the tiered approach developed in chapter 3.4 for consideration of the concept to be applied also to </w:t>
      </w:r>
      <w:r w:rsidR="00784964">
        <w:t>c</w:t>
      </w:r>
      <w:r w:rsidR="00E07FCD" w:rsidRPr="00020A10">
        <w:t xml:space="preserve">hapter 3.5. </w:t>
      </w:r>
    </w:p>
    <w:p w14:paraId="1D1A0C53" w14:textId="459A9437" w:rsidR="00E07FCD" w:rsidRPr="00020A10" w:rsidRDefault="003647E7" w:rsidP="00784964">
      <w:pPr>
        <w:pStyle w:val="SingleTxtG"/>
      </w:pPr>
      <w:r>
        <w:t>9.</w:t>
      </w:r>
      <w:r>
        <w:tab/>
      </w:r>
      <w:r w:rsidR="00E07FCD" w:rsidRPr="00020A10">
        <w:t>Acknowledging that the situation for GCM is much more complex than for skin sensitisation it was agreed to explore in the GCM IWG whether a tiered approach is applicable to GCM classification.</w:t>
      </w:r>
    </w:p>
    <w:p w14:paraId="36FBD2D5" w14:textId="388ADF70" w:rsidR="00E07FCD" w:rsidRPr="00784964" w:rsidRDefault="00784964" w:rsidP="00784964">
      <w:pPr>
        <w:pStyle w:val="H1G"/>
      </w:pPr>
      <w:r>
        <w:tab/>
      </w:r>
      <w:r>
        <w:tab/>
      </w:r>
      <w:r w:rsidR="00E07FCD" w:rsidRPr="00784964">
        <w:t>Classification based on in vitro data</w:t>
      </w:r>
    </w:p>
    <w:p w14:paraId="75D41150" w14:textId="17E8A39B" w:rsidR="00E07FCD" w:rsidRDefault="003647E7" w:rsidP="00784964">
      <w:pPr>
        <w:pStyle w:val="SingleTxtG"/>
      </w:pPr>
      <w:r>
        <w:t>10.</w:t>
      </w:r>
      <w:r>
        <w:tab/>
      </w:r>
      <w:r w:rsidR="00E07FCD" w:rsidRPr="00020A10">
        <w:t>GCM IWG does not ask for advice on this topic from the NATM IWG as by now.</w:t>
      </w:r>
    </w:p>
    <w:p w14:paraId="080D190D" w14:textId="7986AFF5" w:rsidR="00784964" w:rsidRPr="00784964" w:rsidRDefault="00784964" w:rsidP="00784964">
      <w:pPr>
        <w:spacing w:before="240"/>
        <w:jc w:val="center"/>
        <w:rPr>
          <w:u w:val="single"/>
        </w:rPr>
      </w:pPr>
      <w:r>
        <w:rPr>
          <w:u w:val="single"/>
        </w:rPr>
        <w:tab/>
      </w:r>
      <w:r>
        <w:rPr>
          <w:u w:val="single"/>
        </w:rPr>
        <w:tab/>
      </w:r>
      <w:r>
        <w:rPr>
          <w:u w:val="single"/>
        </w:rPr>
        <w:tab/>
      </w:r>
    </w:p>
    <w:p w14:paraId="63A92565" w14:textId="77777777" w:rsidR="00E07FCD" w:rsidRPr="00020A10" w:rsidRDefault="00E07FCD" w:rsidP="00E07FCD">
      <w:pPr>
        <w:pStyle w:val="SingleTxtG"/>
        <w:rPr>
          <w:rFonts w:eastAsiaTheme="minorHAnsi"/>
          <w:lang w:val="en-US"/>
        </w:rPr>
      </w:pPr>
    </w:p>
    <w:p w14:paraId="329D8A36" w14:textId="1FAEE799" w:rsidR="00DC27A3" w:rsidRPr="00E136FE" w:rsidRDefault="00DC27A3" w:rsidP="00E07FCD">
      <w:pPr>
        <w:jc w:val="both"/>
        <w:rPr>
          <w:rFonts w:eastAsiaTheme="minorHAnsi"/>
          <w:lang w:val="en-US"/>
        </w:rPr>
      </w:pPr>
    </w:p>
    <w:sectPr w:rsidR="00DC27A3" w:rsidRPr="00E136FE" w:rsidSect="00D64011">
      <w:headerReference w:type="even" r:id="rId10"/>
      <w:headerReference w:type="default" r:id="rId11"/>
      <w:footerReference w:type="even" r:id="rId12"/>
      <w:footerReference w:type="default" r:id="rId13"/>
      <w:endnotePr>
        <w:numFmt w:val="decimal"/>
      </w:endnotePr>
      <w:pgSz w:w="11907" w:h="16840" w:code="9"/>
      <w:pgMar w:top="1701" w:right="1134" w:bottom="1134" w:left="1134"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894E" w14:textId="77777777" w:rsidR="000B6EA0" w:rsidRDefault="000B6EA0" w:rsidP="00164115">
      <w:pPr>
        <w:spacing w:line="240" w:lineRule="auto"/>
      </w:pPr>
      <w:r>
        <w:separator/>
      </w:r>
    </w:p>
  </w:endnote>
  <w:endnote w:type="continuationSeparator" w:id="0">
    <w:p w14:paraId="169E3152" w14:textId="77777777" w:rsidR="000B6EA0" w:rsidRDefault="000B6EA0" w:rsidP="00164115">
      <w:pPr>
        <w:spacing w:line="240" w:lineRule="auto"/>
      </w:pPr>
      <w:r>
        <w:continuationSeparator/>
      </w:r>
    </w:p>
  </w:endnote>
  <w:endnote w:type="continuationNotice" w:id="1">
    <w:p w14:paraId="46A9C6E3" w14:textId="77777777" w:rsidR="000B6EA0" w:rsidRDefault="000B6E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DA99" w14:textId="77777777" w:rsidR="001F725C" w:rsidRPr="0099001C" w:rsidRDefault="00FB3B54"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6</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5924" w14:textId="4E690995" w:rsidR="001F725C" w:rsidRPr="0099001C" w:rsidRDefault="00FB3B54" w:rsidP="00DA5B57">
    <w:pPr>
      <w:pStyle w:val="Footer"/>
      <w:tabs>
        <w:tab w:val="right" w:pos="9638"/>
      </w:tabs>
      <w:jc w:val="both"/>
      <w:rPr>
        <w:b/>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AC12E4">
      <w:rPr>
        <w:b/>
        <w:noProof/>
        <w:sz w:val="18"/>
      </w:rPr>
      <w:t>5</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02D6" w14:textId="77777777" w:rsidR="000B6EA0" w:rsidRDefault="000B6EA0" w:rsidP="00164115">
      <w:pPr>
        <w:spacing w:line="240" w:lineRule="auto"/>
      </w:pPr>
      <w:r>
        <w:separator/>
      </w:r>
    </w:p>
  </w:footnote>
  <w:footnote w:type="continuationSeparator" w:id="0">
    <w:p w14:paraId="60FCA3BB" w14:textId="77777777" w:rsidR="000B6EA0" w:rsidRDefault="000B6EA0" w:rsidP="00164115">
      <w:pPr>
        <w:spacing w:line="240" w:lineRule="auto"/>
      </w:pPr>
      <w:r>
        <w:continuationSeparator/>
      </w:r>
    </w:p>
  </w:footnote>
  <w:footnote w:type="continuationNotice" w:id="1">
    <w:p w14:paraId="56038B3C" w14:textId="77777777" w:rsidR="000B6EA0" w:rsidRDefault="000B6E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DC1D" w14:textId="77777777" w:rsidR="001F725C" w:rsidRPr="0099001C" w:rsidRDefault="00FB3B54" w:rsidP="00366CA7">
    <w:pPr>
      <w:pStyle w:val="Header"/>
    </w:pPr>
    <w:r w:rsidRPr="00774B07">
      <w:t>UN/SCEGHS/31/INF.13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3390" w14:textId="1A760897" w:rsidR="001F725C" w:rsidRPr="0099001C" w:rsidRDefault="00FB3B54" w:rsidP="003D3707">
    <w:pPr>
      <w:pStyle w:val="Header"/>
    </w:pPr>
    <w:r>
      <w:t>UN/SCEGHS/</w:t>
    </w:r>
    <w:r w:rsidR="00677693">
      <w:t>4</w:t>
    </w:r>
    <w:r w:rsidR="00117558">
      <w:t>5</w:t>
    </w:r>
    <w:r>
      <w:t>/INF</w:t>
    </w:r>
    <w:r w:rsidR="00A64E59">
      <w:t>.</w:t>
    </w:r>
    <w:r w:rsidR="00117558">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D8A"/>
    <w:multiLevelType w:val="hybridMultilevel"/>
    <w:tmpl w:val="F34C63BA"/>
    <w:lvl w:ilvl="0" w:tplc="4ACC0BF4">
      <w:start w:val="1"/>
      <w:numFmt w:val="lowerLetter"/>
      <w:lvlText w:val="(%1)"/>
      <w:lvlJc w:val="left"/>
      <w:pPr>
        <w:ind w:left="2474" w:hanging="461"/>
      </w:pPr>
      <w:rPr>
        <w:rFonts w:ascii="Times New Roman" w:eastAsia="Times New Roman" w:hAnsi="Times New Roman" w:cs="Times New Roman" w:hint="default"/>
        <w:spacing w:val="-1"/>
        <w:w w:val="100"/>
        <w:sz w:val="20"/>
        <w:szCs w:val="20"/>
      </w:rPr>
    </w:lvl>
    <w:lvl w:ilvl="1" w:tplc="0310D3F8">
      <w:numFmt w:val="bullet"/>
      <w:lvlText w:val="•"/>
      <w:lvlJc w:val="left"/>
      <w:pPr>
        <w:ind w:left="3236" w:hanging="461"/>
      </w:pPr>
      <w:rPr>
        <w:rFonts w:hint="default"/>
      </w:rPr>
    </w:lvl>
    <w:lvl w:ilvl="2" w:tplc="8FE6D862">
      <w:numFmt w:val="bullet"/>
      <w:lvlText w:val="•"/>
      <w:lvlJc w:val="left"/>
      <w:pPr>
        <w:ind w:left="3992" w:hanging="461"/>
      </w:pPr>
      <w:rPr>
        <w:rFonts w:hint="default"/>
      </w:rPr>
    </w:lvl>
    <w:lvl w:ilvl="3" w:tplc="A5A89E84">
      <w:numFmt w:val="bullet"/>
      <w:lvlText w:val="•"/>
      <w:lvlJc w:val="left"/>
      <w:pPr>
        <w:ind w:left="4749" w:hanging="461"/>
      </w:pPr>
      <w:rPr>
        <w:rFonts w:hint="default"/>
      </w:rPr>
    </w:lvl>
    <w:lvl w:ilvl="4" w:tplc="95C8B2EE">
      <w:numFmt w:val="bullet"/>
      <w:lvlText w:val="•"/>
      <w:lvlJc w:val="left"/>
      <w:pPr>
        <w:ind w:left="5505" w:hanging="461"/>
      </w:pPr>
      <w:rPr>
        <w:rFonts w:hint="default"/>
      </w:rPr>
    </w:lvl>
    <w:lvl w:ilvl="5" w:tplc="DADA9B3E">
      <w:numFmt w:val="bullet"/>
      <w:lvlText w:val="•"/>
      <w:lvlJc w:val="left"/>
      <w:pPr>
        <w:ind w:left="6262" w:hanging="461"/>
      </w:pPr>
      <w:rPr>
        <w:rFonts w:hint="default"/>
      </w:rPr>
    </w:lvl>
    <w:lvl w:ilvl="6" w:tplc="12D0166A">
      <w:numFmt w:val="bullet"/>
      <w:lvlText w:val="•"/>
      <w:lvlJc w:val="left"/>
      <w:pPr>
        <w:ind w:left="7018" w:hanging="461"/>
      </w:pPr>
      <w:rPr>
        <w:rFonts w:hint="default"/>
      </w:rPr>
    </w:lvl>
    <w:lvl w:ilvl="7" w:tplc="1DA0DA7C">
      <w:numFmt w:val="bullet"/>
      <w:lvlText w:val="•"/>
      <w:lvlJc w:val="left"/>
      <w:pPr>
        <w:ind w:left="7775" w:hanging="461"/>
      </w:pPr>
      <w:rPr>
        <w:rFonts w:hint="default"/>
      </w:rPr>
    </w:lvl>
    <w:lvl w:ilvl="8" w:tplc="7D545F38">
      <w:numFmt w:val="bullet"/>
      <w:lvlText w:val="•"/>
      <w:lvlJc w:val="left"/>
      <w:pPr>
        <w:ind w:left="8531" w:hanging="461"/>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76BFB"/>
    <w:multiLevelType w:val="hybridMultilevel"/>
    <w:tmpl w:val="8A32377A"/>
    <w:lvl w:ilvl="0" w:tplc="416E7194">
      <w:start w:val="1"/>
      <w:numFmt w:val="decimal"/>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06371204"/>
    <w:multiLevelType w:val="hybridMultilevel"/>
    <w:tmpl w:val="F752B3EC"/>
    <w:lvl w:ilvl="0" w:tplc="07F21EE0">
      <w:start w:val="2"/>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C9F5DA7"/>
    <w:multiLevelType w:val="hybridMultilevel"/>
    <w:tmpl w:val="285E22A4"/>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6D92799"/>
    <w:multiLevelType w:val="hybridMultilevel"/>
    <w:tmpl w:val="B480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279FC"/>
    <w:multiLevelType w:val="hybridMultilevel"/>
    <w:tmpl w:val="2236C530"/>
    <w:lvl w:ilvl="0" w:tplc="86F26690">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B06B48"/>
    <w:multiLevelType w:val="hybridMultilevel"/>
    <w:tmpl w:val="B936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17E80"/>
    <w:multiLevelType w:val="hybridMultilevel"/>
    <w:tmpl w:val="775ECBC2"/>
    <w:lvl w:ilvl="0" w:tplc="4CCA5514">
      <w:start w:val="1"/>
      <w:numFmt w:val="bullet"/>
      <w:lvlText w:val="•"/>
      <w:lvlJc w:val="left"/>
      <w:pPr>
        <w:tabs>
          <w:tab w:val="num" w:pos="720"/>
        </w:tabs>
        <w:ind w:left="720" w:hanging="360"/>
      </w:pPr>
      <w:rPr>
        <w:rFonts w:ascii="Arial" w:hAnsi="Arial" w:hint="default"/>
      </w:rPr>
    </w:lvl>
    <w:lvl w:ilvl="1" w:tplc="7700DFB6" w:tentative="1">
      <w:start w:val="1"/>
      <w:numFmt w:val="bullet"/>
      <w:lvlText w:val="•"/>
      <w:lvlJc w:val="left"/>
      <w:pPr>
        <w:tabs>
          <w:tab w:val="num" w:pos="1440"/>
        </w:tabs>
        <w:ind w:left="1440" w:hanging="360"/>
      </w:pPr>
      <w:rPr>
        <w:rFonts w:ascii="Arial" w:hAnsi="Arial" w:hint="default"/>
      </w:rPr>
    </w:lvl>
    <w:lvl w:ilvl="2" w:tplc="FED4BBE4" w:tentative="1">
      <w:start w:val="1"/>
      <w:numFmt w:val="bullet"/>
      <w:lvlText w:val="•"/>
      <w:lvlJc w:val="left"/>
      <w:pPr>
        <w:tabs>
          <w:tab w:val="num" w:pos="2160"/>
        </w:tabs>
        <w:ind w:left="2160" w:hanging="360"/>
      </w:pPr>
      <w:rPr>
        <w:rFonts w:ascii="Arial" w:hAnsi="Arial" w:hint="default"/>
      </w:rPr>
    </w:lvl>
    <w:lvl w:ilvl="3" w:tplc="C84C85E8" w:tentative="1">
      <w:start w:val="1"/>
      <w:numFmt w:val="bullet"/>
      <w:lvlText w:val="•"/>
      <w:lvlJc w:val="left"/>
      <w:pPr>
        <w:tabs>
          <w:tab w:val="num" w:pos="2880"/>
        </w:tabs>
        <w:ind w:left="2880" w:hanging="360"/>
      </w:pPr>
      <w:rPr>
        <w:rFonts w:ascii="Arial" w:hAnsi="Arial" w:hint="default"/>
      </w:rPr>
    </w:lvl>
    <w:lvl w:ilvl="4" w:tplc="A50C671E" w:tentative="1">
      <w:start w:val="1"/>
      <w:numFmt w:val="bullet"/>
      <w:lvlText w:val="•"/>
      <w:lvlJc w:val="left"/>
      <w:pPr>
        <w:tabs>
          <w:tab w:val="num" w:pos="3600"/>
        </w:tabs>
        <w:ind w:left="3600" w:hanging="360"/>
      </w:pPr>
      <w:rPr>
        <w:rFonts w:ascii="Arial" w:hAnsi="Arial" w:hint="default"/>
      </w:rPr>
    </w:lvl>
    <w:lvl w:ilvl="5" w:tplc="6DB2D08E" w:tentative="1">
      <w:start w:val="1"/>
      <w:numFmt w:val="bullet"/>
      <w:lvlText w:val="•"/>
      <w:lvlJc w:val="left"/>
      <w:pPr>
        <w:tabs>
          <w:tab w:val="num" w:pos="4320"/>
        </w:tabs>
        <w:ind w:left="4320" w:hanging="360"/>
      </w:pPr>
      <w:rPr>
        <w:rFonts w:ascii="Arial" w:hAnsi="Arial" w:hint="default"/>
      </w:rPr>
    </w:lvl>
    <w:lvl w:ilvl="6" w:tplc="8EB8B3F2" w:tentative="1">
      <w:start w:val="1"/>
      <w:numFmt w:val="bullet"/>
      <w:lvlText w:val="•"/>
      <w:lvlJc w:val="left"/>
      <w:pPr>
        <w:tabs>
          <w:tab w:val="num" w:pos="5040"/>
        </w:tabs>
        <w:ind w:left="5040" w:hanging="360"/>
      </w:pPr>
      <w:rPr>
        <w:rFonts w:ascii="Arial" w:hAnsi="Arial" w:hint="default"/>
      </w:rPr>
    </w:lvl>
    <w:lvl w:ilvl="7" w:tplc="C6FA1484" w:tentative="1">
      <w:start w:val="1"/>
      <w:numFmt w:val="bullet"/>
      <w:lvlText w:val="•"/>
      <w:lvlJc w:val="left"/>
      <w:pPr>
        <w:tabs>
          <w:tab w:val="num" w:pos="5760"/>
        </w:tabs>
        <w:ind w:left="5760" w:hanging="360"/>
      </w:pPr>
      <w:rPr>
        <w:rFonts w:ascii="Arial" w:hAnsi="Arial" w:hint="default"/>
      </w:rPr>
    </w:lvl>
    <w:lvl w:ilvl="8" w:tplc="48EACA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7348CD"/>
    <w:multiLevelType w:val="hybridMultilevel"/>
    <w:tmpl w:val="DA605064"/>
    <w:lvl w:ilvl="0" w:tplc="9F7490D2">
      <w:start w:val="1"/>
      <w:numFmt w:val="lowerRoman"/>
      <w:lvlText w:val="(%1)"/>
      <w:lvlJc w:val="left"/>
      <w:pPr>
        <w:ind w:left="2988" w:hanging="360"/>
      </w:pPr>
      <w:rPr>
        <w:rFonts w:ascii="Times New Roman" w:eastAsia="Times New Roman" w:hAnsi="Times New Roman" w:cs="Times New Roman"/>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0" w15:restartNumberingAfterBreak="0">
    <w:nsid w:val="3873658C"/>
    <w:multiLevelType w:val="hybridMultilevel"/>
    <w:tmpl w:val="F08E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D36D6"/>
    <w:multiLevelType w:val="hybridMultilevel"/>
    <w:tmpl w:val="9FA29714"/>
    <w:lvl w:ilvl="0" w:tplc="BD9479A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5133537E"/>
    <w:multiLevelType w:val="hybridMultilevel"/>
    <w:tmpl w:val="BAD87F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73A38"/>
    <w:multiLevelType w:val="hybridMultilevel"/>
    <w:tmpl w:val="FBD49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06FC3"/>
    <w:multiLevelType w:val="hybridMultilevel"/>
    <w:tmpl w:val="9E1E6696"/>
    <w:lvl w:ilvl="0" w:tplc="416E7194">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651F124A"/>
    <w:multiLevelType w:val="hybridMultilevel"/>
    <w:tmpl w:val="91281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7A5A93"/>
    <w:multiLevelType w:val="hybridMultilevel"/>
    <w:tmpl w:val="E38C2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DB1705C"/>
    <w:multiLevelType w:val="hybridMultilevel"/>
    <w:tmpl w:val="9BF218D0"/>
    <w:lvl w:ilvl="0" w:tplc="FDC89878">
      <w:start w:val="1"/>
      <w:numFmt w:val="lowerRoman"/>
      <w:lvlText w:val="(%1)"/>
      <w:lvlJc w:val="left"/>
      <w:pPr>
        <w:ind w:left="525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C900E3"/>
    <w:multiLevelType w:val="multilevel"/>
    <w:tmpl w:val="646871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78F35588"/>
    <w:multiLevelType w:val="hybridMultilevel"/>
    <w:tmpl w:val="0F080072"/>
    <w:lvl w:ilvl="0" w:tplc="B2F25F5C">
      <w:start w:val="1"/>
      <w:numFmt w:val="lowerRoman"/>
      <w:lvlText w:val="%1."/>
      <w:lvlJc w:val="center"/>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3794082">
    <w:abstractNumId w:val="1"/>
  </w:num>
  <w:num w:numId="2" w16cid:durableId="1895316773">
    <w:abstractNumId w:val="16"/>
  </w:num>
  <w:num w:numId="3" w16cid:durableId="1986548540">
    <w:abstractNumId w:val="19"/>
  </w:num>
  <w:num w:numId="4" w16cid:durableId="2606461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8620049">
    <w:abstractNumId w:val="15"/>
  </w:num>
  <w:num w:numId="6" w16cid:durableId="1327512506">
    <w:abstractNumId w:val="18"/>
  </w:num>
  <w:num w:numId="7" w16cid:durableId="1451825661">
    <w:abstractNumId w:val="20"/>
  </w:num>
  <w:num w:numId="8" w16cid:durableId="1187526865">
    <w:abstractNumId w:val="9"/>
  </w:num>
  <w:num w:numId="9" w16cid:durableId="1906598593">
    <w:abstractNumId w:val="11"/>
  </w:num>
  <w:num w:numId="10" w16cid:durableId="1272317505">
    <w:abstractNumId w:val="3"/>
  </w:num>
  <w:num w:numId="11" w16cid:durableId="1072510080">
    <w:abstractNumId w:val="14"/>
  </w:num>
  <w:num w:numId="12" w16cid:durableId="490680816">
    <w:abstractNumId w:val="2"/>
  </w:num>
  <w:num w:numId="13" w16cid:durableId="635377154">
    <w:abstractNumId w:val="10"/>
  </w:num>
  <w:num w:numId="14" w16cid:durableId="1799184865">
    <w:abstractNumId w:val="0"/>
  </w:num>
  <w:num w:numId="15" w16cid:durableId="2078821245">
    <w:abstractNumId w:val="13"/>
  </w:num>
  <w:num w:numId="16" w16cid:durableId="1040859392">
    <w:abstractNumId w:val="12"/>
  </w:num>
  <w:num w:numId="17" w16cid:durableId="842087503">
    <w:abstractNumId w:val="7"/>
  </w:num>
  <w:num w:numId="18" w16cid:durableId="258029469">
    <w:abstractNumId w:val="5"/>
  </w:num>
  <w:num w:numId="19" w16cid:durableId="131750758">
    <w:abstractNumId w:val="8"/>
  </w:num>
  <w:num w:numId="20" w16cid:durableId="6644045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166945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9857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proofState w:spelling="clean"/>
  <w:doNotTrackFormatting/>
  <w:defaultTabStop w:val="72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15"/>
    <w:rsid w:val="000046C0"/>
    <w:rsid w:val="000047A9"/>
    <w:rsid w:val="00010C82"/>
    <w:rsid w:val="0001631B"/>
    <w:rsid w:val="00017645"/>
    <w:rsid w:val="000241D7"/>
    <w:rsid w:val="00026C33"/>
    <w:rsid w:val="000273AA"/>
    <w:rsid w:val="00051298"/>
    <w:rsid w:val="00053E14"/>
    <w:rsid w:val="00060108"/>
    <w:rsid w:val="000624F6"/>
    <w:rsid w:val="00064338"/>
    <w:rsid w:val="00067A00"/>
    <w:rsid w:val="00074029"/>
    <w:rsid w:val="0007530F"/>
    <w:rsid w:val="00076982"/>
    <w:rsid w:val="00094A51"/>
    <w:rsid w:val="000957E6"/>
    <w:rsid w:val="000A6B5A"/>
    <w:rsid w:val="000B20E0"/>
    <w:rsid w:val="000B6EA0"/>
    <w:rsid w:val="000C595A"/>
    <w:rsid w:val="000D4CFE"/>
    <w:rsid w:val="000D55C4"/>
    <w:rsid w:val="000D5A3F"/>
    <w:rsid w:val="000D62D6"/>
    <w:rsid w:val="000E5D24"/>
    <w:rsid w:val="000E6559"/>
    <w:rsid w:val="000F47F6"/>
    <w:rsid w:val="0010159D"/>
    <w:rsid w:val="00101C2A"/>
    <w:rsid w:val="00105C22"/>
    <w:rsid w:val="00112911"/>
    <w:rsid w:val="00117558"/>
    <w:rsid w:val="001238FC"/>
    <w:rsid w:val="00137D32"/>
    <w:rsid w:val="00144674"/>
    <w:rsid w:val="001460DF"/>
    <w:rsid w:val="00151C25"/>
    <w:rsid w:val="00152965"/>
    <w:rsid w:val="00162FFA"/>
    <w:rsid w:val="00164115"/>
    <w:rsid w:val="00173B5A"/>
    <w:rsid w:val="00183353"/>
    <w:rsid w:val="00186B57"/>
    <w:rsid w:val="001936D3"/>
    <w:rsid w:val="001974E9"/>
    <w:rsid w:val="001A3729"/>
    <w:rsid w:val="001A4B5C"/>
    <w:rsid w:val="001B33BB"/>
    <w:rsid w:val="001D6938"/>
    <w:rsid w:val="001E1493"/>
    <w:rsid w:val="001E213F"/>
    <w:rsid w:val="001E45F7"/>
    <w:rsid w:val="001E46D7"/>
    <w:rsid w:val="001F647E"/>
    <w:rsid w:val="001F725C"/>
    <w:rsid w:val="00202311"/>
    <w:rsid w:val="00210226"/>
    <w:rsid w:val="00213675"/>
    <w:rsid w:val="00215557"/>
    <w:rsid w:val="00221F65"/>
    <w:rsid w:val="002336CA"/>
    <w:rsid w:val="00240FCE"/>
    <w:rsid w:val="00244420"/>
    <w:rsid w:val="00246835"/>
    <w:rsid w:val="0024696D"/>
    <w:rsid w:val="00252D72"/>
    <w:rsid w:val="0026031B"/>
    <w:rsid w:val="00265C0E"/>
    <w:rsid w:val="00266023"/>
    <w:rsid w:val="00266138"/>
    <w:rsid w:val="00273532"/>
    <w:rsid w:val="0028162F"/>
    <w:rsid w:val="00285BE7"/>
    <w:rsid w:val="00287539"/>
    <w:rsid w:val="00291834"/>
    <w:rsid w:val="002C3720"/>
    <w:rsid w:val="002C421C"/>
    <w:rsid w:val="002C572D"/>
    <w:rsid w:val="002D4E22"/>
    <w:rsid w:val="002D6556"/>
    <w:rsid w:val="002D6AD8"/>
    <w:rsid w:val="002E2263"/>
    <w:rsid w:val="002E6104"/>
    <w:rsid w:val="002E6ECA"/>
    <w:rsid w:val="002F0835"/>
    <w:rsid w:val="002F62BE"/>
    <w:rsid w:val="002F7542"/>
    <w:rsid w:val="0030227B"/>
    <w:rsid w:val="00302DD8"/>
    <w:rsid w:val="003048F7"/>
    <w:rsid w:val="00311DCE"/>
    <w:rsid w:val="00317E98"/>
    <w:rsid w:val="00324DE2"/>
    <w:rsid w:val="00325A9B"/>
    <w:rsid w:val="0033359F"/>
    <w:rsid w:val="00335C61"/>
    <w:rsid w:val="003560F6"/>
    <w:rsid w:val="0035741C"/>
    <w:rsid w:val="003607A6"/>
    <w:rsid w:val="003647E7"/>
    <w:rsid w:val="00371197"/>
    <w:rsid w:val="0037531F"/>
    <w:rsid w:val="00377C69"/>
    <w:rsid w:val="00377F4E"/>
    <w:rsid w:val="0038109D"/>
    <w:rsid w:val="0039733F"/>
    <w:rsid w:val="003A18F9"/>
    <w:rsid w:val="003A5195"/>
    <w:rsid w:val="003B0416"/>
    <w:rsid w:val="003C10AE"/>
    <w:rsid w:val="003C2393"/>
    <w:rsid w:val="003C2812"/>
    <w:rsid w:val="003C35A9"/>
    <w:rsid w:val="003C6589"/>
    <w:rsid w:val="003C6B5D"/>
    <w:rsid w:val="003D3707"/>
    <w:rsid w:val="003E4637"/>
    <w:rsid w:val="003F6FAB"/>
    <w:rsid w:val="00415FA2"/>
    <w:rsid w:val="004174DC"/>
    <w:rsid w:val="00422995"/>
    <w:rsid w:val="004255A7"/>
    <w:rsid w:val="00427448"/>
    <w:rsid w:val="00430796"/>
    <w:rsid w:val="00432CBB"/>
    <w:rsid w:val="00452B5D"/>
    <w:rsid w:val="00453CF7"/>
    <w:rsid w:val="00453E49"/>
    <w:rsid w:val="00455648"/>
    <w:rsid w:val="0047113E"/>
    <w:rsid w:val="00471DD0"/>
    <w:rsid w:val="00477802"/>
    <w:rsid w:val="004837DB"/>
    <w:rsid w:val="004838B9"/>
    <w:rsid w:val="004A4617"/>
    <w:rsid w:val="004C6359"/>
    <w:rsid w:val="004D115D"/>
    <w:rsid w:val="004F490E"/>
    <w:rsid w:val="00507A6E"/>
    <w:rsid w:val="00516D65"/>
    <w:rsid w:val="0052135F"/>
    <w:rsid w:val="00525972"/>
    <w:rsid w:val="005340EA"/>
    <w:rsid w:val="005341D1"/>
    <w:rsid w:val="00540D80"/>
    <w:rsid w:val="00543826"/>
    <w:rsid w:val="00552785"/>
    <w:rsid w:val="005663BA"/>
    <w:rsid w:val="00570ACA"/>
    <w:rsid w:val="00570F20"/>
    <w:rsid w:val="00575CE1"/>
    <w:rsid w:val="0057627A"/>
    <w:rsid w:val="00577B06"/>
    <w:rsid w:val="00586D03"/>
    <w:rsid w:val="00590111"/>
    <w:rsid w:val="005A2041"/>
    <w:rsid w:val="005A3E43"/>
    <w:rsid w:val="005A7B6C"/>
    <w:rsid w:val="005B4DBE"/>
    <w:rsid w:val="005B5F5B"/>
    <w:rsid w:val="005C0411"/>
    <w:rsid w:val="005C2405"/>
    <w:rsid w:val="005C2CE9"/>
    <w:rsid w:val="005C600E"/>
    <w:rsid w:val="005C676A"/>
    <w:rsid w:val="005C6C1F"/>
    <w:rsid w:val="005D383A"/>
    <w:rsid w:val="005E063A"/>
    <w:rsid w:val="005E4BC8"/>
    <w:rsid w:val="005E4C08"/>
    <w:rsid w:val="005E6D62"/>
    <w:rsid w:val="005F0ADF"/>
    <w:rsid w:val="005F44E0"/>
    <w:rsid w:val="005F47BB"/>
    <w:rsid w:val="00600B25"/>
    <w:rsid w:val="00603A95"/>
    <w:rsid w:val="00604BDB"/>
    <w:rsid w:val="0061255C"/>
    <w:rsid w:val="00631F7C"/>
    <w:rsid w:val="00642FA8"/>
    <w:rsid w:val="00643AF3"/>
    <w:rsid w:val="00643B7D"/>
    <w:rsid w:val="00647A07"/>
    <w:rsid w:val="00650256"/>
    <w:rsid w:val="00650E7B"/>
    <w:rsid w:val="00665AE0"/>
    <w:rsid w:val="0067507C"/>
    <w:rsid w:val="00677693"/>
    <w:rsid w:val="00690432"/>
    <w:rsid w:val="00690685"/>
    <w:rsid w:val="006937A2"/>
    <w:rsid w:val="00695656"/>
    <w:rsid w:val="006A1118"/>
    <w:rsid w:val="006B1551"/>
    <w:rsid w:val="006B7C48"/>
    <w:rsid w:val="006C35C3"/>
    <w:rsid w:val="006C49D3"/>
    <w:rsid w:val="006D1925"/>
    <w:rsid w:val="006D2754"/>
    <w:rsid w:val="006D4826"/>
    <w:rsid w:val="006E6C53"/>
    <w:rsid w:val="006F0819"/>
    <w:rsid w:val="006F1207"/>
    <w:rsid w:val="006F47B0"/>
    <w:rsid w:val="006F796F"/>
    <w:rsid w:val="00700115"/>
    <w:rsid w:val="007079BE"/>
    <w:rsid w:val="0071001B"/>
    <w:rsid w:val="00712F9E"/>
    <w:rsid w:val="00714EB2"/>
    <w:rsid w:val="00720043"/>
    <w:rsid w:val="00731BB1"/>
    <w:rsid w:val="00740F2E"/>
    <w:rsid w:val="00741D51"/>
    <w:rsid w:val="007436D3"/>
    <w:rsid w:val="00746E3E"/>
    <w:rsid w:val="00750FB7"/>
    <w:rsid w:val="0075369B"/>
    <w:rsid w:val="007548CC"/>
    <w:rsid w:val="0075525E"/>
    <w:rsid w:val="007726E8"/>
    <w:rsid w:val="0078015A"/>
    <w:rsid w:val="00784964"/>
    <w:rsid w:val="00791FB9"/>
    <w:rsid w:val="007936F3"/>
    <w:rsid w:val="0079650F"/>
    <w:rsid w:val="007A2CE7"/>
    <w:rsid w:val="007A4C5E"/>
    <w:rsid w:val="007B3E78"/>
    <w:rsid w:val="007C086A"/>
    <w:rsid w:val="007C2E51"/>
    <w:rsid w:val="007C4F02"/>
    <w:rsid w:val="007C7462"/>
    <w:rsid w:val="007D5F27"/>
    <w:rsid w:val="007E0AED"/>
    <w:rsid w:val="007E2252"/>
    <w:rsid w:val="007E2C04"/>
    <w:rsid w:val="007E5F66"/>
    <w:rsid w:val="007E7D49"/>
    <w:rsid w:val="00804912"/>
    <w:rsid w:val="008057F1"/>
    <w:rsid w:val="00806892"/>
    <w:rsid w:val="008249B1"/>
    <w:rsid w:val="00834F17"/>
    <w:rsid w:val="00836280"/>
    <w:rsid w:val="0084448F"/>
    <w:rsid w:val="008523E9"/>
    <w:rsid w:val="008703CA"/>
    <w:rsid w:val="008904FF"/>
    <w:rsid w:val="008A001C"/>
    <w:rsid w:val="008A06B4"/>
    <w:rsid w:val="008A28F8"/>
    <w:rsid w:val="008A2F02"/>
    <w:rsid w:val="008A34D7"/>
    <w:rsid w:val="008B2F28"/>
    <w:rsid w:val="008B5CA6"/>
    <w:rsid w:val="008C0CA5"/>
    <w:rsid w:val="008C4557"/>
    <w:rsid w:val="008C727E"/>
    <w:rsid w:val="008C7CE3"/>
    <w:rsid w:val="008D4B0D"/>
    <w:rsid w:val="008D66A4"/>
    <w:rsid w:val="008F7A93"/>
    <w:rsid w:val="009134E3"/>
    <w:rsid w:val="009216A2"/>
    <w:rsid w:val="00922DBB"/>
    <w:rsid w:val="00924FA7"/>
    <w:rsid w:val="00934FC4"/>
    <w:rsid w:val="009353E1"/>
    <w:rsid w:val="00944B48"/>
    <w:rsid w:val="009523C4"/>
    <w:rsid w:val="00955AA1"/>
    <w:rsid w:val="00960684"/>
    <w:rsid w:val="009705A6"/>
    <w:rsid w:val="0097099B"/>
    <w:rsid w:val="00975131"/>
    <w:rsid w:val="009808E5"/>
    <w:rsid w:val="009835BF"/>
    <w:rsid w:val="00986D59"/>
    <w:rsid w:val="00994A56"/>
    <w:rsid w:val="0099648B"/>
    <w:rsid w:val="0099672C"/>
    <w:rsid w:val="009A573C"/>
    <w:rsid w:val="009B059B"/>
    <w:rsid w:val="009B21CE"/>
    <w:rsid w:val="009C4428"/>
    <w:rsid w:val="009C5BE9"/>
    <w:rsid w:val="009C72DB"/>
    <w:rsid w:val="009D2F1E"/>
    <w:rsid w:val="009D33FE"/>
    <w:rsid w:val="009E1573"/>
    <w:rsid w:val="009F75C6"/>
    <w:rsid w:val="00A00DE2"/>
    <w:rsid w:val="00A04628"/>
    <w:rsid w:val="00A104FE"/>
    <w:rsid w:val="00A112A9"/>
    <w:rsid w:val="00A11B2F"/>
    <w:rsid w:val="00A12DBD"/>
    <w:rsid w:val="00A13D20"/>
    <w:rsid w:val="00A14C62"/>
    <w:rsid w:val="00A20A36"/>
    <w:rsid w:val="00A244FB"/>
    <w:rsid w:val="00A2562F"/>
    <w:rsid w:val="00A26F89"/>
    <w:rsid w:val="00A317FB"/>
    <w:rsid w:val="00A33995"/>
    <w:rsid w:val="00A362CD"/>
    <w:rsid w:val="00A37290"/>
    <w:rsid w:val="00A402D3"/>
    <w:rsid w:val="00A42268"/>
    <w:rsid w:val="00A46358"/>
    <w:rsid w:val="00A559FB"/>
    <w:rsid w:val="00A579E8"/>
    <w:rsid w:val="00A63ADF"/>
    <w:rsid w:val="00A64E59"/>
    <w:rsid w:val="00A77DC3"/>
    <w:rsid w:val="00A84DE3"/>
    <w:rsid w:val="00A94A0F"/>
    <w:rsid w:val="00AA5CA6"/>
    <w:rsid w:val="00AB194D"/>
    <w:rsid w:val="00AB5800"/>
    <w:rsid w:val="00AC12E4"/>
    <w:rsid w:val="00AC1899"/>
    <w:rsid w:val="00AC2B41"/>
    <w:rsid w:val="00AC4819"/>
    <w:rsid w:val="00AC70C0"/>
    <w:rsid w:val="00AD236D"/>
    <w:rsid w:val="00AE1522"/>
    <w:rsid w:val="00AE28A5"/>
    <w:rsid w:val="00AE4666"/>
    <w:rsid w:val="00AF6467"/>
    <w:rsid w:val="00B104D9"/>
    <w:rsid w:val="00B11660"/>
    <w:rsid w:val="00B15A36"/>
    <w:rsid w:val="00B17791"/>
    <w:rsid w:val="00B2584E"/>
    <w:rsid w:val="00B36D9A"/>
    <w:rsid w:val="00B37916"/>
    <w:rsid w:val="00B54FD9"/>
    <w:rsid w:val="00B5694B"/>
    <w:rsid w:val="00B62BC6"/>
    <w:rsid w:val="00B6302E"/>
    <w:rsid w:val="00B63EF3"/>
    <w:rsid w:val="00B64C6E"/>
    <w:rsid w:val="00B651BB"/>
    <w:rsid w:val="00B71E6F"/>
    <w:rsid w:val="00B801B0"/>
    <w:rsid w:val="00B82285"/>
    <w:rsid w:val="00B82EAD"/>
    <w:rsid w:val="00B85E6F"/>
    <w:rsid w:val="00B912D6"/>
    <w:rsid w:val="00B916CE"/>
    <w:rsid w:val="00B91A88"/>
    <w:rsid w:val="00BA3D77"/>
    <w:rsid w:val="00BB01E4"/>
    <w:rsid w:val="00BC10EC"/>
    <w:rsid w:val="00BC3A1E"/>
    <w:rsid w:val="00BD270C"/>
    <w:rsid w:val="00BE329F"/>
    <w:rsid w:val="00BE68D4"/>
    <w:rsid w:val="00BF261C"/>
    <w:rsid w:val="00BF6C5F"/>
    <w:rsid w:val="00BF7328"/>
    <w:rsid w:val="00C0487F"/>
    <w:rsid w:val="00C12195"/>
    <w:rsid w:val="00C17B49"/>
    <w:rsid w:val="00C2446B"/>
    <w:rsid w:val="00C3606F"/>
    <w:rsid w:val="00C37279"/>
    <w:rsid w:val="00C5090B"/>
    <w:rsid w:val="00C626AD"/>
    <w:rsid w:val="00C7135D"/>
    <w:rsid w:val="00C7259D"/>
    <w:rsid w:val="00C7459B"/>
    <w:rsid w:val="00C74E96"/>
    <w:rsid w:val="00C75767"/>
    <w:rsid w:val="00C81840"/>
    <w:rsid w:val="00C8264B"/>
    <w:rsid w:val="00C87F32"/>
    <w:rsid w:val="00C90326"/>
    <w:rsid w:val="00C9223E"/>
    <w:rsid w:val="00C96CF5"/>
    <w:rsid w:val="00CA1B48"/>
    <w:rsid w:val="00CA1BEB"/>
    <w:rsid w:val="00CA3437"/>
    <w:rsid w:val="00CA3B86"/>
    <w:rsid w:val="00CA50D4"/>
    <w:rsid w:val="00CA5382"/>
    <w:rsid w:val="00CA79A5"/>
    <w:rsid w:val="00CD3626"/>
    <w:rsid w:val="00CD45E7"/>
    <w:rsid w:val="00CD785E"/>
    <w:rsid w:val="00CE7973"/>
    <w:rsid w:val="00D053AD"/>
    <w:rsid w:val="00D054C1"/>
    <w:rsid w:val="00D16F6F"/>
    <w:rsid w:val="00D27368"/>
    <w:rsid w:val="00D34AAC"/>
    <w:rsid w:val="00D43B43"/>
    <w:rsid w:val="00D5211C"/>
    <w:rsid w:val="00D5259E"/>
    <w:rsid w:val="00D526AE"/>
    <w:rsid w:val="00D601BF"/>
    <w:rsid w:val="00D64011"/>
    <w:rsid w:val="00D6528B"/>
    <w:rsid w:val="00D662E4"/>
    <w:rsid w:val="00D72CAD"/>
    <w:rsid w:val="00DA5B57"/>
    <w:rsid w:val="00DB3C76"/>
    <w:rsid w:val="00DC27A3"/>
    <w:rsid w:val="00DC7965"/>
    <w:rsid w:val="00DD07F6"/>
    <w:rsid w:val="00DD35CA"/>
    <w:rsid w:val="00DD762A"/>
    <w:rsid w:val="00DE6277"/>
    <w:rsid w:val="00E0154D"/>
    <w:rsid w:val="00E07FCD"/>
    <w:rsid w:val="00E34C94"/>
    <w:rsid w:val="00E362F8"/>
    <w:rsid w:val="00E40B2C"/>
    <w:rsid w:val="00E46FDA"/>
    <w:rsid w:val="00E475F4"/>
    <w:rsid w:val="00E56F9E"/>
    <w:rsid w:val="00E60768"/>
    <w:rsid w:val="00E71E11"/>
    <w:rsid w:val="00E73A91"/>
    <w:rsid w:val="00E75541"/>
    <w:rsid w:val="00E83DCB"/>
    <w:rsid w:val="00E84076"/>
    <w:rsid w:val="00E852AE"/>
    <w:rsid w:val="00E86488"/>
    <w:rsid w:val="00E91F05"/>
    <w:rsid w:val="00E9531C"/>
    <w:rsid w:val="00E95802"/>
    <w:rsid w:val="00EA7017"/>
    <w:rsid w:val="00EB4471"/>
    <w:rsid w:val="00EC4C12"/>
    <w:rsid w:val="00EC7B74"/>
    <w:rsid w:val="00F10E10"/>
    <w:rsid w:val="00F111FF"/>
    <w:rsid w:val="00F13538"/>
    <w:rsid w:val="00F1403F"/>
    <w:rsid w:val="00F1685D"/>
    <w:rsid w:val="00F25569"/>
    <w:rsid w:val="00F31A5F"/>
    <w:rsid w:val="00F372EC"/>
    <w:rsid w:val="00F40245"/>
    <w:rsid w:val="00F47B3E"/>
    <w:rsid w:val="00F708E9"/>
    <w:rsid w:val="00F75FFC"/>
    <w:rsid w:val="00F814A0"/>
    <w:rsid w:val="00F8246F"/>
    <w:rsid w:val="00FA5492"/>
    <w:rsid w:val="00FB327C"/>
    <w:rsid w:val="00FB3B54"/>
    <w:rsid w:val="00FB478E"/>
    <w:rsid w:val="00FB6110"/>
    <w:rsid w:val="00FC06FF"/>
    <w:rsid w:val="00FC53B1"/>
    <w:rsid w:val="00FC67E3"/>
    <w:rsid w:val="00FC6EEB"/>
    <w:rsid w:val="00FD63D6"/>
    <w:rsid w:val="00FD7CB8"/>
    <w:rsid w:val="00FF0630"/>
    <w:rsid w:val="00FF0BE3"/>
    <w:rsid w:val="00FF22E3"/>
    <w:rsid w:val="00FF36D5"/>
    <w:rsid w:val="00FF5964"/>
    <w:rsid w:val="00FF69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9F398"/>
  <w15:docId w15:val="{1C634FA7-CF74-684B-9C2C-0A09E963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15"/>
    <w:pPr>
      <w:suppressAutoHyphens/>
      <w:spacing w:after="0" w:line="240" w:lineRule="atLeast"/>
    </w:pPr>
    <w:rPr>
      <w:rFonts w:ascii="Times New Roman" w:eastAsia="Times New Roman" w:hAnsi="Times New Roman" w:cs="Times New Roman"/>
      <w:sz w:val="20"/>
      <w:szCs w:val="20"/>
      <w:lang w:val="en-GB" w:eastAsia="en-US"/>
    </w:rPr>
  </w:style>
  <w:style w:type="paragraph" w:styleId="Heading4">
    <w:name w:val="heading 4"/>
    <w:basedOn w:val="Normal"/>
    <w:next w:val="Normal"/>
    <w:link w:val="Heading4Char"/>
    <w:uiPriority w:val="9"/>
    <w:semiHidden/>
    <w:unhideWhenUsed/>
    <w:qFormat/>
    <w:rsid w:val="00E07FC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link w:val="Heading7Char"/>
    <w:uiPriority w:val="1"/>
    <w:qFormat/>
    <w:rsid w:val="006F0819"/>
    <w:pPr>
      <w:widowControl w:val="0"/>
      <w:suppressAutoHyphens w:val="0"/>
      <w:autoSpaceDE w:val="0"/>
      <w:autoSpaceDN w:val="0"/>
      <w:spacing w:line="240" w:lineRule="auto"/>
      <w:ind w:left="1811"/>
      <w:outlineLvl w:val="6"/>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64115"/>
    <w:pPr>
      <w:spacing w:after="120"/>
      <w:ind w:left="1134" w:right="1134"/>
      <w:jc w:val="both"/>
    </w:pPr>
  </w:style>
  <w:style w:type="paragraph" w:customStyle="1" w:styleId="HMG">
    <w:name w:val="_ H __M_G"/>
    <w:basedOn w:val="Normal"/>
    <w:next w:val="Normal"/>
    <w:rsid w:val="0016411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6411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164115"/>
    <w:rPr>
      <w:rFonts w:ascii="Times New Roman" w:hAnsi="Times New Roman"/>
      <w:sz w:val="18"/>
      <w:vertAlign w:val="superscript"/>
    </w:rPr>
  </w:style>
  <w:style w:type="paragraph" w:styleId="Header">
    <w:name w:val="header"/>
    <w:aliases w:val="6_G"/>
    <w:basedOn w:val="Normal"/>
    <w:link w:val="HeaderChar"/>
    <w:rsid w:val="0016411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64115"/>
    <w:rPr>
      <w:rFonts w:ascii="Times New Roman" w:eastAsia="Times New Roman" w:hAnsi="Times New Roman" w:cs="Times New Roman"/>
      <w:b/>
      <w:sz w:val="18"/>
      <w:szCs w:val="20"/>
      <w:lang w:val="en-GB" w:eastAsia="en-US"/>
    </w:rPr>
  </w:style>
  <w:style w:type="paragraph" w:styleId="FootnoteText">
    <w:name w:val="footnote text"/>
    <w:aliases w:val="5_G"/>
    <w:basedOn w:val="Normal"/>
    <w:link w:val="FootnoteTextChar"/>
    <w:uiPriority w:val="99"/>
    <w:rsid w:val="0016411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164115"/>
    <w:rPr>
      <w:rFonts w:ascii="Times New Roman" w:eastAsia="Times New Roman" w:hAnsi="Times New Roman" w:cs="Times New Roman"/>
      <w:sz w:val="18"/>
      <w:szCs w:val="20"/>
      <w:lang w:val="en-GB" w:eastAsia="en-US"/>
    </w:rPr>
  </w:style>
  <w:style w:type="paragraph" w:customStyle="1" w:styleId="Bullet1G">
    <w:name w:val="_Bullet 1_G"/>
    <w:basedOn w:val="Normal"/>
    <w:rsid w:val="00164115"/>
    <w:pPr>
      <w:numPr>
        <w:numId w:val="1"/>
      </w:numPr>
      <w:spacing w:after="120"/>
      <w:ind w:right="1134"/>
      <w:jc w:val="both"/>
    </w:pPr>
  </w:style>
  <w:style w:type="paragraph" w:styleId="Footer">
    <w:name w:val="footer"/>
    <w:aliases w:val="3_G"/>
    <w:basedOn w:val="Normal"/>
    <w:link w:val="FooterChar"/>
    <w:rsid w:val="00164115"/>
    <w:pPr>
      <w:spacing w:line="240" w:lineRule="auto"/>
    </w:pPr>
    <w:rPr>
      <w:sz w:val="16"/>
    </w:rPr>
  </w:style>
  <w:style w:type="character" w:customStyle="1" w:styleId="FooterChar">
    <w:name w:val="Footer Char"/>
    <w:aliases w:val="3_G Char"/>
    <w:basedOn w:val="DefaultParagraphFont"/>
    <w:link w:val="Footer"/>
    <w:rsid w:val="00164115"/>
    <w:rPr>
      <w:rFonts w:ascii="Times New Roman" w:eastAsia="Times New Roman" w:hAnsi="Times New Roman" w:cs="Times New Roman"/>
      <w:sz w:val="16"/>
      <w:szCs w:val="20"/>
      <w:lang w:val="en-GB" w:eastAsia="en-US"/>
    </w:rPr>
  </w:style>
  <w:style w:type="paragraph" w:customStyle="1" w:styleId="H1G">
    <w:name w:val="_ H_1_G"/>
    <w:basedOn w:val="Normal"/>
    <w:next w:val="Normal"/>
    <w:rsid w:val="0016411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64115"/>
    <w:pPr>
      <w:keepNext/>
      <w:keepLines/>
      <w:tabs>
        <w:tab w:val="right" w:pos="851"/>
      </w:tabs>
      <w:spacing w:before="240" w:after="120" w:line="240" w:lineRule="exact"/>
      <w:ind w:left="1134" w:right="1134" w:hanging="1134"/>
    </w:pPr>
    <w:rPr>
      <w:b/>
    </w:rPr>
  </w:style>
  <w:style w:type="character" w:customStyle="1" w:styleId="HChGChar">
    <w:name w:val="_ H _Ch_G Char"/>
    <w:link w:val="HChG"/>
    <w:rsid w:val="00164115"/>
    <w:rPr>
      <w:rFonts w:ascii="Times New Roman" w:eastAsia="Times New Roman" w:hAnsi="Times New Roman" w:cs="Times New Roman"/>
      <w:b/>
      <w:sz w:val="28"/>
      <w:szCs w:val="20"/>
      <w:lang w:val="en-GB" w:eastAsia="en-US"/>
    </w:rPr>
  </w:style>
  <w:style w:type="character" w:customStyle="1" w:styleId="SingleTxtGChar">
    <w:name w:val="_ Single Txt_G Char"/>
    <w:link w:val="SingleTxtG"/>
    <w:qFormat/>
    <w:rsid w:val="00164115"/>
    <w:rPr>
      <w:rFonts w:ascii="Times New Roman" w:eastAsia="Times New Roman" w:hAnsi="Times New Roman" w:cs="Times New Roman"/>
      <w:sz w:val="20"/>
      <w:szCs w:val="20"/>
      <w:lang w:val="en-GB" w:eastAsia="en-US"/>
    </w:rPr>
  </w:style>
  <w:style w:type="character" w:styleId="CommentReference">
    <w:name w:val="annotation reference"/>
    <w:rsid w:val="00164115"/>
    <w:rPr>
      <w:sz w:val="6"/>
    </w:rPr>
  </w:style>
  <w:style w:type="paragraph" w:styleId="CommentText">
    <w:name w:val="annotation text"/>
    <w:basedOn w:val="Normal"/>
    <w:link w:val="CommentTextChar"/>
    <w:uiPriority w:val="99"/>
    <w:rsid w:val="00164115"/>
  </w:style>
  <w:style w:type="character" w:customStyle="1" w:styleId="CommentTextChar">
    <w:name w:val="Comment Text Char"/>
    <w:basedOn w:val="DefaultParagraphFont"/>
    <w:link w:val="CommentText"/>
    <w:uiPriority w:val="99"/>
    <w:rsid w:val="00164115"/>
    <w:rPr>
      <w:rFonts w:ascii="Times New Roman" w:eastAsia="Times New Roman" w:hAnsi="Times New Roman" w:cs="Times New Roman"/>
      <w:sz w:val="20"/>
      <w:szCs w:val="20"/>
      <w:lang w:val="en-GB" w:eastAsia="en-US"/>
    </w:rPr>
  </w:style>
  <w:style w:type="character" w:styleId="EndnoteReference">
    <w:name w:val="endnote reference"/>
    <w:aliases w:val="1_G"/>
    <w:basedOn w:val="FootnoteReference"/>
    <w:rsid w:val="00552785"/>
    <w:rPr>
      <w:rFonts w:ascii="Times New Roman" w:hAnsi="Times New Roman"/>
      <w:sz w:val="18"/>
      <w:vertAlign w:val="superscript"/>
    </w:rPr>
  </w:style>
  <w:style w:type="paragraph" w:styleId="BalloonText">
    <w:name w:val="Balloon Text"/>
    <w:basedOn w:val="Normal"/>
    <w:link w:val="BalloonTextChar"/>
    <w:uiPriority w:val="99"/>
    <w:semiHidden/>
    <w:unhideWhenUsed/>
    <w:rsid w:val="008D6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A4"/>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86B57"/>
    <w:pPr>
      <w:spacing w:line="240" w:lineRule="auto"/>
    </w:pPr>
    <w:rPr>
      <w:b/>
      <w:bCs/>
    </w:rPr>
  </w:style>
  <w:style w:type="character" w:customStyle="1" w:styleId="CommentSubjectChar">
    <w:name w:val="Comment Subject Char"/>
    <w:basedOn w:val="CommentTextChar"/>
    <w:link w:val="CommentSubject"/>
    <w:uiPriority w:val="99"/>
    <w:semiHidden/>
    <w:rsid w:val="00186B57"/>
    <w:rPr>
      <w:rFonts w:ascii="Times New Roman" w:eastAsia="Times New Roman" w:hAnsi="Times New Roman" w:cs="Times New Roman"/>
      <w:b/>
      <w:bCs/>
      <w:sz w:val="20"/>
      <w:szCs w:val="20"/>
      <w:lang w:val="en-GB" w:eastAsia="en-US"/>
    </w:rPr>
  </w:style>
  <w:style w:type="paragraph" w:customStyle="1" w:styleId="Default">
    <w:name w:val="Default"/>
    <w:rsid w:val="001F647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SingleTxtGCar">
    <w:name w:val="_ Single Txt_G Car"/>
    <w:rsid w:val="00AE28A5"/>
    <w:rPr>
      <w:lang w:eastAsia="en-US"/>
    </w:rPr>
  </w:style>
  <w:style w:type="character" w:customStyle="1" w:styleId="markedcontent">
    <w:name w:val="markedcontent"/>
    <w:basedOn w:val="DefaultParagraphFont"/>
    <w:rsid w:val="004838B9"/>
  </w:style>
  <w:style w:type="paragraph" w:styleId="ListParagraph">
    <w:name w:val="List Paragraph"/>
    <w:basedOn w:val="Normal"/>
    <w:uiPriority w:val="1"/>
    <w:qFormat/>
    <w:rsid w:val="00A77DC3"/>
    <w:pPr>
      <w:widowControl w:val="0"/>
      <w:suppressAutoHyphens w:val="0"/>
      <w:autoSpaceDE w:val="0"/>
      <w:autoSpaceDN w:val="0"/>
      <w:spacing w:line="240" w:lineRule="auto"/>
      <w:ind w:left="1632"/>
    </w:pPr>
    <w:rPr>
      <w:sz w:val="22"/>
      <w:szCs w:val="22"/>
      <w:lang w:val="en-US"/>
    </w:rPr>
  </w:style>
  <w:style w:type="character" w:customStyle="1" w:styleId="Heading7Char">
    <w:name w:val="Heading 7 Char"/>
    <w:basedOn w:val="DefaultParagraphFont"/>
    <w:link w:val="Heading7"/>
    <w:uiPriority w:val="1"/>
    <w:rsid w:val="006F0819"/>
    <w:rPr>
      <w:rFonts w:ascii="Times New Roman" w:eastAsia="Times New Roman" w:hAnsi="Times New Roman" w:cs="Times New Roman"/>
      <w:b/>
      <w:bCs/>
      <w:sz w:val="20"/>
      <w:szCs w:val="20"/>
      <w:lang w:eastAsia="en-US"/>
    </w:rPr>
  </w:style>
  <w:style w:type="paragraph" w:styleId="Revision">
    <w:name w:val="Revision"/>
    <w:hidden/>
    <w:uiPriority w:val="99"/>
    <w:semiHidden/>
    <w:rsid w:val="0033359F"/>
    <w:pPr>
      <w:spacing w:after="0" w:line="240" w:lineRule="auto"/>
    </w:pPr>
    <w:rPr>
      <w:rFonts w:ascii="Times New Roman" w:eastAsia="Times New Roman" w:hAnsi="Times New Roman" w:cs="Times New Roman"/>
      <w:sz w:val="20"/>
      <w:szCs w:val="20"/>
      <w:lang w:val="en-GB" w:eastAsia="en-US"/>
    </w:rPr>
  </w:style>
  <w:style w:type="character" w:customStyle="1" w:styleId="cf01">
    <w:name w:val="cf01"/>
    <w:basedOn w:val="DefaultParagraphFont"/>
    <w:rsid w:val="006D1925"/>
    <w:rPr>
      <w:rFonts w:ascii="Segoe UI" w:hAnsi="Segoe UI" w:cs="Segoe UI" w:hint="default"/>
      <w:sz w:val="18"/>
      <w:szCs w:val="18"/>
    </w:rPr>
  </w:style>
  <w:style w:type="character" w:styleId="Strong">
    <w:name w:val="Strong"/>
    <w:basedOn w:val="DefaultParagraphFont"/>
    <w:uiPriority w:val="22"/>
    <w:qFormat/>
    <w:rsid w:val="00A559FB"/>
    <w:rPr>
      <w:b/>
      <w:bCs/>
    </w:rPr>
  </w:style>
  <w:style w:type="character" w:customStyle="1" w:styleId="Heading4Char">
    <w:name w:val="Heading 4 Char"/>
    <w:basedOn w:val="DefaultParagraphFont"/>
    <w:link w:val="Heading4"/>
    <w:uiPriority w:val="9"/>
    <w:semiHidden/>
    <w:rsid w:val="00E07FCD"/>
    <w:rPr>
      <w:rFonts w:asciiTheme="majorHAnsi" w:eastAsiaTheme="majorEastAsia" w:hAnsiTheme="majorHAnsi" w:cstheme="majorBidi"/>
      <w:i/>
      <w:iCs/>
      <w:color w:val="2E74B5" w:themeColor="accent1" w:themeShade="BF"/>
      <w:sz w:val="20"/>
      <w:szCs w:val="20"/>
      <w:lang w:val="en-GB" w:eastAsia="en-US"/>
    </w:rPr>
  </w:style>
  <w:style w:type="paragraph" w:styleId="PlainText">
    <w:name w:val="Plain Text"/>
    <w:basedOn w:val="Normal"/>
    <w:link w:val="PlainTextChar"/>
    <w:uiPriority w:val="99"/>
    <w:semiHidden/>
    <w:unhideWhenUsed/>
    <w:rsid w:val="00E07FCD"/>
    <w:pPr>
      <w:suppressAutoHyphens w:val="0"/>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07FCD"/>
    <w:rPr>
      <w:rFonts w:ascii="Calibri" w:eastAsiaTheme="minorHAnsi" w:hAnsi="Calibri"/>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6060">
      <w:bodyDiv w:val="1"/>
      <w:marLeft w:val="0"/>
      <w:marRight w:val="0"/>
      <w:marTop w:val="0"/>
      <w:marBottom w:val="0"/>
      <w:divBdr>
        <w:top w:val="none" w:sz="0" w:space="0" w:color="auto"/>
        <w:left w:val="none" w:sz="0" w:space="0" w:color="auto"/>
        <w:bottom w:val="none" w:sz="0" w:space="0" w:color="auto"/>
        <w:right w:val="none" w:sz="0" w:space="0" w:color="auto"/>
      </w:divBdr>
      <w:divsChild>
        <w:div w:id="1569727774">
          <w:marLeft w:val="360"/>
          <w:marRight w:val="0"/>
          <w:marTop w:val="200"/>
          <w:marBottom w:val="0"/>
          <w:divBdr>
            <w:top w:val="none" w:sz="0" w:space="0" w:color="auto"/>
            <w:left w:val="none" w:sz="0" w:space="0" w:color="auto"/>
            <w:bottom w:val="none" w:sz="0" w:space="0" w:color="auto"/>
            <w:right w:val="none" w:sz="0" w:space="0" w:color="auto"/>
          </w:divBdr>
        </w:div>
        <w:div w:id="1865631942">
          <w:marLeft w:val="360"/>
          <w:marRight w:val="0"/>
          <w:marTop w:val="200"/>
          <w:marBottom w:val="0"/>
          <w:divBdr>
            <w:top w:val="none" w:sz="0" w:space="0" w:color="auto"/>
            <w:left w:val="none" w:sz="0" w:space="0" w:color="auto"/>
            <w:bottom w:val="none" w:sz="0" w:space="0" w:color="auto"/>
            <w:right w:val="none" w:sz="0" w:space="0" w:color="auto"/>
          </w:divBdr>
        </w:div>
        <w:div w:id="1063990171">
          <w:marLeft w:val="360"/>
          <w:marRight w:val="0"/>
          <w:marTop w:val="200"/>
          <w:marBottom w:val="0"/>
          <w:divBdr>
            <w:top w:val="none" w:sz="0" w:space="0" w:color="auto"/>
            <w:left w:val="none" w:sz="0" w:space="0" w:color="auto"/>
            <w:bottom w:val="none" w:sz="0" w:space="0" w:color="auto"/>
            <w:right w:val="none" w:sz="0" w:space="0" w:color="auto"/>
          </w:divBdr>
        </w:div>
        <w:div w:id="1029375036">
          <w:marLeft w:val="360"/>
          <w:marRight w:val="0"/>
          <w:marTop w:val="200"/>
          <w:marBottom w:val="0"/>
          <w:divBdr>
            <w:top w:val="none" w:sz="0" w:space="0" w:color="auto"/>
            <w:left w:val="none" w:sz="0" w:space="0" w:color="auto"/>
            <w:bottom w:val="none" w:sz="0" w:space="0" w:color="auto"/>
            <w:right w:val="none" w:sz="0" w:space="0" w:color="auto"/>
          </w:divBdr>
        </w:div>
      </w:divsChild>
    </w:div>
    <w:div w:id="368989123">
      <w:bodyDiv w:val="1"/>
      <w:marLeft w:val="0"/>
      <w:marRight w:val="0"/>
      <w:marTop w:val="0"/>
      <w:marBottom w:val="0"/>
      <w:divBdr>
        <w:top w:val="none" w:sz="0" w:space="0" w:color="auto"/>
        <w:left w:val="none" w:sz="0" w:space="0" w:color="auto"/>
        <w:bottom w:val="none" w:sz="0" w:space="0" w:color="auto"/>
        <w:right w:val="none" w:sz="0" w:space="0" w:color="auto"/>
      </w:divBdr>
    </w:div>
    <w:div w:id="742527488">
      <w:bodyDiv w:val="1"/>
      <w:marLeft w:val="0"/>
      <w:marRight w:val="0"/>
      <w:marTop w:val="0"/>
      <w:marBottom w:val="0"/>
      <w:divBdr>
        <w:top w:val="none" w:sz="0" w:space="0" w:color="auto"/>
        <w:left w:val="none" w:sz="0" w:space="0" w:color="auto"/>
        <w:bottom w:val="none" w:sz="0" w:space="0" w:color="auto"/>
        <w:right w:val="none" w:sz="0" w:space="0" w:color="auto"/>
      </w:divBdr>
    </w:div>
    <w:div w:id="919565256">
      <w:bodyDiv w:val="1"/>
      <w:marLeft w:val="0"/>
      <w:marRight w:val="0"/>
      <w:marTop w:val="0"/>
      <w:marBottom w:val="0"/>
      <w:divBdr>
        <w:top w:val="none" w:sz="0" w:space="0" w:color="auto"/>
        <w:left w:val="none" w:sz="0" w:space="0" w:color="auto"/>
        <w:bottom w:val="none" w:sz="0" w:space="0" w:color="auto"/>
        <w:right w:val="none" w:sz="0" w:space="0" w:color="auto"/>
      </w:divBdr>
    </w:div>
    <w:div w:id="1173494522">
      <w:bodyDiv w:val="1"/>
      <w:marLeft w:val="0"/>
      <w:marRight w:val="0"/>
      <w:marTop w:val="0"/>
      <w:marBottom w:val="0"/>
      <w:divBdr>
        <w:top w:val="none" w:sz="0" w:space="0" w:color="auto"/>
        <w:left w:val="none" w:sz="0" w:space="0" w:color="auto"/>
        <w:bottom w:val="none" w:sz="0" w:space="0" w:color="auto"/>
        <w:right w:val="none" w:sz="0" w:space="0" w:color="auto"/>
      </w:divBdr>
    </w:div>
    <w:div w:id="1772898245">
      <w:bodyDiv w:val="1"/>
      <w:marLeft w:val="0"/>
      <w:marRight w:val="0"/>
      <w:marTop w:val="0"/>
      <w:marBottom w:val="0"/>
      <w:divBdr>
        <w:top w:val="none" w:sz="0" w:space="0" w:color="auto"/>
        <w:left w:val="none" w:sz="0" w:space="0" w:color="auto"/>
        <w:bottom w:val="none" w:sz="0" w:space="0" w:color="auto"/>
        <w:right w:val="none" w:sz="0" w:space="0" w:color="auto"/>
      </w:divBdr>
    </w:div>
    <w:div w:id="183248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EFBAE-9C95-45D9-8454-336FD4793B8A}">
  <ds:schemaRefs>
    <ds:schemaRef ds:uri="http://schemas.openxmlformats.org/officeDocument/2006/bibliography"/>
  </ds:schemaRefs>
</ds:datastoreItem>
</file>

<file path=customXml/itemProps2.xml><?xml version="1.0" encoding="utf-8"?>
<ds:datastoreItem xmlns:ds="http://schemas.openxmlformats.org/officeDocument/2006/customXml" ds:itemID="{CF5A5594-8901-40CB-800F-9D2432CDB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635F9-8133-4B28-9476-E89DC5938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1985</Words>
  <Characters>11319</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Janet - OSHA</dc:creator>
  <cp:lastModifiedBy>Rosa Garcia Couto</cp:lastModifiedBy>
  <cp:revision>25</cp:revision>
  <dcterms:created xsi:type="dcterms:W3CDTF">2023-11-20T07:05:00Z</dcterms:created>
  <dcterms:modified xsi:type="dcterms:W3CDTF">2023-11-22T14:50:00Z</dcterms:modified>
</cp:coreProperties>
</file>