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F95306" w14:paraId="733BC40E" w14:textId="77777777" w:rsidTr="00FA63B2">
        <w:trPr>
          <w:cantSplit/>
          <w:trHeight w:hRule="exact" w:val="851"/>
        </w:trPr>
        <w:tc>
          <w:tcPr>
            <w:tcW w:w="9072" w:type="dxa"/>
            <w:tcBorders>
              <w:bottom w:val="single" w:sz="4" w:space="0" w:color="auto"/>
            </w:tcBorders>
            <w:vAlign w:val="bottom"/>
          </w:tcPr>
          <w:p w14:paraId="30457239" w14:textId="54B0992C" w:rsidR="00717408" w:rsidRPr="00F95306" w:rsidRDefault="00FA63B2" w:rsidP="00D660CB">
            <w:pPr>
              <w:jc w:val="right"/>
              <w:rPr>
                <w:b/>
                <w:sz w:val="40"/>
                <w:szCs w:val="40"/>
              </w:rPr>
            </w:pPr>
            <w:r w:rsidRPr="00F95306">
              <w:rPr>
                <w:b/>
                <w:sz w:val="40"/>
                <w:szCs w:val="40"/>
              </w:rPr>
              <w:t>UN/SCEGHS/</w:t>
            </w:r>
            <w:r w:rsidR="00260117" w:rsidRPr="00F95306">
              <w:rPr>
                <w:b/>
                <w:sz w:val="40"/>
                <w:szCs w:val="40"/>
              </w:rPr>
              <w:t>4</w:t>
            </w:r>
            <w:r w:rsidR="00E12260" w:rsidRPr="00F95306">
              <w:rPr>
                <w:b/>
                <w:sz w:val="40"/>
                <w:szCs w:val="40"/>
              </w:rPr>
              <w:t>5</w:t>
            </w:r>
            <w:r w:rsidRPr="00F95306">
              <w:rPr>
                <w:b/>
                <w:sz w:val="40"/>
                <w:szCs w:val="40"/>
              </w:rPr>
              <w:t>/INF.</w:t>
            </w:r>
            <w:r w:rsidR="00E12260" w:rsidRPr="00F95306">
              <w:rPr>
                <w:b/>
                <w:sz w:val="40"/>
                <w:szCs w:val="40"/>
              </w:rPr>
              <w:t>1</w:t>
            </w:r>
            <w:r w:rsidR="004D6AC0">
              <w:rPr>
                <w:b/>
                <w:sz w:val="40"/>
                <w:szCs w:val="40"/>
              </w:rPr>
              <w:t>5</w:t>
            </w:r>
          </w:p>
        </w:tc>
      </w:tr>
      <w:tr w:rsidR="00717408" w14:paraId="50374DD2" w14:textId="77777777" w:rsidTr="001F5336">
        <w:trPr>
          <w:cantSplit/>
          <w:trHeight w:hRule="exact" w:val="3416"/>
        </w:trPr>
        <w:tc>
          <w:tcPr>
            <w:tcW w:w="9072" w:type="dxa"/>
            <w:tcBorders>
              <w:top w:val="single" w:sz="4" w:space="0" w:color="auto"/>
            </w:tcBorders>
          </w:tcPr>
          <w:p w14:paraId="56DD34A3" w14:textId="77777777" w:rsidR="00717408" w:rsidRPr="00F95306" w:rsidRDefault="00717408" w:rsidP="00FA63B2">
            <w:pPr>
              <w:spacing w:before="120"/>
              <w:rPr>
                <w:b/>
                <w:sz w:val="24"/>
                <w:szCs w:val="24"/>
              </w:rPr>
            </w:pPr>
            <w:r w:rsidRPr="00F95306">
              <w:rPr>
                <w:b/>
                <w:sz w:val="24"/>
                <w:szCs w:val="24"/>
              </w:rPr>
              <w:t>Committee of Experts on the Transport of Dangerous Goods</w:t>
            </w:r>
            <w:r w:rsidRPr="00F95306">
              <w:rPr>
                <w:b/>
                <w:sz w:val="24"/>
                <w:szCs w:val="24"/>
              </w:rPr>
              <w:br/>
              <w:t>and on the Globally Harmonized System of Classification</w:t>
            </w:r>
            <w:r w:rsidRPr="00F95306">
              <w:rPr>
                <w:b/>
                <w:sz w:val="24"/>
                <w:szCs w:val="24"/>
              </w:rPr>
              <w:br/>
              <w:t>and Labelling of Chemicals</w:t>
            </w:r>
          </w:p>
          <w:p w14:paraId="7F392C40" w14:textId="3DF467F8" w:rsidR="00717408" w:rsidRPr="00F95306" w:rsidRDefault="00FA63B2" w:rsidP="004108A7">
            <w:pPr>
              <w:tabs>
                <w:tab w:val="left" w:pos="7380"/>
              </w:tabs>
              <w:spacing w:before="120"/>
            </w:pPr>
            <w:r w:rsidRPr="00F95306">
              <w:rPr>
                <w:b/>
                <w:lang w:val="en-US"/>
              </w:rPr>
              <w:t>Sub-Committee of Experts on the Globally Harmonized</w:t>
            </w:r>
            <w:r w:rsidRPr="00F95306">
              <w:rPr>
                <w:b/>
                <w:lang w:val="en-US"/>
              </w:rPr>
              <w:br/>
              <w:t>System of Classification and Labelling of Chemicals</w:t>
            </w:r>
            <w:r w:rsidRPr="00F95306">
              <w:t xml:space="preserve"> </w:t>
            </w:r>
            <w:r w:rsidR="00717408" w:rsidRPr="00F95306">
              <w:tab/>
            </w:r>
            <w:r w:rsidR="004D6AC0">
              <w:rPr>
                <w:b/>
                <w:bCs/>
              </w:rPr>
              <w:t>20</w:t>
            </w:r>
            <w:r w:rsidR="00E12260" w:rsidRPr="00F95306">
              <w:rPr>
                <w:b/>
                <w:bCs/>
              </w:rPr>
              <w:t xml:space="preserve"> November </w:t>
            </w:r>
            <w:r w:rsidR="009B11B2" w:rsidRPr="00F95306">
              <w:rPr>
                <w:b/>
                <w:bCs/>
              </w:rPr>
              <w:t>202</w:t>
            </w:r>
            <w:r w:rsidR="000249C0" w:rsidRPr="00F95306">
              <w:rPr>
                <w:b/>
                <w:bCs/>
              </w:rPr>
              <w:t>3</w:t>
            </w:r>
          </w:p>
          <w:p w14:paraId="0333227A" w14:textId="315ACA95" w:rsidR="00101999" w:rsidRPr="00F95306" w:rsidRDefault="00101999" w:rsidP="00101999">
            <w:pPr>
              <w:spacing w:before="120"/>
              <w:rPr>
                <w:b/>
              </w:rPr>
            </w:pPr>
            <w:r w:rsidRPr="00F95306">
              <w:rPr>
                <w:b/>
              </w:rPr>
              <w:t>Forty-</w:t>
            </w:r>
            <w:r w:rsidR="000249C0" w:rsidRPr="00F95306">
              <w:rPr>
                <w:b/>
              </w:rPr>
              <w:t>fourth</w:t>
            </w:r>
            <w:r w:rsidRPr="00F95306">
              <w:rPr>
                <w:b/>
              </w:rPr>
              <w:t xml:space="preserve"> session</w:t>
            </w:r>
          </w:p>
          <w:p w14:paraId="5BBE5CB0" w14:textId="2F9C4827" w:rsidR="00101999" w:rsidRPr="00F95306" w:rsidRDefault="00101999" w:rsidP="00101999">
            <w:r w:rsidRPr="00F95306">
              <w:t xml:space="preserve">Geneva, </w:t>
            </w:r>
            <w:r w:rsidR="00F5189B" w:rsidRPr="00F95306">
              <w:t>10</w:t>
            </w:r>
            <w:r w:rsidRPr="00F95306">
              <w:t>-</w:t>
            </w:r>
            <w:r w:rsidR="00F5189B" w:rsidRPr="00F95306">
              <w:t>12</w:t>
            </w:r>
            <w:r w:rsidRPr="00F95306">
              <w:t xml:space="preserve"> </w:t>
            </w:r>
            <w:r w:rsidR="00F5189B" w:rsidRPr="00F95306">
              <w:t>July 2023</w:t>
            </w:r>
          </w:p>
          <w:p w14:paraId="56608788" w14:textId="3C4E2E6A" w:rsidR="003D74EA" w:rsidRPr="00F95306" w:rsidRDefault="003D74EA" w:rsidP="003D74EA">
            <w:r w:rsidRPr="00F95306">
              <w:t xml:space="preserve">Item </w:t>
            </w:r>
            <w:r w:rsidR="004D6AC0">
              <w:t>2 (e)</w:t>
            </w:r>
            <w:r w:rsidRPr="00F95306">
              <w:t xml:space="preserve"> of the provisional agenda</w:t>
            </w:r>
          </w:p>
          <w:p w14:paraId="4EE4A13A" w14:textId="77777777" w:rsidR="00A16949" w:rsidRDefault="00A16949" w:rsidP="003D74EA">
            <w:pPr>
              <w:spacing w:line="240" w:lineRule="exact"/>
              <w:rPr>
                <w:b/>
                <w:bCs/>
              </w:rPr>
            </w:pPr>
            <w:r>
              <w:rPr>
                <w:b/>
                <w:bCs/>
              </w:rPr>
              <w:t xml:space="preserve">Work on the Globally Harmonized System of </w:t>
            </w:r>
          </w:p>
          <w:p w14:paraId="01119D29" w14:textId="7FE9C6CC" w:rsidR="00A16949" w:rsidRDefault="00A16949" w:rsidP="003D74EA">
            <w:pPr>
              <w:spacing w:line="240" w:lineRule="exact"/>
              <w:rPr>
                <w:b/>
                <w:bCs/>
              </w:rPr>
            </w:pPr>
            <w:r>
              <w:rPr>
                <w:b/>
                <w:bCs/>
              </w:rPr>
              <w:t xml:space="preserve">Classification and Labelling of Chemicals: </w:t>
            </w:r>
          </w:p>
          <w:p w14:paraId="7F67E7DF" w14:textId="671DE61C" w:rsidR="00717408" w:rsidRDefault="00D508E2" w:rsidP="003D74EA">
            <w:pPr>
              <w:spacing w:line="240" w:lineRule="exact"/>
            </w:pPr>
            <w:r>
              <w:rPr>
                <w:b/>
                <w:bCs/>
              </w:rPr>
              <w:t>Potential hazard issues and their presentation</w:t>
            </w:r>
            <w:r>
              <w:rPr>
                <w:b/>
                <w:bCs/>
              </w:rPr>
              <w:br/>
              <w:t>in the Globally Harmonized System</w:t>
            </w:r>
          </w:p>
        </w:tc>
      </w:tr>
    </w:tbl>
    <w:p w14:paraId="0D10C3B9" w14:textId="25ADD8DB" w:rsidR="004E6247" w:rsidRDefault="000F78F9" w:rsidP="000F78F9">
      <w:pPr>
        <w:pStyle w:val="HChG"/>
        <w:rPr>
          <w:bCs/>
          <w:lang w:val="en-US" w:eastAsia="zh-CN"/>
        </w:rPr>
      </w:pPr>
      <w:r>
        <w:rPr>
          <w:lang w:val="en-US" w:eastAsia="zh-CN"/>
        </w:rPr>
        <w:tab/>
      </w:r>
      <w:r>
        <w:rPr>
          <w:lang w:val="en-US" w:eastAsia="zh-CN"/>
        </w:rPr>
        <w:tab/>
      </w:r>
      <w:r w:rsidR="004E6247">
        <w:rPr>
          <w:rFonts w:hint="eastAsia"/>
          <w:lang w:val="en-US" w:eastAsia="zh-CN"/>
        </w:rPr>
        <w:t>Proposal to re</w:t>
      </w:r>
      <w:r w:rsidR="004E6247">
        <w:rPr>
          <w:lang w:val="en-US" w:eastAsia="zh-CN"/>
        </w:rPr>
        <w:t>consider</w:t>
      </w:r>
      <w:r w:rsidR="004E6247">
        <w:rPr>
          <w:rFonts w:hint="eastAsia"/>
          <w:lang w:val="en-US" w:eastAsia="zh-CN"/>
        </w:rPr>
        <w:t xml:space="preserve"> the inclusion of endocrine disrupt</w:t>
      </w:r>
      <w:r w:rsidR="004E6247">
        <w:rPr>
          <w:lang w:val="en-US" w:eastAsia="zh-CN"/>
        </w:rPr>
        <w:t>or</w:t>
      </w:r>
      <w:r w:rsidR="004E6247">
        <w:rPr>
          <w:rFonts w:hint="eastAsia"/>
          <w:lang w:val="en-US" w:eastAsia="zh-CN"/>
        </w:rPr>
        <w:t xml:space="preserve"> in the GHS hazard classification</w:t>
      </w:r>
    </w:p>
    <w:p w14:paraId="573142B5" w14:textId="0D89381E" w:rsidR="004E6247" w:rsidRDefault="004E6247" w:rsidP="004E6247">
      <w:pPr>
        <w:pStyle w:val="H1G"/>
        <w:snapToGrid w:val="0"/>
        <w:spacing w:line="360" w:lineRule="auto"/>
        <w:jc w:val="both"/>
        <w:rPr>
          <w:bCs/>
          <w:sz w:val="16"/>
          <w:szCs w:val="16"/>
        </w:rPr>
      </w:pPr>
      <w:r>
        <w:rPr>
          <w:sz w:val="28"/>
          <w:szCs w:val="28"/>
          <w:lang w:eastAsia="zh-CN"/>
        </w:rPr>
        <w:tab/>
      </w:r>
      <w:r>
        <w:rPr>
          <w:sz w:val="28"/>
          <w:szCs w:val="28"/>
          <w:lang w:eastAsia="zh-CN"/>
        </w:rPr>
        <w:tab/>
      </w:r>
      <w:r>
        <w:rPr>
          <w:sz w:val="20"/>
          <w:szCs w:val="16"/>
          <w:lang w:eastAsia="zh-CN"/>
        </w:rPr>
        <w:t>Submitted by the expert from China</w:t>
      </w:r>
    </w:p>
    <w:p w14:paraId="17D903EE" w14:textId="64203163" w:rsidR="004E6247" w:rsidRDefault="007C4BED" w:rsidP="007C4BED">
      <w:pPr>
        <w:pStyle w:val="HChG"/>
        <w:rPr>
          <w:rFonts w:eastAsia="FangSong"/>
          <w:lang w:val="en-US"/>
        </w:rPr>
      </w:pPr>
      <w:r>
        <w:rPr>
          <w:rFonts w:eastAsia="FangSong"/>
          <w:lang w:val="en-US"/>
        </w:rPr>
        <w:tab/>
      </w:r>
      <w:r w:rsidR="00400199">
        <w:rPr>
          <w:rFonts w:eastAsia="FangSong"/>
          <w:lang w:val="en-US"/>
        </w:rPr>
        <w:t>I.</w:t>
      </w:r>
      <w:r>
        <w:rPr>
          <w:rFonts w:eastAsia="FangSong"/>
          <w:lang w:val="en-US"/>
        </w:rPr>
        <w:tab/>
      </w:r>
      <w:r w:rsidR="004E6247">
        <w:rPr>
          <w:rFonts w:eastAsia="FangSong"/>
          <w:lang w:val="en-US" w:eastAsia="zh-CN"/>
        </w:rPr>
        <w:t>Introduction</w:t>
      </w:r>
    </w:p>
    <w:p w14:paraId="7B7883B2" w14:textId="15CA6269" w:rsidR="004E6247" w:rsidRDefault="00400199" w:rsidP="00400199">
      <w:pPr>
        <w:pStyle w:val="SingleTxtG"/>
        <w:rPr>
          <w:rFonts w:eastAsia="FangSong"/>
        </w:rPr>
      </w:pPr>
      <w:r>
        <w:rPr>
          <w:rFonts w:eastAsia="FangSong"/>
        </w:rPr>
        <w:t>1.</w:t>
      </w:r>
      <w:r>
        <w:rPr>
          <w:rFonts w:eastAsia="FangSong"/>
        </w:rPr>
        <w:tab/>
      </w:r>
      <w:r w:rsidR="004E6247">
        <w:rPr>
          <w:rFonts w:eastAsia="FangSong" w:hint="eastAsia"/>
        </w:rPr>
        <w:t xml:space="preserve">In April this year, the European Union </w:t>
      </w:r>
      <w:r w:rsidR="004E6247">
        <w:rPr>
          <w:rFonts w:eastAsia="FangSong"/>
        </w:rPr>
        <w:t>officially</w:t>
      </w:r>
      <w:r w:rsidR="004E6247">
        <w:rPr>
          <w:rFonts w:eastAsia="FangSong" w:hint="eastAsia"/>
        </w:rPr>
        <w:t xml:space="preserve"> added endocrine disrupt</w:t>
      </w:r>
      <w:r w:rsidR="004E6247">
        <w:rPr>
          <w:rFonts w:eastAsia="FangSong"/>
        </w:rPr>
        <w:t>or</w:t>
      </w:r>
      <w:r w:rsidR="004E6247">
        <w:rPr>
          <w:rFonts w:eastAsia="FangSong" w:hint="eastAsia"/>
        </w:rPr>
        <w:t xml:space="preserve"> as a </w:t>
      </w:r>
      <w:r w:rsidR="004E6247">
        <w:rPr>
          <w:rFonts w:eastAsia="FangSong"/>
        </w:rPr>
        <w:t>hazard class in</w:t>
      </w:r>
      <w:r w:rsidR="004E6247">
        <w:rPr>
          <w:rFonts w:eastAsia="FangSong" w:hint="eastAsia"/>
        </w:rPr>
        <w:t xml:space="preserve"> the CLP </w:t>
      </w:r>
      <w:r w:rsidR="004E6247">
        <w:rPr>
          <w:rFonts w:eastAsia="FangSong"/>
        </w:rPr>
        <w:t>R</w:t>
      </w:r>
      <w:r w:rsidR="004E6247">
        <w:rPr>
          <w:rFonts w:eastAsia="FangSong" w:hint="eastAsia"/>
        </w:rPr>
        <w:t>egulation (Regulation (EC) No 1272/2008 on the classification, labelling and packaging of substances and mixtures)</w:t>
      </w:r>
      <w:r w:rsidR="004E6247">
        <w:rPr>
          <w:rFonts w:eastAsia="FangSong"/>
        </w:rPr>
        <w:t>.</w:t>
      </w:r>
      <w:r w:rsidR="004E6247">
        <w:rPr>
          <w:rFonts w:eastAsia="FangSong" w:hint="eastAsia"/>
        </w:rPr>
        <w:t xml:space="preserve"> </w:t>
      </w:r>
      <w:r w:rsidR="004E6247">
        <w:rPr>
          <w:rFonts w:eastAsia="FangSong"/>
        </w:rPr>
        <w:t>A</w:t>
      </w:r>
      <w:r w:rsidR="004E6247">
        <w:rPr>
          <w:rFonts w:eastAsia="FangSong" w:hint="eastAsia"/>
        </w:rPr>
        <w:t xml:space="preserve">nd the European Union is </w:t>
      </w:r>
      <w:r w:rsidR="004E6247">
        <w:rPr>
          <w:rFonts w:eastAsia="FangSong"/>
        </w:rPr>
        <w:t>now</w:t>
      </w:r>
      <w:r w:rsidR="004E6247">
        <w:rPr>
          <w:rFonts w:eastAsia="FangSong" w:hint="eastAsia"/>
        </w:rPr>
        <w:t xml:space="preserve"> proposing to add endocrine disrupt</w:t>
      </w:r>
      <w:r w:rsidR="004E6247">
        <w:rPr>
          <w:rFonts w:eastAsia="FangSong"/>
        </w:rPr>
        <w:t>or</w:t>
      </w:r>
      <w:r w:rsidR="004E6247">
        <w:rPr>
          <w:rFonts w:eastAsia="FangSong" w:hint="eastAsia"/>
        </w:rPr>
        <w:t xml:space="preserve"> as a hazard </w:t>
      </w:r>
      <w:r w:rsidR="004E6247">
        <w:rPr>
          <w:rFonts w:eastAsia="FangSong"/>
        </w:rPr>
        <w:t xml:space="preserve">class </w:t>
      </w:r>
      <w:r w:rsidR="004E6247">
        <w:rPr>
          <w:rFonts w:eastAsia="FangSong" w:hint="eastAsia"/>
        </w:rPr>
        <w:t>to the GH</w:t>
      </w:r>
      <w:r w:rsidR="004E6247">
        <w:rPr>
          <w:rFonts w:eastAsia="FangSong"/>
        </w:rPr>
        <w:t>S</w:t>
      </w:r>
      <w:r w:rsidR="004E6247">
        <w:rPr>
          <w:rFonts w:eastAsia="FangSong" w:hint="eastAsia"/>
        </w:rPr>
        <w:t>.</w:t>
      </w:r>
    </w:p>
    <w:p w14:paraId="59613362" w14:textId="6D6EAB80" w:rsidR="004E6247" w:rsidRDefault="00037381" w:rsidP="00400199">
      <w:pPr>
        <w:pStyle w:val="HChG"/>
        <w:rPr>
          <w:rFonts w:eastAsia="FangSong"/>
          <w:lang w:val="en-US" w:eastAsia="zh-CN"/>
        </w:rPr>
      </w:pPr>
      <w:r>
        <w:rPr>
          <w:rFonts w:eastAsia="FangSong"/>
          <w:lang w:val="en-US" w:eastAsia="zh-CN"/>
        </w:rPr>
        <w:tab/>
        <w:t>II.</w:t>
      </w:r>
      <w:r>
        <w:rPr>
          <w:rFonts w:eastAsia="FangSong"/>
          <w:lang w:val="en-US" w:eastAsia="zh-CN"/>
        </w:rPr>
        <w:tab/>
      </w:r>
      <w:r w:rsidR="004E6247">
        <w:rPr>
          <w:rFonts w:eastAsia="FangSong"/>
          <w:lang w:val="en-US" w:eastAsia="zh-CN"/>
        </w:rPr>
        <w:t>Proposal</w:t>
      </w:r>
    </w:p>
    <w:p w14:paraId="00FD09DA" w14:textId="0C54ED23" w:rsidR="004E6247" w:rsidRDefault="00D0357B" w:rsidP="00D0357B">
      <w:pPr>
        <w:pStyle w:val="SingleTxtG"/>
        <w:rPr>
          <w:rFonts w:eastAsia="FangSong"/>
        </w:rPr>
      </w:pPr>
      <w:r>
        <w:rPr>
          <w:rFonts w:eastAsia="FangSong"/>
        </w:rPr>
        <w:t>2</w:t>
      </w:r>
      <w:r w:rsidR="00400199">
        <w:rPr>
          <w:rFonts w:eastAsia="FangSong"/>
        </w:rPr>
        <w:t>.</w:t>
      </w:r>
      <w:r w:rsidR="00400199">
        <w:rPr>
          <w:rFonts w:eastAsia="FangSong"/>
        </w:rPr>
        <w:tab/>
      </w:r>
      <w:r w:rsidR="004E6247">
        <w:rPr>
          <w:rFonts w:eastAsia="FangSong" w:hint="eastAsia"/>
        </w:rPr>
        <w:t xml:space="preserve">The </w:t>
      </w:r>
      <w:r w:rsidR="004E6247">
        <w:rPr>
          <w:rFonts w:eastAsia="FangSong"/>
        </w:rPr>
        <w:t>expert from China suggest</w:t>
      </w:r>
      <w:r w:rsidR="00724625">
        <w:rPr>
          <w:rFonts w:eastAsia="FangSong"/>
        </w:rPr>
        <w:t>s</w:t>
      </w:r>
      <w:r w:rsidR="004E6247">
        <w:rPr>
          <w:rFonts w:eastAsia="FangSong"/>
        </w:rPr>
        <w:t xml:space="preserve"> the Sub-Committee reconsider the inclusion</w:t>
      </w:r>
      <w:r w:rsidR="004E6247">
        <w:rPr>
          <w:rFonts w:eastAsia="FangSong" w:hint="eastAsia"/>
        </w:rPr>
        <w:t xml:space="preserve"> of endocrine disrupt</w:t>
      </w:r>
      <w:r w:rsidR="004E6247">
        <w:rPr>
          <w:rFonts w:eastAsia="FangSong"/>
        </w:rPr>
        <w:t>or</w:t>
      </w:r>
      <w:r w:rsidR="004E6247">
        <w:rPr>
          <w:rFonts w:eastAsia="FangSong" w:hint="eastAsia"/>
        </w:rPr>
        <w:t xml:space="preserve"> as a </w:t>
      </w:r>
      <w:r w:rsidR="004E6247">
        <w:rPr>
          <w:rFonts w:eastAsia="FangSong"/>
        </w:rPr>
        <w:t>hazard class</w:t>
      </w:r>
      <w:r w:rsidR="004E6247">
        <w:rPr>
          <w:rFonts w:eastAsia="FangSong" w:hint="eastAsia"/>
        </w:rPr>
        <w:t xml:space="preserve"> </w:t>
      </w:r>
      <w:r w:rsidR="004E6247">
        <w:rPr>
          <w:rFonts w:eastAsia="FangSong"/>
        </w:rPr>
        <w:t>in</w:t>
      </w:r>
      <w:r w:rsidR="004E6247">
        <w:rPr>
          <w:rFonts w:eastAsia="FangSong" w:hint="eastAsia"/>
        </w:rPr>
        <w:t xml:space="preserve"> the GHS</w:t>
      </w:r>
      <w:r w:rsidR="004E6247">
        <w:rPr>
          <w:rFonts w:eastAsia="FangSong"/>
        </w:rPr>
        <w:t>,</w:t>
      </w:r>
      <w:r w:rsidR="004E6247">
        <w:rPr>
          <w:rFonts w:eastAsia="FangSong" w:hint="eastAsia"/>
        </w:rPr>
        <w:t xml:space="preserve"> for the following reasons</w:t>
      </w:r>
      <w:r w:rsidR="00724625">
        <w:rPr>
          <w:rFonts w:eastAsia="FangSong"/>
        </w:rPr>
        <w:t>.</w:t>
      </w:r>
    </w:p>
    <w:p w14:paraId="066F9C1B" w14:textId="0E1CD097" w:rsidR="004E6247" w:rsidRDefault="005C1A35" w:rsidP="00D0357B">
      <w:pPr>
        <w:pStyle w:val="HChG"/>
        <w:rPr>
          <w:rFonts w:eastAsia="FangSong"/>
          <w:lang w:val="en-US" w:eastAsia="zh-CN"/>
        </w:rPr>
      </w:pPr>
      <w:r>
        <w:rPr>
          <w:rFonts w:eastAsia="FangSong"/>
          <w:lang w:val="en-US" w:eastAsia="zh-CN"/>
        </w:rPr>
        <w:tab/>
        <w:t>III.</w:t>
      </w:r>
      <w:r>
        <w:rPr>
          <w:rFonts w:eastAsia="FangSong"/>
          <w:lang w:val="en-US" w:eastAsia="zh-CN"/>
        </w:rPr>
        <w:tab/>
      </w:r>
      <w:r w:rsidR="004E6247">
        <w:rPr>
          <w:rFonts w:eastAsia="FangSong"/>
          <w:lang w:val="en-US" w:eastAsia="zh-CN"/>
        </w:rPr>
        <w:t>Justification</w:t>
      </w:r>
    </w:p>
    <w:p w14:paraId="02C47C39" w14:textId="2B5244C8" w:rsidR="004E6247" w:rsidRDefault="00272E42" w:rsidP="00272E42">
      <w:pPr>
        <w:pStyle w:val="SingleTxtG"/>
        <w:rPr>
          <w:rFonts w:eastAsia="FangSong"/>
        </w:rPr>
      </w:pPr>
      <w:r>
        <w:rPr>
          <w:rFonts w:eastAsia="FangSong"/>
        </w:rPr>
        <w:t>3</w:t>
      </w:r>
      <w:r w:rsidR="00400199">
        <w:rPr>
          <w:rFonts w:eastAsia="FangSong"/>
        </w:rPr>
        <w:t>.</w:t>
      </w:r>
      <w:r w:rsidR="00400199">
        <w:rPr>
          <w:rFonts w:eastAsia="FangSong"/>
        </w:rPr>
        <w:tab/>
      </w:r>
      <w:r w:rsidR="004E6247">
        <w:rPr>
          <w:rFonts w:eastAsia="FangSong" w:hint="eastAsia"/>
        </w:rPr>
        <w:t>First</w:t>
      </w:r>
      <w:r w:rsidR="004E6247">
        <w:rPr>
          <w:rFonts w:eastAsia="FangSong"/>
        </w:rPr>
        <w:t xml:space="preserve">, endocrine disruption </w:t>
      </w:r>
      <w:r w:rsidR="00724625">
        <w:rPr>
          <w:rFonts w:eastAsia="FangSong"/>
        </w:rPr>
        <w:t xml:space="preserve">is </w:t>
      </w:r>
      <w:r w:rsidR="004E6247">
        <w:rPr>
          <w:rFonts w:eastAsia="FangSong"/>
        </w:rPr>
        <w:t>a mode of action that may lead to an adverse effect rather than a</w:t>
      </w:r>
      <w:r w:rsidR="004E6247">
        <w:rPr>
          <w:rFonts w:eastAsia="FangSong" w:hint="eastAsia"/>
        </w:rPr>
        <w:t>n</w:t>
      </w:r>
      <w:r w:rsidR="004E6247">
        <w:rPr>
          <w:rFonts w:eastAsia="FangSong"/>
        </w:rPr>
        <w:t xml:space="preserve"> adverse effect itself. Th</w:t>
      </w:r>
      <w:bookmarkStart w:id="0" w:name="OLE_LINK2"/>
      <w:r w:rsidR="004E6247">
        <w:rPr>
          <w:rFonts w:eastAsia="FangSong"/>
        </w:rPr>
        <w:t xml:space="preserve">e original intent of GHS was to establish a globally </w:t>
      </w:r>
      <w:bookmarkEnd w:id="0"/>
      <w:r w:rsidR="004E6247">
        <w:rPr>
          <w:rFonts w:eastAsia="FangSong"/>
        </w:rPr>
        <w:t xml:space="preserve">harmonized classification and labelling system to classify, categorize and communicate hazards in order to raise awareness and to take appropriate risk management measures to protect stakeholders. The major concerns are the expected hazardous effects after exposure (e.g., corrosive to the eyes or acute toxicity by inhalation route) and the appropriate risk management measures. </w:t>
      </w:r>
      <w:r w:rsidR="004E6247" w:rsidRPr="003E6159">
        <w:rPr>
          <w:rFonts w:eastAsia="FangSong"/>
        </w:rPr>
        <w:t>The GHS focusses on classifying and communicating harmful effects, no matter how they are caused.</w:t>
      </w:r>
      <w:r w:rsidR="004E6247">
        <w:rPr>
          <w:rFonts w:eastAsia="FangSong"/>
        </w:rPr>
        <w:t xml:space="preserve"> The mode of action triggering the hazardous effects should not be the focus of attention of GHS and will not be informative for non-experts. Endocrine disruption might result in harm that is already addressed by existing GHS hazard classes (e.g., reproductive toxicity, specific target organ toxicity, etc.). However, whether the reproductive toxicity, for example, is caused by endocrine disruption does not make a difference to the hazard itself. By adding endocrine disruptor as a hazard class, it actually changes the effect-based </w:t>
      </w:r>
      <w:r w:rsidR="00F900D6">
        <w:rPr>
          <w:rFonts w:eastAsia="FangSong"/>
        </w:rPr>
        <w:t>“</w:t>
      </w:r>
      <w:r w:rsidR="004E6247">
        <w:rPr>
          <w:rFonts w:eastAsia="FangSong"/>
        </w:rPr>
        <w:t>principle</w:t>
      </w:r>
      <w:r w:rsidR="00F900D6">
        <w:rPr>
          <w:rFonts w:eastAsia="FangSong"/>
        </w:rPr>
        <w:t>”</w:t>
      </w:r>
      <w:r w:rsidR="004E6247">
        <w:rPr>
          <w:rFonts w:eastAsia="FangSong"/>
        </w:rPr>
        <w:t xml:space="preserve"> of the classification system. </w:t>
      </w:r>
    </w:p>
    <w:p w14:paraId="46DE4F76" w14:textId="54CA05FB" w:rsidR="004E6247" w:rsidRDefault="00272E42" w:rsidP="00272E42">
      <w:pPr>
        <w:pStyle w:val="SingleTxtG"/>
        <w:rPr>
          <w:rFonts w:eastAsia="FangSong"/>
        </w:rPr>
      </w:pPr>
      <w:r>
        <w:rPr>
          <w:rFonts w:eastAsia="FangSong"/>
        </w:rPr>
        <w:t>4</w:t>
      </w:r>
      <w:r w:rsidR="00400199">
        <w:rPr>
          <w:rFonts w:eastAsia="FangSong"/>
        </w:rPr>
        <w:t>.</w:t>
      </w:r>
      <w:r w:rsidR="00400199">
        <w:rPr>
          <w:rFonts w:eastAsia="FangSong"/>
        </w:rPr>
        <w:tab/>
      </w:r>
      <w:r w:rsidR="004E6247">
        <w:rPr>
          <w:rFonts w:eastAsia="FangSong"/>
        </w:rPr>
        <w:t>Second, the inclusion</w:t>
      </w:r>
      <w:r w:rsidR="004E6247">
        <w:rPr>
          <w:rFonts w:eastAsia="FangSong" w:hint="eastAsia"/>
        </w:rPr>
        <w:t xml:space="preserve"> of endocrine disrupt</w:t>
      </w:r>
      <w:r w:rsidR="00C45F1F">
        <w:rPr>
          <w:rFonts w:eastAsia="FangSong"/>
        </w:rPr>
        <w:t xml:space="preserve">or as a hazard class </w:t>
      </w:r>
      <w:r w:rsidR="004E6247">
        <w:rPr>
          <w:rFonts w:eastAsia="FangSong"/>
        </w:rPr>
        <w:t xml:space="preserve">may lead to double classification and thus compromise the clarity of hazard communication. For example, a substance may be reproductive toxic due to endocrine disruption. By </w:t>
      </w:r>
      <w:r w:rsidR="004E6247">
        <w:rPr>
          <w:rFonts w:eastAsia="FangSong"/>
        </w:rPr>
        <w:lastRenderedPageBreak/>
        <w:t xml:space="preserve">employing both hazard statements for reproductive toxicity and </w:t>
      </w:r>
      <w:r w:rsidR="004E6247">
        <w:rPr>
          <w:rFonts w:eastAsia="FangSong" w:hint="eastAsia"/>
        </w:rPr>
        <w:t>endocrine disrupt</w:t>
      </w:r>
      <w:r w:rsidR="004E6247">
        <w:rPr>
          <w:rFonts w:eastAsia="FangSong"/>
        </w:rPr>
        <w:t>or, we actually use two phrase</w:t>
      </w:r>
      <w:r w:rsidR="00B02165">
        <w:rPr>
          <w:rFonts w:eastAsia="FangSong"/>
        </w:rPr>
        <w:t>s</w:t>
      </w:r>
      <w:r w:rsidR="004E6247">
        <w:rPr>
          <w:rFonts w:eastAsia="FangSong"/>
        </w:rPr>
        <w:t xml:space="preserve"> to describe the same thing. And, it seems this would not enhance the level of protection provided for stakeholders, but </w:t>
      </w:r>
      <w:r w:rsidR="00B02165">
        <w:rPr>
          <w:rFonts w:eastAsia="FangSong"/>
        </w:rPr>
        <w:t xml:space="preserve">would </w:t>
      </w:r>
      <w:r w:rsidR="004E6247">
        <w:rPr>
          <w:rFonts w:eastAsia="FangSong"/>
        </w:rPr>
        <w:t>rather rais</w:t>
      </w:r>
      <w:r w:rsidR="00B02165">
        <w:rPr>
          <w:rFonts w:eastAsia="FangSong"/>
        </w:rPr>
        <w:t>e</w:t>
      </w:r>
      <w:r w:rsidR="004E6247">
        <w:rPr>
          <w:rFonts w:eastAsia="FangSong"/>
        </w:rPr>
        <w:t xml:space="preserve"> confusion in hazard communication.</w:t>
      </w:r>
    </w:p>
    <w:p w14:paraId="599B37A3" w14:textId="07591669" w:rsidR="004E6247" w:rsidRDefault="00272E42" w:rsidP="00272E42">
      <w:pPr>
        <w:pStyle w:val="SingleTxtG"/>
        <w:rPr>
          <w:rFonts w:eastAsia="FangSong"/>
        </w:rPr>
      </w:pPr>
      <w:r>
        <w:rPr>
          <w:rFonts w:eastAsia="FangSong"/>
        </w:rPr>
        <w:t>5</w:t>
      </w:r>
      <w:r w:rsidR="00400199">
        <w:rPr>
          <w:rFonts w:eastAsia="FangSong"/>
        </w:rPr>
        <w:t>.</w:t>
      </w:r>
      <w:r w:rsidR="00400199">
        <w:rPr>
          <w:rFonts w:eastAsia="FangSong"/>
        </w:rPr>
        <w:tab/>
      </w:r>
      <w:r w:rsidR="004E6247">
        <w:rPr>
          <w:rFonts w:eastAsia="FangSong"/>
        </w:rPr>
        <w:t xml:space="preserve">Last but not least, our science and technology in evaluating endocrine disruption is still under development, but the potential impact for the inclusion of endocrine disruptor as </w:t>
      </w:r>
      <w:r w:rsidR="00572CFD">
        <w:rPr>
          <w:rFonts w:eastAsia="FangSong"/>
        </w:rPr>
        <w:t xml:space="preserve">a </w:t>
      </w:r>
      <w:r w:rsidR="004E6247">
        <w:rPr>
          <w:rFonts w:eastAsia="FangSong"/>
        </w:rPr>
        <w:t xml:space="preserve">hazard class can be significant. Current assessment criteria proposed for endocrine disruption are inadequate, lacking valid and reliable standardized test methods, and the mechanisms of action are </w:t>
      </w:r>
      <w:r w:rsidR="004E6247" w:rsidRPr="007C587D">
        <w:rPr>
          <w:rFonts w:eastAsia="FangSong"/>
        </w:rPr>
        <w:t>presumption</w:t>
      </w:r>
      <w:r w:rsidR="004E6247">
        <w:rPr>
          <w:rFonts w:eastAsia="FangSong"/>
        </w:rPr>
        <w:t xml:space="preserve"> and to be understood. Because of the insufficiency of science and lack of rigor in criteria, the implementation of classification criteria tend to be stricter than necessary. For example, </w:t>
      </w:r>
      <w:r w:rsidR="004E6247" w:rsidRPr="006426A8">
        <w:rPr>
          <w:rFonts w:eastAsia="FangSong"/>
        </w:rPr>
        <w:t xml:space="preserve">the criteria for </w:t>
      </w:r>
      <w:r w:rsidR="00D3747E">
        <w:rPr>
          <w:rFonts w:eastAsia="FangSong"/>
        </w:rPr>
        <w:t>endocrine disruption</w:t>
      </w:r>
      <w:r w:rsidR="004E6247" w:rsidRPr="006426A8">
        <w:rPr>
          <w:rFonts w:eastAsia="FangSong"/>
        </w:rPr>
        <w:t xml:space="preserve"> assessment used in the </w:t>
      </w:r>
      <w:r w:rsidR="003971FF">
        <w:rPr>
          <w:rFonts w:eastAsia="FangSong"/>
        </w:rPr>
        <w:t xml:space="preserve">European Union </w:t>
      </w:r>
      <w:r w:rsidR="004E6247" w:rsidRPr="006426A8">
        <w:rPr>
          <w:rFonts w:eastAsia="FangSong"/>
        </w:rPr>
        <w:t xml:space="preserve"> CLP regulation deviate from the WHO definition of </w:t>
      </w:r>
      <w:r w:rsidR="00C6072F">
        <w:rPr>
          <w:rFonts w:eastAsia="FangSong"/>
        </w:rPr>
        <w:t>endocrine disruptors</w:t>
      </w:r>
      <w:r w:rsidR="004E6247" w:rsidRPr="006426A8">
        <w:rPr>
          <w:rFonts w:eastAsia="FangSong"/>
        </w:rPr>
        <w:t xml:space="preserve">, by allowing chemical substances to be classified as </w:t>
      </w:r>
      <w:r w:rsidR="00C6072F">
        <w:rPr>
          <w:rFonts w:eastAsia="FangSong"/>
        </w:rPr>
        <w:t>endocrine disruptors</w:t>
      </w:r>
      <w:r w:rsidR="004E6247" w:rsidRPr="006426A8">
        <w:rPr>
          <w:rFonts w:eastAsia="FangSong"/>
        </w:rPr>
        <w:t>, Category 2 in the absence of evidence of significant adverse effects in whole organisms.</w:t>
      </w:r>
      <w:r w:rsidR="004E6247">
        <w:rPr>
          <w:rFonts w:eastAsia="FangSong"/>
        </w:rPr>
        <w:t xml:space="preserve"> And, the European Commission assumed in the CLP Impact Assessment that 9% of REACH-registered chemicals would be classified as </w:t>
      </w:r>
      <w:r w:rsidR="00734A9E">
        <w:rPr>
          <w:rFonts w:eastAsia="FangSong"/>
        </w:rPr>
        <w:t>endocrine disruptors</w:t>
      </w:r>
      <w:r w:rsidR="004E6247">
        <w:rPr>
          <w:rFonts w:eastAsia="FangSong"/>
        </w:rPr>
        <w:t xml:space="preserve"> in accordance with the CLP Regulation. I</w:t>
      </w:r>
      <w:r w:rsidR="004E6247">
        <w:rPr>
          <w:rFonts w:eastAsia="FangSong" w:hint="eastAsia"/>
        </w:rPr>
        <w:t>s</w:t>
      </w:r>
      <w:r w:rsidR="004E6247">
        <w:rPr>
          <w:rFonts w:eastAsia="FangSong"/>
        </w:rPr>
        <w:t xml:space="preserve"> it really wise using the premature science to classify such a great amount of chemicals as hazardous without additional protection to health and environment? </w:t>
      </w:r>
      <w:bookmarkStart w:id="1" w:name="OLE_LINK3"/>
      <w:r w:rsidR="004E6247" w:rsidRPr="00514279">
        <w:rPr>
          <w:rFonts w:eastAsia="FangSong"/>
        </w:rPr>
        <w:t>Will disparit</w:t>
      </w:r>
      <w:r w:rsidR="004E6247">
        <w:rPr>
          <w:rFonts w:eastAsia="FangSong"/>
        </w:rPr>
        <w:t>ies</w:t>
      </w:r>
      <w:r w:rsidR="004E6247" w:rsidRPr="00514279">
        <w:rPr>
          <w:rFonts w:eastAsia="FangSong"/>
        </w:rPr>
        <w:t xml:space="preserve"> </w:t>
      </w:r>
      <w:r w:rsidR="004E6247">
        <w:rPr>
          <w:rFonts w:eastAsia="FangSong"/>
        </w:rPr>
        <w:t>in</w:t>
      </w:r>
      <w:r w:rsidR="004E6247" w:rsidRPr="00514279">
        <w:rPr>
          <w:rFonts w:eastAsia="FangSong"/>
        </w:rPr>
        <w:t xml:space="preserve"> k</w:t>
      </w:r>
      <w:r w:rsidR="004E6247">
        <w:rPr>
          <w:rFonts w:eastAsia="FangSong"/>
        </w:rPr>
        <w:t>nowledge and information on this subject e</w:t>
      </w:r>
      <w:r w:rsidR="004E6247" w:rsidRPr="00514279">
        <w:rPr>
          <w:rFonts w:eastAsia="FangSong"/>
        </w:rPr>
        <w:t>xacerbate inequality between countries or regions</w:t>
      </w:r>
      <w:r w:rsidR="004E6247">
        <w:rPr>
          <w:rFonts w:eastAsia="FangSong"/>
        </w:rPr>
        <w:t xml:space="preserve">, going against </w:t>
      </w:r>
      <w:r w:rsidR="004E6247" w:rsidRPr="00514279">
        <w:rPr>
          <w:rFonts w:eastAsia="FangSong"/>
        </w:rPr>
        <w:t xml:space="preserve">the </w:t>
      </w:r>
      <w:r w:rsidR="00734A9E">
        <w:rPr>
          <w:rFonts w:eastAsia="FangSong"/>
        </w:rPr>
        <w:t>s</w:t>
      </w:r>
      <w:r w:rsidR="004E6247" w:rsidRPr="00514279">
        <w:rPr>
          <w:rFonts w:eastAsia="FangSong"/>
        </w:rPr>
        <w:t xml:space="preserve">ustainable </w:t>
      </w:r>
      <w:r w:rsidR="00734A9E">
        <w:rPr>
          <w:rFonts w:eastAsia="FangSong"/>
        </w:rPr>
        <w:t>d</w:t>
      </w:r>
      <w:r w:rsidR="004E6247" w:rsidRPr="00514279">
        <w:rPr>
          <w:rFonts w:eastAsia="FangSong"/>
        </w:rPr>
        <w:t xml:space="preserve">evelopment </w:t>
      </w:r>
      <w:r w:rsidR="004E6247">
        <w:rPr>
          <w:rFonts w:eastAsia="FangSong"/>
        </w:rPr>
        <w:t>idea</w:t>
      </w:r>
      <w:r w:rsidR="004E6247" w:rsidRPr="00514279">
        <w:rPr>
          <w:rFonts w:eastAsia="FangSong"/>
        </w:rPr>
        <w:t xml:space="preserve"> behind GHS</w:t>
      </w:r>
      <w:r w:rsidR="004E6247">
        <w:rPr>
          <w:rFonts w:eastAsia="FangSong"/>
        </w:rPr>
        <w:t>?</w:t>
      </w:r>
    </w:p>
    <w:bookmarkEnd w:id="1"/>
    <w:p w14:paraId="26479DEE" w14:textId="204D23D0" w:rsidR="00C45066" w:rsidRDefault="00FB5FC3" w:rsidP="00FB5FC3">
      <w:pPr>
        <w:pStyle w:val="SingleTxtG"/>
        <w:rPr>
          <w:rFonts w:eastAsia="FangSong"/>
        </w:rPr>
      </w:pPr>
      <w:r>
        <w:rPr>
          <w:rFonts w:eastAsia="FangSong"/>
        </w:rPr>
        <w:t>6.</w:t>
      </w:r>
      <w:r>
        <w:rPr>
          <w:rFonts w:eastAsia="FangSong"/>
        </w:rPr>
        <w:tab/>
      </w:r>
      <w:r w:rsidR="004E6247">
        <w:rPr>
          <w:rFonts w:eastAsia="FangSong"/>
        </w:rPr>
        <w:t>Thus, the expert from China invite</w:t>
      </w:r>
      <w:r w:rsidR="00734A9E">
        <w:rPr>
          <w:rFonts w:eastAsia="FangSong"/>
        </w:rPr>
        <w:t>s</w:t>
      </w:r>
      <w:r w:rsidR="004E6247">
        <w:rPr>
          <w:rFonts w:eastAsia="FangSong"/>
        </w:rPr>
        <w:t xml:space="preserve"> the Sub-Committee to reassess the necessity to include endocrine disruptor as a new hazard class.</w:t>
      </w:r>
    </w:p>
    <w:p w14:paraId="564501B7" w14:textId="1D376AA1" w:rsidR="00FB5FC3" w:rsidRPr="00FB5FC3" w:rsidRDefault="00FB5FC3" w:rsidP="00FB5FC3">
      <w:pPr>
        <w:spacing w:before="240"/>
        <w:jc w:val="center"/>
        <w:rPr>
          <w:u w:val="single"/>
        </w:rPr>
      </w:pPr>
      <w:r>
        <w:rPr>
          <w:u w:val="single"/>
        </w:rPr>
        <w:tab/>
      </w:r>
      <w:r>
        <w:rPr>
          <w:u w:val="single"/>
        </w:rPr>
        <w:tab/>
      </w:r>
      <w:r>
        <w:rPr>
          <w:u w:val="single"/>
        </w:rPr>
        <w:tab/>
      </w:r>
    </w:p>
    <w:sectPr w:rsidR="00FB5FC3" w:rsidRPr="00FB5FC3" w:rsidSect="00D57610">
      <w:headerReference w:type="even" r:id="rId10"/>
      <w:headerReference w:type="default" r:id="rId11"/>
      <w:footerReference w:type="even"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AEE0" w14:textId="77777777" w:rsidR="009232F2" w:rsidRDefault="009232F2" w:rsidP="00760F29">
      <w:pPr>
        <w:spacing w:line="240" w:lineRule="auto"/>
      </w:pPr>
      <w:r>
        <w:separator/>
      </w:r>
    </w:p>
  </w:endnote>
  <w:endnote w:type="continuationSeparator" w:id="0">
    <w:p w14:paraId="3D352812" w14:textId="77777777" w:rsidR="009232F2" w:rsidRDefault="009232F2"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altName w:val="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841143"/>
      <w:docPartObj>
        <w:docPartGallery w:val="Page Numbers (Bottom of Page)"/>
        <w:docPartUnique/>
      </w:docPartObj>
    </w:sdtPr>
    <w:sdtEndPr>
      <w:rPr>
        <w:b/>
        <w:noProof/>
        <w:sz w:val="18"/>
      </w:rPr>
    </w:sdtEndPr>
    <w:sdtContent>
      <w:p w14:paraId="4544BF83" w14:textId="77777777"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6</w:t>
        </w:r>
        <w:r w:rsidRPr="00AA3D2B">
          <w:rPr>
            <w:b/>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7124"/>
      <w:docPartObj>
        <w:docPartGallery w:val="Page Numbers (Bottom of Page)"/>
        <w:docPartUnique/>
      </w:docPartObj>
    </w:sdtPr>
    <w:sdtEndPr>
      <w:rPr>
        <w:b/>
        <w:noProof/>
        <w:sz w:val="18"/>
      </w:rPr>
    </w:sdtEndPr>
    <w:sdtContent>
      <w:p w14:paraId="6EFD7E8D" w14:textId="7777777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5</w:t>
        </w:r>
        <w:r w:rsidRPr="00AA3D2B">
          <w:rPr>
            <w:b/>
            <w:noProof/>
            <w:sz w:val="18"/>
          </w:rPr>
          <w:fldChar w:fldCharType="end"/>
        </w:r>
      </w:p>
    </w:sdtContent>
  </w:sdt>
  <w:p w14:paraId="29C5B1D1" w14:textId="77777777" w:rsidR="00C030CA" w:rsidRDefault="00C030CA"/>
  <w:p w14:paraId="2D1265E8" w14:textId="77777777" w:rsidR="00C030CA" w:rsidRDefault="00C030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F8D5" w14:textId="77777777" w:rsidR="009232F2" w:rsidRDefault="009232F2" w:rsidP="00760F29">
      <w:pPr>
        <w:spacing w:line="240" w:lineRule="auto"/>
      </w:pPr>
      <w:r>
        <w:separator/>
      </w:r>
    </w:p>
  </w:footnote>
  <w:footnote w:type="continuationSeparator" w:id="0">
    <w:p w14:paraId="4A8D92AC" w14:textId="77777777" w:rsidR="009232F2" w:rsidRDefault="009232F2" w:rsidP="0076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0A1" w14:textId="1DE425F1" w:rsidR="00574027" w:rsidRPr="00CE031D" w:rsidRDefault="00574027" w:rsidP="00AA3D2B">
    <w:pPr>
      <w:pStyle w:val="Header"/>
      <w:rPr>
        <w:szCs w:val="18"/>
      </w:rPr>
    </w:pPr>
    <w:r w:rsidRPr="00B66B59">
      <w:rPr>
        <w:szCs w:val="18"/>
      </w:rPr>
      <w:t>UN/SCE</w:t>
    </w:r>
    <w:r w:rsidR="00F47212" w:rsidRPr="00B66B59">
      <w:rPr>
        <w:szCs w:val="18"/>
      </w:rPr>
      <w:t>GHS</w:t>
    </w:r>
    <w:r w:rsidRPr="00B66B59">
      <w:rPr>
        <w:szCs w:val="18"/>
      </w:rPr>
      <w:t>/4</w:t>
    </w:r>
    <w:r w:rsidR="00B66B59" w:rsidRPr="00B66B59">
      <w:rPr>
        <w:szCs w:val="18"/>
      </w:rPr>
      <w:t>5</w:t>
    </w:r>
    <w:r w:rsidR="00101999" w:rsidRPr="00B66B59">
      <w:rPr>
        <w:szCs w:val="18"/>
      </w:rPr>
      <w:t>/</w:t>
    </w:r>
    <w:r w:rsidRPr="00B66B59">
      <w:rPr>
        <w:szCs w:val="18"/>
      </w:rPr>
      <w:t>INF.</w:t>
    </w:r>
    <w:r w:rsidR="00B66B59" w:rsidRPr="00B66B59">
      <w:rPr>
        <w:szCs w:val="18"/>
      </w:rPr>
      <w:t>1</w:t>
    </w:r>
    <w:r w:rsidR="00272E42">
      <w:rPr>
        <w:szCs w:val="18"/>
      </w:rPr>
      <w:t>5</w:t>
    </w:r>
  </w:p>
  <w:p w14:paraId="1965A9B4" w14:textId="032C17A8" w:rsidR="00C030CA" w:rsidRDefault="00574027" w:rsidP="00075CD3">
    <w:pPr>
      <w:pStyle w:val="Header"/>
      <w:pBdr>
        <w:bottom w:val="none" w:sz="0" w:space="0" w:color="auto"/>
      </w:pBdr>
    </w:pPr>
    <w:r>
      <w:rPr>
        <w:noProof/>
        <w:lang w:eastAsia="en-GB"/>
      </w:rPr>
      <mc:AlternateContent>
        <mc:Choice Requires="wps">
          <w:drawing>
            <wp:anchor distT="0" distB="0" distL="114300" distR="114300" simplePos="0" relativeHeight="251655680" behindDoc="0" locked="0" layoutInCell="1" allowOverlap="1" wp14:anchorId="69A23957" wp14:editId="729F1E4E">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DE3E" w14:textId="77777777" w:rsidR="00574027" w:rsidRDefault="00574027" w:rsidP="0062617C">
                          <w:pPr>
                            <w:pStyle w:val="Header"/>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3957" id="_x0000_t202" coordsize="21600,21600" o:spt="202" path="m,l,21600r21600,l21600,xe">
              <v:stroke joinstyle="miter"/>
              <v:path gradientshapeok="t" o:connecttype="rect"/>
            </v:shapetype>
            <v:shape id="Text Box 16" o:spid="_x0000_s1026" type="#_x0000_t202" style="position:absolute;margin-left:778pt;margin-top:.6pt;width:17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" stroked="f">
              <v:textbox style="layout-flow:vertical" inset="0,0,0,0">
                <w:txbxContent>
                  <w:p w14:paraId="7536DE3E" w14:textId="77777777" w:rsidR="00574027" w:rsidRDefault="00574027" w:rsidP="0062617C">
                    <w:pPr>
                      <w:pStyle w:val="Header"/>
                    </w:pPr>
                    <w:r>
                      <w:t>UN/SCETDG/49/INF.xx</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EA7F" w14:textId="77777777" w:rsidR="00574027" w:rsidRPr="00CE031D" w:rsidRDefault="00574027" w:rsidP="00AA3D2B">
    <w:pPr>
      <w:pStyle w:val="Header"/>
      <w:jc w:val="right"/>
      <w:rPr>
        <w:szCs w:val="18"/>
      </w:rPr>
    </w:pPr>
    <w:r w:rsidRPr="00CE031D">
      <w:rPr>
        <w:szCs w:val="18"/>
      </w:rPr>
      <w:t>UN/SCE</w:t>
    </w:r>
    <w:r w:rsidR="00D660CB">
      <w:rPr>
        <w:szCs w:val="18"/>
      </w:rPr>
      <w:t>GHS</w:t>
    </w:r>
    <w:r w:rsidRPr="00CE031D">
      <w:rPr>
        <w:szCs w:val="18"/>
      </w:rPr>
      <w:t>/</w:t>
    </w:r>
    <w:r w:rsidR="00D660CB">
      <w:rPr>
        <w:szCs w:val="18"/>
      </w:rPr>
      <w:t>33</w:t>
    </w:r>
    <w:r w:rsidRPr="00CE031D">
      <w:rPr>
        <w:szCs w:val="18"/>
      </w:rPr>
      <w:t>/</w:t>
    </w:r>
    <w:proofErr w:type="spellStart"/>
    <w:r w:rsidRPr="00CE031D">
      <w:rPr>
        <w:szCs w:val="18"/>
      </w:rPr>
      <w:t>INF.</w:t>
    </w:r>
    <w:r w:rsidR="00D660CB">
      <w:rPr>
        <w:szCs w:val="18"/>
      </w:rPr>
      <w:t>xx</w:t>
    </w:r>
    <w:proofErr w:type="spellEnd"/>
  </w:p>
  <w:p w14:paraId="2A0AEDCB" w14:textId="77777777" w:rsidR="00574027" w:rsidRPr="00CE031D"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50560" behindDoc="0" locked="0" layoutInCell="1" allowOverlap="1" wp14:anchorId="7C83A48F" wp14:editId="5D5A78CA">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0A0B" w14:textId="77777777" w:rsidR="00574027" w:rsidRDefault="00574027" w:rsidP="0062617C">
                          <w:pPr>
                            <w:pStyle w:val="Header"/>
                            <w:jc w:val="right"/>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A48F" id="_x0000_t202" coordsize="21600,21600" o:spt="202" path="m,l,21600r21600,l21600,xe">
              <v:stroke joinstyle="miter"/>
              <v:path gradientshapeok="t" o:connecttype="rect"/>
            </v:shapetype>
            <v:shape id="Text Box 14" o:spid="_x0000_s1027" type="#_x0000_t202" style="position:absolute;margin-left:766pt;margin-top:5.1pt;width:17pt;height:481.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" stroked="f">
              <v:textbox style="layout-flow:vertical" inset="0,0,0,0">
                <w:txbxContent>
                  <w:p w14:paraId="799A0A0B" w14:textId="77777777" w:rsidR="00574027" w:rsidRDefault="00574027" w:rsidP="0062617C">
                    <w:pPr>
                      <w:pStyle w:val="Header"/>
                      <w:jc w:val="right"/>
                    </w:pPr>
                    <w:r>
                      <w:t>UN/SCETDG/49/INF.xx</w:t>
                    </w:r>
                  </w:p>
                </w:txbxContent>
              </v:textbox>
              <w10:wrap anchorx="page" anchory="margin"/>
            </v:shape>
          </w:pict>
        </mc:Fallback>
      </mc:AlternateContent>
    </w:r>
  </w:p>
  <w:p w14:paraId="26990627" w14:textId="77777777" w:rsidR="00C030CA" w:rsidRDefault="00C030CA"/>
  <w:p w14:paraId="03F28A43" w14:textId="77777777" w:rsidR="00C030CA" w:rsidRDefault="00C030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DB1C" w14:textId="77777777" w:rsidR="00D57610" w:rsidRDefault="00D57610" w:rsidP="00D5761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6C25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78A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2C3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FC2B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60E2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C0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AAB3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AAA3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A4E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6E6B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0017607"/>
    <w:multiLevelType w:val="hybridMultilevel"/>
    <w:tmpl w:val="5EF08E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D96CD7"/>
    <w:multiLevelType w:val="hybridMultilevel"/>
    <w:tmpl w:val="5F84AA66"/>
    <w:lvl w:ilvl="0" w:tplc="91363292">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D445C8E"/>
    <w:multiLevelType w:val="hybridMultilevel"/>
    <w:tmpl w:val="09F43D5A"/>
    <w:lvl w:ilvl="0" w:tplc="9774DAEC">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0336F93"/>
    <w:multiLevelType w:val="hybridMultilevel"/>
    <w:tmpl w:val="B07C1F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201475D"/>
    <w:multiLevelType w:val="hybridMultilevel"/>
    <w:tmpl w:val="F0AEF3E0"/>
    <w:lvl w:ilvl="0" w:tplc="9C70082C">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1E6D94"/>
    <w:multiLevelType w:val="hybridMultilevel"/>
    <w:tmpl w:val="B728F8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EE3356"/>
    <w:multiLevelType w:val="hybridMultilevel"/>
    <w:tmpl w:val="7B0E3E6E"/>
    <w:lvl w:ilvl="0" w:tplc="99E20314">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383867107">
    <w:abstractNumId w:val="20"/>
  </w:num>
  <w:num w:numId="2" w16cid:durableId="1838686835">
    <w:abstractNumId w:val="24"/>
  </w:num>
  <w:num w:numId="3" w16cid:durableId="844979474">
    <w:abstractNumId w:val="10"/>
  </w:num>
  <w:num w:numId="4" w16cid:durableId="1362122833">
    <w:abstractNumId w:val="22"/>
  </w:num>
  <w:num w:numId="5" w16cid:durableId="1004169838">
    <w:abstractNumId w:val="18"/>
  </w:num>
  <w:num w:numId="6" w16cid:durableId="394010598">
    <w:abstractNumId w:val="15"/>
  </w:num>
  <w:num w:numId="7" w16cid:durableId="1791624752">
    <w:abstractNumId w:val="11"/>
  </w:num>
  <w:num w:numId="8" w16cid:durableId="186676716">
    <w:abstractNumId w:val="21"/>
  </w:num>
  <w:num w:numId="9" w16cid:durableId="1775781694">
    <w:abstractNumId w:val="14"/>
  </w:num>
  <w:num w:numId="10" w16cid:durableId="1064913895">
    <w:abstractNumId w:val="20"/>
  </w:num>
  <w:num w:numId="11" w16cid:durableId="637691769">
    <w:abstractNumId w:val="20"/>
  </w:num>
  <w:num w:numId="12" w16cid:durableId="1383555002">
    <w:abstractNumId w:val="20"/>
  </w:num>
  <w:num w:numId="13" w16cid:durableId="1425612137">
    <w:abstractNumId w:val="20"/>
  </w:num>
  <w:num w:numId="14" w16cid:durableId="321323092">
    <w:abstractNumId w:val="17"/>
  </w:num>
  <w:num w:numId="15" w16cid:durableId="1216350802">
    <w:abstractNumId w:val="23"/>
  </w:num>
  <w:num w:numId="16" w16cid:durableId="230579770">
    <w:abstractNumId w:val="12"/>
  </w:num>
  <w:num w:numId="17" w16cid:durableId="329136397">
    <w:abstractNumId w:val="9"/>
  </w:num>
  <w:num w:numId="18" w16cid:durableId="11959359">
    <w:abstractNumId w:val="7"/>
  </w:num>
  <w:num w:numId="19" w16cid:durableId="233858951">
    <w:abstractNumId w:val="6"/>
  </w:num>
  <w:num w:numId="20" w16cid:durableId="124204661">
    <w:abstractNumId w:val="5"/>
  </w:num>
  <w:num w:numId="21" w16cid:durableId="935097651">
    <w:abstractNumId w:val="4"/>
  </w:num>
  <w:num w:numId="22" w16cid:durableId="1540967207">
    <w:abstractNumId w:val="8"/>
  </w:num>
  <w:num w:numId="23" w16cid:durableId="608588033">
    <w:abstractNumId w:val="3"/>
  </w:num>
  <w:num w:numId="24" w16cid:durableId="1235820254">
    <w:abstractNumId w:val="2"/>
  </w:num>
  <w:num w:numId="25" w16cid:durableId="1859541792">
    <w:abstractNumId w:val="1"/>
  </w:num>
  <w:num w:numId="26" w16cid:durableId="2096632062">
    <w:abstractNumId w:val="0"/>
  </w:num>
  <w:num w:numId="27" w16cid:durableId="2120252502">
    <w:abstractNumId w:val="20"/>
  </w:num>
  <w:num w:numId="28" w16cid:durableId="1171526554">
    <w:abstractNumId w:val="20"/>
  </w:num>
  <w:num w:numId="29" w16cid:durableId="605384228">
    <w:abstractNumId w:val="24"/>
  </w:num>
  <w:num w:numId="30" w16cid:durableId="1301570956">
    <w:abstractNumId w:val="13"/>
  </w:num>
  <w:num w:numId="31" w16cid:durableId="760569153">
    <w:abstractNumId w:val="16"/>
  </w:num>
  <w:num w:numId="32" w16cid:durableId="561060193">
    <w:abstractNumId w:val="25"/>
  </w:num>
  <w:num w:numId="33" w16cid:durableId="2158172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027B0"/>
    <w:rsid w:val="000214BC"/>
    <w:rsid w:val="000249C0"/>
    <w:rsid w:val="0003079A"/>
    <w:rsid w:val="00030862"/>
    <w:rsid w:val="00037381"/>
    <w:rsid w:val="0005174B"/>
    <w:rsid w:val="0006039D"/>
    <w:rsid w:val="00075CD3"/>
    <w:rsid w:val="00084BBA"/>
    <w:rsid w:val="000B6ACF"/>
    <w:rsid w:val="000F5997"/>
    <w:rsid w:val="000F78F9"/>
    <w:rsid w:val="00101999"/>
    <w:rsid w:val="0013472E"/>
    <w:rsid w:val="001467C4"/>
    <w:rsid w:val="001B057F"/>
    <w:rsid w:val="001C5FE4"/>
    <w:rsid w:val="001F5336"/>
    <w:rsid w:val="00223F9F"/>
    <w:rsid w:val="00225747"/>
    <w:rsid w:val="00226CEA"/>
    <w:rsid w:val="00236385"/>
    <w:rsid w:val="00244E9C"/>
    <w:rsid w:val="00260117"/>
    <w:rsid w:val="00272E42"/>
    <w:rsid w:val="0028150B"/>
    <w:rsid w:val="00371089"/>
    <w:rsid w:val="003971FF"/>
    <w:rsid w:val="003A0D57"/>
    <w:rsid w:val="003A2A96"/>
    <w:rsid w:val="003A3245"/>
    <w:rsid w:val="003B2653"/>
    <w:rsid w:val="003C10B9"/>
    <w:rsid w:val="003C425A"/>
    <w:rsid w:val="003D74EA"/>
    <w:rsid w:val="003E64B9"/>
    <w:rsid w:val="00400199"/>
    <w:rsid w:val="00406A6B"/>
    <w:rsid w:val="004108A7"/>
    <w:rsid w:val="00433EBE"/>
    <w:rsid w:val="004B5A77"/>
    <w:rsid w:val="004D6AC0"/>
    <w:rsid w:val="004E6247"/>
    <w:rsid w:val="004E7435"/>
    <w:rsid w:val="00512E3F"/>
    <w:rsid w:val="005214E7"/>
    <w:rsid w:val="00522D72"/>
    <w:rsid w:val="00570F56"/>
    <w:rsid w:val="00572CFD"/>
    <w:rsid w:val="00574027"/>
    <w:rsid w:val="00592369"/>
    <w:rsid w:val="005A682F"/>
    <w:rsid w:val="005B1696"/>
    <w:rsid w:val="005C0B65"/>
    <w:rsid w:val="005C1A35"/>
    <w:rsid w:val="005E79BB"/>
    <w:rsid w:val="005F7AE9"/>
    <w:rsid w:val="006055A6"/>
    <w:rsid w:val="0062617C"/>
    <w:rsid w:val="00630265"/>
    <w:rsid w:val="00633F54"/>
    <w:rsid w:val="00647244"/>
    <w:rsid w:val="0065218F"/>
    <w:rsid w:val="00675274"/>
    <w:rsid w:val="00686B73"/>
    <w:rsid w:val="006A2C7D"/>
    <w:rsid w:val="006C0918"/>
    <w:rsid w:val="006D3E76"/>
    <w:rsid w:val="00712854"/>
    <w:rsid w:val="00717408"/>
    <w:rsid w:val="00724625"/>
    <w:rsid w:val="00734A9E"/>
    <w:rsid w:val="00752CBE"/>
    <w:rsid w:val="00760F29"/>
    <w:rsid w:val="007843C5"/>
    <w:rsid w:val="007A5031"/>
    <w:rsid w:val="007C1E4D"/>
    <w:rsid w:val="007C4BED"/>
    <w:rsid w:val="007C61DB"/>
    <w:rsid w:val="007D47BB"/>
    <w:rsid w:val="007E0B86"/>
    <w:rsid w:val="007F1D3F"/>
    <w:rsid w:val="00822F3B"/>
    <w:rsid w:val="00854E33"/>
    <w:rsid w:val="008D54D0"/>
    <w:rsid w:val="009232F2"/>
    <w:rsid w:val="00930F93"/>
    <w:rsid w:val="00932AB4"/>
    <w:rsid w:val="0094551F"/>
    <w:rsid w:val="00952597"/>
    <w:rsid w:val="009855D0"/>
    <w:rsid w:val="009A1E45"/>
    <w:rsid w:val="009B11B2"/>
    <w:rsid w:val="009E1F11"/>
    <w:rsid w:val="009E245E"/>
    <w:rsid w:val="009E42E4"/>
    <w:rsid w:val="009F552B"/>
    <w:rsid w:val="00A10E18"/>
    <w:rsid w:val="00A16949"/>
    <w:rsid w:val="00A25B3D"/>
    <w:rsid w:val="00A35D45"/>
    <w:rsid w:val="00A45238"/>
    <w:rsid w:val="00A55BFD"/>
    <w:rsid w:val="00A57ACB"/>
    <w:rsid w:val="00A77060"/>
    <w:rsid w:val="00A83A4A"/>
    <w:rsid w:val="00A91B52"/>
    <w:rsid w:val="00AA3D2B"/>
    <w:rsid w:val="00AA6BD9"/>
    <w:rsid w:val="00AD6475"/>
    <w:rsid w:val="00AE0FE0"/>
    <w:rsid w:val="00B02165"/>
    <w:rsid w:val="00B04D82"/>
    <w:rsid w:val="00B40B09"/>
    <w:rsid w:val="00B6276F"/>
    <w:rsid w:val="00B64854"/>
    <w:rsid w:val="00B66B59"/>
    <w:rsid w:val="00B77E3D"/>
    <w:rsid w:val="00B80512"/>
    <w:rsid w:val="00B85035"/>
    <w:rsid w:val="00B9232E"/>
    <w:rsid w:val="00BF0E50"/>
    <w:rsid w:val="00C030CA"/>
    <w:rsid w:val="00C07778"/>
    <w:rsid w:val="00C13576"/>
    <w:rsid w:val="00C13F89"/>
    <w:rsid w:val="00C21DFE"/>
    <w:rsid w:val="00C35A53"/>
    <w:rsid w:val="00C45066"/>
    <w:rsid w:val="00C45F1F"/>
    <w:rsid w:val="00C53890"/>
    <w:rsid w:val="00C6072F"/>
    <w:rsid w:val="00C60AE5"/>
    <w:rsid w:val="00C64CCA"/>
    <w:rsid w:val="00C65283"/>
    <w:rsid w:val="00C97ECF"/>
    <w:rsid w:val="00CA28D8"/>
    <w:rsid w:val="00CA3BB9"/>
    <w:rsid w:val="00CA5128"/>
    <w:rsid w:val="00CC31F3"/>
    <w:rsid w:val="00CE031D"/>
    <w:rsid w:val="00D0357B"/>
    <w:rsid w:val="00D3747E"/>
    <w:rsid w:val="00D508E2"/>
    <w:rsid w:val="00D56C63"/>
    <w:rsid w:val="00D57610"/>
    <w:rsid w:val="00D660CB"/>
    <w:rsid w:val="00D841B8"/>
    <w:rsid w:val="00D861A4"/>
    <w:rsid w:val="00DB521F"/>
    <w:rsid w:val="00DC7A1B"/>
    <w:rsid w:val="00DD1C29"/>
    <w:rsid w:val="00DD396E"/>
    <w:rsid w:val="00E12260"/>
    <w:rsid w:val="00E15AE8"/>
    <w:rsid w:val="00E1727E"/>
    <w:rsid w:val="00E23BE4"/>
    <w:rsid w:val="00E7454A"/>
    <w:rsid w:val="00E97BCE"/>
    <w:rsid w:val="00EA3F81"/>
    <w:rsid w:val="00EA5B52"/>
    <w:rsid w:val="00EC010F"/>
    <w:rsid w:val="00EF7926"/>
    <w:rsid w:val="00F100E6"/>
    <w:rsid w:val="00F22714"/>
    <w:rsid w:val="00F27F2C"/>
    <w:rsid w:val="00F41B6B"/>
    <w:rsid w:val="00F47212"/>
    <w:rsid w:val="00F5189B"/>
    <w:rsid w:val="00F84D75"/>
    <w:rsid w:val="00F900D6"/>
    <w:rsid w:val="00F95306"/>
    <w:rsid w:val="00F970C4"/>
    <w:rsid w:val="00FA63B2"/>
    <w:rsid w:val="00FB5FC3"/>
    <w:rsid w:val="00FC128D"/>
    <w:rsid w:val="00FE17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qFormat/>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qFormat/>
    <w:rsid w:val="00E97BCE"/>
    <w:rPr>
      <w:rFonts w:eastAsia="Times New Roman"/>
      <w:b/>
      <w:sz w:val="24"/>
      <w:lang w:eastAsia="en-US"/>
    </w:rPr>
  </w:style>
  <w:style w:type="paragraph" w:styleId="ListParagraph">
    <w:name w:val="List Paragraph"/>
    <w:basedOn w:val="Normal"/>
    <w:uiPriority w:val="34"/>
    <w:qFormat/>
    <w:rsid w:val="00752CBE"/>
    <w:pPr>
      <w:suppressAutoHyphens w:val="0"/>
      <w:spacing w:after="160" w:line="259" w:lineRule="auto"/>
      <w:ind w:left="720"/>
      <w:contextualSpacing/>
    </w:pPr>
    <w:rPr>
      <w:rFonts w:asciiTheme="minorHAnsi" w:eastAsiaTheme="minorHAnsi" w:hAnsiTheme="minorHAnsi" w:cstheme="minorBidi"/>
      <w:kern w:val="2"/>
      <w:sz w:val="22"/>
      <w:szCs w:val="22"/>
      <w:lang w:val="de-DE"/>
      <w14:ligatures w14:val="standardContextual"/>
    </w:rPr>
  </w:style>
  <w:style w:type="character" w:styleId="CommentReference">
    <w:name w:val="annotation reference"/>
    <w:basedOn w:val="DefaultParagraphFont"/>
    <w:uiPriority w:val="99"/>
    <w:semiHidden/>
    <w:unhideWhenUsed/>
    <w:rsid w:val="00A35D45"/>
    <w:rPr>
      <w:sz w:val="16"/>
      <w:szCs w:val="16"/>
    </w:rPr>
  </w:style>
  <w:style w:type="paragraph" w:styleId="CommentText">
    <w:name w:val="annotation text"/>
    <w:basedOn w:val="Normal"/>
    <w:link w:val="CommentTextChar"/>
    <w:uiPriority w:val="99"/>
    <w:unhideWhenUsed/>
    <w:rsid w:val="00A35D45"/>
    <w:pPr>
      <w:spacing w:line="240" w:lineRule="auto"/>
    </w:pPr>
  </w:style>
  <w:style w:type="character" w:customStyle="1" w:styleId="CommentTextChar">
    <w:name w:val="Comment Text Char"/>
    <w:basedOn w:val="DefaultParagraphFont"/>
    <w:link w:val="CommentText"/>
    <w:uiPriority w:val="99"/>
    <w:rsid w:val="00A35D45"/>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A35D45"/>
    <w:rPr>
      <w:b/>
      <w:bCs/>
    </w:rPr>
  </w:style>
  <w:style w:type="character" w:customStyle="1" w:styleId="CommentSubjectChar">
    <w:name w:val="Comment Subject Char"/>
    <w:basedOn w:val="CommentTextChar"/>
    <w:link w:val="CommentSubject"/>
    <w:uiPriority w:val="99"/>
    <w:semiHidden/>
    <w:rsid w:val="00A35D45"/>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Rosa Garcia Couto</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8EA29-A82E-4E21-91C7-15B8BD9BD654}"/>
</file>

<file path=customXml/itemProps2.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35834247-6F58-4884-B2FF-26F6269CB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INF15</dc:title>
  <dc:creator>Rosa Garcia-Couto</dc:creator>
  <cp:lastModifiedBy>Rosa Garcia Couto</cp:lastModifiedBy>
  <cp:revision>26</cp:revision>
  <dcterms:created xsi:type="dcterms:W3CDTF">2023-11-20T13:07:00Z</dcterms:created>
  <dcterms:modified xsi:type="dcterms:W3CDTF">2023-11-20T13:32:00Z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Office of Origin">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ies>
</file>