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A215B3" w14:paraId="3A089753" w14:textId="77777777" w:rsidTr="00A27C92">
        <w:trPr>
          <w:trHeight w:hRule="exact" w:val="851"/>
        </w:trPr>
        <w:tc>
          <w:tcPr>
            <w:tcW w:w="9639" w:type="dxa"/>
            <w:gridSpan w:val="2"/>
            <w:tcBorders>
              <w:bottom w:val="single" w:sz="4" w:space="0" w:color="auto"/>
            </w:tcBorders>
            <w:shd w:val="clear" w:color="auto" w:fill="auto"/>
            <w:vAlign w:val="bottom"/>
          </w:tcPr>
          <w:p w14:paraId="616D52A6" w14:textId="47CC4E8E" w:rsidR="00A215B3" w:rsidRPr="00A215B3" w:rsidRDefault="00A215B3" w:rsidP="00A215B3">
            <w:pPr>
              <w:jc w:val="right"/>
              <w:rPr>
                <w:lang w:val="en-US"/>
              </w:rPr>
            </w:pPr>
            <w:r w:rsidRPr="00A215B3">
              <w:rPr>
                <w:sz w:val="40"/>
                <w:lang w:val="en-US"/>
              </w:rPr>
              <w:t>E</w:t>
            </w:r>
            <w:r w:rsidRPr="00A215B3">
              <w:rPr>
                <w:lang w:val="en-US"/>
              </w:rPr>
              <w:t>/ECE/TRANS/505/Rev.3/Add.157/Amend.2</w:t>
            </w:r>
          </w:p>
        </w:tc>
      </w:tr>
      <w:tr w:rsidR="00421A10" w:rsidRPr="00DB58B5" w14:paraId="1263EC4F" w14:textId="77777777" w:rsidTr="00A27C92">
        <w:trPr>
          <w:trHeight w:hRule="exact" w:val="2835"/>
        </w:trPr>
        <w:tc>
          <w:tcPr>
            <w:tcW w:w="6804" w:type="dxa"/>
            <w:tcBorders>
              <w:top w:val="single" w:sz="4" w:space="0" w:color="auto"/>
              <w:bottom w:val="single" w:sz="12" w:space="0" w:color="auto"/>
            </w:tcBorders>
            <w:shd w:val="clear" w:color="auto" w:fill="auto"/>
          </w:tcPr>
          <w:p w14:paraId="76A23001" w14:textId="77777777" w:rsidR="00421A10" w:rsidRPr="00A215B3"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471882EF" w14:textId="77777777" w:rsidR="00421A10" w:rsidRPr="00DB58B5" w:rsidRDefault="00A215B3" w:rsidP="00A27C92">
            <w:pPr>
              <w:spacing w:before="480" w:line="240" w:lineRule="exact"/>
            </w:pPr>
            <w:r>
              <w:t>16 juin 2023</w:t>
            </w:r>
          </w:p>
        </w:tc>
      </w:tr>
    </w:tbl>
    <w:p w14:paraId="1E6D523E" w14:textId="77777777" w:rsidR="00421A10" w:rsidRPr="006549FF" w:rsidRDefault="0029791D" w:rsidP="0029791D">
      <w:pPr>
        <w:pStyle w:val="HChG"/>
      </w:pPr>
      <w:r>
        <w:tab/>
      </w:r>
      <w:r>
        <w:tab/>
      </w:r>
      <w:r w:rsidR="00421A10" w:rsidRPr="006549FF">
        <w:t>Accord</w:t>
      </w:r>
    </w:p>
    <w:p w14:paraId="62F8C932" w14:textId="04673BC2" w:rsidR="00421A10" w:rsidRPr="00583D68" w:rsidRDefault="0029791D" w:rsidP="0029791D">
      <w:pPr>
        <w:pStyle w:val="H1G"/>
      </w:pPr>
      <w:r>
        <w:tab/>
      </w:r>
      <w:r>
        <w:tab/>
      </w:r>
      <w:r w:rsidR="00421A10" w:rsidRPr="00583D68">
        <w:t xml:space="preserve">Concernant l’adoption </w:t>
      </w:r>
      <w:r w:rsidR="00A215B3" w:rsidRPr="00A215B3">
        <w:rPr>
          <w:bCs/>
          <w:lang w:val="fr-FR"/>
        </w:rPr>
        <w:t xml:space="preserve">de Règlements techniques harmonisés de l’ONU applicables aux véhicules à roues et aux équipements et pièces susceptibles d’être montés ou utilisés sur les véhicules à roues </w:t>
      </w:r>
      <w:r w:rsidR="00A215B3">
        <w:rPr>
          <w:bCs/>
          <w:lang w:val="fr-FR"/>
        </w:rPr>
        <w:br/>
      </w:r>
      <w:r w:rsidR="00A215B3" w:rsidRPr="00A215B3">
        <w:rPr>
          <w:bCs/>
          <w:lang w:val="fr-FR"/>
        </w:rPr>
        <w:t>et les conditions de reconnaissance réciproque des homologations délivrées conformément à ces Règlements</w:t>
      </w:r>
      <w:r w:rsidR="00442E31" w:rsidRPr="00A215B3">
        <w:rPr>
          <w:rStyle w:val="Appelnotedebasdep"/>
          <w:b w:val="0"/>
          <w:bCs/>
          <w:sz w:val="20"/>
          <w:vertAlign w:val="baseline"/>
        </w:rPr>
        <w:footnoteReference w:customMarkFollows="1" w:id="2"/>
        <w:t>*</w:t>
      </w:r>
    </w:p>
    <w:p w14:paraId="7D4B7799" w14:textId="70EAFEB1" w:rsidR="00421A10" w:rsidRPr="00A12483" w:rsidRDefault="00421A10" w:rsidP="0029791D">
      <w:pPr>
        <w:pStyle w:val="SingleTxtG"/>
        <w:jc w:val="left"/>
        <w:rPr>
          <w:b/>
          <w:sz w:val="24"/>
          <w:szCs w:val="24"/>
        </w:rPr>
      </w:pPr>
      <w:r w:rsidRPr="006549FF">
        <w:t xml:space="preserve">(Révision </w:t>
      </w:r>
      <w:r w:rsidR="00A215B3">
        <w:t xml:space="preserve">3, </w:t>
      </w:r>
      <w:r w:rsidR="00A215B3" w:rsidRPr="00A215B3">
        <w:rPr>
          <w:lang w:val="fr-FR"/>
        </w:rPr>
        <w:t>comprenant les amendements entrés en vigueur le 14 septembre 2017)</w:t>
      </w:r>
    </w:p>
    <w:p w14:paraId="53383320" w14:textId="77777777" w:rsidR="00421A10" w:rsidRPr="006549FF" w:rsidRDefault="0029791D" w:rsidP="0029791D">
      <w:pPr>
        <w:jc w:val="center"/>
      </w:pPr>
      <w:r>
        <w:t>_______________</w:t>
      </w:r>
    </w:p>
    <w:p w14:paraId="2E0E26EC" w14:textId="3D0D16D6" w:rsidR="00421A10" w:rsidRPr="006549FF" w:rsidRDefault="0029791D" w:rsidP="0029791D">
      <w:pPr>
        <w:pStyle w:val="HChG"/>
      </w:pPr>
      <w:r>
        <w:tab/>
      </w:r>
      <w:r>
        <w:tab/>
      </w:r>
      <w:r w:rsidR="00421A10" w:rsidRPr="006549FF">
        <w:t xml:space="preserve">Additif </w:t>
      </w:r>
      <w:r w:rsidR="00A215B3" w:rsidRPr="00A215B3">
        <w:rPr>
          <w:bCs/>
          <w:lang w:val="fr-FR"/>
        </w:rPr>
        <w:t>157 − Règlement ONU n</w:t>
      </w:r>
      <w:r w:rsidR="00A215B3" w:rsidRPr="00A215B3">
        <w:rPr>
          <w:bCs/>
          <w:vertAlign w:val="superscript"/>
          <w:lang w:val="fr-FR"/>
        </w:rPr>
        <w:t>o</w:t>
      </w:r>
      <w:r w:rsidR="00A215B3" w:rsidRPr="00A215B3">
        <w:rPr>
          <w:bCs/>
          <w:lang w:val="fr-FR"/>
        </w:rPr>
        <w:t xml:space="preserve"> 158</w:t>
      </w:r>
    </w:p>
    <w:p w14:paraId="6FF7EC78" w14:textId="49744428" w:rsidR="00421A10" w:rsidRPr="006549FF" w:rsidRDefault="0029791D" w:rsidP="0029791D">
      <w:pPr>
        <w:pStyle w:val="H1G"/>
      </w:pPr>
      <w:r>
        <w:tab/>
      </w:r>
      <w:r>
        <w:tab/>
      </w:r>
      <w:r w:rsidR="00A215B3" w:rsidRPr="00A215B3">
        <w:rPr>
          <w:bCs/>
          <w:lang w:val="fr-FR"/>
        </w:rPr>
        <w:t>Amendement 2</w:t>
      </w:r>
    </w:p>
    <w:p w14:paraId="1537B567" w14:textId="5FBA6615" w:rsidR="00421A10" w:rsidRPr="004A7E44" w:rsidRDefault="00A215B3" w:rsidP="0029791D">
      <w:pPr>
        <w:pStyle w:val="SingleTxtG"/>
        <w:spacing w:after="0"/>
      </w:pPr>
      <w:r w:rsidRPr="00A215B3">
        <w:rPr>
          <w:lang w:val="fr-FR"/>
        </w:rPr>
        <w:t xml:space="preserve">Complément 2 à la version originale du Règlement </w:t>
      </w:r>
      <w:r>
        <w:rPr>
          <w:lang w:val="fr-FR"/>
        </w:rPr>
        <w:t>−</w:t>
      </w:r>
      <w:r w:rsidRPr="00A215B3">
        <w:rPr>
          <w:lang w:val="fr-FR"/>
        </w:rPr>
        <w:t xml:space="preserve"> Date d’entrée en vigueur</w:t>
      </w:r>
      <w:r>
        <w:rPr>
          <w:lang w:val="fr-FR"/>
        </w:rPr>
        <w:t> </w:t>
      </w:r>
      <w:r w:rsidRPr="00A215B3">
        <w:rPr>
          <w:lang w:val="fr-FR"/>
        </w:rPr>
        <w:t>: 5 juin 2023</w:t>
      </w:r>
    </w:p>
    <w:p w14:paraId="75AF1B6A" w14:textId="0CEB0C0C" w:rsidR="00421A10" w:rsidRDefault="0029791D" w:rsidP="0029791D">
      <w:pPr>
        <w:pStyle w:val="H1G"/>
      </w:pPr>
      <w:r>
        <w:tab/>
      </w:r>
      <w:r>
        <w:tab/>
      </w:r>
      <w:r w:rsidR="00421A10" w:rsidRPr="007619D3">
        <w:t xml:space="preserve">Prescriptions uniformes relatives </w:t>
      </w:r>
      <w:r w:rsidR="00A215B3" w:rsidRPr="00A215B3">
        <w:rPr>
          <w:bCs/>
          <w:lang w:val="fr-FR"/>
        </w:rPr>
        <w:t xml:space="preserve">à l’homologation des dispositifs d’aide à la vision lors des manœuvres en marche arrière et des véhicules </w:t>
      </w:r>
      <w:r w:rsidR="00A215B3">
        <w:rPr>
          <w:bCs/>
          <w:lang w:val="fr-FR"/>
        </w:rPr>
        <w:br/>
      </w:r>
      <w:r w:rsidR="00A215B3" w:rsidRPr="00A215B3">
        <w:rPr>
          <w:bCs/>
          <w:lang w:val="fr-FR"/>
        </w:rPr>
        <w:t>à moteur en ce qui concerne la perception par le conducteur de la présence d’usagers de la route vulnérables derrière le véhicule</w:t>
      </w:r>
    </w:p>
    <w:p w14:paraId="59BB95FC" w14:textId="72C4C8FE" w:rsidR="00A215B3" w:rsidRDefault="00A215B3" w:rsidP="00A215B3">
      <w:pPr>
        <w:pStyle w:val="SingleTxtG"/>
        <w:ind w:firstLine="567"/>
      </w:pPr>
      <w:r w:rsidRPr="00A215B3">
        <w:rPr>
          <w:lang w:val="fr-FR"/>
        </w:rPr>
        <w:t>Le présent document est communiqué uniquement à titre d’information. Le texte authentique, juridiquement contraignant, est celui du document ECE/TRANS/WP.29/</w:t>
      </w:r>
      <w:r>
        <w:rPr>
          <w:lang w:val="fr-FR"/>
        </w:rPr>
        <w:br/>
      </w:r>
      <w:r w:rsidRPr="00A215B3">
        <w:rPr>
          <w:lang w:val="fr-FR"/>
        </w:rPr>
        <w:t xml:space="preserve">2022/123/Rev.1. </w:t>
      </w:r>
      <w:r w:rsidR="00442E31">
        <w:rPr>
          <w:noProof/>
          <w:lang w:eastAsia="fr-CH"/>
        </w:rPr>
        <mc:AlternateContent>
          <mc:Choice Requires="wps">
            <w:drawing>
              <wp:anchor distT="0" distB="0" distL="114300" distR="114300" simplePos="0" relativeHeight="251658240" behindDoc="0" locked="0" layoutInCell="1" allowOverlap="1" wp14:anchorId="1F6E471A" wp14:editId="64AA6305">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0F52A937" w14:textId="77777777" w:rsidR="00442E31" w:rsidRPr="0029791D" w:rsidRDefault="00442E31" w:rsidP="00C9521D">
                            <w:pPr>
                              <w:ind w:left="1134" w:right="1134"/>
                              <w:jc w:val="center"/>
                            </w:pPr>
                            <w:r>
                              <w:t>_______________</w:t>
                            </w:r>
                          </w:p>
                          <w:p w14:paraId="713268BC" w14:textId="77777777" w:rsidR="00442E31" w:rsidRDefault="00442E31" w:rsidP="00C9521D">
                            <w:pPr>
                              <w:jc w:val="center"/>
                              <w:rPr>
                                <w:b/>
                                <w:bCs/>
                                <w:sz w:val="22"/>
                              </w:rPr>
                            </w:pPr>
                            <w:r>
                              <w:rPr>
                                <w:noProof/>
                                <w:lang w:eastAsia="fr-CH"/>
                              </w:rPr>
                              <w:drawing>
                                <wp:inline distT="0" distB="0" distL="0" distR="0" wp14:anchorId="7A301108" wp14:editId="210A50E6">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5E8F89F"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E471A"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0F52A937" w14:textId="77777777" w:rsidR="00442E31" w:rsidRPr="0029791D" w:rsidRDefault="00442E31" w:rsidP="00C9521D">
                      <w:pPr>
                        <w:ind w:left="1134" w:right="1134"/>
                        <w:jc w:val="center"/>
                      </w:pPr>
                      <w:r>
                        <w:t>_______________</w:t>
                      </w:r>
                    </w:p>
                    <w:p w14:paraId="713268BC" w14:textId="77777777" w:rsidR="00442E31" w:rsidRDefault="00442E31" w:rsidP="00C9521D">
                      <w:pPr>
                        <w:jc w:val="center"/>
                        <w:rPr>
                          <w:b/>
                          <w:bCs/>
                          <w:sz w:val="22"/>
                        </w:rPr>
                      </w:pPr>
                      <w:r>
                        <w:rPr>
                          <w:noProof/>
                          <w:lang w:eastAsia="fr-CH"/>
                        </w:rPr>
                        <w:drawing>
                          <wp:inline distT="0" distB="0" distL="0" distR="0" wp14:anchorId="7A301108" wp14:editId="210A50E6">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35E8F89F"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p>
    <w:p w14:paraId="0C75D4B8" w14:textId="57DC5087" w:rsidR="00A215B3" w:rsidRDefault="00A215B3">
      <w:pPr>
        <w:suppressAutoHyphens w:val="0"/>
        <w:kinsoku/>
        <w:overflowPunct/>
        <w:autoSpaceDE/>
        <w:autoSpaceDN/>
        <w:adjustRightInd/>
        <w:snapToGrid/>
        <w:spacing w:line="240" w:lineRule="auto"/>
      </w:pPr>
      <w:r>
        <w:br w:type="page"/>
      </w:r>
    </w:p>
    <w:p w14:paraId="371504FB" w14:textId="77777777" w:rsidR="00A215B3" w:rsidRPr="0064736A" w:rsidRDefault="00A215B3" w:rsidP="00767B82">
      <w:pPr>
        <w:pStyle w:val="SingleTxtG"/>
        <w:rPr>
          <w:iCs/>
        </w:rPr>
      </w:pPr>
      <w:r>
        <w:rPr>
          <w:i/>
          <w:iCs/>
          <w:lang w:val="fr-FR"/>
        </w:rPr>
        <w:lastRenderedPageBreak/>
        <w:t>Paragraphe 2.1.5.1</w:t>
      </w:r>
      <w:r>
        <w:rPr>
          <w:lang w:val="fr-FR"/>
        </w:rPr>
        <w:t>, modification sans objet en français.</w:t>
      </w:r>
    </w:p>
    <w:p w14:paraId="3C6CDB4A" w14:textId="2C23DE48" w:rsidR="00A215B3" w:rsidRPr="0064736A" w:rsidRDefault="00A215B3" w:rsidP="00767B82">
      <w:pPr>
        <w:pStyle w:val="SingleTxtG"/>
        <w:rPr>
          <w:iCs/>
        </w:rPr>
      </w:pPr>
      <w:r>
        <w:rPr>
          <w:i/>
          <w:iCs/>
          <w:lang w:val="fr-FR"/>
        </w:rPr>
        <w:t>Paragraphe 2.1.2.2.2</w:t>
      </w:r>
      <w:r>
        <w:rPr>
          <w:lang w:val="fr-FR"/>
        </w:rPr>
        <w:t>, lire</w:t>
      </w:r>
      <w:r>
        <w:rPr>
          <w:lang w:val="fr-FR"/>
        </w:rPr>
        <w:t> </w:t>
      </w:r>
      <w:r>
        <w:rPr>
          <w:lang w:val="fr-FR"/>
        </w:rPr>
        <w:t>:</w:t>
      </w:r>
    </w:p>
    <w:p w14:paraId="37257203" w14:textId="77132B0D" w:rsidR="00A215B3" w:rsidRPr="0064736A" w:rsidRDefault="00A215B3" w:rsidP="00767B82">
      <w:pPr>
        <w:pStyle w:val="SingleTxtG"/>
        <w:ind w:left="2268" w:hanging="1134"/>
        <w:rPr>
          <w:rFonts w:asciiTheme="majorBidi" w:hAnsiTheme="majorBidi" w:cstheme="majorBidi"/>
        </w:rPr>
      </w:pPr>
      <w:r>
        <w:rPr>
          <w:lang w:val="fr-FR"/>
        </w:rPr>
        <w:t>« 2.1.2.2.2</w:t>
      </w:r>
      <w:r>
        <w:rPr>
          <w:lang w:val="fr-FR"/>
        </w:rPr>
        <w:tab/>
      </w:r>
      <w:r>
        <w:rPr>
          <w:i/>
          <w:iCs/>
          <w:lang w:val="fr-FR"/>
        </w:rPr>
        <w:t>“Rayons de courbure principaux en un point de la surface réfléchissante (ri)”</w:t>
      </w:r>
      <w:r>
        <w:rPr>
          <w:lang w:val="fr-FR"/>
        </w:rPr>
        <w:t>, les valeurs obtenues avec l’appareil défini à l’annexe 7 ; ».</w:t>
      </w:r>
    </w:p>
    <w:p w14:paraId="3293A58C" w14:textId="77777777" w:rsidR="00A215B3" w:rsidRPr="0064736A" w:rsidRDefault="00A215B3" w:rsidP="00767B82">
      <w:pPr>
        <w:pStyle w:val="SingleTxtG"/>
        <w:rPr>
          <w:i/>
          <w:iCs/>
        </w:rPr>
      </w:pPr>
      <w:r>
        <w:rPr>
          <w:i/>
          <w:iCs/>
          <w:lang w:val="fr-FR"/>
        </w:rPr>
        <w:t>Paragraphe 6.1.2.1.2</w:t>
      </w:r>
      <w:r>
        <w:rPr>
          <w:lang w:val="fr-FR"/>
        </w:rPr>
        <w:t>, supprimer.</w:t>
      </w:r>
    </w:p>
    <w:p w14:paraId="6542B822" w14:textId="5DB58C8A" w:rsidR="00A215B3" w:rsidRPr="0064736A" w:rsidRDefault="00A215B3" w:rsidP="00767B82">
      <w:pPr>
        <w:pStyle w:val="SingleTxtG"/>
        <w:rPr>
          <w:iCs/>
        </w:rPr>
      </w:pPr>
      <w:r>
        <w:rPr>
          <w:i/>
          <w:iCs/>
          <w:lang w:val="fr-FR"/>
        </w:rPr>
        <w:t>Paragraphe 15.2.1</w:t>
      </w:r>
      <w:r>
        <w:rPr>
          <w:lang w:val="fr-FR"/>
        </w:rPr>
        <w:t>, lire</w:t>
      </w:r>
      <w:r>
        <w:rPr>
          <w:lang w:val="fr-FR"/>
        </w:rPr>
        <w:t> </w:t>
      </w:r>
      <w:r>
        <w:rPr>
          <w:lang w:val="fr-FR"/>
        </w:rPr>
        <w:t>:</w:t>
      </w:r>
    </w:p>
    <w:p w14:paraId="4B9EED1B" w14:textId="77777777" w:rsidR="00A215B3" w:rsidRPr="0064736A" w:rsidRDefault="00A215B3" w:rsidP="00767B82">
      <w:pPr>
        <w:pStyle w:val="SingleTxtG"/>
        <w:ind w:left="2268" w:hanging="1134"/>
        <w:rPr>
          <w:rFonts w:asciiTheme="majorBidi" w:hAnsiTheme="majorBidi" w:cstheme="majorBidi"/>
        </w:rPr>
      </w:pPr>
      <w:r>
        <w:rPr>
          <w:lang w:val="fr-FR"/>
        </w:rPr>
        <w:t>« 15.2.1</w:t>
      </w:r>
      <w:r>
        <w:rPr>
          <w:lang w:val="fr-FR"/>
        </w:rPr>
        <w:tab/>
        <w:t>Prescriptions</w:t>
      </w:r>
    </w:p>
    <w:p w14:paraId="2AFB0F35" w14:textId="04420BBD" w:rsidR="00A215B3" w:rsidRPr="0064736A" w:rsidRDefault="00A215B3" w:rsidP="00A215B3">
      <w:pPr>
        <w:spacing w:after="120"/>
        <w:ind w:left="2268" w:right="1134"/>
        <w:jc w:val="both"/>
        <w:rPr>
          <w:rFonts w:asciiTheme="majorBidi" w:hAnsiTheme="majorBidi" w:cstheme="majorBidi"/>
        </w:rPr>
      </w:pPr>
      <w:r>
        <w:rPr>
          <w:lang w:val="fr-FR"/>
        </w:rPr>
        <w:t>Lors d’un essai effectué dans les conditions définies à l’annexe 9, la prescription relative au champ de vision arrière à faible distance est considérée comme satisfaite si, dans le champ de vision défini</w:t>
      </w:r>
      <w:r>
        <w:rPr>
          <w:lang w:val="fr-FR"/>
        </w:rPr>
        <w:t> </w:t>
      </w:r>
      <w:r>
        <w:rPr>
          <w:lang w:val="fr-FR"/>
        </w:rPr>
        <w:t>:</w:t>
      </w:r>
    </w:p>
    <w:p w14:paraId="7C833B64" w14:textId="131440AB" w:rsidR="00A215B3" w:rsidRPr="0064736A" w:rsidRDefault="00A215B3" w:rsidP="00A215B3">
      <w:pPr>
        <w:widowControl w:val="0"/>
        <w:tabs>
          <w:tab w:val="left" w:pos="2268"/>
        </w:tabs>
        <w:suppressAutoHyphens w:val="0"/>
        <w:spacing w:before="120" w:after="120" w:line="240" w:lineRule="auto"/>
        <w:ind w:left="2835" w:right="1134" w:hanging="567"/>
        <w:jc w:val="both"/>
        <w:rPr>
          <w:rFonts w:asciiTheme="majorBidi" w:eastAsiaTheme="majorEastAsia" w:hAnsiTheme="majorBidi" w:cstheme="majorBidi"/>
        </w:rPr>
      </w:pPr>
      <w:r>
        <w:rPr>
          <w:lang w:val="fr-FR"/>
        </w:rPr>
        <w:t>a)</w:t>
      </w:r>
      <w:r>
        <w:rPr>
          <w:lang w:val="fr-FR"/>
        </w:rPr>
        <w:tab/>
        <w:t>En ce qui concerne les accessoires d’essai de la première rangée (accessoires A, B et C)</w:t>
      </w:r>
      <w:r>
        <w:rPr>
          <w:lang w:val="fr-FR"/>
        </w:rPr>
        <w:t> </w:t>
      </w:r>
      <w:r>
        <w:rPr>
          <w:lang w:val="fr-FR"/>
        </w:rPr>
        <w:t>:</w:t>
      </w:r>
    </w:p>
    <w:p w14:paraId="518A750C" w14:textId="501D7904" w:rsidR="00A215B3" w:rsidRPr="0064736A" w:rsidRDefault="00A215B3" w:rsidP="00A215B3">
      <w:pPr>
        <w:pStyle w:val="SingleTxtG"/>
        <w:ind w:left="2835"/>
        <w:rPr>
          <w:rFonts w:asciiTheme="majorBidi" w:eastAsiaTheme="majorEastAsia" w:hAnsiTheme="majorBidi" w:cstheme="majorBidi"/>
        </w:rPr>
      </w:pPr>
      <w:r>
        <w:rPr>
          <w:lang w:val="fr-FR"/>
        </w:rPr>
        <w:tab/>
        <w:t>Une zone de 0,15 m x 0,15 m située sur le côté ou au sommet des accessoires est visible à au moins un emplacement pour chacun des accessoires</w:t>
      </w:r>
      <w:r>
        <w:rPr>
          <w:lang w:val="fr-FR"/>
        </w:rPr>
        <w:t> </w:t>
      </w:r>
      <w:r>
        <w:rPr>
          <w:lang w:val="fr-FR"/>
        </w:rPr>
        <w:t>;</w:t>
      </w:r>
    </w:p>
    <w:p w14:paraId="47B921CE" w14:textId="2AB39BF0" w:rsidR="00A215B3" w:rsidRPr="0064736A" w:rsidRDefault="00A215B3" w:rsidP="00A215B3">
      <w:pPr>
        <w:widowControl w:val="0"/>
        <w:tabs>
          <w:tab w:val="left" w:pos="2268"/>
        </w:tabs>
        <w:suppressAutoHyphens w:val="0"/>
        <w:spacing w:before="120" w:after="120" w:line="240" w:lineRule="auto"/>
        <w:ind w:left="2835" w:right="1134" w:hanging="567"/>
        <w:jc w:val="both"/>
        <w:rPr>
          <w:rFonts w:eastAsiaTheme="majorEastAsia"/>
        </w:rPr>
      </w:pPr>
      <w:r>
        <w:rPr>
          <w:lang w:val="fr-FR"/>
        </w:rPr>
        <w:t>b)</w:t>
      </w:r>
      <w:r>
        <w:rPr>
          <w:lang w:val="fr-FR"/>
        </w:rPr>
        <w:tab/>
        <w:t>En ce qui concerne les accessoires … et I</w:t>
      </w:r>
      <w:r>
        <w:rPr>
          <w:lang w:val="fr-FR"/>
        </w:rPr>
        <w:t> </w:t>
      </w:r>
      <w:r>
        <w:rPr>
          <w:lang w:val="fr-FR"/>
        </w:rPr>
        <w:t>:</w:t>
      </w:r>
    </w:p>
    <w:p w14:paraId="2452AA83" w14:textId="77777777" w:rsidR="00A215B3" w:rsidRPr="0064736A" w:rsidRDefault="00A215B3" w:rsidP="00A215B3">
      <w:pPr>
        <w:pStyle w:val="SingleTxtG"/>
        <w:ind w:left="2835"/>
        <w:rPr>
          <w:rFonts w:asciiTheme="majorBidi" w:eastAsiaTheme="majorEastAsia" w:hAnsiTheme="majorBidi" w:cstheme="majorBidi"/>
        </w:rPr>
      </w:pPr>
      <w:r>
        <w:rPr>
          <w:lang w:val="fr-FR"/>
        </w:rPr>
        <w:tab/>
        <w:t>Chaque accessoire est vu dans son intégralité. ».</w:t>
      </w:r>
    </w:p>
    <w:p w14:paraId="126432CB" w14:textId="2FFAD564" w:rsidR="00A215B3" w:rsidRPr="0064736A" w:rsidRDefault="00A215B3" w:rsidP="00767B82">
      <w:pPr>
        <w:pStyle w:val="SingleTxtG"/>
        <w:rPr>
          <w:iCs/>
        </w:rPr>
      </w:pPr>
      <w:r>
        <w:rPr>
          <w:i/>
          <w:iCs/>
          <w:lang w:val="fr-FR"/>
        </w:rPr>
        <w:t xml:space="preserve">Paragraphe 15.2.2, </w:t>
      </w:r>
      <w:r>
        <w:rPr>
          <w:lang w:val="fr-FR"/>
        </w:rPr>
        <w:t>lire</w:t>
      </w:r>
      <w:r>
        <w:rPr>
          <w:lang w:val="fr-FR"/>
        </w:rPr>
        <w:t> </w:t>
      </w:r>
      <w:r>
        <w:rPr>
          <w:lang w:val="fr-FR"/>
        </w:rPr>
        <w:t>:</w:t>
      </w:r>
    </w:p>
    <w:p w14:paraId="28FD4900" w14:textId="10852188" w:rsidR="00A215B3" w:rsidRPr="0064736A" w:rsidRDefault="00A215B3" w:rsidP="00767B82">
      <w:pPr>
        <w:pStyle w:val="SingleTxtG"/>
        <w:ind w:left="2268" w:hanging="1134"/>
        <w:rPr>
          <w:rFonts w:asciiTheme="majorBidi" w:hAnsiTheme="majorBidi" w:cstheme="majorBidi"/>
        </w:rPr>
      </w:pPr>
      <w:r>
        <w:rPr>
          <w:lang w:val="fr-FR"/>
        </w:rPr>
        <w:t>« 15.2.2</w:t>
      </w:r>
      <w:r>
        <w:rPr>
          <w:lang w:val="fr-FR"/>
        </w:rPr>
        <w:tab/>
        <w:t>Le champ de vision vers l’arrière à faible distance ... le facteur de transmission lumineuse total de celui-ci doit être conforme aux prescriptions énoncées à l’annexe</w:t>
      </w:r>
      <w:r w:rsidR="00767B82">
        <w:rPr>
          <w:lang w:val="fr-FR"/>
        </w:rPr>
        <w:t> </w:t>
      </w:r>
      <w:r>
        <w:rPr>
          <w:lang w:val="fr-FR"/>
        </w:rPr>
        <w:t xml:space="preserve">24 du Règlement ONU </w:t>
      </w:r>
      <w:r w:rsidRPr="00E912CB">
        <w:rPr>
          <w:rFonts w:eastAsia="MS Mincho"/>
          <w:lang w:val="fr-FR"/>
        </w:rPr>
        <w:t>n</w:t>
      </w:r>
      <w:r w:rsidRPr="00E912CB">
        <w:rPr>
          <w:rFonts w:eastAsia="MS Mincho"/>
          <w:vertAlign w:val="superscript"/>
          <w:lang w:val="fr-FR"/>
        </w:rPr>
        <w:t>o</w:t>
      </w:r>
      <w:r>
        <w:rPr>
          <w:lang w:val="fr-FR"/>
        </w:rPr>
        <w:t xml:space="preserve"> 43. ».</w:t>
      </w:r>
    </w:p>
    <w:p w14:paraId="17E641C5" w14:textId="435916E2" w:rsidR="00A215B3" w:rsidRPr="0064736A" w:rsidRDefault="00A215B3" w:rsidP="00767B82">
      <w:pPr>
        <w:pStyle w:val="SingleTxtG"/>
        <w:rPr>
          <w:rFonts w:eastAsia="MS Mincho"/>
          <w:iCs/>
        </w:rPr>
      </w:pPr>
      <w:r>
        <w:rPr>
          <w:i/>
          <w:iCs/>
          <w:lang w:val="fr-FR"/>
        </w:rPr>
        <w:t>Paragraphe 15.2.1.4</w:t>
      </w:r>
      <w:r>
        <w:rPr>
          <w:lang w:val="fr-FR"/>
        </w:rPr>
        <w:t>, lire</w:t>
      </w:r>
      <w:r w:rsidR="00767B82">
        <w:rPr>
          <w:lang w:val="fr-FR"/>
        </w:rPr>
        <w:t> </w:t>
      </w:r>
      <w:r>
        <w:rPr>
          <w:lang w:val="fr-FR"/>
        </w:rPr>
        <w:t>:</w:t>
      </w:r>
    </w:p>
    <w:p w14:paraId="7775E1F4" w14:textId="0E89901A" w:rsidR="00A215B3" w:rsidRDefault="00A215B3" w:rsidP="00767B82">
      <w:pPr>
        <w:pStyle w:val="SingleTxtG"/>
        <w:ind w:left="2268" w:hanging="1134"/>
        <w:rPr>
          <w:lang w:val="fr-FR"/>
        </w:rPr>
      </w:pPr>
      <w:r>
        <w:rPr>
          <w:lang w:val="fr-FR"/>
        </w:rPr>
        <w:t>« 15.2.1.4</w:t>
      </w:r>
      <w:r>
        <w:rPr>
          <w:lang w:val="fr-FR"/>
        </w:rPr>
        <w:tab/>
        <w:t>Au moyen d’un dispositif d’aide à la vision vers l’arrière (système de caméra de vision vers l’arrière ou autre, à l’exception des rétroviseurs) conforme au présent Règlement ONU</w:t>
      </w:r>
      <w:r w:rsidR="00767B82">
        <w:rPr>
          <w:lang w:val="fr-FR"/>
        </w:rPr>
        <w:t> </w:t>
      </w:r>
      <w:r>
        <w:rPr>
          <w:lang w:val="fr-FR"/>
        </w:rPr>
        <w:t>; ou ».</w:t>
      </w:r>
    </w:p>
    <w:p w14:paraId="006A411C" w14:textId="059B4D6B" w:rsidR="00A215B3" w:rsidRPr="00767B82" w:rsidRDefault="00A215B3" w:rsidP="00767B82">
      <w:pPr>
        <w:pStyle w:val="SingleTxtG"/>
        <w:rPr>
          <w:iCs/>
        </w:rPr>
      </w:pPr>
      <w:r>
        <w:rPr>
          <w:i/>
          <w:iCs/>
          <w:lang w:val="fr-FR"/>
        </w:rPr>
        <w:t xml:space="preserve">Paragraphe </w:t>
      </w:r>
      <w:r w:rsidRPr="00767B82">
        <w:rPr>
          <w:i/>
          <w:iCs/>
          <w:lang w:val="fr-FR"/>
        </w:rPr>
        <w:t>16.1.1.</w:t>
      </w:r>
      <w:r w:rsidR="00767B82" w:rsidRPr="00767B82">
        <w:rPr>
          <w:i/>
          <w:iCs/>
          <w:lang w:val="fr-FR"/>
        </w:rPr>
        <w:t>3</w:t>
      </w:r>
      <w:r w:rsidRPr="00767B82">
        <w:rPr>
          <w:lang w:val="fr-FR"/>
        </w:rPr>
        <w:t>, lire</w:t>
      </w:r>
      <w:r w:rsidR="00767B82" w:rsidRPr="00767B82">
        <w:rPr>
          <w:lang w:val="fr-FR"/>
        </w:rPr>
        <w:t> </w:t>
      </w:r>
      <w:r w:rsidRPr="00767B82">
        <w:rPr>
          <w:lang w:val="fr-FR"/>
        </w:rPr>
        <w:t>:</w:t>
      </w:r>
    </w:p>
    <w:p w14:paraId="07507F34" w14:textId="77777777" w:rsidR="00A215B3" w:rsidRPr="0064736A" w:rsidRDefault="00A215B3" w:rsidP="00767B82">
      <w:pPr>
        <w:pStyle w:val="SingleTxtG"/>
        <w:ind w:left="2268" w:hanging="1134"/>
        <w:rPr>
          <w:iCs/>
        </w:rPr>
      </w:pPr>
      <w:r>
        <w:rPr>
          <w:lang w:val="fr-FR"/>
        </w:rPr>
        <w:t>« 16.1.1.3</w:t>
      </w:r>
      <w:r>
        <w:rPr>
          <w:lang w:val="fr-FR"/>
        </w:rPr>
        <w:tab/>
        <w:t>Désactivation</w:t>
      </w:r>
    </w:p>
    <w:p w14:paraId="362CB1ED" w14:textId="77777777" w:rsidR="00A215B3" w:rsidRPr="0064736A" w:rsidRDefault="00A215B3" w:rsidP="00767B82">
      <w:pPr>
        <w:pStyle w:val="SingleTxtG"/>
        <w:ind w:left="2268"/>
        <w:rPr>
          <w:iCs/>
        </w:rPr>
      </w:pPr>
      <w:r>
        <w:rPr>
          <w:lang w:val="fr-FR"/>
        </w:rPr>
        <w:tab/>
        <w:t>L’image en vue vers l’arrière doit rester visible pendant la manœuvre en marche arrière jusqu’à ce que le conducteur change de vue, ou jusqu’à ce que le sélecteur de vitesse ne soit plus en position “marche arrière”, ou jusqu’à ce que la manœuvre soit terminée.</w:t>
      </w:r>
    </w:p>
    <w:p w14:paraId="6BB2B3BD" w14:textId="77777777" w:rsidR="00A215B3" w:rsidRPr="0064736A" w:rsidRDefault="00A215B3" w:rsidP="00A215B3">
      <w:pPr>
        <w:tabs>
          <w:tab w:val="right" w:pos="8505"/>
        </w:tabs>
        <w:spacing w:after="120"/>
        <w:ind w:left="2268" w:right="1133"/>
        <w:jc w:val="both"/>
        <w:rPr>
          <w:iCs/>
        </w:rPr>
      </w:pPr>
      <w:r>
        <w:rPr>
          <w:lang w:val="fr-FR"/>
        </w:rPr>
        <w:t>“Changer de vue” signifie passer à toute autre vue transmise par la caméra.</w:t>
      </w:r>
    </w:p>
    <w:p w14:paraId="41A64BB4" w14:textId="77777777" w:rsidR="00A215B3" w:rsidRPr="0064736A" w:rsidRDefault="00A215B3" w:rsidP="00A215B3">
      <w:pPr>
        <w:spacing w:after="120"/>
        <w:ind w:left="2268" w:right="1133"/>
        <w:jc w:val="both"/>
        <w:rPr>
          <w:iCs/>
        </w:rPr>
      </w:pPr>
      <w:r>
        <w:rPr>
          <w:lang w:val="fr-FR"/>
        </w:rPr>
        <w:tab/>
        <w:t>La vue peut être désactivée manuellement lorsque le véhicule n’est pas en train de reculer.</w:t>
      </w:r>
    </w:p>
    <w:p w14:paraId="23B2FD8D" w14:textId="77777777" w:rsidR="00A215B3" w:rsidRPr="0064736A" w:rsidRDefault="00A215B3" w:rsidP="00A215B3">
      <w:pPr>
        <w:spacing w:after="120"/>
        <w:ind w:left="2268" w:right="1134"/>
        <w:jc w:val="both"/>
        <w:rPr>
          <w:iCs/>
        </w:rPr>
      </w:pPr>
      <w:r>
        <w:rPr>
          <w:lang w:val="fr-FR"/>
        </w:rPr>
        <w:t>Le système peut être désactivé lorsque le véhicule détecte une connexion avec un dispositif d’attelage. Dans ce cas, l’écran peut être utilisé pour afficher d’autres vues (par exemple, la vue prise par une caméra montée à l’arrière d’une remorque). ».</w:t>
      </w:r>
    </w:p>
    <w:p w14:paraId="24B5D6CD" w14:textId="77D6F7B8" w:rsidR="00A215B3" w:rsidRPr="0064736A" w:rsidRDefault="00A215B3" w:rsidP="00767B82">
      <w:pPr>
        <w:pStyle w:val="SingleTxtG"/>
      </w:pPr>
      <w:r w:rsidRPr="00767B82">
        <w:rPr>
          <w:i/>
          <w:iCs/>
          <w:lang w:val="fr-FR"/>
        </w:rPr>
        <w:t>Paragraphe 17.1</w:t>
      </w:r>
      <w:r>
        <w:rPr>
          <w:lang w:val="fr-FR"/>
        </w:rPr>
        <w:t>, lire</w:t>
      </w:r>
      <w:r w:rsidR="00767B82">
        <w:rPr>
          <w:lang w:val="fr-FR"/>
        </w:rPr>
        <w:t> </w:t>
      </w:r>
      <w:r>
        <w:rPr>
          <w:lang w:val="fr-FR"/>
        </w:rPr>
        <w:t>:</w:t>
      </w:r>
    </w:p>
    <w:p w14:paraId="6EFE425F" w14:textId="77777777" w:rsidR="00A215B3" w:rsidRPr="0064736A" w:rsidRDefault="00A215B3" w:rsidP="00767B82">
      <w:pPr>
        <w:pStyle w:val="SingleTxtG"/>
        <w:ind w:left="2268" w:hanging="1134"/>
        <w:rPr>
          <w:rFonts w:asciiTheme="majorBidi" w:eastAsiaTheme="majorEastAsia" w:hAnsiTheme="majorBidi" w:cstheme="majorBidi"/>
        </w:rPr>
      </w:pPr>
      <w:r>
        <w:rPr>
          <w:lang w:val="fr-FR"/>
        </w:rPr>
        <w:t>« 17.1</w:t>
      </w:r>
      <w:r>
        <w:rPr>
          <w:lang w:val="fr-FR"/>
        </w:rPr>
        <w:tab/>
        <w:t>Activation du système</w:t>
      </w:r>
    </w:p>
    <w:p w14:paraId="2B4536CA" w14:textId="77777777" w:rsidR="00A215B3" w:rsidRPr="0064736A" w:rsidRDefault="00A215B3" w:rsidP="00767B82">
      <w:pPr>
        <w:spacing w:after="120"/>
        <w:ind w:left="2268" w:right="1133"/>
        <w:jc w:val="both"/>
        <w:rPr>
          <w:rFonts w:asciiTheme="majorBidi" w:eastAsia="SimSun" w:hAnsiTheme="majorBidi" w:cstheme="majorBidi"/>
        </w:rPr>
      </w:pPr>
      <w:r>
        <w:rPr>
          <w:lang w:val="fr-FR"/>
        </w:rPr>
        <w:tab/>
        <w:t>…</w:t>
      </w:r>
    </w:p>
    <w:p w14:paraId="1953BC07" w14:textId="77777777" w:rsidR="00A215B3" w:rsidRDefault="00A215B3" w:rsidP="00767B82">
      <w:pPr>
        <w:spacing w:after="120"/>
        <w:ind w:left="2268" w:right="1134"/>
        <w:jc w:val="both"/>
        <w:rPr>
          <w:rFonts w:asciiTheme="majorBidi" w:eastAsiaTheme="majorEastAsia" w:hAnsiTheme="majorBidi" w:cstheme="majorBidi"/>
        </w:rPr>
      </w:pPr>
      <w:r>
        <w:rPr>
          <w:lang w:val="fr-FR"/>
        </w:rPr>
        <w:tab/>
        <w:t>Si le véhicule est capable de détecter une connexion avec un dispositif d’attelage, le système peut être désactivé. Dans ce cas, le signal d’information peut être utilisé pour informer de l’état de détection vers l’arrière. ».</w:t>
      </w:r>
    </w:p>
    <w:p w14:paraId="3C610773" w14:textId="77777777" w:rsidR="00A215B3" w:rsidRPr="0064736A" w:rsidRDefault="00A215B3" w:rsidP="00767B82">
      <w:pPr>
        <w:pStyle w:val="SingleTxtG"/>
        <w:rPr>
          <w:iCs/>
        </w:rPr>
      </w:pPr>
      <w:r>
        <w:rPr>
          <w:i/>
          <w:iCs/>
          <w:lang w:val="fr-FR"/>
        </w:rPr>
        <w:t>Paragraphe 17.2.1</w:t>
      </w:r>
      <w:r>
        <w:rPr>
          <w:lang w:val="fr-FR"/>
        </w:rPr>
        <w:t>, modification sans objet en français.</w:t>
      </w:r>
    </w:p>
    <w:p w14:paraId="71679560" w14:textId="77777777" w:rsidR="00A215B3" w:rsidRPr="0064736A" w:rsidRDefault="00A215B3" w:rsidP="00767B82">
      <w:pPr>
        <w:pStyle w:val="SingleTxtG"/>
        <w:rPr>
          <w:iCs/>
        </w:rPr>
      </w:pPr>
      <w:r>
        <w:rPr>
          <w:i/>
          <w:iCs/>
          <w:lang w:val="fr-FR"/>
        </w:rPr>
        <w:t>Paragraphe 17.2.2</w:t>
      </w:r>
      <w:r>
        <w:rPr>
          <w:lang w:val="fr-FR"/>
        </w:rPr>
        <w:t>, modification sans objet en français.</w:t>
      </w:r>
    </w:p>
    <w:p w14:paraId="2DDA7278" w14:textId="77777777" w:rsidR="00A215B3" w:rsidRPr="0064736A" w:rsidRDefault="00A215B3" w:rsidP="00BA61D5">
      <w:pPr>
        <w:pStyle w:val="SingleTxtG"/>
        <w:spacing w:after="100"/>
        <w:rPr>
          <w:iCs/>
        </w:rPr>
      </w:pPr>
      <w:r>
        <w:rPr>
          <w:i/>
          <w:iCs/>
          <w:lang w:val="fr-FR"/>
        </w:rPr>
        <w:lastRenderedPageBreak/>
        <w:t>Paragraphe 17.2.3</w:t>
      </w:r>
      <w:r>
        <w:rPr>
          <w:lang w:val="fr-FR"/>
        </w:rPr>
        <w:t>, modification sans objet en français.</w:t>
      </w:r>
    </w:p>
    <w:p w14:paraId="30664355" w14:textId="77777777" w:rsidR="00A215B3" w:rsidRPr="0064736A" w:rsidRDefault="00A215B3" w:rsidP="00BA61D5">
      <w:pPr>
        <w:pStyle w:val="SingleTxtG"/>
        <w:spacing w:after="100"/>
        <w:rPr>
          <w:iCs/>
        </w:rPr>
      </w:pPr>
      <w:r>
        <w:rPr>
          <w:i/>
          <w:iCs/>
          <w:lang w:val="fr-FR"/>
        </w:rPr>
        <w:t>Paragraphe 17.3.1</w:t>
      </w:r>
      <w:r>
        <w:rPr>
          <w:lang w:val="fr-FR"/>
        </w:rPr>
        <w:t>, modification sans objet en français.</w:t>
      </w:r>
    </w:p>
    <w:p w14:paraId="5E31D045" w14:textId="7869745D" w:rsidR="00A215B3" w:rsidRPr="0064736A" w:rsidRDefault="00A215B3" w:rsidP="00BA61D5">
      <w:pPr>
        <w:pStyle w:val="SingleTxtG"/>
        <w:spacing w:after="100"/>
        <w:rPr>
          <w:rFonts w:asciiTheme="majorBidi" w:hAnsiTheme="majorBidi" w:cstheme="majorBidi"/>
        </w:rPr>
      </w:pPr>
      <w:r>
        <w:rPr>
          <w:i/>
          <w:iCs/>
          <w:lang w:val="fr-FR"/>
        </w:rPr>
        <w:t>Annexe 9, paragraphe 1.3.1</w:t>
      </w:r>
      <w:r>
        <w:rPr>
          <w:lang w:val="fr-FR"/>
        </w:rPr>
        <w:t>, lire</w:t>
      </w:r>
      <w:r w:rsidR="00767B82">
        <w:rPr>
          <w:lang w:val="fr-FR"/>
        </w:rPr>
        <w:t> </w:t>
      </w:r>
      <w:r>
        <w:rPr>
          <w:lang w:val="fr-FR"/>
        </w:rPr>
        <w:t>:</w:t>
      </w:r>
    </w:p>
    <w:p w14:paraId="380FD057" w14:textId="77777777" w:rsidR="00A215B3" w:rsidRPr="0064736A" w:rsidRDefault="00A215B3" w:rsidP="00BA61D5">
      <w:pPr>
        <w:pStyle w:val="SingleTxtG"/>
        <w:spacing w:after="100"/>
        <w:ind w:left="2268" w:hanging="1134"/>
        <w:rPr>
          <w:rFonts w:asciiTheme="majorBidi" w:hAnsiTheme="majorBidi" w:cstheme="majorBidi"/>
        </w:rPr>
      </w:pPr>
      <w:r>
        <w:rPr>
          <w:lang w:val="fr-FR"/>
        </w:rPr>
        <w:t>« 1.3.1</w:t>
      </w:r>
      <w:r>
        <w:rPr>
          <w:lang w:val="fr-FR"/>
        </w:rPr>
        <w:tab/>
        <w:t>Éclairage</w:t>
      </w:r>
    </w:p>
    <w:p w14:paraId="51B87B50" w14:textId="664732D3" w:rsidR="00A215B3" w:rsidRPr="0064736A" w:rsidRDefault="00A215B3" w:rsidP="00BA61D5">
      <w:pPr>
        <w:spacing w:after="100"/>
        <w:ind w:left="2268" w:right="1134"/>
        <w:jc w:val="both"/>
        <w:rPr>
          <w:rFonts w:asciiTheme="majorBidi" w:hAnsiTheme="majorBidi" w:cstheme="majorBidi"/>
        </w:rPr>
      </w:pPr>
      <w:r>
        <w:rPr>
          <w:lang w:val="fr-FR"/>
        </w:rPr>
        <w:t>Les essais doivent être effectués dans les conditions d’éclairage ambiant suivantes</w:t>
      </w:r>
      <w:r w:rsidR="00767B82">
        <w:rPr>
          <w:lang w:val="fr-FR"/>
        </w:rPr>
        <w:t> </w:t>
      </w:r>
      <w:r>
        <w:rPr>
          <w:lang w:val="fr-FR"/>
        </w:rPr>
        <w:t>: la lumière doit être uniformément répartie par le haut et être d’une intensité comprise entre 7 000 lux et 10 000 lux, telle que mesurée au centre de la surface extérieure du toit du véhicule.</w:t>
      </w:r>
    </w:p>
    <w:p w14:paraId="2D5F8082" w14:textId="77777777" w:rsidR="00A215B3" w:rsidRPr="0064736A" w:rsidRDefault="00A215B3" w:rsidP="00BA61D5">
      <w:pPr>
        <w:spacing w:after="100"/>
        <w:ind w:left="2268" w:right="1134"/>
        <w:jc w:val="both"/>
        <w:rPr>
          <w:rFonts w:asciiTheme="majorBidi" w:hAnsiTheme="majorBidi" w:cstheme="majorBidi"/>
        </w:rPr>
      </w:pPr>
      <w:r>
        <w:rPr>
          <w:lang w:val="fr-FR"/>
        </w:rPr>
        <w:t>À la demande du constructeur, l’essai peut être effectué dans des conditions d’éclairage ambiant de plus faible intensité. ».</w:t>
      </w:r>
    </w:p>
    <w:p w14:paraId="43D1C9E7" w14:textId="40B3AFBA" w:rsidR="00A215B3" w:rsidRPr="0064736A" w:rsidRDefault="00A215B3" w:rsidP="00BA61D5">
      <w:pPr>
        <w:pStyle w:val="SingleTxtG"/>
        <w:spacing w:after="100"/>
        <w:rPr>
          <w:iCs/>
        </w:rPr>
      </w:pPr>
      <w:r>
        <w:rPr>
          <w:i/>
          <w:iCs/>
          <w:lang w:val="fr-FR"/>
        </w:rPr>
        <w:t>Annexe 9, paragraphe 3.5</w:t>
      </w:r>
      <w:r>
        <w:rPr>
          <w:lang w:val="fr-FR"/>
        </w:rPr>
        <w:t>, lire</w:t>
      </w:r>
      <w:r w:rsidR="00767B82">
        <w:rPr>
          <w:lang w:val="fr-FR"/>
        </w:rPr>
        <w:t> </w:t>
      </w:r>
      <w:r>
        <w:rPr>
          <w:lang w:val="fr-FR"/>
        </w:rPr>
        <w:t>:</w:t>
      </w:r>
    </w:p>
    <w:p w14:paraId="623B721E" w14:textId="77777777" w:rsidR="00A215B3" w:rsidRPr="0064736A" w:rsidRDefault="00A215B3" w:rsidP="00BA61D5">
      <w:pPr>
        <w:pStyle w:val="SingleTxtG"/>
        <w:spacing w:after="100"/>
        <w:ind w:left="2268" w:hanging="1134"/>
        <w:rPr>
          <w:rFonts w:asciiTheme="majorBidi" w:eastAsiaTheme="majorEastAsia" w:hAnsiTheme="majorBidi" w:cstheme="majorBidi"/>
        </w:rPr>
      </w:pPr>
      <w:r>
        <w:rPr>
          <w:lang w:val="fr-FR"/>
        </w:rPr>
        <w:t>« 3.5</w:t>
      </w:r>
      <w:r>
        <w:rPr>
          <w:lang w:val="fr-FR"/>
        </w:rPr>
        <w:tab/>
        <w:t>Calculer l’angle visuel sous-tendu par les accessoires d’essai</w:t>
      </w:r>
    </w:p>
    <w:p w14:paraId="1D95C284" w14:textId="77777777" w:rsidR="00A215B3" w:rsidRPr="0064736A" w:rsidRDefault="00A215B3" w:rsidP="00BA61D5">
      <w:pPr>
        <w:spacing w:after="100"/>
        <w:ind w:left="2268" w:right="1134"/>
        <w:jc w:val="both"/>
        <w:rPr>
          <w:rFonts w:asciiTheme="majorBidi" w:eastAsiaTheme="majorEastAsia" w:hAnsiTheme="majorBidi" w:cstheme="majorBidi"/>
        </w:rPr>
      </w:pPr>
      <w:r>
        <w:rPr>
          <w:lang w:val="fr-FR"/>
        </w:rPr>
        <w:t>…</w:t>
      </w:r>
    </w:p>
    <w:p w14:paraId="1553FEB9" w14:textId="77777777" w:rsidR="00A215B3" w:rsidRPr="0064736A" w:rsidRDefault="00A215B3" w:rsidP="00BA61D5">
      <w:pPr>
        <w:spacing w:after="100"/>
        <w:ind w:left="2268" w:right="1134"/>
        <w:jc w:val="both"/>
        <w:rPr>
          <w:rFonts w:asciiTheme="majorBidi" w:eastAsia="SimSun" w:hAnsiTheme="majorBidi" w:cstheme="majorBidi"/>
        </w:rPr>
      </w:pPr>
      <w:r>
        <w:rPr>
          <w:lang w:val="fr-FR"/>
        </w:rPr>
        <w:t>en degrés.</w:t>
      </w:r>
    </w:p>
    <w:p w14:paraId="525FBE98" w14:textId="77777777" w:rsidR="00A215B3" w:rsidRPr="0064736A" w:rsidRDefault="00A215B3" w:rsidP="00BA61D5">
      <w:pPr>
        <w:spacing w:after="100"/>
        <w:ind w:left="2268" w:right="1134"/>
        <w:jc w:val="both"/>
        <w:rPr>
          <w:rFonts w:asciiTheme="majorBidi" w:hAnsiTheme="majorBidi" w:cstheme="majorBidi"/>
        </w:rPr>
      </w:pPr>
      <w:r>
        <w:rPr>
          <w:lang w:val="fr-FR"/>
        </w:rPr>
        <w:t xml:space="preserve">À la demande du constructeur, la conformité aux prescriptions relatives à la taille de l’accessoire énoncées au paragraphe 3 de la présente annexe peut être démontrée par calcul. Ce calcul doit inclure la taille de l’accessoire, les prescriptions concernant les surimpressions dans le champ de vision requis et la résolution du système de caméra de vision vers l’arrière. </w:t>
      </w:r>
    </w:p>
    <w:p w14:paraId="3E1FC0AF" w14:textId="77777777" w:rsidR="00A215B3" w:rsidRPr="0064736A" w:rsidRDefault="00A215B3" w:rsidP="00BA61D5">
      <w:pPr>
        <w:spacing w:after="100"/>
        <w:ind w:left="2268" w:right="1134"/>
        <w:jc w:val="both"/>
      </w:pPr>
      <w:r>
        <w:rPr>
          <w:lang w:val="fr-FR"/>
        </w:rPr>
        <w:t>La validité de la méthode de calcul doit être établie à la satisfaction du service technique. ».</w:t>
      </w:r>
    </w:p>
    <w:p w14:paraId="632FCFE4" w14:textId="77777777" w:rsidR="00A215B3" w:rsidRPr="0064736A" w:rsidRDefault="00A215B3" w:rsidP="00BA61D5">
      <w:pPr>
        <w:pStyle w:val="SingleTxtG"/>
        <w:spacing w:after="100"/>
        <w:rPr>
          <w:i/>
          <w:iCs/>
        </w:rPr>
      </w:pPr>
      <w:r>
        <w:rPr>
          <w:i/>
          <w:iCs/>
          <w:lang w:val="fr-FR"/>
        </w:rPr>
        <w:t>Annexe 10, paragraphe 1</w:t>
      </w:r>
      <w:r>
        <w:rPr>
          <w:lang w:val="fr-FR"/>
        </w:rPr>
        <w:t>, modification sans objet en français.</w:t>
      </w:r>
    </w:p>
    <w:p w14:paraId="3C474142" w14:textId="4596D4F8" w:rsidR="00A215B3" w:rsidRPr="0064736A" w:rsidRDefault="00A215B3" w:rsidP="00BA61D5">
      <w:pPr>
        <w:pStyle w:val="SingleTxtG"/>
        <w:spacing w:after="100"/>
        <w:rPr>
          <w:i/>
          <w:iCs/>
        </w:rPr>
      </w:pPr>
      <w:r>
        <w:rPr>
          <w:i/>
          <w:iCs/>
          <w:lang w:val="fr-FR"/>
        </w:rPr>
        <w:t>Annexe 10, paragraphe 1.3.2</w:t>
      </w:r>
      <w:r>
        <w:rPr>
          <w:lang w:val="fr-FR"/>
        </w:rPr>
        <w:t>, lire</w:t>
      </w:r>
      <w:r w:rsidR="00BA61D5">
        <w:rPr>
          <w:lang w:val="fr-FR"/>
        </w:rPr>
        <w:t> </w:t>
      </w:r>
      <w:r>
        <w:rPr>
          <w:lang w:val="fr-FR"/>
        </w:rPr>
        <w:t xml:space="preserve">: </w:t>
      </w:r>
    </w:p>
    <w:p w14:paraId="149F5C3E" w14:textId="77777777" w:rsidR="00A215B3" w:rsidRPr="0064736A" w:rsidRDefault="00A215B3" w:rsidP="00BA61D5">
      <w:pPr>
        <w:pStyle w:val="SingleTxtG"/>
        <w:spacing w:after="100"/>
        <w:ind w:left="2268" w:hanging="1134"/>
        <w:rPr>
          <w:rFonts w:asciiTheme="majorBidi" w:eastAsiaTheme="majorEastAsia" w:hAnsiTheme="majorBidi" w:cstheme="majorBidi"/>
        </w:rPr>
      </w:pPr>
      <w:r>
        <w:rPr>
          <w:lang w:val="fr-FR"/>
        </w:rPr>
        <w:t>« 1.3.2</w:t>
      </w:r>
      <w:r>
        <w:rPr>
          <w:lang w:val="fr-FR"/>
        </w:rPr>
        <w:tab/>
        <w:t>Taux minimum de détection</w:t>
      </w:r>
    </w:p>
    <w:p w14:paraId="40A27324" w14:textId="77777777" w:rsidR="00A215B3" w:rsidRPr="0064736A" w:rsidRDefault="00A215B3" w:rsidP="00BA61D5">
      <w:pPr>
        <w:spacing w:after="100"/>
        <w:ind w:left="2268" w:right="1134"/>
        <w:jc w:val="both"/>
        <w:rPr>
          <w:rFonts w:asciiTheme="majorBidi" w:eastAsiaTheme="majorEastAsia" w:hAnsiTheme="majorBidi" w:cstheme="majorBidi"/>
        </w:rPr>
      </w:pPr>
      <w:r>
        <w:rPr>
          <w:lang w:val="fr-FR"/>
        </w:rPr>
        <w:tab/>
        <w:t>…</w:t>
      </w:r>
    </w:p>
    <w:p w14:paraId="332803E5" w14:textId="77777777" w:rsidR="00A215B3" w:rsidRPr="0064736A" w:rsidRDefault="00A215B3" w:rsidP="00BA61D5">
      <w:pPr>
        <w:spacing w:after="100"/>
        <w:ind w:left="2268" w:right="1134"/>
        <w:jc w:val="both"/>
        <w:rPr>
          <w:rFonts w:asciiTheme="majorBidi" w:eastAsia="SimSun" w:hAnsiTheme="majorBidi" w:cstheme="majorBidi"/>
        </w:rPr>
      </w:pPr>
      <w:r>
        <w:rPr>
          <w:lang w:val="fr-FR"/>
        </w:rPr>
        <w:tab/>
        <w:t>La procédure d’essai concernant la zone horizontale arrière doit être conforme aux prescriptions du paragraphe 7.3 de la norme ISO 17386:2010.</w:t>
      </w:r>
    </w:p>
    <w:p w14:paraId="212A3D89" w14:textId="77777777" w:rsidR="00A215B3" w:rsidRPr="0064736A" w:rsidRDefault="00A215B3" w:rsidP="00BA61D5">
      <w:pPr>
        <w:spacing w:after="100"/>
        <w:ind w:left="2268" w:right="1134"/>
        <w:jc w:val="both"/>
        <w:rPr>
          <w:rFonts w:asciiTheme="majorBidi" w:hAnsiTheme="majorBidi" w:cstheme="majorBidi"/>
        </w:rPr>
      </w:pPr>
      <w:r>
        <w:rPr>
          <w:lang w:val="fr-FR"/>
        </w:rPr>
        <w:tab/>
        <w:t>Si le signal d’information est émis pendant plus de 5 s en continu, l’accessoire d’essai est considéré …, l’accessoire d’essai peut être réputé détecté si le signal d’information a été émis dans 4 essais sur 5. ».</w:t>
      </w:r>
    </w:p>
    <w:p w14:paraId="6C878656" w14:textId="69D8743E" w:rsidR="00A215B3" w:rsidRPr="0064736A" w:rsidRDefault="00A215B3" w:rsidP="00BA61D5">
      <w:pPr>
        <w:pStyle w:val="SingleTxtG"/>
        <w:spacing w:after="100"/>
        <w:rPr>
          <w:i/>
          <w:iCs/>
        </w:rPr>
      </w:pPr>
      <w:r>
        <w:rPr>
          <w:i/>
          <w:iCs/>
          <w:lang w:val="fr-FR"/>
        </w:rPr>
        <w:t>Annexe 10, paragraphe 1.4.2</w:t>
      </w:r>
      <w:r>
        <w:rPr>
          <w:lang w:val="fr-FR"/>
        </w:rPr>
        <w:t>, lire</w:t>
      </w:r>
      <w:r w:rsidR="00BA61D5">
        <w:rPr>
          <w:lang w:val="fr-FR"/>
        </w:rPr>
        <w:t> </w:t>
      </w:r>
      <w:r>
        <w:rPr>
          <w:lang w:val="fr-FR"/>
        </w:rPr>
        <w:t xml:space="preserve">: </w:t>
      </w:r>
    </w:p>
    <w:p w14:paraId="26397BB8" w14:textId="77777777" w:rsidR="00A215B3" w:rsidRPr="0064736A" w:rsidRDefault="00A215B3" w:rsidP="00BA61D5">
      <w:pPr>
        <w:pStyle w:val="SingleTxtG"/>
        <w:spacing w:after="100"/>
        <w:ind w:left="2268" w:hanging="1134"/>
        <w:rPr>
          <w:rFonts w:asciiTheme="majorBidi" w:eastAsiaTheme="majorEastAsia" w:hAnsiTheme="majorBidi" w:cstheme="majorBidi"/>
        </w:rPr>
      </w:pPr>
      <w:r>
        <w:rPr>
          <w:lang w:val="fr-FR"/>
        </w:rPr>
        <w:t>« 1.4.2</w:t>
      </w:r>
      <w:r>
        <w:rPr>
          <w:lang w:val="fr-FR"/>
        </w:rPr>
        <w:tab/>
        <w:t>Taux minimum de détection</w:t>
      </w:r>
    </w:p>
    <w:p w14:paraId="064BF9AB" w14:textId="77777777" w:rsidR="00A215B3" w:rsidRPr="0064736A" w:rsidRDefault="00A215B3" w:rsidP="00BA61D5">
      <w:pPr>
        <w:spacing w:after="100"/>
        <w:ind w:left="2268" w:right="1134"/>
        <w:jc w:val="both"/>
        <w:rPr>
          <w:rFonts w:asciiTheme="majorBidi" w:eastAsia="SimSun" w:hAnsiTheme="majorBidi" w:cstheme="majorBidi"/>
        </w:rPr>
      </w:pPr>
      <w:r>
        <w:rPr>
          <w:lang w:val="fr-FR"/>
        </w:rPr>
        <w:tab/>
        <w:t>Le taux minimum de détection requis pour la zone de 10 points est de 100 %.</w:t>
      </w:r>
    </w:p>
    <w:p w14:paraId="2BB5D4F6" w14:textId="77777777" w:rsidR="00A215B3" w:rsidRPr="0064736A" w:rsidRDefault="00A215B3" w:rsidP="00BA61D5">
      <w:pPr>
        <w:spacing w:after="100"/>
        <w:ind w:left="2268" w:right="1134"/>
        <w:jc w:val="both"/>
        <w:rPr>
          <w:rFonts w:asciiTheme="majorBidi" w:eastAsiaTheme="majorEastAsia" w:hAnsiTheme="majorBidi" w:cstheme="majorBidi"/>
        </w:rPr>
      </w:pPr>
      <w:r>
        <w:rPr>
          <w:lang w:val="fr-FR"/>
        </w:rPr>
        <w:tab/>
        <w:t>Si le signal d’information est émis …, l’accessoire d’essai peut être réputé détecté si le signal d’information a été émis dans 4 essais sur 5. ».</w:t>
      </w:r>
    </w:p>
    <w:p w14:paraId="79B7B1E9" w14:textId="34171B4A" w:rsidR="00A215B3" w:rsidRPr="0064736A" w:rsidRDefault="00A215B3" w:rsidP="00BA61D5">
      <w:pPr>
        <w:pStyle w:val="SingleTxtG"/>
        <w:spacing w:after="100"/>
        <w:rPr>
          <w:i/>
          <w:iCs/>
        </w:rPr>
      </w:pPr>
      <w:r>
        <w:rPr>
          <w:i/>
          <w:iCs/>
          <w:lang w:val="fr-FR"/>
        </w:rPr>
        <w:t>Annexe 10, paragraphe 2.1</w:t>
      </w:r>
      <w:r>
        <w:rPr>
          <w:lang w:val="fr-FR"/>
        </w:rPr>
        <w:t>, lire</w:t>
      </w:r>
      <w:r w:rsidR="00BA61D5">
        <w:rPr>
          <w:lang w:val="fr-FR"/>
        </w:rPr>
        <w:t> </w:t>
      </w:r>
      <w:r>
        <w:rPr>
          <w:lang w:val="fr-FR"/>
        </w:rPr>
        <w:t>:</w:t>
      </w:r>
    </w:p>
    <w:p w14:paraId="173141F7" w14:textId="77777777" w:rsidR="00A215B3" w:rsidRPr="0064736A" w:rsidRDefault="00A215B3" w:rsidP="00BA61D5">
      <w:pPr>
        <w:pStyle w:val="SingleTxtG"/>
        <w:spacing w:after="100"/>
        <w:ind w:left="2268" w:hanging="1134"/>
        <w:rPr>
          <w:rFonts w:asciiTheme="majorBidi" w:eastAsiaTheme="majorEastAsia" w:hAnsiTheme="majorBidi" w:cstheme="majorBidi"/>
        </w:rPr>
      </w:pPr>
      <w:r>
        <w:rPr>
          <w:lang w:val="fr-FR"/>
        </w:rPr>
        <w:t>« 2.1</w:t>
      </w:r>
      <w:r>
        <w:rPr>
          <w:lang w:val="fr-FR"/>
        </w:rPr>
        <w:tab/>
        <w:t xml:space="preserve">Conditions d’essai </w:t>
      </w:r>
    </w:p>
    <w:p w14:paraId="57BC6032" w14:textId="187A25CF" w:rsidR="00A215B3" w:rsidRPr="0064736A" w:rsidRDefault="00A215B3" w:rsidP="00BA61D5">
      <w:pPr>
        <w:spacing w:after="100"/>
        <w:ind w:left="2835" w:right="1134" w:hanging="567"/>
        <w:jc w:val="both"/>
        <w:rPr>
          <w:rFonts w:asciiTheme="majorBidi" w:eastAsiaTheme="majorEastAsia" w:hAnsiTheme="majorBidi" w:cstheme="majorBidi"/>
        </w:rPr>
      </w:pPr>
      <w:r>
        <w:rPr>
          <w:lang w:val="fr-FR"/>
        </w:rPr>
        <w:t>a)</w:t>
      </w:r>
      <w:r>
        <w:rPr>
          <w:lang w:val="fr-FR"/>
        </w:rPr>
        <w:tab/>
        <w:t>Laisser le véhicule en stationnement jusqu’à être assuré que tous ses systèmes électroniques sont désactivés, ou pendant au moins 30 min</w:t>
      </w:r>
      <w:r w:rsidR="00BA61D5">
        <w:rPr>
          <w:lang w:val="fr-FR"/>
        </w:rPr>
        <w:t> </w:t>
      </w:r>
      <w:r>
        <w:rPr>
          <w:lang w:val="fr-FR"/>
        </w:rPr>
        <w:t xml:space="preserve">;  </w:t>
      </w:r>
    </w:p>
    <w:p w14:paraId="70C3323B" w14:textId="76C76C92" w:rsidR="00A215B3" w:rsidRPr="0064736A" w:rsidRDefault="00A215B3" w:rsidP="00BA61D5">
      <w:pPr>
        <w:spacing w:after="100"/>
        <w:ind w:left="2835" w:right="1134" w:hanging="567"/>
        <w:jc w:val="both"/>
        <w:rPr>
          <w:rFonts w:asciiTheme="majorBidi" w:eastAsiaTheme="majorEastAsia" w:hAnsiTheme="majorBidi" w:cstheme="majorBidi"/>
        </w:rPr>
      </w:pPr>
      <w:r>
        <w:rPr>
          <w:lang w:val="fr-FR"/>
        </w:rPr>
        <w:t>b)</w:t>
      </w:r>
      <w:r>
        <w:rPr>
          <w:lang w:val="fr-FR"/>
        </w:rPr>
        <w:tab/>
        <w:t>La personne procédant à l’essai ou l’équipement d’essai peuvent déjà avoir pris place dans le véhicule</w:t>
      </w:r>
      <w:r w:rsidR="00BA61D5">
        <w:rPr>
          <w:lang w:val="fr-FR"/>
        </w:rPr>
        <w:t> </w:t>
      </w:r>
      <w:r>
        <w:rPr>
          <w:lang w:val="fr-FR"/>
        </w:rPr>
        <w:t xml:space="preserve">; </w:t>
      </w:r>
    </w:p>
    <w:p w14:paraId="0B6AF9FF" w14:textId="32A345DD" w:rsidR="00A215B3" w:rsidRPr="0064736A" w:rsidRDefault="00A215B3" w:rsidP="00BA61D5">
      <w:pPr>
        <w:spacing w:after="100"/>
        <w:ind w:left="2835" w:right="1134" w:hanging="567"/>
        <w:jc w:val="both"/>
        <w:rPr>
          <w:rFonts w:asciiTheme="majorBidi" w:eastAsiaTheme="majorEastAsia" w:hAnsiTheme="majorBidi" w:cstheme="majorBidi"/>
        </w:rPr>
      </w:pPr>
      <w:r>
        <w:rPr>
          <w:lang w:val="fr-FR"/>
        </w:rPr>
        <w:t>c)</w:t>
      </w:r>
      <w:r>
        <w:rPr>
          <w:lang w:val="fr-FR"/>
        </w:rPr>
        <w:tab/>
        <w:t>S’assurer que le sélecteur de vitesse du véhicule n’est pas en position de marche arrière</w:t>
      </w:r>
      <w:r w:rsidR="00BA61D5">
        <w:rPr>
          <w:lang w:val="fr-FR"/>
        </w:rPr>
        <w:t> </w:t>
      </w:r>
      <w:r>
        <w:rPr>
          <w:lang w:val="fr-FR"/>
        </w:rPr>
        <w:t xml:space="preserve">; </w:t>
      </w:r>
    </w:p>
    <w:p w14:paraId="22056928" w14:textId="77777777" w:rsidR="00A215B3" w:rsidRPr="0064736A" w:rsidRDefault="00A215B3" w:rsidP="00BA61D5">
      <w:pPr>
        <w:spacing w:after="100"/>
        <w:ind w:left="2835" w:right="1134" w:hanging="567"/>
        <w:jc w:val="both"/>
        <w:rPr>
          <w:rFonts w:asciiTheme="majorBidi" w:eastAsiaTheme="majorEastAsia" w:hAnsiTheme="majorBidi" w:cstheme="majorBidi"/>
        </w:rPr>
      </w:pPr>
      <w:r>
        <w:rPr>
          <w:lang w:val="fr-FR"/>
        </w:rPr>
        <w:t>d)</w:t>
      </w:r>
      <w:r>
        <w:rPr>
          <w:lang w:val="fr-FR"/>
        </w:rPr>
        <w:tab/>
        <w:t>L’essai peut commencer par l’ouverture de la porte du conducteur. Une fois que la porte est ouverte, elle doit être refermée. ».</w:t>
      </w:r>
    </w:p>
    <w:p w14:paraId="3A0A27E1" w14:textId="3484DA24" w:rsidR="005F0207" w:rsidRPr="00BA61D5" w:rsidRDefault="00BA61D5" w:rsidP="00BA61D5">
      <w:pPr>
        <w:pStyle w:val="SingleTxtG"/>
        <w:spacing w:before="240" w:after="0"/>
        <w:jc w:val="center"/>
        <w:rPr>
          <w:u w:val="single"/>
        </w:rPr>
      </w:pPr>
      <w:r>
        <w:rPr>
          <w:u w:val="single"/>
        </w:rPr>
        <w:tab/>
      </w:r>
      <w:r>
        <w:rPr>
          <w:u w:val="single"/>
        </w:rPr>
        <w:tab/>
      </w:r>
      <w:r>
        <w:rPr>
          <w:u w:val="single"/>
        </w:rPr>
        <w:tab/>
      </w:r>
      <w:r>
        <w:rPr>
          <w:u w:val="single"/>
        </w:rPr>
        <w:tab/>
      </w:r>
    </w:p>
    <w:sectPr w:rsidR="005F0207" w:rsidRPr="00BA61D5" w:rsidSect="00A215B3">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6835" w14:textId="77777777" w:rsidR="00253FDE" w:rsidRDefault="00253FDE"/>
  </w:endnote>
  <w:endnote w:type="continuationSeparator" w:id="0">
    <w:p w14:paraId="4FF29765" w14:textId="77777777" w:rsidR="00253FDE" w:rsidRDefault="00253FDE">
      <w:pPr>
        <w:pStyle w:val="Pieddepage"/>
      </w:pPr>
    </w:p>
  </w:endnote>
  <w:endnote w:type="continuationNotice" w:id="1">
    <w:p w14:paraId="25F1B3B3" w14:textId="77777777" w:rsidR="00253FDE" w:rsidRPr="00C451B9" w:rsidRDefault="00253FDE"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9FE1" w14:textId="77777777" w:rsidR="00A215B3" w:rsidRPr="00A215B3" w:rsidRDefault="00A215B3" w:rsidP="00A215B3">
    <w:pPr>
      <w:pStyle w:val="Pieddepage"/>
      <w:tabs>
        <w:tab w:val="right" w:pos="9638"/>
      </w:tabs>
    </w:pPr>
    <w:r w:rsidRPr="00A215B3">
      <w:rPr>
        <w:b/>
        <w:sz w:val="18"/>
      </w:rPr>
      <w:fldChar w:fldCharType="begin"/>
    </w:r>
    <w:r w:rsidRPr="00A215B3">
      <w:rPr>
        <w:b/>
        <w:sz w:val="18"/>
      </w:rPr>
      <w:instrText xml:space="preserve"> PAGE  \* MERGEFORMAT </w:instrText>
    </w:r>
    <w:r w:rsidRPr="00A215B3">
      <w:rPr>
        <w:b/>
        <w:sz w:val="18"/>
      </w:rPr>
      <w:fldChar w:fldCharType="separate"/>
    </w:r>
    <w:r w:rsidRPr="00A215B3">
      <w:rPr>
        <w:b/>
        <w:noProof/>
        <w:sz w:val="18"/>
      </w:rPr>
      <w:t>2</w:t>
    </w:r>
    <w:r w:rsidRPr="00A215B3">
      <w:rPr>
        <w:b/>
        <w:sz w:val="18"/>
      </w:rPr>
      <w:fldChar w:fldCharType="end"/>
    </w:r>
    <w:r>
      <w:rPr>
        <w:b/>
        <w:sz w:val="18"/>
      </w:rPr>
      <w:tab/>
    </w:r>
    <w:r>
      <w:t>GE.23-11680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310" w14:textId="77777777" w:rsidR="00A215B3" w:rsidRPr="00A215B3" w:rsidRDefault="00A215B3" w:rsidP="00A215B3">
    <w:pPr>
      <w:pStyle w:val="Pieddepage"/>
      <w:tabs>
        <w:tab w:val="right" w:pos="9638"/>
      </w:tabs>
      <w:rPr>
        <w:b/>
        <w:sz w:val="18"/>
      </w:rPr>
    </w:pPr>
    <w:r>
      <w:t>GE.23-11680</w:t>
    </w:r>
    <w:r>
      <w:tab/>
    </w:r>
    <w:r w:rsidRPr="00A215B3">
      <w:rPr>
        <w:b/>
        <w:sz w:val="18"/>
      </w:rPr>
      <w:fldChar w:fldCharType="begin"/>
    </w:r>
    <w:r w:rsidRPr="00A215B3">
      <w:rPr>
        <w:b/>
        <w:sz w:val="18"/>
      </w:rPr>
      <w:instrText xml:space="preserve"> PAGE  \* MERGEFORMAT </w:instrText>
    </w:r>
    <w:r w:rsidRPr="00A215B3">
      <w:rPr>
        <w:b/>
        <w:sz w:val="18"/>
      </w:rPr>
      <w:fldChar w:fldCharType="separate"/>
    </w:r>
    <w:r w:rsidRPr="00A215B3">
      <w:rPr>
        <w:b/>
        <w:noProof/>
        <w:sz w:val="18"/>
      </w:rPr>
      <w:t>3</w:t>
    </w:r>
    <w:r w:rsidRPr="00A215B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5EBA" w14:textId="483A6CA8" w:rsidR="00467F2C" w:rsidRPr="00A215B3" w:rsidRDefault="00A215B3" w:rsidP="00A215B3">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4D2E3D77" wp14:editId="01F8E81C">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23-11680  (F)</w:t>
    </w:r>
    <w:r>
      <w:rPr>
        <w:noProof/>
        <w:sz w:val="20"/>
      </w:rPr>
      <w:drawing>
        <wp:anchor distT="0" distB="0" distL="114300" distR="114300" simplePos="0" relativeHeight="251660288" behindDoc="0" locked="0" layoutInCell="1" allowOverlap="1" wp14:anchorId="30E930F9" wp14:editId="7D088709">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271023    311023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5FEC" w14:textId="77777777" w:rsidR="00253FDE" w:rsidRPr="00D27D5E" w:rsidRDefault="00253FDE" w:rsidP="00D27D5E">
      <w:pPr>
        <w:tabs>
          <w:tab w:val="right" w:pos="2155"/>
        </w:tabs>
        <w:spacing w:after="80"/>
        <w:ind w:left="680"/>
        <w:rPr>
          <w:u w:val="single"/>
        </w:rPr>
      </w:pPr>
      <w:r>
        <w:rPr>
          <w:u w:val="single"/>
        </w:rPr>
        <w:tab/>
      </w:r>
    </w:p>
  </w:footnote>
  <w:footnote w:type="continuationSeparator" w:id="0">
    <w:p w14:paraId="42BB8418" w14:textId="77777777" w:rsidR="00253FDE" w:rsidRPr="00D171D4" w:rsidRDefault="00253FDE" w:rsidP="00D171D4">
      <w:pPr>
        <w:tabs>
          <w:tab w:val="right" w:pos="2155"/>
        </w:tabs>
        <w:spacing w:after="80"/>
        <w:ind w:left="680"/>
        <w:rPr>
          <w:u w:val="single"/>
        </w:rPr>
      </w:pPr>
      <w:r w:rsidRPr="00D171D4">
        <w:rPr>
          <w:u w:val="single"/>
        </w:rPr>
        <w:tab/>
      </w:r>
    </w:p>
  </w:footnote>
  <w:footnote w:type="continuationNotice" w:id="1">
    <w:p w14:paraId="3126BF99" w14:textId="77777777" w:rsidR="00253FDE" w:rsidRPr="00C451B9" w:rsidRDefault="00253FDE" w:rsidP="00C451B9">
      <w:pPr>
        <w:spacing w:line="240" w:lineRule="auto"/>
        <w:rPr>
          <w:sz w:val="2"/>
          <w:szCs w:val="2"/>
        </w:rPr>
      </w:pPr>
    </w:p>
  </w:footnote>
  <w:footnote w:id="2">
    <w:p w14:paraId="4B316885"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418380B8" w14:textId="77777777" w:rsidR="00591072" w:rsidRPr="00591072" w:rsidRDefault="00591072" w:rsidP="00591072">
      <w:pPr>
        <w:pStyle w:val="Notedebasdepage"/>
      </w:pPr>
      <w:r w:rsidRPr="00A215B3">
        <w:tab/>
      </w:r>
      <w:r w:rsidRPr="00A215B3">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6CEDFAD8" w14:textId="77777777" w:rsidR="00591072" w:rsidRPr="00591072" w:rsidRDefault="00591072" w:rsidP="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00BD0ECF" w14:textId="77777777" w:rsidR="00442E31" w:rsidRPr="00442E31" w:rsidRDefault="00442E3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A9F" w14:textId="5912A1BA" w:rsidR="00A215B3" w:rsidRPr="00A215B3" w:rsidRDefault="00A215B3">
    <w:pPr>
      <w:pStyle w:val="En-tte"/>
      <w:rPr>
        <w:lang w:val="en-US"/>
      </w:rPr>
    </w:pPr>
    <w:r>
      <w:fldChar w:fldCharType="begin"/>
    </w:r>
    <w:r w:rsidRPr="00A215B3">
      <w:rPr>
        <w:lang w:val="en-US"/>
      </w:rPr>
      <w:instrText xml:space="preserve"> TITLE  \* MERGEFORMAT </w:instrText>
    </w:r>
    <w:r>
      <w:fldChar w:fldCharType="separate"/>
    </w:r>
    <w:r>
      <w:rPr>
        <w:lang w:val="en-US"/>
      </w:rPr>
      <w:t>E/ECE/TRANS/505/Rev.3/Add.157/Amend.2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AED3" w14:textId="56480FE2" w:rsidR="00A215B3" w:rsidRPr="00A215B3" w:rsidRDefault="00A215B3" w:rsidP="00A215B3">
    <w:pPr>
      <w:pStyle w:val="En-tte"/>
      <w:jc w:val="right"/>
      <w:rPr>
        <w:lang w:val="en-US"/>
      </w:rPr>
    </w:pPr>
    <w:r>
      <w:fldChar w:fldCharType="begin"/>
    </w:r>
    <w:r w:rsidRPr="00A215B3">
      <w:rPr>
        <w:lang w:val="en-US"/>
      </w:rPr>
      <w:instrText xml:space="preserve"> TITLE  \* MERGEFORMAT </w:instrText>
    </w:r>
    <w:r>
      <w:fldChar w:fldCharType="separate"/>
    </w:r>
    <w:r>
      <w:rPr>
        <w:lang w:val="en-US"/>
      </w:rPr>
      <w:t>E/ECE/TRANS/505/Rev.3/Add.157/Amend.2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67100461">
    <w:abstractNumId w:val="2"/>
  </w:num>
  <w:num w:numId="2" w16cid:durableId="1794865662">
    <w:abstractNumId w:val="1"/>
  </w:num>
  <w:num w:numId="3" w16cid:durableId="1796412541">
    <w:abstractNumId w:val="0"/>
  </w:num>
  <w:num w:numId="4" w16cid:durableId="463541770">
    <w:abstractNumId w:val="2"/>
  </w:num>
  <w:num w:numId="5" w16cid:durableId="1678801920">
    <w:abstractNumId w:val="1"/>
  </w:num>
  <w:num w:numId="6" w16cid:durableId="19208220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DE"/>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CA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53FDE"/>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67B82"/>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15B3"/>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A61D5"/>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ED2089"/>
  <w15:docId w15:val="{9A4D01F4-AA1D-46D9-B9B0-F4EA8CBD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E_ECE_324.dotm</Template>
  <TotalTime>0</TotalTime>
  <Pages>3</Pages>
  <Words>800</Words>
  <Characters>5205</Characters>
  <Application>Microsoft Office Word</Application>
  <DocSecurity>0</DocSecurity>
  <Lines>520</Lines>
  <Paragraphs>353</Paragraphs>
  <ScaleCrop>false</ScaleCrop>
  <HeadingPairs>
    <vt:vector size="2" baseType="variant">
      <vt:variant>
        <vt:lpstr>Titre</vt:lpstr>
      </vt:variant>
      <vt:variant>
        <vt:i4>1</vt:i4>
      </vt:variant>
    </vt:vector>
  </HeadingPairs>
  <TitlesOfParts>
    <vt:vector size="1" baseType="lpstr">
      <vt:lpstr>E/ECE/TRANS/505/Rev.3/Add.157/Amend.2</vt:lpstr>
    </vt:vector>
  </TitlesOfParts>
  <Company>CSD</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E/ECE/TRANS/505/Rev.3/Add.157/Amend.2</dc:title>
  <dc:creator>Sandrine CLERE</dc:creator>
  <cp:keywords>E/ECE/TRANS/505/Rev.3/Add.157/Amend.2</cp:keywords>
  <cp:lastModifiedBy>Sandrine Clere</cp:lastModifiedBy>
  <cp:revision>2</cp:revision>
  <cp:lastPrinted>2008-11-04T15:54:00Z</cp:lastPrinted>
  <dcterms:created xsi:type="dcterms:W3CDTF">2023-10-31T07:30:00Z</dcterms:created>
  <dcterms:modified xsi:type="dcterms:W3CDTF">2023-10-31T07:30:00Z</dcterms:modified>
</cp:coreProperties>
</file>